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EEF2" w14:textId="43178641" w:rsidR="00946737" w:rsidRPr="00932066" w:rsidRDefault="00174F10" w:rsidP="00932066">
      <w:pPr>
        <w:pStyle w:val="ArticleTitle"/>
        <w:spacing w:after="0" w:line="360" w:lineRule="auto"/>
        <w:rPr>
          <w:rFonts w:ascii="Arial" w:hAnsi="Arial" w:cs="Arial"/>
          <w:b/>
          <w:sz w:val="22"/>
          <w:szCs w:val="22"/>
        </w:rPr>
      </w:pPr>
      <w:r w:rsidRPr="00932066">
        <w:rPr>
          <w:rFonts w:ascii="Arial" w:hAnsi="Arial" w:cs="Arial"/>
          <w:b/>
          <w:sz w:val="22"/>
          <w:szCs w:val="22"/>
        </w:rPr>
        <w:t xml:space="preserve">Against </w:t>
      </w:r>
      <w:r w:rsidR="00182F39">
        <w:rPr>
          <w:rFonts w:ascii="Arial" w:hAnsi="Arial" w:cs="Arial"/>
          <w:b/>
          <w:sz w:val="22"/>
          <w:szCs w:val="22"/>
        </w:rPr>
        <w:t>a</w:t>
      </w:r>
      <w:r w:rsidRPr="00932066">
        <w:rPr>
          <w:rFonts w:ascii="Arial" w:hAnsi="Arial" w:cs="Arial"/>
          <w:b/>
          <w:sz w:val="22"/>
          <w:szCs w:val="22"/>
        </w:rPr>
        <w:t xml:space="preserve"> Dark Background: The Prevention of Femicide Act 2023 and the Problem </w:t>
      </w:r>
      <w:r w:rsidR="00182F39">
        <w:rPr>
          <w:rFonts w:ascii="Arial" w:hAnsi="Arial" w:cs="Arial"/>
          <w:b/>
          <w:sz w:val="22"/>
          <w:szCs w:val="22"/>
        </w:rPr>
        <w:t>o</w:t>
      </w:r>
      <w:r w:rsidRPr="00932066">
        <w:rPr>
          <w:rFonts w:ascii="Arial" w:hAnsi="Arial" w:cs="Arial"/>
          <w:b/>
          <w:sz w:val="22"/>
          <w:szCs w:val="22"/>
        </w:rPr>
        <w:t xml:space="preserve">f Legislating </w:t>
      </w:r>
      <w:r w:rsidR="00182F39">
        <w:rPr>
          <w:rFonts w:ascii="Arial" w:hAnsi="Arial" w:cs="Arial"/>
          <w:b/>
          <w:sz w:val="22"/>
          <w:szCs w:val="22"/>
        </w:rPr>
        <w:t>f</w:t>
      </w:r>
      <w:r w:rsidRPr="00932066">
        <w:rPr>
          <w:rFonts w:ascii="Arial" w:hAnsi="Arial" w:cs="Arial"/>
          <w:b/>
          <w:sz w:val="22"/>
          <w:szCs w:val="22"/>
        </w:rPr>
        <w:t>or Control</w:t>
      </w:r>
    </w:p>
    <w:p w14:paraId="238E27B8" w14:textId="77777777" w:rsidR="00174F10" w:rsidRPr="00932066" w:rsidRDefault="00174F10" w:rsidP="00932066">
      <w:pPr>
        <w:pStyle w:val="ArticleTitle"/>
        <w:spacing w:after="0" w:line="360" w:lineRule="auto"/>
        <w:rPr>
          <w:rFonts w:ascii="Arial" w:hAnsi="Arial" w:cs="Arial"/>
          <w:bCs/>
          <w:i/>
          <w:iCs/>
          <w:sz w:val="22"/>
          <w:szCs w:val="22"/>
        </w:rPr>
      </w:pPr>
    </w:p>
    <w:p w14:paraId="3DBFC95C" w14:textId="2A54B798" w:rsidR="004324AD" w:rsidRPr="00932066" w:rsidRDefault="00174F10" w:rsidP="00932066">
      <w:pPr>
        <w:pStyle w:val="ArticleTitle"/>
        <w:spacing w:after="0" w:line="360" w:lineRule="auto"/>
        <w:rPr>
          <w:rFonts w:ascii="Arial" w:hAnsi="Arial" w:cs="Arial"/>
          <w:bCs/>
          <w:i/>
          <w:iCs/>
          <w:sz w:val="22"/>
          <w:szCs w:val="22"/>
        </w:rPr>
      </w:pPr>
      <w:r w:rsidRPr="00932066">
        <w:rPr>
          <w:rFonts w:ascii="Arial" w:hAnsi="Arial" w:cs="Arial"/>
          <w:bCs/>
          <w:i/>
          <w:iCs/>
          <w:sz w:val="22"/>
          <w:szCs w:val="22"/>
        </w:rPr>
        <w:t>Ross Fletcher</w:t>
      </w:r>
      <w:r w:rsidR="004324AD" w:rsidRPr="00932066">
        <w:rPr>
          <w:rStyle w:val="FootnoteReference"/>
          <w:rFonts w:ascii="Arial" w:hAnsi="Arial" w:cs="Arial"/>
          <w:bCs/>
          <w:sz w:val="22"/>
          <w:szCs w:val="22"/>
        </w:rPr>
        <w:footnoteReference w:id="1"/>
      </w:r>
      <w:r w:rsidR="004324AD" w:rsidRPr="00932066">
        <w:rPr>
          <w:rFonts w:ascii="Arial" w:hAnsi="Arial" w:cs="Arial"/>
          <w:bCs/>
          <w:sz w:val="22"/>
          <w:szCs w:val="22"/>
        </w:rPr>
        <w:t xml:space="preserve"> </w:t>
      </w:r>
    </w:p>
    <w:p w14:paraId="64E8B883" w14:textId="6348C0E6" w:rsidR="00FE5F32" w:rsidRDefault="00FE5F32" w:rsidP="00932066">
      <w:pPr>
        <w:pStyle w:val="ArticleTitle"/>
        <w:spacing w:after="0" w:line="360" w:lineRule="auto"/>
        <w:rPr>
          <w:rFonts w:ascii="Arial" w:hAnsi="Arial" w:cs="Arial"/>
          <w:bCs/>
          <w:i/>
          <w:iCs/>
          <w:sz w:val="22"/>
          <w:szCs w:val="22"/>
        </w:rPr>
      </w:pPr>
    </w:p>
    <w:p w14:paraId="504F43A2" w14:textId="77777777" w:rsidR="00182F39" w:rsidRPr="00932066" w:rsidRDefault="00182F39" w:rsidP="00932066">
      <w:pPr>
        <w:pStyle w:val="ArticleTitle"/>
        <w:spacing w:after="0" w:line="360" w:lineRule="auto"/>
        <w:rPr>
          <w:rFonts w:ascii="Arial" w:hAnsi="Arial" w:cs="Arial"/>
          <w:bCs/>
          <w:i/>
          <w:iCs/>
          <w:sz w:val="22"/>
          <w:szCs w:val="22"/>
        </w:rPr>
      </w:pPr>
    </w:p>
    <w:p w14:paraId="791D1DE7" w14:textId="07533B23" w:rsidR="00FE5F32" w:rsidRPr="00182F39" w:rsidRDefault="00FE5F32" w:rsidP="00932066">
      <w:pPr>
        <w:pStyle w:val="ArticleTitle"/>
        <w:spacing w:after="0" w:line="360" w:lineRule="auto"/>
        <w:rPr>
          <w:rFonts w:ascii="Arial" w:hAnsi="Arial" w:cs="Arial"/>
          <w:b/>
          <w:sz w:val="22"/>
          <w:szCs w:val="22"/>
        </w:rPr>
      </w:pPr>
      <w:r w:rsidRPr="00182F39">
        <w:rPr>
          <w:rFonts w:ascii="Arial" w:hAnsi="Arial" w:cs="Arial"/>
          <w:b/>
          <w:sz w:val="22"/>
          <w:szCs w:val="22"/>
        </w:rPr>
        <w:t>Abstract</w:t>
      </w:r>
    </w:p>
    <w:p w14:paraId="1F1073DA" w14:textId="77777777" w:rsidR="00C84785" w:rsidRPr="00932066" w:rsidRDefault="00C84785" w:rsidP="00932066">
      <w:pPr>
        <w:pStyle w:val="ArticleTitle"/>
        <w:spacing w:after="0" w:line="360" w:lineRule="auto"/>
        <w:rPr>
          <w:rFonts w:ascii="Arial" w:hAnsi="Arial" w:cs="Arial"/>
          <w:b/>
          <w:i/>
          <w:iCs/>
          <w:sz w:val="22"/>
          <w:szCs w:val="22"/>
        </w:rPr>
      </w:pPr>
    </w:p>
    <w:p w14:paraId="202CE012" w14:textId="45F5DDCB" w:rsidR="00EE117C" w:rsidRPr="00932066" w:rsidRDefault="00311631" w:rsidP="00932066">
      <w:pPr>
        <w:pStyle w:val="ArticleTitle"/>
        <w:spacing w:after="0" w:line="360" w:lineRule="auto"/>
        <w:rPr>
          <w:rFonts w:ascii="Arial" w:hAnsi="Arial" w:cs="Arial"/>
          <w:bCs/>
          <w:sz w:val="22"/>
          <w:szCs w:val="22"/>
        </w:rPr>
      </w:pPr>
      <w:r w:rsidRPr="00932066">
        <w:rPr>
          <w:rFonts w:ascii="Arial" w:hAnsi="Arial" w:cs="Arial"/>
          <w:bCs/>
          <w:sz w:val="22"/>
          <w:szCs w:val="22"/>
        </w:rPr>
        <w:t xml:space="preserve">The plot device at the heart of Jayne Cowie’s 2022 novel </w:t>
      </w:r>
      <w:r w:rsidRPr="00932066">
        <w:rPr>
          <w:rFonts w:ascii="Arial" w:hAnsi="Arial" w:cs="Arial"/>
          <w:bCs/>
          <w:i/>
          <w:iCs/>
          <w:sz w:val="22"/>
          <w:szCs w:val="22"/>
        </w:rPr>
        <w:t>After Dark</w:t>
      </w:r>
      <w:r w:rsidRPr="00932066">
        <w:rPr>
          <w:rFonts w:ascii="Arial" w:hAnsi="Arial" w:cs="Arial"/>
          <w:bCs/>
          <w:sz w:val="22"/>
          <w:szCs w:val="22"/>
        </w:rPr>
        <w:t xml:space="preserve"> is the Prevention of Femicide Act 2023, a (fictitious) piece of legislation enacted by Parliament in response to high-profile cases of gender-based violence, and implemented to prevent future occurrences of such crimes. The events of the novel demonstrate that this legislation proves to be flawed in several respects, not least in its failure to prevent the very crime that it was enacted to stop. In this article, I will look at the flaws evident in the legislation as depicted in the novel, and in doing so demonstrate the difficulties inherent in drafting legislation that aims to uphold the rights of one group while at the same time depriving a different group of their rights. I will highlight the formidable obstacles faced by real-world lawmakers in drafting legislation aimed at bringing about radical social change in the face of public hostility to that very change, and will ask whether it is the proper place of the legislature to attempt to effect such changes, or whether society itself ought rightly to be the vehicle for the radical change of mindset necessary to prevent crimes perpetrated by one group in society against another.</w:t>
      </w:r>
    </w:p>
    <w:p w14:paraId="39F9B16D" w14:textId="77777777" w:rsidR="00311631" w:rsidRPr="00932066" w:rsidRDefault="00311631" w:rsidP="00932066">
      <w:pPr>
        <w:pStyle w:val="ArticleTitle"/>
        <w:spacing w:after="0" w:line="360" w:lineRule="auto"/>
        <w:rPr>
          <w:rFonts w:ascii="Arial" w:hAnsi="Arial" w:cs="Arial"/>
          <w:b/>
          <w:i/>
          <w:iCs/>
          <w:sz w:val="22"/>
          <w:szCs w:val="22"/>
        </w:rPr>
      </w:pPr>
    </w:p>
    <w:p w14:paraId="0B9D8163" w14:textId="77777777" w:rsidR="00182F39" w:rsidRPr="00182F39" w:rsidRDefault="00521899" w:rsidP="00932066">
      <w:pPr>
        <w:pStyle w:val="ArticleTitle"/>
        <w:spacing w:after="0" w:line="360" w:lineRule="auto"/>
        <w:rPr>
          <w:rFonts w:ascii="Arial" w:hAnsi="Arial" w:cs="Arial"/>
          <w:b/>
          <w:sz w:val="22"/>
          <w:szCs w:val="22"/>
        </w:rPr>
      </w:pPr>
      <w:r w:rsidRPr="00182F39">
        <w:rPr>
          <w:rFonts w:ascii="Arial" w:hAnsi="Arial" w:cs="Arial"/>
          <w:b/>
          <w:sz w:val="22"/>
          <w:szCs w:val="22"/>
        </w:rPr>
        <w:t>Keywords</w:t>
      </w:r>
    </w:p>
    <w:p w14:paraId="328975A2" w14:textId="77777777" w:rsidR="00182F39" w:rsidRDefault="00182F39" w:rsidP="00932066">
      <w:pPr>
        <w:pStyle w:val="ArticleTitle"/>
        <w:spacing w:after="0" w:line="360" w:lineRule="auto"/>
        <w:rPr>
          <w:rFonts w:ascii="Arial" w:hAnsi="Arial" w:cs="Arial"/>
          <w:b/>
          <w:i/>
          <w:iCs/>
          <w:sz w:val="22"/>
          <w:szCs w:val="22"/>
        </w:rPr>
      </w:pPr>
    </w:p>
    <w:p w14:paraId="45550442" w14:textId="1D3ED472" w:rsidR="00521899" w:rsidRPr="00182F39" w:rsidRDefault="00013D2D" w:rsidP="00932066">
      <w:pPr>
        <w:pStyle w:val="ArticleTitle"/>
        <w:spacing w:after="0" w:line="360" w:lineRule="auto"/>
        <w:rPr>
          <w:rFonts w:ascii="Arial" w:hAnsi="Arial" w:cs="Arial"/>
          <w:bCs/>
          <w:sz w:val="22"/>
          <w:szCs w:val="22"/>
        </w:rPr>
      </w:pPr>
      <w:r w:rsidRPr="00182F39">
        <w:rPr>
          <w:rFonts w:ascii="Arial" w:hAnsi="Arial" w:cs="Arial"/>
          <w:bCs/>
          <w:sz w:val="22"/>
          <w:szCs w:val="22"/>
        </w:rPr>
        <w:t>Gender</w:t>
      </w:r>
      <w:r w:rsidR="00182F39" w:rsidRPr="00182F39">
        <w:rPr>
          <w:rFonts w:ascii="Arial" w:hAnsi="Arial" w:cs="Arial"/>
          <w:bCs/>
          <w:sz w:val="22"/>
          <w:szCs w:val="22"/>
        </w:rPr>
        <w:t>-Based Violence, Legislation, Human Rights, Feminism, Discrimination</w:t>
      </w:r>
    </w:p>
    <w:p w14:paraId="0D9171E7" w14:textId="77777777" w:rsidR="00EE117C" w:rsidRPr="00932066" w:rsidRDefault="00EE117C" w:rsidP="00932066">
      <w:pPr>
        <w:pStyle w:val="ArticleTitle"/>
        <w:spacing w:after="0" w:line="360" w:lineRule="auto"/>
        <w:rPr>
          <w:rFonts w:ascii="Arial" w:hAnsi="Arial" w:cs="Arial"/>
          <w:b/>
          <w:i/>
          <w:iCs/>
          <w:sz w:val="22"/>
          <w:szCs w:val="22"/>
        </w:rPr>
      </w:pPr>
    </w:p>
    <w:p w14:paraId="45083C7E" w14:textId="71630789" w:rsidR="00C84785" w:rsidRPr="00932066" w:rsidRDefault="00C84785" w:rsidP="00932066">
      <w:pPr>
        <w:pStyle w:val="ArticleTitle"/>
        <w:spacing w:after="0" w:line="360" w:lineRule="auto"/>
        <w:rPr>
          <w:rFonts w:ascii="Arial" w:hAnsi="Arial" w:cs="Arial"/>
          <w:bCs/>
          <w:sz w:val="22"/>
          <w:szCs w:val="22"/>
        </w:rPr>
      </w:pPr>
    </w:p>
    <w:p w14:paraId="6787590B" w14:textId="35C70EB6" w:rsidR="00FE5F32" w:rsidRPr="00932066" w:rsidRDefault="00FE5F32" w:rsidP="00932066">
      <w:pPr>
        <w:pStyle w:val="ArticleTitle"/>
        <w:spacing w:after="0" w:line="360" w:lineRule="auto"/>
        <w:rPr>
          <w:rFonts w:ascii="Arial" w:hAnsi="Arial" w:cs="Arial"/>
          <w:b/>
          <w:i/>
          <w:iCs/>
          <w:sz w:val="22"/>
          <w:szCs w:val="22"/>
        </w:rPr>
      </w:pPr>
      <w:r w:rsidRPr="00932066">
        <w:rPr>
          <w:rFonts w:ascii="Arial" w:hAnsi="Arial" w:cs="Arial"/>
          <w:b/>
          <w:i/>
          <w:iCs/>
          <w:sz w:val="22"/>
          <w:szCs w:val="22"/>
        </w:rPr>
        <w:t>Introduction</w:t>
      </w:r>
      <w:r w:rsidR="00932066">
        <w:rPr>
          <w:rFonts w:ascii="Arial" w:hAnsi="Arial" w:cs="Arial"/>
          <w:b/>
          <w:i/>
          <w:iCs/>
          <w:sz w:val="22"/>
          <w:szCs w:val="22"/>
        </w:rPr>
        <w:t>: Legislating for Control</w:t>
      </w:r>
    </w:p>
    <w:p w14:paraId="37E946EA" w14:textId="77777777" w:rsidR="00311631" w:rsidRPr="00932066" w:rsidRDefault="00311631" w:rsidP="00932066">
      <w:pPr>
        <w:pStyle w:val="ArticleTitle"/>
        <w:spacing w:after="0" w:line="360" w:lineRule="auto"/>
        <w:rPr>
          <w:rFonts w:ascii="Arial" w:hAnsi="Arial" w:cs="Arial"/>
          <w:b/>
          <w:i/>
          <w:iCs/>
          <w:sz w:val="22"/>
          <w:szCs w:val="22"/>
        </w:rPr>
      </w:pPr>
    </w:p>
    <w:p w14:paraId="609597DC" w14:textId="1090294A"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 xml:space="preserve">The Prevention of Femicide Act 2023, the plot device at the heart of the novel </w:t>
      </w:r>
      <w:r w:rsidRPr="00311631">
        <w:rPr>
          <w:rFonts w:ascii="Arial" w:hAnsi="Arial" w:cs="Arial"/>
          <w:bCs/>
          <w:i/>
          <w:iCs/>
          <w:sz w:val="22"/>
          <w:szCs w:val="22"/>
        </w:rPr>
        <w:t>After Dark</w:t>
      </w:r>
      <w:r w:rsidR="00593ABA">
        <w:rPr>
          <w:rFonts w:ascii="Arial" w:hAnsi="Arial" w:cs="Arial"/>
          <w:bCs/>
          <w:i/>
          <w:iCs/>
          <w:sz w:val="22"/>
          <w:szCs w:val="22"/>
        </w:rPr>
        <w:t>,</w:t>
      </w:r>
      <w:r w:rsidRPr="00311631">
        <w:rPr>
          <w:rFonts w:ascii="Arial" w:hAnsi="Arial" w:cs="Arial"/>
          <w:bCs/>
          <w:sz w:val="22"/>
          <w:szCs w:val="22"/>
          <w:vertAlign w:val="superscript"/>
        </w:rPr>
        <w:footnoteReference w:id="2"/>
      </w:r>
      <w:r w:rsidRPr="00311631">
        <w:rPr>
          <w:rFonts w:ascii="Arial" w:hAnsi="Arial" w:cs="Arial"/>
          <w:bCs/>
          <w:i/>
          <w:iCs/>
          <w:sz w:val="22"/>
          <w:szCs w:val="22"/>
        </w:rPr>
        <w:t xml:space="preserve"> </w:t>
      </w:r>
      <w:r w:rsidRPr="00311631">
        <w:rPr>
          <w:rFonts w:ascii="Arial" w:hAnsi="Arial" w:cs="Arial"/>
          <w:bCs/>
          <w:sz w:val="22"/>
          <w:szCs w:val="22"/>
        </w:rPr>
        <w:t>while fictitious in nature, is an example of a type of legislation not uncommon in the real world.</w:t>
      </w:r>
      <w:r w:rsidRPr="00311631">
        <w:rPr>
          <w:rFonts w:ascii="Arial" w:hAnsi="Arial" w:cs="Arial"/>
          <w:bCs/>
          <w:i/>
          <w:iCs/>
          <w:sz w:val="22"/>
          <w:szCs w:val="22"/>
        </w:rPr>
        <w:t xml:space="preserve"> </w:t>
      </w:r>
      <w:r w:rsidRPr="00311631">
        <w:rPr>
          <w:rFonts w:ascii="Arial" w:hAnsi="Arial" w:cs="Arial"/>
          <w:bCs/>
          <w:sz w:val="22"/>
          <w:szCs w:val="22"/>
        </w:rPr>
        <w:t xml:space="preserve">Since its inception, Parliament has imposed its will by an assertion of control. To quote the satiric, but nonetheless valid, observation of A.P Herbert, the state of the law prior to the </w:t>
      </w:r>
      <w:r w:rsidRPr="00311631">
        <w:rPr>
          <w:rFonts w:ascii="Arial" w:hAnsi="Arial" w:cs="Arial"/>
          <w:bCs/>
          <w:sz w:val="22"/>
          <w:szCs w:val="22"/>
        </w:rPr>
        <w:lastRenderedPageBreak/>
        <w:t xml:space="preserve">enactment of the Human Rights Act 1998 was such that </w:t>
      </w:r>
      <w:r w:rsidR="00593ABA">
        <w:rPr>
          <w:rFonts w:ascii="Arial" w:hAnsi="Arial" w:cs="Arial"/>
          <w:bCs/>
          <w:sz w:val="22"/>
          <w:szCs w:val="22"/>
        </w:rPr>
        <w:t>‘</w:t>
      </w:r>
      <w:r w:rsidRPr="00311631">
        <w:rPr>
          <w:rFonts w:ascii="Arial" w:hAnsi="Arial" w:cs="Arial"/>
          <w:bCs/>
          <w:i/>
          <w:iCs/>
          <w:sz w:val="22"/>
          <w:szCs w:val="22"/>
        </w:rPr>
        <w:t xml:space="preserve">prima facie </w:t>
      </w:r>
      <w:r w:rsidRPr="00311631">
        <w:rPr>
          <w:rFonts w:ascii="Arial" w:hAnsi="Arial" w:cs="Arial"/>
          <w:bCs/>
          <w:sz w:val="22"/>
          <w:szCs w:val="22"/>
        </w:rPr>
        <w:t>all actions are</w:t>
      </w:r>
      <w:r w:rsidRPr="00311631">
        <w:rPr>
          <w:rFonts w:ascii="Arial" w:hAnsi="Arial" w:cs="Arial"/>
          <w:bCs/>
          <w:i/>
          <w:iCs/>
          <w:sz w:val="22"/>
          <w:szCs w:val="22"/>
        </w:rPr>
        <w:t xml:space="preserve"> </w:t>
      </w:r>
      <w:r w:rsidRPr="00311631">
        <w:rPr>
          <w:rFonts w:ascii="Arial" w:hAnsi="Arial" w:cs="Arial"/>
          <w:bCs/>
          <w:sz w:val="22"/>
          <w:szCs w:val="22"/>
        </w:rPr>
        <w:t>illegal</w:t>
      </w:r>
      <w:r w:rsidR="00593ABA">
        <w:rPr>
          <w:rFonts w:ascii="Arial" w:hAnsi="Arial" w:cs="Arial"/>
          <w:bCs/>
          <w:sz w:val="22"/>
          <w:szCs w:val="22"/>
        </w:rPr>
        <w:t>’</w:t>
      </w:r>
      <w:r w:rsidRPr="00311631">
        <w:rPr>
          <w:rFonts w:ascii="Arial" w:hAnsi="Arial" w:cs="Arial"/>
          <w:bCs/>
          <w:sz w:val="22"/>
          <w:szCs w:val="22"/>
        </w:rPr>
        <w:t xml:space="preserve"> and that </w:t>
      </w:r>
      <w:r w:rsidR="00593ABA">
        <w:rPr>
          <w:rFonts w:ascii="Arial" w:hAnsi="Arial" w:cs="Arial"/>
          <w:bCs/>
          <w:sz w:val="22"/>
          <w:szCs w:val="22"/>
        </w:rPr>
        <w:t>‘</w:t>
      </w:r>
      <w:r w:rsidRPr="00311631">
        <w:rPr>
          <w:rFonts w:ascii="Arial" w:hAnsi="Arial" w:cs="Arial"/>
          <w:bCs/>
          <w:sz w:val="22"/>
          <w:szCs w:val="22"/>
        </w:rPr>
        <w:t xml:space="preserve">it cannot be too clearly understood that this is </w:t>
      </w:r>
      <w:r w:rsidRPr="00311631">
        <w:rPr>
          <w:rFonts w:ascii="Arial" w:hAnsi="Arial" w:cs="Arial"/>
          <w:bCs/>
          <w:i/>
          <w:iCs/>
          <w:sz w:val="22"/>
          <w:szCs w:val="22"/>
        </w:rPr>
        <w:t xml:space="preserve">not </w:t>
      </w:r>
      <w:r w:rsidRPr="00311631">
        <w:rPr>
          <w:rFonts w:ascii="Arial" w:hAnsi="Arial" w:cs="Arial"/>
          <w:bCs/>
          <w:sz w:val="22"/>
          <w:szCs w:val="22"/>
        </w:rPr>
        <w:t>a free country</w:t>
      </w:r>
      <w:r w:rsidR="00593ABA">
        <w:rPr>
          <w:rFonts w:ascii="Arial" w:hAnsi="Arial" w:cs="Arial"/>
          <w:bCs/>
          <w:sz w:val="22"/>
          <w:szCs w:val="22"/>
        </w:rPr>
        <w:t>’.</w:t>
      </w:r>
      <w:r w:rsidRPr="00311631">
        <w:rPr>
          <w:rFonts w:ascii="Arial" w:hAnsi="Arial" w:cs="Arial"/>
          <w:bCs/>
          <w:sz w:val="22"/>
          <w:szCs w:val="22"/>
          <w:vertAlign w:val="superscript"/>
        </w:rPr>
        <w:footnoteReference w:id="3"/>
      </w:r>
      <w:r w:rsidRPr="00311631">
        <w:rPr>
          <w:rFonts w:ascii="Arial" w:hAnsi="Arial" w:cs="Arial"/>
          <w:bCs/>
          <w:sz w:val="22"/>
          <w:szCs w:val="22"/>
        </w:rPr>
        <w:t xml:space="preserve"> Save that legislation must now be compatible, or interpreted to be so, with the European Convention on Human Rights</w:t>
      </w:r>
      <w:r w:rsidR="00593ABA">
        <w:rPr>
          <w:rFonts w:ascii="Arial" w:hAnsi="Arial" w:cs="Arial"/>
          <w:bCs/>
          <w:sz w:val="22"/>
          <w:szCs w:val="22"/>
        </w:rPr>
        <w:t>,</w:t>
      </w:r>
      <w:r w:rsidRPr="00311631">
        <w:rPr>
          <w:rFonts w:ascii="Arial" w:hAnsi="Arial" w:cs="Arial"/>
          <w:bCs/>
          <w:sz w:val="22"/>
          <w:szCs w:val="22"/>
          <w:vertAlign w:val="superscript"/>
        </w:rPr>
        <w:footnoteReference w:id="4"/>
      </w:r>
      <w:r w:rsidRPr="00311631">
        <w:rPr>
          <w:rFonts w:ascii="Arial" w:hAnsi="Arial" w:cs="Arial"/>
          <w:bCs/>
          <w:sz w:val="22"/>
          <w:szCs w:val="22"/>
        </w:rPr>
        <w:t xml:space="preserve"> the position holds true today that it is within the gift of Parliament to restrict and remove the liberties of its subjects as it sees fit. This much was clear from the speed with which legislation imposing unprecedented degrees of restriction on individual liberties was implemented in response to the recent Covid-19 pandemic</w:t>
      </w:r>
      <w:r w:rsidR="008E748A">
        <w:rPr>
          <w:rFonts w:ascii="Arial" w:hAnsi="Arial" w:cs="Arial"/>
          <w:bCs/>
          <w:sz w:val="22"/>
          <w:szCs w:val="22"/>
        </w:rPr>
        <w:t>.</w:t>
      </w:r>
      <w:r w:rsidRPr="00311631">
        <w:rPr>
          <w:rFonts w:ascii="Arial" w:hAnsi="Arial" w:cs="Arial"/>
          <w:bCs/>
          <w:sz w:val="22"/>
          <w:szCs w:val="22"/>
          <w:vertAlign w:val="superscript"/>
        </w:rPr>
        <w:footnoteReference w:id="5"/>
      </w:r>
      <w:r w:rsidRPr="00311631">
        <w:rPr>
          <w:rFonts w:ascii="Arial" w:hAnsi="Arial" w:cs="Arial"/>
          <w:bCs/>
          <w:sz w:val="22"/>
          <w:szCs w:val="22"/>
        </w:rPr>
        <w:t xml:space="preserve"> As has been the case with similar legislative restrictions upon individual liberties imposed since the First World War</w:t>
      </w:r>
      <w:r w:rsidR="008E748A">
        <w:rPr>
          <w:rFonts w:ascii="Arial" w:hAnsi="Arial" w:cs="Arial"/>
          <w:bCs/>
          <w:sz w:val="22"/>
          <w:szCs w:val="22"/>
        </w:rPr>
        <w:t>,</w:t>
      </w:r>
      <w:r w:rsidRPr="00311631">
        <w:rPr>
          <w:rFonts w:ascii="Arial" w:hAnsi="Arial" w:cs="Arial"/>
          <w:bCs/>
          <w:sz w:val="22"/>
          <w:szCs w:val="22"/>
          <w:vertAlign w:val="superscript"/>
        </w:rPr>
        <w:footnoteReference w:id="6"/>
      </w:r>
      <w:r w:rsidRPr="00311631">
        <w:rPr>
          <w:rFonts w:ascii="Arial" w:hAnsi="Arial" w:cs="Arial"/>
          <w:bCs/>
          <w:sz w:val="22"/>
          <w:szCs w:val="22"/>
        </w:rPr>
        <w:t xml:space="preserve"> the Government’s explanation for bypassing the customary degree of parliamentary scrutiny was the need to take steps to act urgently in the event of an emergency – specifically relating to public health</w:t>
      </w:r>
      <w:r w:rsidR="008E748A">
        <w:rPr>
          <w:rFonts w:ascii="Arial" w:hAnsi="Arial" w:cs="Arial"/>
          <w:bCs/>
          <w:sz w:val="22"/>
          <w:szCs w:val="22"/>
        </w:rPr>
        <w:t>.</w:t>
      </w:r>
      <w:r w:rsidRPr="00311631">
        <w:rPr>
          <w:rFonts w:ascii="Arial" w:hAnsi="Arial" w:cs="Arial"/>
          <w:bCs/>
          <w:sz w:val="22"/>
          <w:szCs w:val="22"/>
          <w:vertAlign w:val="superscript"/>
        </w:rPr>
        <w:footnoteReference w:id="7"/>
      </w:r>
      <w:r w:rsidRPr="00311631">
        <w:rPr>
          <w:rFonts w:ascii="Arial" w:hAnsi="Arial" w:cs="Arial"/>
          <w:bCs/>
          <w:sz w:val="22"/>
          <w:szCs w:val="22"/>
        </w:rPr>
        <w:t xml:space="preserve"> </w:t>
      </w:r>
    </w:p>
    <w:p w14:paraId="62BED047" w14:textId="77777777" w:rsidR="008E748A" w:rsidRPr="00311631" w:rsidRDefault="008E748A" w:rsidP="00932066">
      <w:pPr>
        <w:pStyle w:val="ArticleTitle"/>
        <w:spacing w:after="0" w:line="360" w:lineRule="auto"/>
        <w:rPr>
          <w:rFonts w:ascii="Arial" w:hAnsi="Arial" w:cs="Arial"/>
          <w:bCs/>
          <w:sz w:val="22"/>
          <w:szCs w:val="22"/>
        </w:rPr>
      </w:pPr>
    </w:p>
    <w:p w14:paraId="0E100A6E" w14:textId="755AA18D" w:rsidR="008E748A" w:rsidRDefault="00311631" w:rsidP="008E748A">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Legislation of the type described above is imposed with the intention that it be </w:t>
      </w:r>
      <w:r w:rsidR="00363B6D">
        <w:rPr>
          <w:rFonts w:ascii="Arial" w:hAnsi="Arial" w:cs="Arial"/>
          <w:bCs/>
          <w:sz w:val="22"/>
          <w:szCs w:val="22"/>
        </w:rPr>
        <w:t>‘</w:t>
      </w:r>
      <w:r w:rsidRPr="00311631">
        <w:rPr>
          <w:rFonts w:ascii="Arial" w:hAnsi="Arial" w:cs="Arial"/>
          <w:bCs/>
          <w:sz w:val="22"/>
          <w:szCs w:val="22"/>
        </w:rPr>
        <w:t>operational only for a limited period</w:t>
      </w:r>
      <w:r w:rsidR="00363B6D">
        <w:rPr>
          <w:rFonts w:ascii="Arial" w:hAnsi="Arial" w:cs="Arial"/>
          <w:bCs/>
          <w:sz w:val="22"/>
          <w:szCs w:val="22"/>
        </w:rPr>
        <w:t>’</w:t>
      </w:r>
      <w:r w:rsidRPr="00311631">
        <w:rPr>
          <w:rFonts w:ascii="Arial" w:hAnsi="Arial" w:cs="Arial"/>
          <w:bCs/>
          <w:sz w:val="22"/>
          <w:szCs w:val="22"/>
          <w:vertAlign w:val="superscript"/>
        </w:rPr>
        <w:footnoteReference w:id="8"/>
      </w:r>
      <w:r w:rsidRPr="00311631">
        <w:rPr>
          <w:rFonts w:ascii="Arial" w:hAnsi="Arial" w:cs="Arial"/>
          <w:bCs/>
          <w:sz w:val="22"/>
          <w:szCs w:val="22"/>
        </w:rPr>
        <w:t xml:space="preserve"> and is indiscriminate in its stated objective (although inevitably will discriminate in its effect based upon the personal circumstances of its subjects).</w:t>
      </w:r>
      <w:r w:rsidR="00D006F2" w:rsidRPr="00311631">
        <w:rPr>
          <w:rFonts w:ascii="Arial" w:hAnsi="Arial" w:cs="Arial"/>
          <w:bCs/>
          <w:sz w:val="22"/>
          <w:szCs w:val="22"/>
          <w:vertAlign w:val="superscript"/>
        </w:rPr>
        <w:footnoteReference w:id="9"/>
      </w:r>
      <w:r w:rsidRPr="00311631">
        <w:rPr>
          <w:rFonts w:ascii="Arial" w:hAnsi="Arial" w:cs="Arial"/>
          <w:bCs/>
          <w:sz w:val="22"/>
          <w:szCs w:val="22"/>
        </w:rPr>
        <w:t xml:space="preserve"> This type of legislation is to be distinguished from that of the type not imposed with any such time-limited considerations in the mind of the legislator, and which is imposed with the object of asserting control over a specific group in society. It is this type of legislation that drives the plot of </w:t>
      </w:r>
      <w:r w:rsidRPr="00311631">
        <w:rPr>
          <w:rFonts w:ascii="Arial" w:hAnsi="Arial" w:cs="Arial"/>
          <w:bCs/>
          <w:i/>
          <w:iCs/>
          <w:sz w:val="22"/>
          <w:szCs w:val="22"/>
        </w:rPr>
        <w:t xml:space="preserve">After Dark. </w:t>
      </w:r>
    </w:p>
    <w:p w14:paraId="22DC39A7" w14:textId="77777777" w:rsidR="008E748A" w:rsidRDefault="008E748A" w:rsidP="008E748A">
      <w:pPr>
        <w:pStyle w:val="ArticleTitle"/>
        <w:spacing w:after="0" w:line="360" w:lineRule="auto"/>
        <w:ind w:firstLine="720"/>
        <w:rPr>
          <w:rFonts w:ascii="Arial" w:hAnsi="Arial" w:cs="Arial"/>
          <w:bCs/>
          <w:sz w:val="22"/>
          <w:szCs w:val="22"/>
        </w:rPr>
      </w:pPr>
    </w:p>
    <w:p w14:paraId="367BA9BF" w14:textId="52A16432" w:rsidR="00311631" w:rsidRDefault="00311631" w:rsidP="008E748A">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term </w:t>
      </w:r>
      <w:r w:rsidR="00D771FB">
        <w:rPr>
          <w:rFonts w:ascii="Arial" w:hAnsi="Arial" w:cs="Arial"/>
          <w:bCs/>
          <w:sz w:val="22"/>
          <w:szCs w:val="22"/>
        </w:rPr>
        <w:t>‘l</w:t>
      </w:r>
      <w:r w:rsidRPr="00311631">
        <w:rPr>
          <w:rFonts w:ascii="Arial" w:hAnsi="Arial" w:cs="Arial"/>
          <w:bCs/>
          <w:sz w:val="22"/>
          <w:szCs w:val="22"/>
        </w:rPr>
        <w:t>egislating for control</w:t>
      </w:r>
      <w:r w:rsidR="00D771FB">
        <w:rPr>
          <w:rFonts w:ascii="Arial" w:hAnsi="Arial" w:cs="Arial"/>
          <w:bCs/>
          <w:sz w:val="22"/>
          <w:szCs w:val="22"/>
        </w:rPr>
        <w:t>’</w:t>
      </w:r>
      <w:r w:rsidRPr="00311631">
        <w:rPr>
          <w:rFonts w:ascii="Arial" w:hAnsi="Arial" w:cs="Arial"/>
          <w:bCs/>
          <w:sz w:val="22"/>
          <w:szCs w:val="22"/>
          <w:vertAlign w:val="superscript"/>
        </w:rPr>
        <w:footnoteReference w:id="10"/>
      </w:r>
      <w:r w:rsidRPr="00311631">
        <w:rPr>
          <w:rFonts w:ascii="Arial" w:hAnsi="Arial" w:cs="Arial"/>
          <w:bCs/>
          <w:sz w:val="22"/>
          <w:szCs w:val="22"/>
        </w:rPr>
        <w:t xml:space="preserve"> originates in academic discussion of the Trade Union Act 2016, an Act described as </w:t>
      </w:r>
      <w:r w:rsidR="00D771FB">
        <w:rPr>
          <w:rFonts w:ascii="Arial" w:hAnsi="Arial" w:cs="Arial"/>
          <w:bCs/>
          <w:sz w:val="22"/>
          <w:szCs w:val="22"/>
        </w:rPr>
        <w:t>‘</w:t>
      </w:r>
      <w:r w:rsidRPr="00311631">
        <w:rPr>
          <w:rFonts w:ascii="Arial" w:hAnsi="Arial" w:cs="Arial"/>
          <w:bCs/>
          <w:sz w:val="22"/>
          <w:szCs w:val="22"/>
        </w:rPr>
        <w:t>a ragbag of different measures, united only by a common theme of placing more controls on trade unions</w:t>
      </w:r>
      <w:r w:rsidR="00D771FB">
        <w:rPr>
          <w:rFonts w:ascii="Arial" w:hAnsi="Arial" w:cs="Arial"/>
          <w:bCs/>
          <w:sz w:val="22"/>
          <w:szCs w:val="22"/>
        </w:rPr>
        <w:t>’.</w:t>
      </w:r>
      <w:r w:rsidRPr="00311631">
        <w:rPr>
          <w:rFonts w:ascii="Arial" w:hAnsi="Arial" w:cs="Arial"/>
          <w:bCs/>
          <w:sz w:val="22"/>
          <w:szCs w:val="22"/>
          <w:vertAlign w:val="superscript"/>
        </w:rPr>
        <w:footnoteReference w:id="11"/>
      </w:r>
      <w:r w:rsidRPr="00311631">
        <w:rPr>
          <w:rFonts w:ascii="Arial" w:hAnsi="Arial" w:cs="Arial"/>
          <w:bCs/>
          <w:sz w:val="22"/>
          <w:szCs w:val="22"/>
        </w:rPr>
        <w:t xml:space="preserve"> The measure that </w:t>
      </w:r>
      <w:r w:rsidR="00AF6F0C">
        <w:rPr>
          <w:rFonts w:ascii="Arial" w:hAnsi="Arial" w:cs="Arial"/>
          <w:bCs/>
          <w:sz w:val="22"/>
          <w:szCs w:val="22"/>
        </w:rPr>
        <w:t>‘</w:t>
      </w:r>
      <w:r w:rsidRPr="00311631">
        <w:rPr>
          <w:rFonts w:ascii="Arial" w:hAnsi="Arial" w:cs="Arial"/>
          <w:bCs/>
          <w:sz w:val="22"/>
          <w:szCs w:val="22"/>
        </w:rPr>
        <w:t>seems to lie at the heart of the Government’s objectives</w:t>
      </w:r>
      <w:r w:rsidR="00AF6F0C">
        <w:rPr>
          <w:rFonts w:ascii="Arial" w:hAnsi="Arial" w:cs="Arial"/>
          <w:bCs/>
          <w:sz w:val="22"/>
          <w:szCs w:val="22"/>
        </w:rPr>
        <w:t>’</w:t>
      </w:r>
      <w:r w:rsidRPr="00311631">
        <w:rPr>
          <w:rFonts w:ascii="Arial" w:hAnsi="Arial" w:cs="Arial"/>
          <w:bCs/>
          <w:sz w:val="22"/>
          <w:szCs w:val="22"/>
          <w:vertAlign w:val="superscript"/>
        </w:rPr>
        <w:footnoteReference w:id="12"/>
      </w:r>
      <w:r w:rsidRPr="00311631">
        <w:rPr>
          <w:rFonts w:ascii="Arial" w:hAnsi="Arial" w:cs="Arial"/>
          <w:bCs/>
          <w:sz w:val="22"/>
          <w:szCs w:val="22"/>
        </w:rPr>
        <w:t xml:space="preserve"> is the imposition of minimum thresholds on turnout for a ballot on industrial action to be lawful, which resulted in </w:t>
      </w:r>
      <w:r w:rsidR="00AF6F0C">
        <w:rPr>
          <w:rFonts w:ascii="Arial" w:hAnsi="Arial" w:cs="Arial"/>
          <w:bCs/>
          <w:sz w:val="22"/>
          <w:szCs w:val="22"/>
        </w:rPr>
        <w:t>‘</w:t>
      </w:r>
      <w:r w:rsidRPr="00311631">
        <w:rPr>
          <w:rFonts w:ascii="Arial" w:hAnsi="Arial" w:cs="Arial"/>
          <w:bCs/>
          <w:sz w:val="22"/>
          <w:szCs w:val="22"/>
        </w:rPr>
        <w:t>major concerns about freedom of association and compatibility with a number of treaty obligations, including, notably, the European Convention on Human Rights, Article 11</w:t>
      </w:r>
      <w:r w:rsidR="00AF6F0C">
        <w:rPr>
          <w:rFonts w:ascii="Arial" w:hAnsi="Arial" w:cs="Arial"/>
          <w:bCs/>
          <w:sz w:val="22"/>
          <w:szCs w:val="22"/>
        </w:rPr>
        <w:t>’.</w:t>
      </w:r>
      <w:r w:rsidRPr="00311631">
        <w:rPr>
          <w:rFonts w:ascii="Arial" w:hAnsi="Arial" w:cs="Arial"/>
          <w:bCs/>
          <w:sz w:val="22"/>
          <w:szCs w:val="22"/>
          <w:vertAlign w:val="superscript"/>
        </w:rPr>
        <w:footnoteReference w:id="13"/>
      </w:r>
      <w:r w:rsidRPr="00311631">
        <w:rPr>
          <w:rFonts w:ascii="Arial" w:hAnsi="Arial" w:cs="Arial"/>
          <w:bCs/>
          <w:sz w:val="22"/>
          <w:szCs w:val="22"/>
        </w:rPr>
        <w:t xml:space="preserve">  In a similar vein to the public health </w:t>
      </w:r>
      <w:r w:rsidRPr="00311631">
        <w:rPr>
          <w:rFonts w:ascii="Arial" w:hAnsi="Arial" w:cs="Arial"/>
          <w:bCs/>
          <w:sz w:val="22"/>
          <w:szCs w:val="22"/>
        </w:rPr>
        <w:lastRenderedPageBreak/>
        <w:t xml:space="preserve">reasons later used to justify the restrictions upon civil liberties imposed by the coronavirus legislation, the explanation given by the Government for these measures was that it was necessary </w:t>
      </w:r>
      <w:r w:rsidR="00AF6F0C">
        <w:rPr>
          <w:rFonts w:ascii="Arial" w:hAnsi="Arial" w:cs="Arial"/>
          <w:bCs/>
          <w:sz w:val="22"/>
          <w:szCs w:val="22"/>
        </w:rPr>
        <w:t>‘t</w:t>
      </w:r>
      <w:r w:rsidRPr="00311631">
        <w:rPr>
          <w:rFonts w:ascii="Arial" w:hAnsi="Arial" w:cs="Arial"/>
          <w:bCs/>
          <w:sz w:val="22"/>
          <w:szCs w:val="22"/>
        </w:rPr>
        <w:t>o protect you (</w:t>
      </w:r>
      <w:r w:rsidRPr="00311631">
        <w:rPr>
          <w:rFonts w:ascii="Arial" w:hAnsi="Arial" w:cs="Arial"/>
          <w:bCs/>
          <w:i/>
          <w:iCs/>
          <w:sz w:val="22"/>
          <w:szCs w:val="22"/>
        </w:rPr>
        <w:t>sic</w:t>
      </w:r>
      <w:r w:rsidRPr="00311631">
        <w:rPr>
          <w:rFonts w:ascii="Arial" w:hAnsi="Arial" w:cs="Arial"/>
          <w:bCs/>
          <w:sz w:val="22"/>
          <w:szCs w:val="22"/>
        </w:rPr>
        <w:t>) from disruptive and undemocratic strike action</w:t>
      </w:r>
      <w:r w:rsidR="00AF6F0C">
        <w:rPr>
          <w:rFonts w:ascii="Arial" w:hAnsi="Arial" w:cs="Arial"/>
          <w:bCs/>
          <w:sz w:val="22"/>
          <w:szCs w:val="22"/>
        </w:rPr>
        <w:t>.’</w:t>
      </w:r>
      <w:r w:rsidRPr="00311631">
        <w:rPr>
          <w:rFonts w:ascii="Arial" w:hAnsi="Arial" w:cs="Arial"/>
          <w:bCs/>
          <w:sz w:val="22"/>
          <w:szCs w:val="22"/>
          <w:vertAlign w:val="superscript"/>
        </w:rPr>
        <w:footnoteReference w:id="14"/>
      </w:r>
      <w:r w:rsidRPr="00311631">
        <w:rPr>
          <w:rFonts w:ascii="Arial" w:hAnsi="Arial" w:cs="Arial"/>
          <w:bCs/>
          <w:sz w:val="22"/>
          <w:szCs w:val="22"/>
        </w:rPr>
        <w:t xml:space="preserve"> However, as Ford and Novitz comment, </w:t>
      </w:r>
      <w:r w:rsidR="00AF6F0C">
        <w:rPr>
          <w:rFonts w:ascii="Arial" w:hAnsi="Arial" w:cs="Arial"/>
          <w:bCs/>
          <w:sz w:val="22"/>
          <w:szCs w:val="22"/>
        </w:rPr>
        <w:t>‘[r]</w:t>
      </w:r>
      <w:r w:rsidRPr="00311631">
        <w:rPr>
          <w:rFonts w:ascii="Arial" w:hAnsi="Arial" w:cs="Arial"/>
          <w:bCs/>
          <w:sz w:val="22"/>
          <w:szCs w:val="22"/>
        </w:rPr>
        <w:t>ather, what emerges is a determination to place unprecedented controls on trade union activity for more pragmatic economic reasons, in ways that also smack of the re-emergence of a highly authoritarian state</w:t>
      </w:r>
      <w:r w:rsidR="00AF6F0C">
        <w:rPr>
          <w:rFonts w:ascii="Arial" w:hAnsi="Arial" w:cs="Arial"/>
          <w:bCs/>
          <w:sz w:val="22"/>
          <w:szCs w:val="22"/>
        </w:rPr>
        <w:t>’.</w:t>
      </w:r>
      <w:r w:rsidRPr="00311631">
        <w:rPr>
          <w:rFonts w:ascii="Arial" w:hAnsi="Arial" w:cs="Arial"/>
          <w:bCs/>
          <w:sz w:val="22"/>
          <w:szCs w:val="22"/>
          <w:vertAlign w:val="superscript"/>
        </w:rPr>
        <w:footnoteReference w:id="15"/>
      </w:r>
    </w:p>
    <w:p w14:paraId="4DF1D427" w14:textId="77777777" w:rsidR="00AF6F0C" w:rsidRPr="00311631" w:rsidRDefault="00AF6F0C" w:rsidP="008E748A">
      <w:pPr>
        <w:pStyle w:val="ArticleTitle"/>
        <w:spacing w:after="0" w:line="360" w:lineRule="auto"/>
        <w:ind w:firstLine="720"/>
        <w:rPr>
          <w:rFonts w:ascii="Arial" w:hAnsi="Arial" w:cs="Arial"/>
          <w:bCs/>
          <w:sz w:val="22"/>
          <w:szCs w:val="22"/>
        </w:rPr>
      </w:pPr>
    </w:p>
    <w:p w14:paraId="412BD1B7" w14:textId="77777777" w:rsidR="00311631" w:rsidRPr="00AF6F0C" w:rsidRDefault="00311631" w:rsidP="00932066">
      <w:pPr>
        <w:pStyle w:val="ArticleTitle"/>
        <w:spacing w:after="0" w:line="360" w:lineRule="auto"/>
        <w:rPr>
          <w:rFonts w:ascii="Arial" w:hAnsi="Arial" w:cs="Arial"/>
          <w:b/>
          <w:i/>
          <w:iCs/>
          <w:sz w:val="22"/>
          <w:szCs w:val="22"/>
        </w:rPr>
      </w:pPr>
      <w:r w:rsidRPr="00311631">
        <w:rPr>
          <w:rFonts w:ascii="Arial" w:hAnsi="Arial" w:cs="Arial"/>
          <w:b/>
          <w:i/>
          <w:iCs/>
          <w:sz w:val="22"/>
          <w:szCs w:val="22"/>
        </w:rPr>
        <w:t>Challenges to Control</w:t>
      </w:r>
    </w:p>
    <w:p w14:paraId="19D5D67F" w14:textId="77777777" w:rsidR="00AF6F0C" w:rsidRPr="00311631" w:rsidRDefault="00AF6F0C" w:rsidP="00932066">
      <w:pPr>
        <w:pStyle w:val="ArticleTitle"/>
        <w:spacing w:after="0" w:line="360" w:lineRule="auto"/>
        <w:rPr>
          <w:rFonts w:ascii="Arial" w:hAnsi="Arial" w:cs="Arial"/>
          <w:bCs/>
          <w:sz w:val="22"/>
          <w:szCs w:val="22"/>
          <w:u w:val="single"/>
        </w:rPr>
      </w:pPr>
    </w:p>
    <w:p w14:paraId="49191E57" w14:textId="77777777"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The literature on the Trade Union Act explores the ways in which a subject can challenge the control exerted over them by the state through the imposition of law. The ways in which an individual might take action can be categorised into three forms:</w:t>
      </w:r>
    </w:p>
    <w:p w14:paraId="7D7B6BC4" w14:textId="77777777" w:rsidR="00AF6F0C" w:rsidRPr="00311631" w:rsidRDefault="00AF6F0C" w:rsidP="00932066">
      <w:pPr>
        <w:pStyle w:val="ArticleTitle"/>
        <w:spacing w:after="0" w:line="360" w:lineRule="auto"/>
        <w:rPr>
          <w:rFonts w:ascii="Arial" w:hAnsi="Arial" w:cs="Arial"/>
          <w:bCs/>
          <w:sz w:val="22"/>
          <w:szCs w:val="22"/>
        </w:rPr>
      </w:pPr>
    </w:p>
    <w:p w14:paraId="63ADC6AC" w14:textId="251CD79A" w:rsidR="00311631" w:rsidRDefault="00311631" w:rsidP="00AF6F0C">
      <w:pPr>
        <w:pStyle w:val="ArticleTitle"/>
        <w:spacing w:after="0" w:line="360" w:lineRule="auto"/>
        <w:ind w:firstLine="720"/>
        <w:rPr>
          <w:rFonts w:ascii="Arial" w:hAnsi="Arial" w:cs="Arial"/>
          <w:bCs/>
          <w:sz w:val="22"/>
          <w:szCs w:val="22"/>
        </w:rPr>
      </w:pPr>
      <w:r w:rsidRPr="00311631">
        <w:rPr>
          <w:rFonts w:ascii="Arial" w:hAnsi="Arial" w:cs="Arial"/>
          <w:bCs/>
          <w:i/>
          <w:iCs/>
          <w:sz w:val="22"/>
          <w:szCs w:val="22"/>
        </w:rPr>
        <w:t>Above the law</w:t>
      </w:r>
      <w:r w:rsidRPr="00311631">
        <w:rPr>
          <w:rFonts w:ascii="Arial" w:hAnsi="Arial" w:cs="Arial"/>
          <w:bCs/>
          <w:sz w:val="22"/>
          <w:szCs w:val="22"/>
        </w:rPr>
        <w:t xml:space="preserve"> – this type of action involves making appeals to entities with the capacity to influence changes in the law, invoking arguments based upon the alleged infringements of higher-order legal rights, or </w:t>
      </w:r>
      <w:r w:rsidR="00363B6D">
        <w:rPr>
          <w:rFonts w:ascii="Arial" w:hAnsi="Arial" w:cs="Arial"/>
          <w:bCs/>
          <w:sz w:val="22"/>
          <w:szCs w:val="22"/>
        </w:rPr>
        <w:t>‘</w:t>
      </w:r>
      <w:r w:rsidRPr="00311631">
        <w:rPr>
          <w:rFonts w:ascii="Arial" w:hAnsi="Arial" w:cs="Arial"/>
          <w:bCs/>
          <w:sz w:val="22"/>
          <w:szCs w:val="22"/>
        </w:rPr>
        <w:t>to attempt to identify and utilise the loopholes within the new legal environment</w:t>
      </w:r>
      <w:r w:rsidR="00363B6D">
        <w:rPr>
          <w:rFonts w:ascii="Arial" w:hAnsi="Arial" w:cs="Arial"/>
          <w:bCs/>
          <w:sz w:val="22"/>
          <w:szCs w:val="22"/>
        </w:rPr>
        <w:t>’.</w:t>
      </w:r>
      <w:r w:rsidRPr="00311631">
        <w:rPr>
          <w:rFonts w:ascii="Arial" w:hAnsi="Arial" w:cs="Arial"/>
          <w:bCs/>
          <w:sz w:val="22"/>
          <w:szCs w:val="22"/>
          <w:vertAlign w:val="superscript"/>
        </w:rPr>
        <w:footnoteReference w:id="16"/>
      </w:r>
      <w:r w:rsidRPr="00311631">
        <w:rPr>
          <w:rFonts w:ascii="Arial" w:hAnsi="Arial" w:cs="Arial"/>
          <w:bCs/>
          <w:sz w:val="22"/>
          <w:szCs w:val="22"/>
        </w:rPr>
        <w:t xml:space="preserve"> This type of action, however, is inevitably hindered by the form taken by the legislation that it sets out to challenge: specifically, as a product of an authoritarian law-making process, it is more likely than not to have been implemented without the sort of </w:t>
      </w:r>
      <w:r w:rsidR="00363B6D">
        <w:rPr>
          <w:rFonts w:ascii="Arial" w:hAnsi="Arial" w:cs="Arial"/>
          <w:bCs/>
          <w:sz w:val="22"/>
          <w:szCs w:val="22"/>
        </w:rPr>
        <w:t>‘</w:t>
      </w:r>
      <w:r w:rsidRPr="00311631">
        <w:rPr>
          <w:rFonts w:ascii="Arial" w:hAnsi="Arial" w:cs="Arial"/>
          <w:bCs/>
          <w:sz w:val="22"/>
          <w:szCs w:val="22"/>
        </w:rPr>
        <w:t>transparent debate</w:t>
      </w:r>
      <w:r w:rsidR="00363B6D">
        <w:rPr>
          <w:rFonts w:ascii="Arial" w:hAnsi="Arial" w:cs="Arial"/>
          <w:bCs/>
          <w:sz w:val="22"/>
          <w:szCs w:val="22"/>
        </w:rPr>
        <w:t>’</w:t>
      </w:r>
      <w:r w:rsidRPr="00311631">
        <w:rPr>
          <w:rFonts w:ascii="Arial" w:hAnsi="Arial" w:cs="Arial"/>
          <w:bCs/>
          <w:sz w:val="22"/>
          <w:szCs w:val="22"/>
        </w:rPr>
        <w:t xml:space="preserve"> containing reasoning that might render it subject to those same challenges</w:t>
      </w:r>
      <w:r w:rsidRPr="00311631">
        <w:rPr>
          <w:rFonts w:ascii="Arial" w:hAnsi="Arial" w:cs="Arial"/>
          <w:bCs/>
          <w:sz w:val="22"/>
          <w:szCs w:val="22"/>
          <w:vertAlign w:val="superscript"/>
        </w:rPr>
        <w:footnoteReference w:id="17"/>
      </w:r>
      <w:r w:rsidRPr="00311631">
        <w:rPr>
          <w:rFonts w:ascii="Arial" w:hAnsi="Arial" w:cs="Arial"/>
          <w:bCs/>
          <w:sz w:val="22"/>
          <w:szCs w:val="22"/>
        </w:rPr>
        <w:t>.</w:t>
      </w:r>
    </w:p>
    <w:p w14:paraId="38EBF6B5" w14:textId="77777777" w:rsidR="00AF6F0C" w:rsidRPr="00311631" w:rsidRDefault="00AF6F0C" w:rsidP="00AF6F0C">
      <w:pPr>
        <w:pStyle w:val="ArticleTitle"/>
        <w:spacing w:after="0" w:line="360" w:lineRule="auto"/>
        <w:ind w:firstLine="720"/>
        <w:rPr>
          <w:rFonts w:ascii="Arial" w:hAnsi="Arial" w:cs="Arial"/>
          <w:bCs/>
          <w:sz w:val="22"/>
          <w:szCs w:val="22"/>
        </w:rPr>
      </w:pPr>
    </w:p>
    <w:p w14:paraId="1CAB90E0" w14:textId="71D6BDC3" w:rsidR="00311631" w:rsidRDefault="00311631" w:rsidP="00AF6F0C">
      <w:pPr>
        <w:pStyle w:val="ArticleTitle"/>
        <w:spacing w:after="0" w:line="360" w:lineRule="auto"/>
        <w:ind w:firstLine="720"/>
        <w:rPr>
          <w:rFonts w:ascii="Arial" w:hAnsi="Arial" w:cs="Arial"/>
          <w:bCs/>
          <w:sz w:val="22"/>
          <w:szCs w:val="22"/>
        </w:rPr>
      </w:pPr>
      <w:r w:rsidRPr="00311631">
        <w:rPr>
          <w:rFonts w:ascii="Arial" w:hAnsi="Arial" w:cs="Arial"/>
          <w:bCs/>
          <w:i/>
          <w:iCs/>
          <w:sz w:val="22"/>
          <w:szCs w:val="22"/>
        </w:rPr>
        <w:t xml:space="preserve">Against the law </w:t>
      </w:r>
      <w:r w:rsidRPr="00311631">
        <w:rPr>
          <w:rFonts w:ascii="Arial" w:hAnsi="Arial" w:cs="Arial"/>
          <w:bCs/>
          <w:sz w:val="22"/>
          <w:szCs w:val="22"/>
        </w:rPr>
        <w:t xml:space="preserve">– the most direct challenge to a state-imposed exercise of control through legislation is to carry out the act prohibited by that legislation regardless. Such a challenge thereby puts to the test the state’s confidence in its power to exercise control by goading it into bringing criminal proceedings against the challenger for breaking the law. It carries with it the threat of developing into a breakdown of law and order on a larger scale, and the incumbent accusation that the state will be itself to blame for the consequent harm to persons and property. Such a challenge was vaunted during the passage of the 2016 Act, most notably by Len McCluskey (the-then General Secretary of Unite the Union), who called for trade unions to take industrial action without the support of a ballot under the 2016 Act on the basis that </w:t>
      </w:r>
      <w:r w:rsidR="00363B6D">
        <w:rPr>
          <w:rFonts w:ascii="Arial" w:hAnsi="Arial" w:cs="Arial"/>
          <w:bCs/>
          <w:sz w:val="22"/>
          <w:szCs w:val="22"/>
        </w:rPr>
        <w:t>‘</w:t>
      </w:r>
      <w:r w:rsidRPr="00311631">
        <w:rPr>
          <w:rFonts w:ascii="Arial" w:hAnsi="Arial" w:cs="Arial"/>
          <w:bCs/>
          <w:sz w:val="22"/>
          <w:szCs w:val="22"/>
        </w:rPr>
        <w:t xml:space="preserve">if we are pushed outside of the law in such a manner, the moral argument will be with us and the consequences of our actions and any ensuing chaos will be the </w:t>
      </w:r>
      <w:r w:rsidRPr="00311631">
        <w:rPr>
          <w:rFonts w:ascii="Arial" w:hAnsi="Arial" w:cs="Arial"/>
          <w:bCs/>
          <w:sz w:val="22"/>
          <w:szCs w:val="22"/>
        </w:rPr>
        <w:lastRenderedPageBreak/>
        <w:t>responsibility of the government</w:t>
      </w:r>
      <w:r w:rsidR="00363B6D">
        <w:rPr>
          <w:rFonts w:ascii="Arial" w:hAnsi="Arial" w:cs="Arial"/>
          <w:bCs/>
          <w:sz w:val="22"/>
          <w:szCs w:val="22"/>
        </w:rPr>
        <w:t>’.</w:t>
      </w:r>
      <w:r w:rsidRPr="00311631">
        <w:rPr>
          <w:rFonts w:ascii="Arial" w:hAnsi="Arial" w:cs="Arial"/>
          <w:bCs/>
          <w:sz w:val="22"/>
          <w:szCs w:val="22"/>
          <w:vertAlign w:val="superscript"/>
        </w:rPr>
        <w:footnoteReference w:id="18"/>
      </w:r>
      <w:r w:rsidRPr="00311631">
        <w:rPr>
          <w:rFonts w:ascii="Arial" w:hAnsi="Arial" w:cs="Arial"/>
          <w:bCs/>
          <w:sz w:val="22"/>
          <w:szCs w:val="22"/>
        </w:rPr>
        <w:t xml:space="preserve"> However, such actions have not (despite the threats made by McCluskey and others) been taken by trade unions in response to the 2016 Act, possibly due to concerns that the expressed justification for the legislative control, the </w:t>
      </w:r>
      <w:r w:rsidR="00363B6D">
        <w:rPr>
          <w:rFonts w:ascii="Arial" w:hAnsi="Arial" w:cs="Arial"/>
          <w:bCs/>
          <w:sz w:val="22"/>
          <w:szCs w:val="22"/>
        </w:rPr>
        <w:t>‘</w:t>
      </w:r>
      <w:r w:rsidRPr="00311631">
        <w:rPr>
          <w:rFonts w:ascii="Arial" w:hAnsi="Arial" w:cs="Arial"/>
          <w:bCs/>
          <w:sz w:val="22"/>
          <w:szCs w:val="22"/>
        </w:rPr>
        <w:t>need to preserve ‘social order</w:t>
      </w:r>
      <w:r w:rsidR="00363B6D">
        <w:rPr>
          <w:rFonts w:ascii="Arial" w:hAnsi="Arial" w:cs="Arial"/>
          <w:bCs/>
          <w:sz w:val="22"/>
          <w:szCs w:val="22"/>
        </w:rPr>
        <w:t>’’</w:t>
      </w:r>
      <w:r w:rsidRPr="00311631">
        <w:rPr>
          <w:rFonts w:ascii="Arial" w:hAnsi="Arial" w:cs="Arial"/>
          <w:bCs/>
          <w:sz w:val="22"/>
          <w:szCs w:val="22"/>
        </w:rPr>
        <w:t xml:space="preserve">, might </w:t>
      </w:r>
      <w:r w:rsidR="00363B6D">
        <w:rPr>
          <w:rFonts w:ascii="Arial" w:hAnsi="Arial" w:cs="Arial"/>
          <w:bCs/>
          <w:sz w:val="22"/>
          <w:szCs w:val="22"/>
        </w:rPr>
        <w:t>‘</w:t>
      </w:r>
      <w:r w:rsidRPr="00311631">
        <w:rPr>
          <w:rFonts w:ascii="Arial" w:hAnsi="Arial" w:cs="Arial"/>
          <w:bCs/>
          <w:sz w:val="22"/>
          <w:szCs w:val="22"/>
        </w:rPr>
        <w:t>provide[..] populist cover for a new and decisive round of repressive and directly coercive measures</w:t>
      </w:r>
      <w:r w:rsidR="00363B6D">
        <w:rPr>
          <w:rFonts w:ascii="Arial" w:hAnsi="Arial" w:cs="Arial"/>
          <w:bCs/>
          <w:sz w:val="22"/>
          <w:szCs w:val="22"/>
        </w:rPr>
        <w:t>’.</w:t>
      </w:r>
      <w:r w:rsidRPr="00311631">
        <w:rPr>
          <w:rFonts w:ascii="Arial" w:hAnsi="Arial" w:cs="Arial"/>
          <w:bCs/>
          <w:sz w:val="22"/>
          <w:szCs w:val="22"/>
          <w:vertAlign w:val="superscript"/>
        </w:rPr>
        <w:footnoteReference w:id="19"/>
      </w:r>
    </w:p>
    <w:p w14:paraId="35D3690A" w14:textId="77777777" w:rsidR="00363B6D" w:rsidRPr="00311631" w:rsidRDefault="00363B6D" w:rsidP="00AF6F0C">
      <w:pPr>
        <w:pStyle w:val="ArticleTitle"/>
        <w:spacing w:after="0" w:line="360" w:lineRule="auto"/>
        <w:ind w:firstLine="720"/>
        <w:rPr>
          <w:rFonts w:ascii="Arial" w:hAnsi="Arial" w:cs="Arial"/>
          <w:bCs/>
          <w:sz w:val="22"/>
          <w:szCs w:val="22"/>
        </w:rPr>
      </w:pPr>
    </w:p>
    <w:p w14:paraId="7CE1936C" w14:textId="3A600D1F" w:rsidR="00311631" w:rsidRDefault="00311631" w:rsidP="00363B6D">
      <w:pPr>
        <w:pStyle w:val="ArticleTitle"/>
        <w:spacing w:after="0" w:line="360" w:lineRule="auto"/>
        <w:ind w:firstLine="720"/>
        <w:rPr>
          <w:rFonts w:ascii="Arial" w:hAnsi="Arial" w:cs="Arial"/>
          <w:bCs/>
          <w:sz w:val="22"/>
          <w:szCs w:val="22"/>
        </w:rPr>
      </w:pPr>
      <w:r w:rsidRPr="00311631">
        <w:rPr>
          <w:rFonts w:ascii="Arial" w:hAnsi="Arial" w:cs="Arial"/>
          <w:bCs/>
          <w:i/>
          <w:iCs/>
          <w:sz w:val="22"/>
          <w:szCs w:val="22"/>
        </w:rPr>
        <w:t>Within the law</w:t>
      </w:r>
      <w:r w:rsidR="00363B6D">
        <w:rPr>
          <w:rFonts w:ascii="Arial" w:hAnsi="Arial" w:cs="Arial"/>
          <w:bCs/>
          <w:sz w:val="22"/>
          <w:szCs w:val="22"/>
        </w:rPr>
        <w:t xml:space="preserve"> -</w:t>
      </w:r>
      <w:r w:rsidRPr="00311631">
        <w:rPr>
          <w:rFonts w:ascii="Arial" w:hAnsi="Arial" w:cs="Arial"/>
          <w:bCs/>
          <w:sz w:val="22"/>
          <w:szCs w:val="22"/>
        </w:rPr>
        <w:t xml:space="preserve"> the least disruptive action that might be taken in response to state exercise of control is to comply with the mea</w:t>
      </w:r>
      <w:r w:rsidR="00812A41">
        <w:rPr>
          <w:rFonts w:ascii="Arial" w:hAnsi="Arial" w:cs="Arial"/>
          <w:bCs/>
          <w:sz w:val="22"/>
          <w:szCs w:val="22"/>
        </w:rPr>
        <w:t>f</w:t>
      </w:r>
      <w:r w:rsidRPr="00311631">
        <w:rPr>
          <w:rFonts w:ascii="Arial" w:hAnsi="Arial" w:cs="Arial"/>
          <w:bCs/>
          <w:sz w:val="22"/>
          <w:szCs w:val="22"/>
        </w:rPr>
        <w:t xml:space="preserve">sures introduced by the state. At the same time, to continue to promulgate the cause that the exercise of state control was introduced to stifle might be argued to be a </w:t>
      </w:r>
      <w:r w:rsidRPr="00311631">
        <w:rPr>
          <w:rFonts w:ascii="Arial" w:hAnsi="Arial" w:cs="Arial"/>
          <w:bCs/>
          <w:i/>
          <w:iCs/>
          <w:sz w:val="22"/>
          <w:szCs w:val="22"/>
        </w:rPr>
        <w:t xml:space="preserve">more </w:t>
      </w:r>
      <w:r w:rsidRPr="00311631">
        <w:rPr>
          <w:rFonts w:ascii="Arial" w:hAnsi="Arial" w:cs="Arial"/>
          <w:bCs/>
          <w:sz w:val="22"/>
          <w:szCs w:val="22"/>
        </w:rPr>
        <w:t xml:space="preserve">subversive response to that exercise of control than acting against the law or appealing to a higher authority. It was noted at the time of the 2016 Act’s passage that trade unions might </w:t>
      </w:r>
      <w:r w:rsidR="00363B6D">
        <w:rPr>
          <w:rFonts w:ascii="Arial" w:hAnsi="Arial" w:cs="Arial"/>
          <w:bCs/>
          <w:sz w:val="22"/>
          <w:szCs w:val="22"/>
        </w:rPr>
        <w:t>‘</w:t>
      </w:r>
      <w:r w:rsidRPr="00311631">
        <w:rPr>
          <w:rFonts w:ascii="Arial" w:hAnsi="Arial" w:cs="Arial"/>
          <w:bCs/>
          <w:sz w:val="22"/>
          <w:szCs w:val="22"/>
        </w:rPr>
        <w:t>adjust their behaviour to the new requirements of the legislation, even turning it to their advantage</w:t>
      </w:r>
      <w:r w:rsidR="00363B6D">
        <w:rPr>
          <w:rFonts w:ascii="Arial" w:hAnsi="Arial" w:cs="Arial"/>
          <w:bCs/>
          <w:sz w:val="22"/>
          <w:szCs w:val="22"/>
        </w:rPr>
        <w:t>’</w:t>
      </w:r>
      <w:r w:rsidRPr="00311631">
        <w:rPr>
          <w:rFonts w:ascii="Arial" w:hAnsi="Arial" w:cs="Arial"/>
          <w:bCs/>
          <w:sz w:val="22"/>
          <w:szCs w:val="22"/>
          <w:vertAlign w:val="superscript"/>
        </w:rPr>
        <w:footnoteReference w:id="20"/>
      </w:r>
      <w:r w:rsidRPr="00311631">
        <w:rPr>
          <w:rFonts w:ascii="Arial" w:hAnsi="Arial" w:cs="Arial"/>
          <w:bCs/>
          <w:sz w:val="22"/>
          <w:szCs w:val="22"/>
        </w:rPr>
        <w:t xml:space="preserve"> in a similar way to how trade union negotiators in the early 1990s reported to have used the show of union members’ support indicated by the results of ballots required by the then-new trade union legislation to </w:t>
      </w:r>
      <w:r w:rsidR="00363B6D">
        <w:rPr>
          <w:rFonts w:ascii="Arial" w:hAnsi="Arial" w:cs="Arial"/>
          <w:bCs/>
          <w:sz w:val="22"/>
          <w:szCs w:val="22"/>
        </w:rPr>
        <w:t>‘</w:t>
      </w:r>
      <w:r w:rsidRPr="00311631">
        <w:rPr>
          <w:rFonts w:ascii="Arial" w:hAnsi="Arial" w:cs="Arial"/>
          <w:bCs/>
          <w:sz w:val="22"/>
          <w:szCs w:val="22"/>
        </w:rPr>
        <w:t>galvanis[e] support for industrial action</w:t>
      </w:r>
      <w:r w:rsidR="00363B6D">
        <w:rPr>
          <w:rFonts w:ascii="Arial" w:hAnsi="Arial" w:cs="Arial"/>
          <w:bCs/>
          <w:sz w:val="22"/>
          <w:szCs w:val="22"/>
        </w:rPr>
        <w:t>’</w:t>
      </w:r>
      <w:r w:rsidRPr="00311631">
        <w:rPr>
          <w:rFonts w:ascii="Arial" w:hAnsi="Arial" w:cs="Arial"/>
          <w:bCs/>
          <w:sz w:val="22"/>
          <w:szCs w:val="22"/>
        </w:rPr>
        <w:t xml:space="preserve"> and </w:t>
      </w:r>
      <w:r w:rsidR="00363B6D">
        <w:rPr>
          <w:rFonts w:ascii="Arial" w:hAnsi="Arial" w:cs="Arial"/>
          <w:bCs/>
          <w:sz w:val="22"/>
          <w:szCs w:val="22"/>
        </w:rPr>
        <w:t>‘</w:t>
      </w:r>
      <w:r w:rsidRPr="00311631">
        <w:rPr>
          <w:rFonts w:ascii="Arial" w:hAnsi="Arial" w:cs="Arial"/>
          <w:bCs/>
          <w:sz w:val="22"/>
          <w:szCs w:val="22"/>
        </w:rPr>
        <w:t>lead to an improved offer or withdrawal of proposals in [a] dispute</w:t>
      </w:r>
      <w:r w:rsidR="00363B6D">
        <w:rPr>
          <w:rFonts w:ascii="Arial" w:hAnsi="Arial" w:cs="Arial"/>
          <w:bCs/>
          <w:sz w:val="22"/>
          <w:szCs w:val="22"/>
        </w:rPr>
        <w:t>’</w:t>
      </w:r>
      <w:r w:rsidR="00964F1C">
        <w:rPr>
          <w:rFonts w:ascii="Arial" w:hAnsi="Arial" w:cs="Arial"/>
          <w:bCs/>
          <w:sz w:val="22"/>
          <w:szCs w:val="22"/>
        </w:rPr>
        <w:t>.</w:t>
      </w:r>
      <w:r w:rsidRPr="00311631">
        <w:rPr>
          <w:rFonts w:ascii="Arial" w:hAnsi="Arial" w:cs="Arial"/>
          <w:bCs/>
          <w:sz w:val="22"/>
          <w:szCs w:val="22"/>
          <w:vertAlign w:val="superscript"/>
        </w:rPr>
        <w:footnoteReference w:id="21"/>
      </w:r>
      <w:r w:rsidRPr="00311631">
        <w:rPr>
          <w:rFonts w:ascii="Arial" w:hAnsi="Arial" w:cs="Arial"/>
          <w:bCs/>
          <w:sz w:val="22"/>
          <w:szCs w:val="22"/>
        </w:rPr>
        <w:t xml:space="preserve"> Indeed, there has been a scarcity of reports of strike action in contravention of the requirements of the 2016 Act, or of legal attempts to circumvent that Act, and attempts to have its restrictions annulled on human rights grounds do not appear to have been made (possibly with regard to </w:t>
      </w:r>
      <w:r w:rsidR="00363B6D">
        <w:rPr>
          <w:rFonts w:ascii="Arial" w:hAnsi="Arial" w:cs="Arial"/>
          <w:bCs/>
          <w:sz w:val="22"/>
          <w:szCs w:val="22"/>
        </w:rPr>
        <w:t>‘</w:t>
      </w:r>
      <w:r w:rsidRPr="00311631">
        <w:rPr>
          <w:rFonts w:ascii="Arial" w:hAnsi="Arial" w:cs="Arial"/>
          <w:bCs/>
          <w:sz w:val="22"/>
          <w:szCs w:val="22"/>
        </w:rPr>
        <w:t>recent experience</w:t>
      </w:r>
      <w:r w:rsidR="00363B6D">
        <w:rPr>
          <w:rFonts w:ascii="Arial" w:hAnsi="Arial" w:cs="Arial"/>
          <w:bCs/>
          <w:sz w:val="22"/>
          <w:szCs w:val="22"/>
        </w:rPr>
        <w:t>’</w:t>
      </w:r>
      <w:r w:rsidRPr="00311631">
        <w:rPr>
          <w:rFonts w:ascii="Arial" w:hAnsi="Arial" w:cs="Arial"/>
          <w:bCs/>
          <w:sz w:val="22"/>
          <w:szCs w:val="22"/>
        </w:rPr>
        <w:t xml:space="preserve"> of European human rights case law with outcomes not in favour of trade unions).</w:t>
      </w:r>
      <w:r w:rsidR="00AE3776" w:rsidRPr="00311631">
        <w:rPr>
          <w:rFonts w:ascii="Arial" w:hAnsi="Arial" w:cs="Arial"/>
          <w:bCs/>
          <w:sz w:val="22"/>
          <w:szCs w:val="22"/>
          <w:vertAlign w:val="superscript"/>
        </w:rPr>
        <w:footnoteReference w:id="22"/>
      </w:r>
      <w:r w:rsidRPr="00311631">
        <w:rPr>
          <w:rFonts w:ascii="Arial" w:hAnsi="Arial" w:cs="Arial"/>
          <w:bCs/>
          <w:sz w:val="22"/>
          <w:szCs w:val="22"/>
        </w:rPr>
        <w:t xml:space="preserve"> </w:t>
      </w:r>
      <w:r w:rsidR="00964F1C">
        <w:rPr>
          <w:rFonts w:ascii="Arial" w:hAnsi="Arial" w:cs="Arial"/>
          <w:bCs/>
          <w:sz w:val="22"/>
          <w:szCs w:val="22"/>
        </w:rPr>
        <w:t>S</w:t>
      </w:r>
      <w:r w:rsidRPr="00311631">
        <w:rPr>
          <w:rFonts w:ascii="Arial" w:hAnsi="Arial" w:cs="Arial"/>
          <w:bCs/>
          <w:sz w:val="22"/>
          <w:szCs w:val="22"/>
        </w:rPr>
        <w:t xml:space="preserve">trike action has increased since that time, </w:t>
      </w:r>
      <w:r w:rsidR="00964F1C">
        <w:rPr>
          <w:rFonts w:ascii="Arial" w:hAnsi="Arial" w:cs="Arial"/>
          <w:bCs/>
          <w:sz w:val="22"/>
          <w:szCs w:val="22"/>
        </w:rPr>
        <w:t xml:space="preserve">however, </w:t>
      </w:r>
      <w:r w:rsidRPr="00311631">
        <w:rPr>
          <w:rFonts w:ascii="Arial" w:hAnsi="Arial" w:cs="Arial"/>
          <w:bCs/>
          <w:sz w:val="22"/>
          <w:szCs w:val="22"/>
        </w:rPr>
        <w:t>with December 2022 seeing more working days lost to labour disputes than any month since November 2011</w:t>
      </w:r>
      <w:r w:rsidR="00964F1C">
        <w:rPr>
          <w:rFonts w:ascii="Arial" w:hAnsi="Arial" w:cs="Arial"/>
          <w:bCs/>
          <w:sz w:val="22"/>
          <w:szCs w:val="22"/>
        </w:rPr>
        <w:t>.</w:t>
      </w:r>
      <w:r w:rsidRPr="00311631">
        <w:rPr>
          <w:rFonts w:ascii="Arial" w:hAnsi="Arial" w:cs="Arial"/>
          <w:bCs/>
          <w:sz w:val="22"/>
          <w:szCs w:val="22"/>
          <w:vertAlign w:val="superscript"/>
        </w:rPr>
        <w:footnoteReference w:id="23"/>
      </w:r>
      <w:r w:rsidRPr="00311631">
        <w:rPr>
          <w:rFonts w:ascii="Arial" w:hAnsi="Arial" w:cs="Arial"/>
          <w:bCs/>
          <w:sz w:val="22"/>
          <w:szCs w:val="22"/>
        </w:rPr>
        <w:t xml:space="preserve"> It may be, therefore, that in the words of one group of trade union representatives</w:t>
      </w:r>
      <w:r w:rsidR="00964F1C">
        <w:rPr>
          <w:rFonts w:ascii="Arial" w:hAnsi="Arial" w:cs="Arial"/>
          <w:bCs/>
          <w:sz w:val="22"/>
          <w:szCs w:val="22"/>
        </w:rPr>
        <w:t xml:space="preserve">, </w:t>
      </w:r>
      <w:r w:rsidR="00363B6D">
        <w:rPr>
          <w:rFonts w:ascii="Arial" w:hAnsi="Arial" w:cs="Arial"/>
          <w:bCs/>
          <w:sz w:val="22"/>
          <w:szCs w:val="22"/>
        </w:rPr>
        <w:t>’</w:t>
      </w:r>
      <w:r w:rsidRPr="00311631">
        <w:rPr>
          <w:rFonts w:ascii="Arial" w:hAnsi="Arial" w:cs="Arial"/>
          <w:bCs/>
          <w:sz w:val="22"/>
          <w:szCs w:val="22"/>
        </w:rPr>
        <w:t>[the 2016 Act] has made us look, as a labour movement, [at] how to make ourselves relevant and current [so] that in a hundred years’ time, the labour movement will still be here’</w:t>
      </w:r>
      <w:r w:rsidR="00964F1C">
        <w:rPr>
          <w:rFonts w:ascii="Arial" w:hAnsi="Arial" w:cs="Arial"/>
          <w:bCs/>
          <w:sz w:val="22"/>
          <w:szCs w:val="22"/>
        </w:rPr>
        <w:t>.</w:t>
      </w:r>
      <w:r w:rsidRPr="00311631">
        <w:rPr>
          <w:rFonts w:ascii="Arial" w:hAnsi="Arial" w:cs="Arial"/>
          <w:bCs/>
          <w:sz w:val="22"/>
          <w:szCs w:val="22"/>
          <w:vertAlign w:val="superscript"/>
        </w:rPr>
        <w:footnoteReference w:id="24"/>
      </w:r>
    </w:p>
    <w:p w14:paraId="2E92EDA1" w14:textId="77777777" w:rsidR="00964F1C" w:rsidRPr="00311631" w:rsidRDefault="00964F1C" w:rsidP="00363B6D">
      <w:pPr>
        <w:pStyle w:val="ArticleTitle"/>
        <w:spacing w:after="0" w:line="360" w:lineRule="auto"/>
        <w:ind w:firstLine="720"/>
        <w:rPr>
          <w:rFonts w:ascii="Arial" w:hAnsi="Arial" w:cs="Arial"/>
          <w:bCs/>
          <w:sz w:val="22"/>
          <w:szCs w:val="22"/>
        </w:rPr>
      </w:pPr>
    </w:p>
    <w:p w14:paraId="74E1A352" w14:textId="77777777" w:rsidR="00311631" w:rsidRPr="00964F1C" w:rsidRDefault="00311631" w:rsidP="00932066">
      <w:pPr>
        <w:pStyle w:val="ArticleTitle"/>
        <w:spacing w:after="0" w:line="360" w:lineRule="auto"/>
        <w:rPr>
          <w:rFonts w:ascii="Arial" w:hAnsi="Arial" w:cs="Arial"/>
          <w:b/>
          <w:i/>
          <w:iCs/>
          <w:sz w:val="22"/>
          <w:szCs w:val="22"/>
        </w:rPr>
      </w:pPr>
      <w:r w:rsidRPr="00311631">
        <w:rPr>
          <w:rFonts w:ascii="Arial" w:hAnsi="Arial" w:cs="Arial"/>
          <w:b/>
          <w:i/>
          <w:iCs/>
          <w:sz w:val="22"/>
          <w:szCs w:val="22"/>
        </w:rPr>
        <w:lastRenderedPageBreak/>
        <w:t xml:space="preserve">The Prevention of Femicide Act 2023 </w:t>
      </w:r>
    </w:p>
    <w:p w14:paraId="1D24E6AA" w14:textId="77777777" w:rsidR="00964F1C" w:rsidRPr="00311631" w:rsidRDefault="00964F1C" w:rsidP="00932066">
      <w:pPr>
        <w:pStyle w:val="ArticleTitle"/>
        <w:spacing w:after="0" w:line="360" w:lineRule="auto"/>
        <w:rPr>
          <w:rFonts w:ascii="Arial" w:hAnsi="Arial" w:cs="Arial"/>
          <w:bCs/>
          <w:sz w:val="22"/>
          <w:szCs w:val="22"/>
          <w:u w:val="single"/>
        </w:rPr>
      </w:pPr>
    </w:p>
    <w:p w14:paraId="0F438232" w14:textId="004028A4"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 xml:space="preserve">The plot of </w:t>
      </w:r>
      <w:r w:rsidRPr="00311631">
        <w:rPr>
          <w:rFonts w:ascii="Arial" w:hAnsi="Arial" w:cs="Arial"/>
          <w:bCs/>
          <w:i/>
          <w:iCs/>
          <w:sz w:val="22"/>
          <w:szCs w:val="22"/>
        </w:rPr>
        <w:t xml:space="preserve">After Dark </w:t>
      </w:r>
      <w:r w:rsidRPr="00311631">
        <w:rPr>
          <w:rFonts w:ascii="Arial" w:hAnsi="Arial" w:cs="Arial"/>
          <w:bCs/>
          <w:sz w:val="22"/>
          <w:szCs w:val="22"/>
        </w:rPr>
        <w:t xml:space="preserve">is driven by an attempt by Parliament to impose legislation by control upon its subjects. The events of </w:t>
      </w:r>
      <w:r w:rsidRPr="00311631">
        <w:rPr>
          <w:rFonts w:ascii="Arial" w:hAnsi="Arial" w:cs="Arial"/>
          <w:bCs/>
          <w:i/>
          <w:iCs/>
          <w:sz w:val="22"/>
          <w:szCs w:val="22"/>
        </w:rPr>
        <w:t xml:space="preserve">After Dark </w:t>
      </w:r>
      <w:r w:rsidRPr="00311631">
        <w:rPr>
          <w:rFonts w:ascii="Arial" w:hAnsi="Arial" w:cs="Arial"/>
          <w:bCs/>
          <w:sz w:val="22"/>
          <w:szCs w:val="22"/>
        </w:rPr>
        <w:t>take place in either 2038 or 2039, sixteen years</w:t>
      </w:r>
      <w:r w:rsidRPr="00311631">
        <w:rPr>
          <w:rFonts w:ascii="Arial" w:hAnsi="Arial" w:cs="Arial"/>
          <w:bCs/>
          <w:sz w:val="22"/>
          <w:szCs w:val="22"/>
          <w:vertAlign w:val="superscript"/>
        </w:rPr>
        <w:footnoteReference w:id="25"/>
      </w:r>
      <w:r w:rsidRPr="00311631">
        <w:rPr>
          <w:rFonts w:ascii="Arial" w:hAnsi="Arial" w:cs="Arial"/>
          <w:bCs/>
          <w:sz w:val="22"/>
          <w:szCs w:val="22"/>
        </w:rPr>
        <w:t xml:space="preserve"> after the enactment of the Prevention of Femicide Act 2023, legislation </w:t>
      </w:r>
      <w:r w:rsidR="00363B6D">
        <w:rPr>
          <w:rFonts w:ascii="Arial" w:hAnsi="Arial" w:cs="Arial"/>
          <w:bCs/>
          <w:sz w:val="22"/>
          <w:szCs w:val="22"/>
        </w:rPr>
        <w:t>‘</w:t>
      </w:r>
      <w:r w:rsidRPr="00311631">
        <w:rPr>
          <w:rFonts w:ascii="Arial" w:hAnsi="Arial" w:cs="Arial"/>
          <w:bCs/>
          <w:sz w:val="22"/>
          <w:szCs w:val="22"/>
        </w:rPr>
        <w:t>brought in</w:t>
      </w:r>
      <w:r w:rsidR="00363B6D">
        <w:rPr>
          <w:rFonts w:ascii="Arial" w:hAnsi="Arial" w:cs="Arial"/>
          <w:bCs/>
          <w:sz w:val="22"/>
          <w:szCs w:val="22"/>
        </w:rPr>
        <w:t>’</w:t>
      </w:r>
      <w:r w:rsidRPr="00311631">
        <w:rPr>
          <w:rFonts w:ascii="Arial" w:hAnsi="Arial" w:cs="Arial"/>
          <w:bCs/>
          <w:sz w:val="22"/>
          <w:szCs w:val="22"/>
          <w:vertAlign w:val="superscript"/>
        </w:rPr>
        <w:footnoteReference w:id="26"/>
      </w:r>
      <w:r w:rsidRPr="00311631">
        <w:rPr>
          <w:rFonts w:ascii="Arial" w:hAnsi="Arial" w:cs="Arial"/>
          <w:bCs/>
          <w:sz w:val="22"/>
          <w:szCs w:val="22"/>
        </w:rPr>
        <w:t xml:space="preserve"> in response to the violent killings of five women (including a Member of Parliament named Susan Lang) </w:t>
      </w:r>
      <w:r w:rsidR="00363B6D">
        <w:rPr>
          <w:rFonts w:ascii="Arial" w:hAnsi="Arial" w:cs="Arial"/>
          <w:bCs/>
          <w:sz w:val="22"/>
          <w:szCs w:val="22"/>
        </w:rPr>
        <w:t>‘</w:t>
      </w:r>
      <w:r w:rsidRPr="00311631">
        <w:rPr>
          <w:rFonts w:ascii="Arial" w:hAnsi="Arial" w:cs="Arial"/>
          <w:bCs/>
          <w:sz w:val="22"/>
          <w:szCs w:val="22"/>
        </w:rPr>
        <w:t>over the course of five awful months</w:t>
      </w:r>
      <w:r w:rsidR="00363B6D">
        <w:rPr>
          <w:rFonts w:ascii="Arial" w:hAnsi="Arial" w:cs="Arial"/>
          <w:bCs/>
          <w:sz w:val="22"/>
          <w:szCs w:val="22"/>
        </w:rPr>
        <w:t>’</w:t>
      </w:r>
      <w:r w:rsidR="00964F1C">
        <w:rPr>
          <w:rFonts w:ascii="Arial" w:hAnsi="Arial" w:cs="Arial"/>
          <w:bCs/>
          <w:sz w:val="22"/>
          <w:szCs w:val="22"/>
        </w:rPr>
        <w:t>.</w:t>
      </w:r>
      <w:r w:rsidRPr="00311631">
        <w:rPr>
          <w:rFonts w:ascii="Arial" w:hAnsi="Arial" w:cs="Arial"/>
          <w:bCs/>
          <w:sz w:val="22"/>
          <w:szCs w:val="22"/>
          <w:vertAlign w:val="superscript"/>
        </w:rPr>
        <w:footnoteReference w:id="27"/>
      </w:r>
      <w:r w:rsidRPr="00311631">
        <w:rPr>
          <w:rFonts w:ascii="Arial" w:hAnsi="Arial" w:cs="Arial"/>
          <w:bCs/>
          <w:sz w:val="22"/>
          <w:szCs w:val="22"/>
        </w:rPr>
        <w:t xml:space="preserve"> The legislation is a form of legislation by control, specifically directed at men, and controls them by imposing the requirement that they remain </w:t>
      </w:r>
      <w:r w:rsidR="00363B6D">
        <w:rPr>
          <w:rFonts w:ascii="Arial" w:hAnsi="Arial" w:cs="Arial"/>
          <w:bCs/>
          <w:sz w:val="22"/>
          <w:szCs w:val="22"/>
        </w:rPr>
        <w:t>‘</w:t>
      </w:r>
      <w:r w:rsidRPr="00311631">
        <w:rPr>
          <w:rFonts w:ascii="Arial" w:hAnsi="Arial" w:cs="Arial"/>
          <w:bCs/>
          <w:sz w:val="22"/>
          <w:szCs w:val="22"/>
        </w:rPr>
        <w:t>in their houses overnight</w:t>
      </w:r>
      <w:r w:rsidR="00363B6D">
        <w:rPr>
          <w:rFonts w:ascii="Arial" w:hAnsi="Arial" w:cs="Arial"/>
          <w:bCs/>
          <w:sz w:val="22"/>
          <w:szCs w:val="22"/>
        </w:rPr>
        <w:t>’</w:t>
      </w:r>
      <w:r w:rsidRPr="00311631">
        <w:rPr>
          <w:rFonts w:ascii="Arial" w:hAnsi="Arial" w:cs="Arial"/>
          <w:bCs/>
          <w:sz w:val="22"/>
          <w:szCs w:val="22"/>
        </w:rPr>
        <w:t xml:space="preserve"> (between 7pm and 7am) and wear an electronic tag</w:t>
      </w:r>
      <w:r w:rsidRPr="00311631">
        <w:rPr>
          <w:rFonts w:ascii="Arial" w:hAnsi="Arial" w:cs="Arial"/>
          <w:bCs/>
          <w:sz w:val="22"/>
          <w:szCs w:val="22"/>
          <w:vertAlign w:val="superscript"/>
        </w:rPr>
        <w:footnoteReference w:id="28"/>
      </w:r>
      <w:r w:rsidRPr="00311631">
        <w:rPr>
          <w:rFonts w:ascii="Arial" w:hAnsi="Arial" w:cs="Arial"/>
          <w:bCs/>
          <w:sz w:val="22"/>
          <w:szCs w:val="22"/>
        </w:rPr>
        <w:t xml:space="preserve"> which alerts the police to their having breached </w:t>
      </w:r>
      <w:r w:rsidR="00363B6D">
        <w:rPr>
          <w:rFonts w:ascii="Arial" w:hAnsi="Arial" w:cs="Arial"/>
          <w:bCs/>
          <w:sz w:val="22"/>
          <w:szCs w:val="22"/>
        </w:rPr>
        <w:t>‘</w:t>
      </w:r>
      <w:r w:rsidRPr="00311631">
        <w:rPr>
          <w:rFonts w:ascii="Arial" w:hAnsi="Arial" w:cs="Arial"/>
          <w:bCs/>
          <w:sz w:val="22"/>
          <w:szCs w:val="22"/>
        </w:rPr>
        <w:t>curfew</w:t>
      </w:r>
      <w:r w:rsidR="00363B6D">
        <w:rPr>
          <w:rFonts w:ascii="Arial" w:hAnsi="Arial" w:cs="Arial"/>
          <w:bCs/>
          <w:sz w:val="22"/>
          <w:szCs w:val="22"/>
        </w:rPr>
        <w:t>’</w:t>
      </w:r>
      <w:r w:rsidRPr="00311631">
        <w:rPr>
          <w:rFonts w:ascii="Arial" w:hAnsi="Arial" w:cs="Arial"/>
          <w:bCs/>
          <w:sz w:val="22"/>
          <w:szCs w:val="22"/>
        </w:rPr>
        <w:t xml:space="preserve"> so that they might be arrested (there are seemingly no exceptions to this restriction). This is not dissimilar to real-world legislation allowing a court the power to impose an electronic monitoring requirement upon a person against whom a </w:t>
      </w:r>
      <w:r w:rsidR="00363B6D">
        <w:rPr>
          <w:rFonts w:ascii="Arial" w:hAnsi="Arial" w:cs="Arial"/>
          <w:bCs/>
          <w:sz w:val="22"/>
          <w:szCs w:val="22"/>
        </w:rPr>
        <w:t>‘</w:t>
      </w:r>
      <w:r w:rsidRPr="00311631">
        <w:rPr>
          <w:rFonts w:ascii="Arial" w:hAnsi="Arial" w:cs="Arial"/>
          <w:bCs/>
          <w:sz w:val="22"/>
          <w:szCs w:val="22"/>
        </w:rPr>
        <w:t>domestic abuse prevention order</w:t>
      </w:r>
      <w:r w:rsidR="00363B6D">
        <w:rPr>
          <w:rFonts w:ascii="Arial" w:hAnsi="Arial" w:cs="Arial"/>
          <w:bCs/>
          <w:sz w:val="22"/>
          <w:szCs w:val="22"/>
        </w:rPr>
        <w:t>’</w:t>
      </w:r>
      <w:r w:rsidRPr="00311631">
        <w:rPr>
          <w:rFonts w:ascii="Arial" w:hAnsi="Arial" w:cs="Arial"/>
          <w:bCs/>
          <w:sz w:val="22"/>
          <w:szCs w:val="22"/>
        </w:rPr>
        <w:t xml:space="preserve"> has been made</w:t>
      </w:r>
      <w:r w:rsidR="009A642B">
        <w:rPr>
          <w:rFonts w:ascii="Arial" w:hAnsi="Arial" w:cs="Arial"/>
          <w:bCs/>
          <w:sz w:val="22"/>
          <w:szCs w:val="22"/>
        </w:rPr>
        <w:t>.</w:t>
      </w:r>
      <w:r w:rsidRPr="00311631">
        <w:rPr>
          <w:rFonts w:ascii="Arial" w:hAnsi="Arial" w:cs="Arial"/>
          <w:bCs/>
          <w:sz w:val="22"/>
          <w:szCs w:val="22"/>
          <w:vertAlign w:val="superscript"/>
        </w:rPr>
        <w:footnoteReference w:id="29"/>
      </w:r>
      <w:r w:rsidR="009A642B">
        <w:rPr>
          <w:rFonts w:ascii="Arial" w:hAnsi="Arial" w:cs="Arial"/>
          <w:bCs/>
          <w:sz w:val="22"/>
          <w:szCs w:val="22"/>
        </w:rPr>
        <w:t xml:space="preserve"> U</w:t>
      </w:r>
      <w:r w:rsidRPr="00311631">
        <w:rPr>
          <w:rFonts w:ascii="Arial" w:hAnsi="Arial" w:cs="Arial"/>
          <w:bCs/>
          <w:sz w:val="22"/>
          <w:szCs w:val="22"/>
        </w:rPr>
        <w:t xml:space="preserve">nlike the curfew restrictions in </w:t>
      </w:r>
      <w:r w:rsidRPr="00311631">
        <w:rPr>
          <w:rFonts w:ascii="Arial" w:hAnsi="Arial" w:cs="Arial"/>
          <w:bCs/>
          <w:i/>
          <w:iCs/>
          <w:sz w:val="22"/>
          <w:szCs w:val="22"/>
        </w:rPr>
        <w:t>After Dark</w:t>
      </w:r>
      <w:r w:rsidRPr="00311631">
        <w:rPr>
          <w:rFonts w:ascii="Arial" w:hAnsi="Arial" w:cs="Arial"/>
          <w:bCs/>
          <w:sz w:val="22"/>
          <w:szCs w:val="22"/>
        </w:rPr>
        <w:t xml:space="preserve">, </w:t>
      </w:r>
      <w:r w:rsidR="009A642B">
        <w:rPr>
          <w:rFonts w:ascii="Arial" w:hAnsi="Arial" w:cs="Arial"/>
          <w:bCs/>
          <w:sz w:val="22"/>
          <w:szCs w:val="22"/>
        </w:rPr>
        <w:t xml:space="preserve">however, </w:t>
      </w:r>
      <w:r w:rsidRPr="00311631">
        <w:rPr>
          <w:rFonts w:ascii="Arial" w:hAnsi="Arial" w:cs="Arial"/>
          <w:bCs/>
          <w:sz w:val="22"/>
          <w:szCs w:val="22"/>
        </w:rPr>
        <w:t>such an order can only be made following proof that a person has been abusive towards another person, and that the order is necessary and proportionate to protect that person</w:t>
      </w:r>
      <w:r w:rsidR="009A642B">
        <w:rPr>
          <w:rFonts w:ascii="Arial" w:hAnsi="Arial" w:cs="Arial"/>
          <w:bCs/>
          <w:sz w:val="22"/>
          <w:szCs w:val="22"/>
        </w:rPr>
        <w:t>.</w:t>
      </w:r>
      <w:r w:rsidRPr="00311631">
        <w:rPr>
          <w:rFonts w:ascii="Arial" w:hAnsi="Arial" w:cs="Arial"/>
          <w:bCs/>
          <w:sz w:val="22"/>
          <w:szCs w:val="22"/>
          <w:vertAlign w:val="superscript"/>
        </w:rPr>
        <w:footnoteReference w:id="30"/>
      </w:r>
      <w:r w:rsidRPr="00311631">
        <w:rPr>
          <w:rFonts w:ascii="Arial" w:hAnsi="Arial" w:cs="Arial"/>
          <w:bCs/>
          <w:sz w:val="22"/>
          <w:szCs w:val="22"/>
        </w:rPr>
        <w:t xml:space="preserve"> Also, an electronic monitoring requirement may not be made without the consent of any person </w:t>
      </w:r>
      <w:r w:rsidR="00363B6D">
        <w:rPr>
          <w:rFonts w:ascii="Arial" w:hAnsi="Arial" w:cs="Arial"/>
          <w:bCs/>
          <w:sz w:val="22"/>
          <w:szCs w:val="22"/>
        </w:rPr>
        <w:t>‘</w:t>
      </w:r>
      <w:r w:rsidRPr="00311631">
        <w:rPr>
          <w:rFonts w:ascii="Arial" w:hAnsi="Arial" w:cs="Arial"/>
          <w:bCs/>
          <w:sz w:val="22"/>
          <w:szCs w:val="22"/>
        </w:rPr>
        <w:t>without whose cooperation it would be impracticable to secure the monitoring in question</w:t>
      </w:r>
      <w:r w:rsidR="00363B6D">
        <w:rPr>
          <w:rFonts w:ascii="Arial" w:hAnsi="Arial" w:cs="Arial"/>
          <w:bCs/>
          <w:sz w:val="22"/>
          <w:szCs w:val="22"/>
        </w:rPr>
        <w:t>’</w:t>
      </w:r>
      <w:r w:rsidR="009A642B">
        <w:rPr>
          <w:rFonts w:ascii="Arial" w:hAnsi="Arial" w:cs="Arial"/>
          <w:bCs/>
          <w:sz w:val="22"/>
          <w:szCs w:val="22"/>
        </w:rPr>
        <w:t>,</w:t>
      </w:r>
      <w:r w:rsidRPr="00311631">
        <w:rPr>
          <w:rFonts w:ascii="Arial" w:hAnsi="Arial" w:cs="Arial"/>
          <w:bCs/>
          <w:sz w:val="22"/>
          <w:szCs w:val="22"/>
          <w:vertAlign w:val="superscript"/>
        </w:rPr>
        <w:footnoteReference w:id="31"/>
      </w:r>
      <w:r w:rsidRPr="00311631">
        <w:rPr>
          <w:rFonts w:ascii="Arial" w:hAnsi="Arial" w:cs="Arial"/>
          <w:bCs/>
          <w:sz w:val="22"/>
          <w:szCs w:val="22"/>
        </w:rPr>
        <w:t xml:space="preserve"> the absence of which qualification in respect of the measures imposed in </w:t>
      </w:r>
      <w:r w:rsidRPr="00311631">
        <w:rPr>
          <w:rFonts w:ascii="Arial" w:hAnsi="Arial" w:cs="Arial"/>
          <w:bCs/>
          <w:i/>
          <w:iCs/>
          <w:sz w:val="22"/>
          <w:szCs w:val="22"/>
        </w:rPr>
        <w:t xml:space="preserve">After Dark </w:t>
      </w:r>
      <w:r w:rsidRPr="00311631">
        <w:rPr>
          <w:rFonts w:ascii="Arial" w:hAnsi="Arial" w:cs="Arial"/>
          <w:bCs/>
          <w:sz w:val="22"/>
          <w:szCs w:val="22"/>
        </w:rPr>
        <w:t>proves significant to the plot of the novel.</w:t>
      </w:r>
    </w:p>
    <w:p w14:paraId="3ED0EB22" w14:textId="77777777" w:rsidR="009A642B" w:rsidRPr="00311631" w:rsidRDefault="009A642B" w:rsidP="00932066">
      <w:pPr>
        <w:pStyle w:val="ArticleTitle"/>
        <w:spacing w:after="0" w:line="360" w:lineRule="auto"/>
        <w:rPr>
          <w:rFonts w:ascii="Arial" w:hAnsi="Arial" w:cs="Arial"/>
          <w:bCs/>
          <w:sz w:val="22"/>
          <w:szCs w:val="22"/>
        </w:rPr>
      </w:pPr>
    </w:p>
    <w:p w14:paraId="2BE65FF4" w14:textId="60BD7F52" w:rsidR="00311631" w:rsidRDefault="00311631" w:rsidP="009A642B">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A striking passage in the first chapter of the novel describes how the Act was itself precipitated by a response to a challenge to control in the form of an instruction by the-then Government that </w:t>
      </w:r>
      <w:r w:rsidR="00363B6D">
        <w:rPr>
          <w:rFonts w:ascii="Arial" w:hAnsi="Arial" w:cs="Arial"/>
          <w:bCs/>
          <w:sz w:val="22"/>
          <w:szCs w:val="22"/>
        </w:rPr>
        <w:t>‘</w:t>
      </w:r>
      <w:r w:rsidRPr="00311631">
        <w:rPr>
          <w:rFonts w:ascii="Arial" w:hAnsi="Arial" w:cs="Arial"/>
          <w:bCs/>
          <w:sz w:val="22"/>
          <w:szCs w:val="22"/>
        </w:rPr>
        <w:t>Women were told to stay indoors until the killer was caught</w:t>
      </w:r>
      <w:r w:rsidR="00363B6D">
        <w:rPr>
          <w:rFonts w:ascii="Arial" w:hAnsi="Arial" w:cs="Arial"/>
          <w:bCs/>
          <w:sz w:val="22"/>
          <w:szCs w:val="22"/>
        </w:rPr>
        <w:t>’</w:t>
      </w:r>
      <w:r w:rsidR="00C24D3E">
        <w:rPr>
          <w:rFonts w:ascii="Arial" w:hAnsi="Arial" w:cs="Arial"/>
          <w:bCs/>
          <w:sz w:val="22"/>
          <w:szCs w:val="22"/>
        </w:rPr>
        <w:t>,</w:t>
      </w:r>
      <w:r w:rsidRPr="00311631">
        <w:rPr>
          <w:rFonts w:ascii="Arial" w:hAnsi="Arial" w:cs="Arial"/>
          <w:bCs/>
          <w:sz w:val="22"/>
          <w:szCs w:val="22"/>
          <w:vertAlign w:val="superscript"/>
        </w:rPr>
        <w:footnoteReference w:id="32"/>
      </w:r>
      <w:r w:rsidR="003678C1">
        <w:rPr>
          <w:rFonts w:ascii="Arial" w:hAnsi="Arial" w:cs="Arial"/>
          <w:bCs/>
          <w:sz w:val="22"/>
          <w:szCs w:val="22"/>
        </w:rPr>
        <w:t xml:space="preserve"> </w:t>
      </w:r>
      <w:r w:rsidRPr="00311631">
        <w:rPr>
          <w:rFonts w:ascii="Arial" w:hAnsi="Arial" w:cs="Arial"/>
          <w:bCs/>
          <w:sz w:val="22"/>
          <w:szCs w:val="22"/>
        </w:rPr>
        <w:t>advice not dissimilar to that reported to have been given by police in London (in the real world) to women</w:t>
      </w:r>
      <w:r w:rsidRPr="00311631">
        <w:rPr>
          <w:rFonts w:ascii="Arial" w:hAnsi="Arial" w:cs="Arial"/>
          <w:bCs/>
          <w:sz w:val="22"/>
          <w:szCs w:val="22"/>
          <w:vertAlign w:val="superscript"/>
        </w:rPr>
        <w:footnoteReference w:id="33"/>
      </w:r>
      <w:r w:rsidRPr="00311631">
        <w:rPr>
          <w:rFonts w:ascii="Arial" w:hAnsi="Arial" w:cs="Arial"/>
          <w:bCs/>
          <w:sz w:val="22"/>
          <w:szCs w:val="22"/>
        </w:rPr>
        <w:t xml:space="preserve"> during the events surrounding the rape and murder of Sarah Everard</w:t>
      </w:r>
      <w:r w:rsidR="00C24D3E">
        <w:rPr>
          <w:rFonts w:ascii="Arial" w:hAnsi="Arial" w:cs="Arial"/>
          <w:bCs/>
          <w:sz w:val="22"/>
          <w:szCs w:val="22"/>
        </w:rPr>
        <w:t>.</w:t>
      </w:r>
      <w:r w:rsidRPr="00311631">
        <w:rPr>
          <w:rFonts w:ascii="Arial" w:hAnsi="Arial" w:cs="Arial"/>
          <w:bCs/>
          <w:sz w:val="22"/>
          <w:szCs w:val="22"/>
          <w:vertAlign w:val="superscript"/>
        </w:rPr>
        <w:footnoteReference w:id="34"/>
      </w:r>
      <w:r w:rsidR="002F176F">
        <w:rPr>
          <w:rFonts w:ascii="Arial" w:hAnsi="Arial" w:cs="Arial"/>
          <w:bCs/>
          <w:sz w:val="22"/>
          <w:szCs w:val="22"/>
        </w:rPr>
        <w:t xml:space="preserve"> The events</w:t>
      </w:r>
      <w:r w:rsidR="003678C1">
        <w:rPr>
          <w:rFonts w:ascii="Arial" w:hAnsi="Arial" w:cs="Arial"/>
          <w:bCs/>
          <w:sz w:val="22"/>
          <w:szCs w:val="22"/>
        </w:rPr>
        <w:t xml:space="preserve"> in </w:t>
      </w:r>
      <w:r w:rsidR="003678C1" w:rsidRPr="003678C1">
        <w:rPr>
          <w:rFonts w:ascii="Arial" w:hAnsi="Arial" w:cs="Arial"/>
          <w:bCs/>
          <w:i/>
          <w:iCs/>
          <w:sz w:val="22"/>
          <w:szCs w:val="22"/>
        </w:rPr>
        <w:t xml:space="preserve">After </w:t>
      </w:r>
      <w:r w:rsidR="003678C1" w:rsidRPr="003678C1">
        <w:rPr>
          <w:rFonts w:ascii="Arial" w:hAnsi="Arial" w:cs="Arial"/>
          <w:bCs/>
          <w:i/>
          <w:iCs/>
          <w:sz w:val="22"/>
          <w:szCs w:val="22"/>
        </w:rPr>
        <w:lastRenderedPageBreak/>
        <w:t>D</w:t>
      </w:r>
      <w:r w:rsidR="003678C1">
        <w:rPr>
          <w:rFonts w:ascii="Arial" w:hAnsi="Arial" w:cs="Arial"/>
          <w:bCs/>
          <w:i/>
          <w:iCs/>
          <w:sz w:val="22"/>
          <w:szCs w:val="22"/>
        </w:rPr>
        <w:t>a</w:t>
      </w:r>
      <w:r w:rsidR="003678C1" w:rsidRPr="003678C1">
        <w:rPr>
          <w:rFonts w:ascii="Arial" w:hAnsi="Arial" w:cs="Arial"/>
          <w:bCs/>
          <w:i/>
          <w:iCs/>
          <w:sz w:val="22"/>
          <w:szCs w:val="22"/>
        </w:rPr>
        <w:t>rk</w:t>
      </w:r>
      <w:r w:rsidRPr="00311631">
        <w:rPr>
          <w:rFonts w:ascii="Arial" w:hAnsi="Arial" w:cs="Arial"/>
          <w:bCs/>
          <w:sz w:val="22"/>
          <w:szCs w:val="22"/>
        </w:rPr>
        <w:t xml:space="preserve"> took the form of women </w:t>
      </w:r>
      <w:r w:rsidR="00363B6D">
        <w:rPr>
          <w:rFonts w:ascii="Arial" w:hAnsi="Arial" w:cs="Arial"/>
          <w:bCs/>
          <w:sz w:val="22"/>
          <w:szCs w:val="22"/>
        </w:rPr>
        <w:t>‘</w:t>
      </w:r>
      <w:r w:rsidRPr="00311631">
        <w:rPr>
          <w:rFonts w:ascii="Arial" w:hAnsi="Arial" w:cs="Arial"/>
          <w:bCs/>
          <w:sz w:val="22"/>
          <w:szCs w:val="22"/>
        </w:rPr>
        <w:t>organising online</w:t>
      </w:r>
      <w:r w:rsidR="00363B6D">
        <w:rPr>
          <w:rFonts w:ascii="Arial" w:hAnsi="Arial" w:cs="Arial"/>
          <w:bCs/>
          <w:sz w:val="22"/>
          <w:szCs w:val="22"/>
        </w:rPr>
        <w:t>’</w:t>
      </w:r>
      <w:r w:rsidRPr="00311631">
        <w:rPr>
          <w:rFonts w:ascii="Arial" w:hAnsi="Arial" w:cs="Arial"/>
          <w:bCs/>
          <w:sz w:val="22"/>
          <w:szCs w:val="22"/>
        </w:rPr>
        <w:t xml:space="preserve">, </w:t>
      </w:r>
      <w:r w:rsidR="00363B6D">
        <w:rPr>
          <w:rFonts w:ascii="Arial" w:hAnsi="Arial" w:cs="Arial"/>
          <w:bCs/>
          <w:sz w:val="22"/>
          <w:szCs w:val="22"/>
        </w:rPr>
        <w:t>‘</w:t>
      </w:r>
      <w:r w:rsidRPr="00311631">
        <w:rPr>
          <w:rFonts w:ascii="Arial" w:hAnsi="Arial" w:cs="Arial"/>
          <w:bCs/>
          <w:sz w:val="22"/>
          <w:szCs w:val="22"/>
        </w:rPr>
        <w:t>march[ing] in the streets</w:t>
      </w:r>
      <w:r w:rsidR="00363B6D">
        <w:rPr>
          <w:rFonts w:ascii="Arial" w:hAnsi="Arial" w:cs="Arial"/>
          <w:bCs/>
          <w:sz w:val="22"/>
          <w:szCs w:val="22"/>
        </w:rPr>
        <w:t>’</w:t>
      </w:r>
      <w:r w:rsidRPr="00311631">
        <w:rPr>
          <w:rFonts w:ascii="Arial" w:hAnsi="Arial" w:cs="Arial"/>
          <w:bCs/>
          <w:sz w:val="22"/>
          <w:szCs w:val="22"/>
        </w:rPr>
        <w:t xml:space="preserve">, and ultimately a </w:t>
      </w:r>
      <w:r w:rsidR="00363B6D">
        <w:rPr>
          <w:rFonts w:ascii="Arial" w:hAnsi="Arial" w:cs="Arial"/>
          <w:bCs/>
          <w:sz w:val="22"/>
          <w:szCs w:val="22"/>
        </w:rPr>
        <w:t>‘</w:t>
      </w:r>
      <w:r w:rsidRPr="00311631">
        <w:rPr>
          <w:rFonts w:ascii="Arial" w:hAnsi="Arial" w:cs="Arial"/>
          <w:bCs/>
          <w:sz w:val="22"/>
          <w:szCs w:val="22"/>
        </w:rPr>
        <w:t>strike</w:t>
      </w:r>
      <w:r w:rsidR="00363B6D">
        <w:rPr>
          <w:rFonts w:ascii="Arial" w:hAnsi="Arial" w:cs="Arial"/>
          <w:bCs/>
          <w:sz w:val="22"/>
          <w:szCs w:val="22"/>
        </w:rPr>
        <w:t>’</w:t>
      </w:r>
      <w:r w:rsidRPr="00311631">
        <w:rPr>
          <w:rFonts w:ascii="Arial" w:hAnsi="Arial" w:cs="Arial"/>
          <w:bCs/>
          <w:sz w:val="22"/>
          <w:szCs w:val="22"/>
        </w:rPr>
        <w:t xml:space="preserve"> against </w:t>
      </w:r>
      <w:r w:rsidR="00363B6D">
        <w:rPr>
          <w:rFonts w:ascii="Arial" w:hAnsi="Arial" w:cs="Arial"/>
          <w:bCs/>
          <w:sz w:val="22"/>
          <w:szCs w:val="22"/>
        </w:rPr>
        <w:t>‘</w:t>
      </w:r>
      <w:r w:rsidRPr="00311631">
        <w:rPr>
          <w:rFonts w:ascii="Arial" w:hAnsi="Arial" w:cs="Arial"/>
          <w:bCs/>
          <w:sz w:val="22"/>
          <w:szCs w:val="22"/>
        </w:rPr>
        <w:t>doing all the unpaid domestic labour that kept society going</w:t>
      </w:r>
      <w:r w:rsidR="00363B6D">
        <w:rPr>
          <w:rFonts w:ascii="Arial" w:hAnsi="Arial" w:cs="Arial"/>
          <w:bCs/>
          <w:sz w:val="22"/>
          <w:szCs w:val="22"/>
        </w:rPr>
        <w:t>’</w:t>
      </w:r>
      <w:r w:rsidR="00C24D3E">
        <w:rPr>
          <w:rFonts w:ascii="Arial" w:hAnsi="Arial" w:cs="Arial"/>
          <w:bCs/>
          <w:sz w:val="22"/>
          <w:szCs w:val="22"/>
        </w:rPr>
        <w:t>.</w:t>
      </w:r>
      <w:r w:rsidRPr="00311631">
        <w:rPr>
          <w:rFonts w:ascii="Arial" w:hAnsi="Arial" w:cs="Arial"/>
          <w:bCs/>
          <w:sz w:val="22"/>
          <w:szCs w:val="22"/>
          <w:vertAlign w:val="superscript"/>
        </w:rPr>
        <w:footnoteReference w:id="35"/>
      </w:r>
      <w:r w:rsidRPr="00311631">
        <w:rPr>
          <w:rFonts w:ascii="Arial" w:hAnsi="Arial" w:cs="Arial"/>
          <w:bCs/>
          <w:sz w:val="22"/>
          <w:szCs w:val="22"/>
        </w:rPr>
        <w:t xml:space="preserve"> This passage provides the only information given in the novel in respect of the implementation of the Act – while the blurb to the novel states that it is set in </w:t>
      </w:r>
      <w:r w:rsidR="00363B6D">
        <w:rPr>
          <w:rFonts w:ascii="Arial" w:hAnsi="Arial" w:cs="Arial"/>
          <w:bCs/>
          <w:sz w:val="22"/>
          <w:szCs w:val="22"/>
        </w:rPr>
        <w:t>‘</w:t>
      </w:r>
      <w:r w:rsidRPr="00311631">
        <w:rPr>
          <w:rFonts w:ascii="Arial" w:hAnsi="Arial" w:cs="Arial"/>
          <w:bCs/>
          <w:sz w:val="22"/>
          <w:szCs w:val="22"/>
        </w:rPr>
        <w:t>..a world where women hold the power. They dominate…government</w:t>
      </w:r>
      <w:r w:rsidR="00363B6D">
        <w:rPr>
          <w:rFonts w:ascii="Arial" w:hAnsi="Arial" w:cs="Arial"/>
          <w:bCs/>
          <w:sz w:val="22"/>
          <w:szCs w:val="22"/>
        </w:rPr>
        <w:t>’</w:t>
      </w:r>
      <w:r w:rsidRPr="00311631">
        <w:rPr>
          <w:rFonts w:ascii="Arial" w:hAnsi="Arial" w:cs="Arial"/>
          <w:bCs/>
          <w:sz w:val="22"/>
          <w:szCs w:val="22"/>
        </w:rPr>
        <w:t>,</w:t>
      </w:r>
      <w:r w:rsidR="003678C1" w:rsidRPr="00311631">
        <w:rPr>
          <w:rFonts w:ascii="Arial" w:hAnsi="Arial" w:cs="Arial"/>
          <w:bCs/>
          <w:sz w:val="22"/>
          <w:szCs w:val="22"/>
          <w:vertAlign w:val="superscript"/>
        </w:rPr>
        <w:footnoteReference w:id="36"/>
      </w:r>
      <w:r w:rsidRPr="00311631">
        <w:rPr>
          <w:rFonts w:ascii="Arial" w:hAnsi="Arial" w:cs="Arial"/>
          <w:bCs/>
          <w:sz w:val="22"/>
          <w:szCs w:val="22"/>
        </w:rPr>
        <w:t xml:space="preserve"> no elaboration upon this is given in the novel itself. The societal and economic impact of this action must have been of the most extreme severity, given that it provoked the passing of legislation that would impose upon the majority of the legislature itself (as of this writing, only 22</w:t>
      </w:r>
      <w:r w:rsidR="00943B03">
        <w:rPr>
          <w:rFonts w:ascii="Arial" w:hAnsi="Arial" w:cs="Arial"/>
          <w:bCs/>
          <w:sz w:val="22"/>
          <w:szCs w:val="22"/>
        </w:rPr>
        <w:t>6</w:t>
      </w:r>
      <w:r w:rsidRPr="00311631">
        <w:rPr>
          <w:rFonts w:ascii="Arial" w:hAnsi="Arial" w:cs="Arial"/>
          <w:bCs/>
          <w:sz w:val="22"/>
          <w:szCs w:val="22"/>
        </w:rPr>
        <w:t xml:space="preserve"> out of the 650 Members of the House of Commons are women</w:t>
      </w:r>
      <w:r w:rsidRPr="00311631">
        <w:rPr>
          <w:rFonts w:ascii="Arial" w:hAnsi="Arial" w:cs="Arial"/>
          <w:bCs/>
          <w:sz w:val="22"/>
          <w:szCs w:val="22"/>
          <w:vertAlign w:val="superscript"/>
        </w:rPr>
        <w:footnoteReference w:id="37"/>
      </w:r>
      <w:r w:rsidRPr="00311631">
        <w:rPr>
          <w:rFonts w:ascii="Arial" w:hAnsi="Arial" w:cs="Arial"/>
          <w:bCs/>
          <w:sz w:val="22"/>
          <w:szCs w:val="22"/>
        </w:rPr>
        <w:t>) indefinite and irreducible curtailments upon their liberties.</w:t>
      </w:r>
    </w:p>
    <w:p w14:paraId="0353D8BD" w14:textId="77777777" w:rsidR="003678C1" w:rsidRPr="00311631" w:rsidRDefault="003678C1" w:rsidP="009A642B">
      <w:pPr>
        <w:pStyle w:val="ArticleTitle"/>
        <w:spacing w:after="0" w:line="360" w:lineRule="auto"/>
        <w:ind w:firstLine="720"/>
        <w:rPr>
          <w:rFonts w:ascii="Arial" w:hAnsi="Arial" w:cs="Arial"/>
          <w:bCs/>
          <w:sz w:val="22"/>
          <w:szCs w:val="22"/>
        </w:rPr>
      </w:pPr>
    </w:p>
    <w:p w14:paraId="3FFBD86D" w14:textId="2DD27B2A" w:rsidR="00311631" w:rsidRDefault="00311631" w:rsidP="003678C1">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In the </w:t>
      </w:r>
      <w:r w:rsidR="00363B6D">
        <w:rPr>
          <w:rFonts w:ascii="Arial" w:hAnsi="Arial" w:cs="Arial"/>
          <w:bCs/>
          <w:sz w:val="22"/>
          <w:szCs w:val="22"/>
        </w:rPr>
        <w:t>‘</w:t>
      </w:r>
      <w:r w:rsidRPr="00311631">
        <w:rPr>
          <w:rFonts w:ascii="Arial" w:hAnsi="Arial" w:cs="Arial"/>
          <w:bCs/>
          <w:sz w:val="22"/>
          <w:szCs w:val="22"/>
        </w:rPr>
        <w:t>Author’s Note</w:t>
      </w:r>
      <w:r w:rsidR="00363B6D">
        <w:rPr>
          <w:rFonts w:ascii="Arial" w:hAnsi="Arial" w:cs="Arial"/>
          <w:bCs/>
          <w:sz w:val="22"/>
          <w:szCs w:val="22"/>
        </w:rPr>
        <w:t>’</w:t>
      </w:r>
      <w:r w:rsidRPr="00311631">
        <w:rPr>
          <w:rFonts w:ascii="Arial" w:hAnsi="Arial" w:cs="Arial"/>
          <w:bCs/>
          <w:sz w:val="22"/>
          <w:szCs w:val="22"/>
        </w:rPr>
        <w:t xml:space="preserve"> to </w:t>
      </w:r>
      <w:r w:rsidRPr="00311631">
        <w:rPr>
          <w:rFonts w:ascii="Arial" w:hAnsi="Arial" w:cs="Arial"/>
          <w:bCs/>
          <w:i/>
          <w:iCs/>
          <w:sz w:val="22"/>
          <w:szCs w:val="22"/>
        </w:rPr>
        <w:t>After Dark</w:t>
      </w:r>
      <w:r w:rsidRPr="00311631">
        <w:rPr>
          <w:rFonts w:ascii="Arial" w:hAnsi="Arial" w:cs="Arial"/>
          <w:bCs/>
          <w:sz w:val="22"/>
          <w:szCs w:val="22"/>
        </w:rPr>
        <w:t xml:space="preserve">, Cowie comments that the restrictions imposed by the United Kingdom government in 2020 in response to the COVID-19 pandemic demonstrated </w:t>
      </w:r>
      <w:r w:rsidR="00363B6D">
        <w:rPr>
          <w:rFonts w:ascii="Arial" w:hAnsi="Arial" w:cs="Arial"/>
          <w:bCs/>
          <w:sz w:val="22"/>
          <w:szCs w:val="22"/>
        </w:rPr>
        <w:t>‘</w:t>
      </w:r>
      <w:r w:rsidRPr="00311631">
        <w:rPr>
          <w:rFonts w:ascii="Arial" w:hAnsi="Arial" w:cs="Arial"/>
          <w:bCs/>
          <w:sz w:val="22"/>
          <w:szCs w:val="22"/>
        </w:rPr>
        <w:t>just how easily our freedoms could be curtailed, and how willing we were to accept restrictions that would previously be unthinkable</w:t>
      </w:r>
      <w:r w:rsidR="00363B6D">
        <w:rPr>
          <w:rFonts w:ascii="Arial" w:hAnsi="Arial" w:cs="Arial"/>
          <w:bCs/>
          <w:sz w:val="22"/>
          <w:szCs w:val="22"/>
        </w:rPr>
        <w:t>’</w:t>
      </w:r>
      <w:r w:rsidR="003678C1">
        <w:rPr>
          <w:rFonts w:ascii="Arial" w:hAnsi="Arial" w:cs="Arial"/>
          <w:bCs/>
          <w:sz w:val="22"/>
          <w:szCs w:val="22"/>
        </w:rPr>
        <w:t>.</w:t>
      </w:r>
      <w:r w:rsidRPr="00311631">
        <w:rPr>
          <w:rFonts w:ascii="Arial" w:hAnsi="Arial" w:cs="Arial"/>
          <w:bCs/>
          <w:sz w:val="22"/>
          <w:szCs w:val="22"/>
          <w:vertAlign w:val="superscript"/>
        </w:rPr>
        <w:footnoteReference w:id="38"/>
      </w:r>
      <w:r w:rsidRPr="00311631">
        <w:rPr>
          <w:rFonts w:ascii="Arial" w:hAnsi="Arial" w:cs="Arial"/>
          <w:bCs/>
          <w:sz w:val="22"/>
          <w:szCs w:val="22"/>
        </w:rPr>
        <w:t xml:space="preserve"> The incursions made into the right to a private life under the European Convention on Human Rights</w:t>
      </w:r>
      <w:r w:rsidRPr="00311631">
        <w:rPr>
          <w:rFonts w:ascii="Arial" w:hAnsi="Arial" w:cs="Arial"/>
          <w:bCs/>
          <w:sz w:val="22"/>
          <w:szCs w:val="22"/>
          <w:vertAlign w:val="superscript"/>
        </w:rPr>
        <w:footnoteReference w:id="39"/>
      </w:r>
      <w:r w:rsidRPr="00311631">
        <w:rPr>
          <w:rFonts w:ascii="Arial" w:hAnsi="Arial" w:cs="Arial"/>
          <w:bCs/>
          <w:sz w:val="22"/>
          <w:szCs w:val="22"/>
        </w:rPr>
        <w:t xml:space="preserve"> by this legislation were the subject of a legal challenge, which was unsuccessful on the basis that the undoubted Article 8 infringement was justified in the interest of the protection of health (a qualification made to the Article 8 right by the Article itself)</w:t>
      </w:r>
      <w:r w:rsidR="003678C1">
        <w:rPr>
          <w:rFonts w:ascii="Arial" w:hAnsi="Arial" w:cs="Arial"/>
          <w:bCs/>
          <w:sz w:val="22"/>
          <w:szCs w:val="22"/>
        </w:rPr>
        <w:t>.</w:t>
      </w:r>
      <w:r w:rsidR="003678C1" w:rsidRPr="00311631">
        <w:rPr>
          <w:rFonts w:ascii="Arial" w:hAnsi="Arial" w:cs="Arial"/>
          <w:bCs/>
          <w:sz w:val="22"/>
          <w:szCs w:val="22"/>
          <w:vertAlign w:val="superscript"/>
        </w:rPr>
        <w:footnoteReference w:id="40"/>
      </w:r>
      <w:r w:rsidRPr="00311631">
        <w:rPr>
          <w:rFonts w:ascii="Arial" w:hAnsi="Arial" w:cs="Arial"/>
          <w:bCs/>
          <w:sz w:val="22"/>
          <w:szCs w:val="22"/>
        </w:rPr>
        <w:t xml:space="preserve"> </w:t>
      </w:r>
    </w:p>
    <w:p w14:paraId="3FBF5E96" w14:textId="77777777" w:rsidR="003678C1" w:rsidRPr="00311631" w:rsidRDefault="003678C1" w:rsidP="003678C1">
      <w:pPr>
        <w:pStyle w:val="ArticleTitle"/>
        <w:spacing w:after="0" w:line="360" w:lineRule="auto"/>
        <w:ind w:firstLine="720"/>
        <w:rPr>
          <w:rFonts w:ascii="Arial" w:hAnsi="Arial" w:cs="Arial"/>
          <w:bCs/>
          <w:sz w:val="22"/>
          <w:szCs w:val="22"/>
        </w:rPr>
      </w:pPr>
    </w:p>
    <w:p w14:paraId="3BAA9DB2" w14:textId="600F9BF4" w:rsidR="00311631" w:rsidRDefault="00311631" w:rsidP="00A6138D">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Similar challenges would undoubtedly be brought in respect of any legislation akin to the Prevention of Femicide Act 2023. As Cowie notes, it may </w:t>
      </w:r>
      <w:r w:rsidR="00363B6D">
        <w:rPr>
          <w:rFonts w:ascii="Arial" w:hAnsi="Arial" w:cs="Arial"/>
          <w:bCs/>
          <w:sz w:val="22"/>
          <w:szCs w:val="22"/>
        </w:rPr>
        <w:t>‘</w:t>
      </w:r>
      <w:r w:rsidRPr="00311631">
        <w:rPr>
          <w:rFonts w:ascii="Arial" w:hAnsi="Arial" w:cs="Arial"/>
          <w:bCs/>
          <w:sz w:val="22"/>
          <w:szCs w:val="22"/>
        </w:rPr>
        <w:t>seem[..] unrealistic</w:t>
      </w:r>
      <w:r w:rsidR="00363B6D">
        <w:rPr>
          <w:rFonts w:ascii="Arial" w:hAnsi="Arial" w:cs="Arial"/>
          <w:bCs/>
          <w:sz w:val="22"/>
          <w:szCs w:val="22"/>
        </w:rPr>
        <w:t>’</w:t>
      </w:r>
      <w:r w:rsidRPr="00311631">
        <w:rPr>
          <w:rFonts w:ascii="Arial" w:hAnsi="Arial" w:cs="Arial"/>
          <w:bCs/>
          <w:sz w:val="22"/>
          <w:szCs w:val="22"/>
          <w:vertAlign w:val="superscript"/>
        </w:rPr>
        <w:footnoteReference w:id="41"/>
      </w:r>
      <w:r w:rsidRPr="00311631">
        <w:rPr>
          <w:rFonts w:ascii="Arial" w:hAnsi="Arial" w:cs="Arial"/>
          <w:bCs/>
          <w:sz w:val="22"/>
          <w:szCs w:val="22"/>
        </w:rPr>
        <w:t xml:space="preserve"> to suppose that legislation imposing such extreme restrictions would be enacted in fact. However, such a development was indeed proposed during the Parliamentary debate on the Domestic Abuse Bill around the time of Sarah Everard’s rape and murder, in terms even more restrictive (imposing a curfew starting at 6pm) than those in the fictitious Act</w:t>
      </w:r>
      <w:r w:rsidR="00A6138D">
        <w:rPr>
          <w:rFonts w:ascii="Arial" w:hAnsi="Arial" w:cs="Arial"/>
          <w:bCs/>
          <w:sz w:val="22"/>
          <w:szCs w:val="22"/>
        </w:rPr>
        <w:t>.</w:t>
      </w:r>
      <w:r w:rsidRPr="00311631">
        <w:rPr>
          <w:rFonts w:ascii="Arial" w:hAnsi="Arial" w:cs="Arial"/>
          <w:bCs/>
          <w:sz w:val="22"/>
          <w:szCs w:val="22"/>
          <w:vertAlign w:val="superscript"/>
        </w:rPr>
        <w:footnoteReference w:id="42"/>
      </w:r>
      <w:r w:rsidRPr="00311631">
        <w:rPr>
          <w:rFonts w:ascii="Arial" w:hAnsi="Arial" w:cs="Arial"/>
          <w:bCs/>
          <w:sz w:val="22"/>
          <w:szCs w:val="22"/>
        </w:rPr>
        <w:t xml:space="preserve"> While the author of this proposal would subsequently state that she was not serious in her intention</w:t>
      </w:r>
      <w:r w:rsidR="00A6138D">
        <w:rPr>
          <w:rFonts w:ascii="Arial" w:hAnsi="Arial" w:cs="Arial"/>
          <w:bCs/>
          <w:sz w:val="22"/>
          <w:szCs w:val="22"/>
        </w:rPr>
        <w:t>,</w:t>
      </w:r>
      <w:r w:rsidRPr="00311631">
        <w:rPr>
          <w:rFonts w:ascii="Arial" w:hAnsi="Arial" w:cs="Arial"/>
          <w:bCs/>
          <w:sz w:val="22"/>
          <w:szCs w:val="22"/>
          <w:vertAlign w:val="superscript"/>
        </w:rPr>
        <w:footnoteReference w:id="43"/>
      </w:r>
      <w:r w:rsidRPr="00311631">
        <w:rPr>
          <w:rFonts w:ascii="Arial" w:hAnsi="Arial" w:cs="Arial"/>
          <w:bCs/>
          <w:sz w:val="22"/>
          <w:szCs w:val="22"/>
        </w:rPr>
        <w:t xml:space="preserve"> it has been argued elsewhere that such a measure would be a necessary and proportionate step to tackle </w:t>
      </w:r>
      <w:r w:rsidRPr="00311631">
        <w:rPr>
          <w:rFonts w:ascii="Arial" w:hAnsi="Arial" w:cs="Arial"/>
          <w:bCs/>
          <w:sz w:val="22"/>
          <w:szCs w:val="22"/>
        </w:rPr>
        <w:lastRenderedPageBreak/>
        <w:t>the problem of gender-based violence, and that it would not contravene the Article 8 right to a private life</w:t>
      </w:r>
      <w:r w:rsidR="00A6138D">
        <w:rPr>
          <w:rFonts w:ascii="Arial" w:hAnsi="Arial" w:cs="Arial"/>
          <w:bCs/>
          <w:sz w:val="22"/>
          <w:szCs w:val="22"/>
        </w:rPr>
        <w:t>.</w:t>
      </w:r>
      <w:r w:rsidRPr="00311631">
        <w:rPr>
          <w:rFonts w:ascii="Arial" w:hAnsi="Arial" w:cs="Arial"/>
          <w:bCs/>
          <w:sz w:val="22"/>
          <w:szCs w:val="22"/>
          <w:vertAlign w:val="superscript"/>
        </w:rPr>
        <w:footnoteReference w:id="44"/>
      </w:r>
      <w:r w:rsidRPr="00311631">
        <w:rPr>
          <w:rFonts w:ascii="Arial" w:hAnsi="Arial" w:cs="Arial"/>
          <w:bCs/>
          <w:sz w:val="22"/>
          <w:szCs w:val="22"/>
        </w:rPr>
        <w:t xml:space="preserve"> However, it would be a difficult task indeed to attempt to convince a court that a restriction on the basis of biological sex of the type envisioned in </w:t>
      </w:r>
      <w:r w:rsidRPr="00311631">
        <w:rPr>
          <w:rFonts w:ascii="Arial" w:hAnsi="Arial" w:cs="Arial"/>
          <w:bCs/>
          <w:i/>
          <w:iCs/>
          <w:sz w:val="22"/>
          <w:szCs w:val="22"/>
        </w:rPr>
        <w:t xml:space="preserve">After Dark </w:t>
      </w:r>
      <w:r w:rsidRPr="00311631">
        <w:rPr>
          <w:rFonts w:ascii="Arial" w:hAnsi="Arial" w:cs="Arial"/>
          <w:bCs/>
          <w:sz w:val="22"/>
          <w:szCs w:val="22"/>
        </w:rPr>
        <w:t xml:space="preserve">is </w:t>
      </w:r>
      <w:r w:rsidR="00363B6D">
        <w:rPr>
          <w:rFonts w:ascii="Arial" w:hAnsi="Arial" w:cs="Arial"/>
          <w:bCs/>
          <w:sz w:val="22"/>
          <w:szCs w:val="22"/>
        </w:rPr>
        <w:t>‘</w:t>
      </w:r>
      <w:r w:rsidRPr="00311631">
        <w:rPr>
          <w:rFonts w:ascii="Arial" w:hAnsi="Arial" w:cs="Arial"/>
          <w:bCs/>
          <w:sz w:val="22"/>
          <w:szCs w:val="22"/>
        </w:rPr>
        <w:t>necessary in a democratic society</w:t>
      </w:r>
      <w:r w:rsidR="00363B6D">
        <w:rPr>
          <w:rFonts w:ascii="Arial" w:hAnsi="Arial" w:cs="Arial"/>
          <w:bCs/>
          <w:sz w:val="22"/>
          <w:szCs w:val="22"/>
        </w:rPr>
        <w:t>’</w:t>
      </w:r>
      <w:r w:rsidRPr="00311631">
        <w:rPr>
          <w:rFonts w:ascii="Arial" w:hAnsi="Arial" w:cs="Arial"/>
          <w:bCs/>
          <w:sz w:val="22"/>
          <w:szCs w:val="22"/>
        </w:rPr>
        <w:t xml:space="preserve"> so as not to contravene Article 8, or the right to enjoy Convention rights without discrimination on the basis of sex contrary to Article 14. Far more likely, in the political climate as of this writing, is that legislation imposing restrictions of this kind would be actuated by the United Kingdom’s withdrawing from the European Convention on Human Rights – a course of action championed openly by th</w:t>
      </w:r>
      <w:r w:rsidR="000414C4">
        <w:rPr>
          <w:rFonts w:ascii="Arial" w:hAnsi="Arial" w:cs="Arial"/>
          <w:bCs/>
          <w:sz w:val="22"/>
          <w:szCs w:val="22"/>
        </w:rPr>
        <w:t xml:space="preserve">e last </w:t>
      </w:r>
      <w:r w:rsidRPr="00311631">
        <w:rPr>
          <w:rFonts w:ascii="Arial" w:hAnsi="Arial" w:cs="Arial"/>
          <w:bCs/>
          <w:sz w:val="22"/>
          <w:szCs w:val="22"/>
        </w:rPr>
        <w:t>U.K Home Secretary</w:t>
      </w:r>
      <w:r w:rsidR="00D20E4B">
        <w:rPr>
          <w:rFonts w:ascii="Arial" w:hAnsi="Arial" w:cs="Arial"/>
          <w:bCs/>
          <w:sz w:val="22"/>
          <w:szCs w:val="22"/>
        </w:rPr>
        <w:t>.</w:t>
      </w:r>
      <w:r w:rsidRPr="00311631">
        <w:rPr>
          <w:rFonts w:ascii="Arial" w:hAnsi="Arial" w:cs="Arial"/>
          <w:bCs/>
          <w:sz w:val="22"/>
          <w:szCs w:val="22"/>
          <w:vertAlign w:val="superscript"/>
        </w:rPr>
        <w:footnoteReference w:id="45"/>
      </w:r>
      <w:r w:rsidRPr="00311631">
        <w:rPr>
          <w:rFonts w:ascii="Arial" w:hAnsi="Arial" w:cs="Arial"/>
          <w:bCs/>
          <w:sz w:val="22"/>
          <w:szCs w:val="22"/>
        </w:rPr>
        <w:t xml:space="preserve"> As such, any legislation comparable to the Act would be subject from its inception to challenge on the basis that it is predicated upon the removal of rights previously granted to its subjects. In the next section of this article, I will explore the other problems with the Act that are demonstrated in the events of </w:t>
      </w:r>
      <w:r w:rsidRPr="00311631">
        <w:rPr>
          <w:rFonts w:ascii="Arial" w:hAnsi="Arial" w:cs="Arial"/>
          <w:bCs/>
          <w:i/>
          <w:iCs/>
          <w:sz w:val="22"/>
          <w:szCs w:val="22"/>
        </w:rPr>
        <w:t>After Dark</w:t>
      </w:r>
      <w:r w:rsidRPr="00311631">
        <w:rPr>
          <w:rFonts w:ascii="Arial" w:hAnsi="Arial" w:cs="Arial"/>
          <w:bCs/>
          <w:sz w:val="22"/>
          <w:szCs w:val="22"/>
        </w:rPr>
        <w:t xml:space="preserve">, and which would bedevil any comparable real-world legislation with the likely outcome that – as with the 2023 Act in </w:t>
      </w:r>
      <w:r w:rsidRPr="00311631">
        <w:rPr>
          <w:rFonts w:ascii="Arial" w:hAnsi="Arial" w:cs="Arial"/>
          <w:bCs/>
          <w:i/>
          <w:iCs/>
          <w:sz w:val="22"/>
          <w:szCs w:val="22"/>
        </w:rPr>
        <w:t xml:space="preserve">After Dark </w:t>
      </w:r>
      <w:r w:rsidRPr="00311631">
        <w:rPr>
          <w:rFonts w:ascii="Arial" w:hAnsi="Arial" w:cs="Arial"/>
          <w:bCs/>
          <w:sz w:val="22"/>
          <w:szCs w:val="22"/>
        </w:rPr>
        <w:t>– it would fail to fulfil its objective of preventing gender-based violence.</w:t>
      </w:r>
    </w:p>
    <w:p w14:paraId="5956FCDC" w14:textId="77777777" w:rsidR="00D20E4B" w:rsidRPr="00311631" w:rsidRDefault="00D20E4B" w:rsidP="00A6138D">
      <w:pPr>
        <w:pStyle w:val="ArticleTitle"/>
        <w:spacing w:after="0" w:line="360" w:lineRule="auto"/>
        <w:ind w:firstLine="720"/>
        <w:rPr>
          <w:rFonts w:ascii="Arial" w:hAnsi="Arial" w:cs="Arial"/>
          <w:b/>
          <w:bCs/>
          <w:sz w:val="22"/>
          <w:szCs w:val="22"/>
        </w:rPr>
      </w:pPr>
    </w:p>
    <w:p w14:paraId="1B70962D" w14:textId="2D41D56A" w:rsidR="00311631" w:rsidRDefault="00311631" w:rsidP="00932066">
      <w:pPr>
        <w:pStyle w:val="ArticleTitle"/>
        <w:spacing w:after="0" w:line="360" w:lineRule="auto"/>
        <w:rPr>
          <w:rFonts w:ascii="Arial" w:hAnsi="Arial" w:cs="Arial"/>
          <w:b/>
          <w:bCs/>
          <w:sz w:val="22"/>
          <w:szCs w:val="22"/>
        </w:rPr>
      </w:pPr>
      <w:r w:rsidRPr="00311631">
        <w:rPr>
          <w:rFonts w:ascii="Arial" w:hAnsi="Arial" w:cs="Arial"/>
          <w:b/>
          <w:bCs/>
          <w:sz w:val="22"/>
          <w:szCs w:val="22"/>
        </w:rPr>
        <w:t xml:space="preserve">(The rest of this article contains </w:t>
      </w:r>
      <w:r w:rsidR="00363B6D">
        <w:rPr>
          <w:rFonts w:ascii="Arial" w:hAnsi="Arial" w:cs="Arial"/>
          <w:b/>
          <w:bCs/>
          <w:sz w:val="22"/>
          <w:szCs w:val="22"/>
        </w:rPr>
        <w:t>‘</w:t>
      </w:r>
      <w:r w:rsidRPr="00311631">
        <w:rPr>
          <w:rFonts w:ascii="Arial" w:hAnsi="Arial" w:cs="Arial"/>
          <w:b/>
          <w:bCs/>
          <w:sz w:val="22"/>
          <w:szCs w:val="22"/>
        </w:rPr>
        <w:t>spoilers</w:t>
      </w:r>
      <w:r w:rsidR="00363B6D">
        <w:rPr>
          <w:rFonts w:ascii="Arial" w:hAnsi="Arial" w:cs="Arial"/>
          <w:b/>
          <w:bCs/>
          <w:sz w:val="22"/>
          <w:szCs w:val="22"/>
        </w:rPr>
        <w:t>’</w:t>
      </w:r>
      <w:r w:rsidRPr="00311631">
        <w:rPr>
          <w:rFonts w:ascii="Arial" w:hAnsi="Arial" w:cs="Arial"/>
          <w:b/>
          <w:bCs/>
          <w:sz w:val="22"/>
          <w:szCs w:val="22"/>
        </w:rPr>
        <w:t xml:space="preserve"> in respect of the plot of </w:t>
      </w:r>
      <w:r w:rsidRPr="00311631">
        <w:rPr>
          <w:rFonts w:ascii="Arial" w:hAnsi="Arial" w:cs="Arial"/>
          <w:b/>
          <w:bCs/>
          <w:i/>
          <w:iCs/>
          <w:sz w:val="22"/>
          <w:szCs w:val="22"/>
        </w:rPr>
        <w:t>After Dark</w:t>
      </w:r>
      <w:r w:rsidRPr="00311631">
        <w:rPr>
          <w:rFonts w:ascii="Arial" w:hAnsi="Arial" w:cs="Arial"/>
          <w:b/>
          <w:bCs/>
          <w:sz w:val="22"/>
          <w:szCs w:val="22"/>
        </w:rPr>
        <w:t xml:space="preserve">: therefore, anyone intending to read the novel without foreknowledge of its plot developments should pause their reading of this article until after having read the novel in full). </w:t>
      </w:r>
    </w:p>
    <w:p w14:paraId="2D7F81B9" w14:textId="77777777" w:rsidR="00D20E4B" w:rsidRPr="00311631" w:rsidRDefault="00D20E4B" w:rsidP="00932066">
      <w:pPr>
        <w:pStyle w:val="ArticleTitle"/>
        <w:spacing w:after="0" w:line="360" w:lineRule="auto"/>
        <w:rPr>
          <w:rFonts w:ascii="Arial" w:hAnsi="Arial" w:cs="Arial"/>
          <w:b/>
          <w:bCs/>
          <w:sz w:val="22"/>
          <w:szCs w:val="22"/>
        </w:rPr>
      </w:pPr>
    </w:p>
    <w:p w14:paraId="493DEE06" w14:textId="77777777" w:rsidR="00311631" w:rsidRPr="00680918" w:rsidRDefault="00311631" w:rsidP="00932066">
      <w:pPr>
        <w:pStyle w:val="ArticleTitle"/>
        <w:spacing w:after="0" w:line="360" w:lineRule="auto"/>
        <w:rPr>
          <w:rFonts w:ascii="Arial" w:hAnsi="Arial" w:cs="Arial"/>
          <w:b/>
          <w:i/>
          <w:iCs/>
          <w:sz w:val="22"/>
          <w:szCs w:val="22"/>
        </w:rPr>
      </w:pPr>
      <w:r w:rsidRPr="00311631">
        <w:rPr>
          <w:rFonts w:ascii="Arial" w:hAnsi="Arial" w:cs="Arial"/>
          <w:b/>
          <w:i/>
          <w:iCs/>
          <w:sz w:val="22"/>
          <w:szCs w:val="22"/>
        </w:rPr>
        <w:t>The Defects in the 2023 Act</w:t>
      </w:r>
    </w:p>
    <w:p w14:paraId="0CEFDC3A" w14:textId="77777777" w:rsidR="00680918" w:rsidRPr="00311631" w:rsidRDefault="00680918" w:rsidP="00932066">
      <w:pPr>
        <w:pStyle w:val="ArticleTitle"/>
        <w:spacing w:after="0" w:line="360" w:lineRule="auto"/>
        <w:rPr>
          <w:rFonts w:ascii="Arial" w:hAnsi="Arial" w:cs="Arial"/>
          <w:bCs/>
          <w:sz w:val="22"/>
          <w:szCs w:val="22"/>
          <w:u w:val="single"/>
        </w:rPr>
      </w:pPr>
    </w:p>
    <w:p w14:paraId="67E1466D" w14:textId="77777777"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 xml:space="preserve">It stands to reason that for a system of legislation by control to function effectively, that system must be robust, must be respected, and must apply a measure of control sufficient to obtain the desired result. The narrative of </w:t>
      </w:r>
      <w:r w:rsidRPr="00311631">
        <w:rPr>
          <w:rFonts w:ascii="Arial" w:hAnsi="Arial" w:cs="Arial"/>
          <w:bCs/>
          <w:i/>
          <w:iCs/>
          <w:sz w:val="22"/>
          <w:szCs w:val="22"/>
        </w:rPr>
        <w:t>After Dark</w:t>
      </w:r>
      <w:r w:rsidRPr="00311631">
        <w:rPr>
          <w:rFonts w:ascii="Arial" w:hAnsi="Arial" w:cs="Arial"/>
          <w:bCs/>
          <w:sz w:val="22"/>
          <w:szCs w:val="22"/>
        </w:rPr>
        <w:t xml:space="preserve"> depicts the failure of such a system due to its defects in all three characteristics.</w:t>
      </w:r>
    </w:p>
    <w:p w14:paraId="7E59D53B" w14:textId="77777777" w:rsidR="00680918" w:rsidRPr="00311631" w:rsidRDefault="00680918" w:rsidP="00932066">
      <w:pPr>
        <w:pStyle w:val="ArticleTitle"/>
        <w:spacing w:after="0" w:line="360" w:lineRule="auto"/>
        <w:rPr>
          <w:rFonts w:ascii="Arial" w:hAnsi="Arial" w:cs="Arial"/>
          <w:bCs/>
          <w:sz w:val="22"/>
          <w:szCs w:val="22"/>
        </w:rPr>
      </w:pPr>
    </w:p>
    <w:p w14:paraId="4857B32A" w14:textId="5043FE92" w:rsidR="00311631" w:rsidRDefault="00311631" w:rsidP="00680918">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plot of </w:t>
      </w:r>
      <w:r w:rsidRPr="00311631">
        <w:rPr>
          <w:rFonts w:ascii="Arial" w:hAnsi="Arial" w:cs="Arial"/>
          <w:bCs/>
          <w:i/>
          <w:iCs/>
          <w:sz w:val="22"/>
          <w:szCs w:val="22"/>
        </w:rPr>
        <w:t xml:space="preserve">After Dark </w:t>
      </w:r>
      <w:r w:rsidRPr="00311631">
        <w:rPr>
          <w:rFonts w:ascii="Arial" w:hAnsi="Arial" w:cs="Arial"/>
          <w:bCs/>
          <w:sz w:val="22"/>
          <w:szCs w:val="22"/>
        </w:rPr>
        <w:t xml:space="preserve">unravels in an asynchronous structure, and begins with the discovery by the (all-female) police of the body of a murdered woman. The identity of the victim is later revealed to be Helen Taylor, from whose (third person) point of view several of the chapters are written, </w:t>
      </w:r>
      <w:r w:rsidR="00391205">
        <w:rPr>
          <w:rFonts w:ascii="Arial" w:hAnsi="Arial" w:cs="Arial"/>
          <w:bCs/>
          <w:sz w:val="22"/>
          <w:szCs w:val="22"/>
        </w:rPr>
        <w:t xml:space="preserve">and </w:t>
      </w:r>
      <w:r w:rsidRPr="00311631">
        <w:rPr>
          <w:rFonts w:ascii="Arial" w:hAnsi="Arial" w:cs="Arial"/>
          <w:bCs/>
          <w:sz w:val="22"/>
          <w:szCs w:val="22"/>
        </w:rPr>
        <w:t xml:space="preserve">who is the schoolteacher of Cass Johnson (aged seventeen at the start of the novel: she becomes eighteen during its course), another point-of-view character. Cass’s mother Sarah Wallace, who works as a </w:t>
      </w:r>
      <w:r w:rsidR="00363B6D">
        <w:rPr>
          <w:rFonts w:ascii="Arial" w:hAnsi="Arial" w:cs="Arial"/>
          <w:bCs/>
          <w:sz w:val="22"/>
          <w:szCs w:val="22"/>
        </w:rPr>
        <w:t>‘</w:t>
      </w:r>
      <w:r w:rsidRPr="00311631">
        <w:rPr>
          <w:rFonts w:ascii="Arial" w:hAnsi="Arial" w:cs="Arial"/>
          <w:bCs/>
          <w:sz w:val="22"/>
          <w:szCs w:val="22"/>
        </w:rPr>
        <w:t>tagger</w:t>
      </w:r>
      <w:r w:rsidR="00363B6D">
        <w:rPr>
          <w:rFonts w:ascii="Arial" w:hAnsi="Arial" w:cs="Arial"/>
          <w:bCs/>
          <w:sz w:val="22"/>
          <w:szCs w:val="22"/>
        </w:rPr>
        <w:t>’</w:t>
      </w:r>
      <w:r w:rsidRPr="00311631">
        <w:rPr>
          <w:rFonts w:ascii="Arial" w:hAnsi="Arial" w:cs="Arial"/>
          <w:bCs/>
          <w:sz w:val="22"/>
          <w:szCs w:val="22"/>
        </w:rPr>
        <w:t xml:space="preserve"> overseeing the system of monitoring </w:t>
      </w:r>
      <w:r w:rsidRPr="00311631">
        <w:rPr>
          <w:rFonts w:ascii="Arial" w:hAnsi="Arial" w:cs="Arial"/>
          <w:bCs/>
          <w:sz w:val="22"/>
          <w:szCs w:val="22"/>
        </w:rPr>
        <w:lastRenderedPageBreak/>
        <w:t xml:space="preserve">men by use of electronic tags, is a third point-of-view character. The final point-of-view character is Pamela (no last name is given), the detective in charge of the murder investigation, although chapters from her point of view are written in the first person.  Pamela’s investigation is bedevilled throughout by the refusal of her superior officer, Rachel (again, no last name given) to concede that the murder could have been committed by a man, so absolute is her faith in the security for women afforded by the curfew-plus-tagging system. The murderer is revealed to be Tom Roberts, Helen’s domestic partner, who (under the alias </w:t>
      </w:r>
      <w:r w:rsidR="00363B6D">
        <w:rPr>
          <w:rFonts w:ascii="Arial" w:hAnsi="Arial" w:cs="Arial"/>
          <w:bCs/>
          <w:sz w:val="22"/>
          <w:szCs w:val="22"/>
        </w:rPr>
        <w:t>‘</w:t>
      </w:r>
      <w:r w:rsidRPr="00311631">
        <w:rPr>
          <w:rFonts w:ascii="Arial" w:hAnsi="Arial" w:cs="Arial"/>
          <w:bCs/>
          <w:sz w:val="22"/>
          <w:szCs w:val="22"/>
        </w:rPr>
        <w:t>Bertie</w:t>
      </w:r>
      <w:r w:rsidR="00363B6D">
        <w:rPr>
          <w:rFonts w:ascii="Arial" w:hAnsi="Arial" w:cs="Arial"/>
          <w:bCs/>
          <w:sz w:val="22"/>
          <w:szCs w:val="22"/>
        </w:rPr>
        <w:t>’</w:t>
      </w:r>
      <w:r w:rsidRPr="00311631">
        <w:rPr>
          <w:rFonts w:ascii="Arial" w:hAnsi="Arial" w:cs="Arial"/>
          <w:bCs/>
          <w:sz w:val="22"/>
          <w:szCs w:val="22"/>
        </w:rPr>
        <w:t>) had been conducting a clandestine affair with Cass.</w:t>
      </w:r>
    </w:p>
    <w:p w14:paraId="5AA0AEC5" w14:textId="77777777" w:rsidR="00391205" w:rsidRPr="00311631" w:rsidRDefault="00391205" w:rsidP="00680918">
      <w:pPr>
        <w:pStyle w:val="ArticleTitle"/>
        <w:spacing w:after="0" w:line="360" w:lineRule="auto"/>
        <w:ind w:firstLine="720"/>
        <w:rPr>
          <w:rFonts w:ascii="Arial" w:hAnsi="Arial" w:cs="Arial"/>
          <w:bCs/>
          <w:sz w:val="22"/>
          <w:szCs w:val="22"/>
        </w:rPr>
      </w:pPr>
    </w:p>
    <w:p w14:paraId="67813DDA" w14:textId="336B30A3" w:rsidR="00311631" w:rsidRDefault="00311631" w:rsidP="00391205">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Throughout the novel, much emphasis is placed upon the propensity of men to commit acts of violence against women. Important aspects of this theme seem to be that even an apparently compassionate and unthreatening man of the kind that Tom appears to be at the start of the novel may without warning carry out an act of gender-based violence (the actual act of Helen’s murder by Tom is not described, but it is implied to have been a product of his becoming enraged upon learning that she has taken </w:t>
      </w:r>
      <w:r w:rsidR="00363B6D">
        <w:rPr>
          <w:rFonts w:ascii="Arial" w:hAnsi="Arial" w:cs="Arial"/>
          <w:bCs/>
          <w:sz w:val="22"/>
          <w:szCs w:val="22"/>
        </w:rPr>
        <w:t>‘</w:t>
      </w:r>
      <w:r w:rsidRPr="00311631">
        <w:rPr>
          <w:rFonts w:ascii="Arial" w:hAnsi="Arial" w:cs="Arial"/>
          <w:bCs/>
          <w:sz w:val="22"/>
          <w:szCs w:val="22"/>
        </w:rPr>
        <w:t>abortion pills</w:t>
      </w:r>
      <w:r w:rsidR="00363B6D">
        <w:rPr>
          <w:rFonts w:ascii="Arial" w:hAnsi="Arial" w:cs="Arial"/>
          <w:bCs/>
          <w:sz w:val="22"/>
          <w:szCs w:val="22"/>
        </w:rPr>
        <w:t>’</w:t>
      </w:r>
      <w:r w:rsidR="00760EAF">
        <w:rPr>
          <w:rFonts w:ascii="Arial" w:hAnsi="Arial" w:cs="Arial"/>
          <w:bCs/>
          <w:sz w:val="22"/>
          <w:szCs w:val="22"/>
        </w:rPr>
        <w:t>,</w:t>
      </w:r>
      <w:r w:rsidRPr="00311631">
        <w:rPr>
          <w:rFonts w:ascii="Arial" w:hAnsi="Arial" w:cs="Arial"/>
          <w:bCs/>
          <w:sz w:val="22"/>
          <w:szCs w:val="22"/>
          <w:vertAlign w:val="superscript"/>
        </w:rPr>
        <w:footnoteReference w:id="46"/>
      </w:r>
      <w:r w:rsidRPr="00311631">
        <w:rPr>
          <w:rFonts w:ascii="Arial" w:hAnsi="Arial" w:cs="Arial"/>
          <w:bCs/>
          <w:sz w:val="22"/>
          <w:szCs w:val="22"/>
        </w:rPr>
        <w:t xml:space="preserve"> despite his having earlier in the novel demonstrated hostility to the prospect of having children with her</w:t>
      </w:r>
      <w:r w:rsidRPr="00311631">
        <w:rPr>
          <w:rFonts w:ascii="Arial" w:hAnsi="Arial" w:cs="Arial"/>
          <w:bCs/>
          <w:sz w:val="22"/>
          <w:szCs w:val="22"/>
          <w:vertAlign w:val="superscript"/>
        </w:rPr>
        <w:footnoteReference w:id="47"/>
      </w:r>
      <w:r w:rsidRPr="00311631">
        <w:rPr>
          <w:rFonts w:ascii="Arial" w:hAnsi="Arial" w:cs="Arial"/>
          <w:bCs/>
          <w:sz w:val="22"/>
          <w:szCs w:val="22"/>
        </w:rPr>
        <w:t>)</w:t>
      </w:r>
      <w:r w:rsidR="00760EAF">
        <w:rPr>
          <w:rFonts w:ascii="Arial" w:hAnsi="Arial" w:cs="Arial"/>
          <w:bCs/>
          <w:sz w:val="22"/>
          <w:szCs w:val="22"/>
        </w:rPr>
        <w:t>,</w:t>
      </w:r>
      <w:r w:rsidRPr="00311631">
        <w:rPr>
          <w:rFonts w:ascii="Arial" w:hAnsi="Arial" w:cs="Arial"/>
          <w:bCs/>
          <w:sz w:val="22"/>
          <w:szCs w:val="22"/>
        </w:rPr>
        <w:t xml:space="preserve"> and the potentially severe consequences of that violence due to the greater physical strength of men compared to women (a point strikingly demonstrated by Helen coercing Cass and her (male) friend and classmate Billy to engage in an arm-wrestling match</w:t>
      </w:r>
      <w:r w:rsidRPr="00311631">
        <w:rPr>
          <w:rFonts w:ascii="Arial" w:hAnsi="Arial" w:cs="Arial"/>
          <w:bCs/>
          <w:sz w:val="22"/>
          <w:szCs w:val="22"/>
          <w:vertAlign w:val="superscript"/>
        </w:rPr>
        <w:footnoteReference w:id="48"/>
      </w:r>
      <w:r w:rsidRPr="00311631">
        <w:rPr>
          <w:rFonts w:ascii="Arial" w:hAnsi="Arial" w:cs="Arial"/>
          <w:bCs/>
          <w:sz w:val="22"/>
          <w:szCs w:val="22"/>
        </w:rPr>
        <w:t xml:space="preserve">). With these factors in mind, it is apparent that the curfew system depicted in </w:t>
      </w:r>
      <w:r w:rsidRPr="00311631">
        <w:rPr>
          <w:rFonts w:ascii="Arial" w:hAnsi="Arial" w:cs="Arial"/>
          <w:bCs/>
          <w:i/>
          <w:iCs/>
          <w:sz w:val="22"/>
          <w:szCs w:val="22"/>
        </w:rPr>
        <w:t xml:space="preserve">After Dark </w:t>
      </w:r>
      <w:r w:rsidRPr="00311631">
        <w:rPr>
          <w:rFonts w:ascii="Arial" w:hAnsi="Arial" w:cs="Arial"/>
          <w:bCs/>
          <w:sz w:val="22"/>
          <w:szCs w:val="22"/>
        </w:rPr>
        <w:t>is an ineffective method of control; relying as it does on the application of control by women over men, which the events of the novel demonstrate cannot be exercised with the necessary degree of rigour due to the greater physical strength of men and their propensity to use that strength to carry out acts of violence against women in circumstances that cannot be predicted.</w:t>
      </w:r>
    </w:p>
    <w:p w14:paraId="5D6A91C3" w14:textId="77777777" w:rsidR="00391205" w:rsidRPr="00311631" w:rsidRDefault="00391205" w:rsidP="00391205">
      <w:pPr>
        <w:pStyle w:val="ArticleTitle"/>
        <w:spacing w:after="0" w:line="360" w:lineRule="auto"/>
        <w:ind w:firstLine="720"/>
        <w:rPr>
          <w:rFonts w:ascii="Arial" w:hAnsi="Arial" w:cs="Arial"/>
          <w:bCs/>
          <w:sz w:val="22"/>
          <w:szCs w:val="22"/>
        </w:rPr>
      </w:pPr>
    </w:p>
    <w:p w14:paraId="642ECE1A" w14:textId="3D27482D" w:rsidR="00311631" w:rsidRDefault="00311631" w:rsidP="00FD7B1B">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circumstances of the murder by Tom of Helen – carried out as it is in a domestic setting – demonstrate a further failure of the system of control imposed by the 2023 Act to attain the desired result of preventing acts of gender-based violence. As with the defect discussed previously, this failure is an inevitable consequence of the system itself. The </w:t>
      </w:r>
      <w:r w:rsidR="00363B6D">
        <w:rPr>
          <w:rFonts w:ascii="Arial" w:hAnsi="Arial" w:cs="Arial"/>
          <w:bCs/>
          <w:sz w:val="22"/>
          <w:szCs w:val="22"/>
        </w:rPr>
        <w:t>‘</w:t>
      </w:r>
      <w:r w:rsidRPr="00311631">
        <w:rPr>
          <w:rFonts w:ascii="Arial" w:hAnsi="Arial" w:cs="Arial"/>
          <w:bCs/>
          <w:sz w:val="22"/>
          <w:szCs w:val="22"/>
        </w:rPr>
        <w:t>cohab certificate</w:t>
      </w:r>
      <w:r w:rsidR="00363B6D">
        <w:rPr>
          <w:rFonts w:ascii="Arial" w:hAnsi="Arial" w:cs="Arial"/>
          <w:bCs/>
          <w:sz w:val="22"/>
          <w:szCs w:val="22"/>
        </w:rPr>
        <w:t>’</w:t>
      </w:r>
      <w:r w:rsidRPr="00311631">
        <w:rPr>
          <w:rFonts w:ascii="Arial" w:hAnsi="Arial" w:cs="Arial"/>
          <w:bCs/>
          <w:sz w:val="22"/>
          <w:szCs w:val="22"/>
        </w:rPr>
        <w:t xml:space="preserve"> procedure introduced in 2026</w:t>
      </w:r>
      <w:r w:rsidRPr="00311631">
        <w:rPr>
          <w:rFonts w:ascii="Arial" w:hAnsi="Arial" w:cs="Arial"/>
          <w:bCs/>
          <w:sz w:val="22"/>
          <w:szCs w:val="22"/>
          <w:vertAlign w:val="superscript"/>
        </w:rPr>
        <w:footnoteReference w:id="49"/>
      </w:r>
      <w:r w:rsidRPr="00311631">
        <w:rPr>
          <w:rFonts w:ascii="Arial" w:hAnsi="Arial" w:cs="Arial"/>
          <w:bCs/>
          <w:sz w:val="22"/>
          <w:szCs w:val="22"/>
        </w:rPr>
        <w:t xml:space="preserve"> requires that a heterosexual couple obtain the permission of a medical practitioner before cohabiting. The process is described as originating due to concerns that </w:t>
      </w:r>
      <w:r w:rsidR="00FD7B1B">
        <w:rPr>
          <w:rFonts w:ascii="Arial" w:hAnsi="Arial" w:cs="Arial"/>
          <w:bCs/>
          <w:sz w:val="22"/>
          <w:szCs w:val="22"/>
        </w:rPr>
        <w:t>‘</w:t>
      </w:r>
      <w:r w:rsidRPr="00311631">
        <w:rPr>
          <w:rFonts w:ascii="Arial" w:hAnsi="Arial" w:cs="Arial"/>
          <w:bCs/>
          <w:sz w:val="22"/>
          <w:szCs w:val="22"/>
        </w:rPr>
        <w:t>If you’re prosecuting a man for battery or coercive control, the damage has already been done. We needed to prevent these things from happening in the first place’</w:t>
      </w:r>
      <w:r w:rsidR="00FD7B1B">
        <w:rPr>
          <w:rFonts w:ascii="Arial" w:hAnsi="Arial" w:cs="Arial"/>
          <w:bCs/>
          <w:sz w:val="22"/>
          <w:szCs w:val="22"/>
        </w:rPr>
        <w:t>.</w:t>
      </w:r>
      <w:r w:rsidRPr="00311631">
        <w:rPr>
          <w:rFonts w:ascii="Arial" w:hAnsi="Arial" w:cs="Arial"/>
          <w:bCs/>
          <w:sz w:val="22"/>
          <w:szCs w:val="22"/>
          <w:vertAlign w:val="superscript"/>
        </w:rPr>
        <w:footnoteReference w:id="50"/>
      </w:r>
      <w:r w:rsidRPr="00311631">
        <w:rPr>
          <w:rFonts w:ascii="Arial" w:hAnsi="Arial" w:cs="Arial"/>
          <w:bCs/>
          <w:sz w:val="22"/>
          <w:szCs w:val="22"/>
        </w:rPr>
        <w:t xml:space="preserve"> </w:t>
      </w:r>
      <w:r w:rsidR="00B62C5F">
        <w:rPr>
          <w:rFonts w:ascii="Arial" w:hAnsi="Arial" w:cs="Arial"/>
          <w:bCs/>
          <w:sz w:val="22"/>
          <w:szCs w:val="22"/>
        </w:rPr>
        <w:lastRenderedPageBreak/>
        <w:t>A</w:t>
      </w:r>
      <w:r w:rsidRPr="00311631">
        <w:rPr>
          <w:rFonts w:ascii="Arial" w:hAnsi="Arial" w:cs="Arial"/>
          <w:bCs/>
          <w:sz w:val="22"/>
          <w:szCs w:val="22"/>
        </w:rPr>
        <w:t xml:space="preserve"> cohab certificate is in fact granted to Tom and Helen, </w:t>
      </w:r>
      <w:r w:rsidR="00B62C5F">
        <w:rPr>
          <w:rFonts w:ascii="Arial" w:hAnsi="Arial" w:cs="Arial"/>
          <w:bCs/>
          <w:sz w:val="22"/>
          <w:szCs w:val="22"/>
        </w:rPr>
        <w:t xml:space="preserve">however, </w:t>
      </w:r>
      <w:r w:rsidRPr="00311631">
        <w:rPr>
          <w:rFonts w:ascii="Arial" w:hAnsi="Arial" w:cs="Arial"/>
          <w:bCs/>
          <w:sz w:val="22"/>
          <w:szCs w:val="22"/>
        </w:rPr>
        <w:t>due to the (female) doctor in charge apparently being strongly influenced by Helen to make this decision</w:t>
      </w:r>
      <w:r w:rsidR="00B62C5F">
        <w:rPr>
          <w:rFonts w:ascii="Arial" w:hAnsi="Arial" w:cs="Arial"/>
          <w:bCs/>
          <w:sz w:val="22"/>
          <w:szCs w:val="22"/>
        </w:rPr>
        <w:t>,</w:t>
      </w:r>
      <w:r w:rsidRPr="00311631">
        <w:rPr>
          <w:rFonts w:ascii="Arial" w:hAnsi="Arial" w:cs="Arial"/>
          <w:bCs/>
          <w:sz w:val="22"/>
          <w:szCs w:val="22"/>
          <w:vertAlign w:val="superscript"/>
        </w:rPr>
        <w:footnoteReference w:id="51"/>
      </w:r>
      <w:r w:rsidRPr="00311631">
        <w:rPr>
          <w:rFonts w:ascii="Arial" w:hAnsi="Arial" w:cs="Arial"/>
          <w:bCs/>
          <w:sz w:val="22"/>
          <w:szCs w:val="22"/>
        </w:rPr>
        <w:t xml:space="preserve"> a desire on Helen’s part apparently driven by Tom’s tacit exercise of control over her (his use of control increases as the novel progresses) to induce feelings of jealousy towards him. The propensity of a partner in a relationship to induce such emotions, in place from the outset of their relationship (Tom was already in a relationship with another woman when he began his relationship with Helen</w:t>
      </w:r>
      <w:r w:rsidRPr="00311631">
        <w:rPr>
          <w:rFonts w:ascii="Arial" w:hAnsi="Arial" w:cs="Arial"/>
          <w:bCs/>
          <w:sz w:val="22"/>
          <w:szCs w:val="22"/>
          <w:vertAlign w:val="superscript"/>
        </w:rPr>
        <w:footnoteReference w:id="52"/>
      </w:r>
      <w:r w:rsidRPr="00311631">
        <w:rPr>
          <w:rFonts w:ascii="Arial" w:hAnsi="Arial" w:cs="Arial"/>
          <w:bCs/>
          <w:sz w:val="22"/>
          <w:szCs w:val="22"/>
        </w:rPr>
        <w:t>) are exacerbated by Tom’s apparent physical attractiveness</w:t>
      </w:r>
      <w:r w:rsidR="00B62C5F">
        <w:rPr>
          <w:rFonts w:ascii="Arial" w:hAnsi="Arial" w:cs="Arial"/>
          <w:bCs/>
          <w:sz w:val="22"/>
          <w:szCs w:val="22"/>
        </w:rPr>
        <w:t>,</w:t>
      </w:r>
      <w:r w:rsidRPr="00311631">
        <w:rPr>
          <w:rFonts w:ascii="Arial" w:hAnsi="Arial" w:cs="Arial"/>
          <w:bCs/>
          <w:sz w:val="22"/>
          <w:szCs w:val="22"/>
          <w:vertAlign w:val="superscript"/>
        </w:rPr>
        <w:footnoteReference w:id="53"/>
      </w:r>
      <w:r w:rsidRPr="00311631">
        <w:rPr>
          <w:rFonts w:ascii="Arial" w:hAnsi="Arial" w:cs="Arial"/>
          <w:bCs/>
          <w:sz w:val="22"/>
          <w:szCs w:val="22"/>
        </w:rPr>
        <w:t xml:space="preserve"> and have been noted as characteristics of a relationship involving gender-based violence</w:t>
      </w:r>
      <w:r w:rsidR="00B62C5F">
        <w:rPr>
          <w:rFonts w:ascii="Arial" w:hAnsi="Arial" w:cs="Arial"/>
          <w:bCs/>
          <w:sz w:val="22"/>
          <w:szCs w:val="22"/>
        </w:rPr>
        <w:t>.</w:t>
      </w:r>
      <w:r w:rsidRPr="00311631">
        <w:rPr>
          <w:rFonts w:ascii="Arial" w:hAnsi="Arial" w:cs="Arial"/>
          <w:bCs/>
          <w:sz w:val="22"/>
          <w:szCs w:val="22"/>
          <w:vertAlign w:val="superscript"/>
        </w:rPr>
        <w:footnoteReference w:id="54"/>
      </w:r>
      <w:r w:rsidRPr="00311631">
        <w:rPr>
          <w:rFonts w:ascii="Arial" w:hAnsi="Arial" w:cs="Arial"/>
          <w:bCs/>
          <w:sz w:val="22"/>
          <w:szCs w:val="22"/>
        </w:rPr>
        <w:t xml:space="preserve"> As such, Tom is able to abuse and exploit the system of control imposed upon him in order to commit gender-based violence. This is not dissimilar to the circumstances surrounding the rape and murder of Sarah Everard, </w:t>
      </w:r>
      <w:r w:rsidR="00B62C5F">
        <w:rPr>
          <w:rFonts w:ascii="Arial" w:hAnsi="Arial" w:cs="Arial"/>
          <w:bCs/>
          <w:sz w:val="22"/>
          <w:szCs w:val="22"/>
        </w:rPr>
        <w:t>wherein</w:t>
      </w:r>
      <w:r w:rsidRPr="00311631">
        <w:rPr>
          <w:rFonts w:ascii="Arial" w:hAnsi="Arial" w:cs="Arial"/>
          <w:bCs/>
          <w:sz w:val="22"/>
          <w:szCs w:val="22"/>
        </w:rPr>
        <w:t xml:space="preserve"> crimes were precipitated by the perpetrator restraining her on the pretence that she had contravened the COVID-19 </w:t>
      </w:r>
      <w:r w:rsidR="00363B6D">
        <w:rPr>
          <w:rFonts w:ascii="Arial" w:hAnsi="Arial" w:cs="Arial"/>
          <w:bCs/>
          <w:sz w:val="22"/>
          <w:szCs w:val="22"/>
        </w:rPr>
        <w:t>‘</w:t>
      </w:r>
      <w:r w:rsidRPr="00311631">
        <w:rPr>
          <w:rFonts w:ascii="Arial" w:hAnsi="Arial" w:cs="Arial"/>
          <w:bCs/>
          <w:sz w:val="22"/>
          <w:szCs w:val="22"/>
        </w:rPr>
        <w:t>lockdown</w:t>
      </w:r>
      <w:r w:rsidR="00363B6D">
        <w:rPr>
          <w:rFonts w:ascii="Arial" w:hAnsi="Arial" w:cs="Arial"/>
          <w:bCs/>
          <w:sz w:val="22"/>
          <w:szCs w:val="22"/>
        </w:rPr>
        <w:t>’</w:t>
      </w:r>
      <w:r w:rsidRPr="00311631">
        <w:rPr>
          <w:rFonts w:ascii="Arial" w:hAnsi="Arial" w:cs="Arial"/>
          <w:bCs/>
          <w:sz w:val="22"/>
          <w:szCs w:val="22"/>
        </w:rPr>
        <w:t xml:space="preserve"> legislation</w:t>
      </w:r>
      <w:r w:rsidR="00B62C5F">
        <w:rPr>
          <w:rFonts w:ascii="Arial" w:hAnsi="Arial" w:cs="Arial"/>
          <w:bCs/>
          <w:sz w:val="22"/>
          <w:szCs w:val="22"/>
        </w:rPr>
        <w:t>.</w:t>
      </w:r>
      <w:r w:rsidRPr="00311631">
        <w:rPr>
          <w:rFonts w:ascii="Arial" w:hAnsi="Arial" w:cs="Arial"/>
          <w:bCs/>
          <w:sz w:val="22"/>
          <w:szCs w:val="22"/>
          <w:vertAlign w:val="superscript"/>
        </w:rPr>
        <w:footnoteReference w:id="55"/>
      </w:r>
    </w:p>
    <w:p w14:paraId="330F8189" w14:textId="77777777" w:rsidR="00B62C5F" w:rsidRPr="00311631" w:rsidRDefault="00B62C5F" w:rsidP="00FD7B1B">
      <w:pPr>
        <w:pStyle w:val="ArticleTitle"/>
        <w:spacing w:after="0" w:line="360" w:lineRule="auto"/>
        <w:ind w:firstLine="720"/>
        <w:rPr>
          <w:rFonts w:ascii="Arial" w:hAnsi="Arial" w:cs="Arial"/>
          <w:bCs/>
          <w:sz w:val="22"/>
          <w:szCs w:val="22"/>
        </w:rPr>
      </w:pPr>
    </w:p>
    <w:p w14:paraId="72A5A996" w14:textId="1416F900" w:rsidR="00311631" w:rsidRDefault="00311631" w:rsidP="00B62C5F">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events of the novel demonstrate a further flaw in relation to the measures introduced by the 2023 Act. This is manifest through the absence of respect demonstrated by the novel’s principal actors for the control mechanisms introduced by those measures  </w:t>
      </w:r>
      <w:r w:rsidR="000408E2">
        <w:rPr>
          <w:rFonts w:ascii="Arial" w:hAnsi="Arial" w:cs="Arial"/>
          <w:bCs/>
          <w:sz w:val="22"/>
          <w:szCs w:val="22"/>
        </w:rPr>
        <w:t>This is i</w:t>
      </w:r>
      <w:r w:rsidRPr="00311631">
        <w:rPr>
          <w:rFonts w:ascii="Arial" w:hAnsi="Arial" w:cs="Arial"/>
          <w:bCs/>
          <w:sz w:val="22"/>
          <w:szCs w:val="22"/>
        </w:rPr>
        <w:t>n contrast with the measures introduced by the Trade Union Act 2016 to impose restrictions on the ability of trade unions to carry out lawful industrial action</w:t>
      </w:r>
      <w:r w:rsidR="000408E2">
        <w:rPr>
          <w:rFonts w:ascii="Arial" w:hAnsi="Arial" w:cs="Arial"/>
          <w:bCs/>
          <w:sz w:val="22"/>
          <w:szCs w:val="22"/>
        </w:rPr>
        <w:t>;</w:t>
      </w:r>
      <w:r w:rsidRPr="00311631">
        <w:rPr>
          <w:rFonts w:ascii="Arial" w:hAnsi="Arial" w:cs="Arial"/>
          <w:bCs/>
          <w:sz w:val="22"/>
          <w:szCs w:val="22"/>
        </w:rPr>
        <w:t xml:space="preserve"> given that acts of gender-based violence were already unlawful prior to the implementation of the 2023 Act, to attempt to eliminate gender-based violence by the imposition of a system reliant upon obedience and respect for the law upon a class of persons demonstrably lacking in these characteristics seems doomed from the outset. A comparison can be drawn here with the criticisms levelled at the conception of a legal system as understood by </w:t>
      </w:r>
      <w:r w:rsidR="00363B6D">
        <w:rPr>
          <w:rFonts w:ascii="Arial" w:hAnsi="Arial" w:cs="Arial"/>
          <w:bCs/>
          <w:sz w:val="22"/>
          <w:szCs w:val="22"/>
        </w:rPr>
        <w:t>‘</w:t>
      </w:r>
      <w:r w:rsidRPr="00311631">
        <w:rPr>
          <w:rFonts w:ascii="Arial" w:hAnsi="Arial" w:cs="Arial"/>
          <w:bCs/>
          <w:sz w:val="22"/>
          <w:szCs w:val="22"/>
        </w:rPr>
        <w:t>a bad man, who cares only for the material consequences</w:t>
      </w:r>
      <w:r w:rsidR="00363B6D">
        <w:rPr>
          <w:rFonts w:ascii="Arial" w:hAnsi="Arial" w:cs="Arial"/>
          <w:bCs/>
          <w:sz w:val="22"/>
          <w:szCs w:val="22"/>
        </w:rPr>
        <w:t>’</w:t>
      </w:r>
      <w:r w:rsidRPr="00311631">
        <w:rPr>
          <w:rFonts w:ascii="Arial" w:hAnsi="Arial" w:cs="Arial"/>
          <w:bCs/>
          <w:sz w:val="22"/>
          <w:szCs w:val="22"/>
          <w:vertAlign w:val="superscript"/>
        </w:rPr>
        <w:footnoteReference w:id="56"/>
      </w:r>
      <w:r w:rsidRPr="00311631">
        <w:rPr>
          <w:rFonts w:ascii="Arial" w:hAnsi="Arial" w:cs="Arial"/>
          <w:bCs/>
          <w:sz w:val="22"/>
          <w:szCs w:val="22"/>
        </w:rPr>
        <w:t xml:space="preserve"> of his breaking the law</w:t>
      </w:r>
      <w:r w:rsidR="007A415D">
        <w:rPr>
          <w:rFonts w:ascii="Arial" w:hAnsi="Arial" w:cs="Arial"/>
          <w:bCs/>
          <w:sz w:val="22"/>
          <w:szCs w:val="22"/>
        </w:rPr>
        <w:t>. This is</w:t>
      </w:r>
      <w:r w:rsidRPr="00311631">
        <w:rPr>
          <w:rFonts w:ascii="Arial" w:hAnsi="Arial" w:cs="Arial"/>
          <w:bCs/>
          <w:sz w:val="22"/>
          <w:szCs w:val="22"/>
        </w:rPr>
        <w:t xml:space="preserve"> specifically </w:t>
      </w:r>
      <w:r w:rsidR="007A415D">
        <w:rPr>
          <w:rFonts w:ascii="Arial" w:hAnsi="Arial" w:cs="Arial"/>
          <w:bCs/>
          <w:sz w:val="22"/>
          <w:szCs w:val="22"/>
        </w:rPr>
        <w:t xml:space="preserve">the case </w:t>
      </w:r>
      <w:r w:rsidRPr="00311631">
        <w:rPr>
          <w:rFonts w:ascii="Arial" w:hAnsi="Arial" w:cs="Arial"/>
          <w:bCs/>
          <w:sz w:val="22"/>
          <w:szCs w:val="22"/>
        </w:rPr>
        <w:t xml:space="preserve">in the context of such a conception of the legal boundaries for regulating behaviour being drawn with a view to the principle that </w:t>
      </w:r>
      <w:r w:rsidR="00363B6D">
        <w:rPr>
          <w:rFonts w:ascii="Arial" w:hAnsi="Arial" w:cs="Arial"/>
          <w:bCs/>
          <w:sz w:val="22"/>
          <w:szCs w:val="22"/>
        </w:rPr>
        <w:t>‘</w:t>
      </w:r>
      <w:r w:rsidRPr="00311631">
        <w:rPr>
          <w:rFonts w:ascii="Arial" w:hAnsi="Arial" w:cs="Arial"/>
          <w:bCs/>
          <w:sz w:val="22"/>
          <w:szCs w:val="22"/>
        </w:rPr>
        <w:t>even Justice Holmes’s ‘bad man’ can look ahead with some ability to know what the stakes are in choosing one course of action or another</w:t>
      </w:r>
      <w:r w:rsidR="00363B6D">
        <w:rPr>
          <w:rFonts w:ascii="Arial" w:hAnsi="Arial" w:cs="Arial"/>
          <w:bCs/>
          <w:sz w:val="22"/>
          <w:szCs w:val="22"/>
        </w:rPr>
        <w:t>’</w:t>
      </w:r>
      <w:r w:rsidR="007A415D">
        <w:rPr>
          <w:rFonts w:ascii="Arial" w:hAnsi="Arial" w:cs="Arial"/>
          <w:bCs/>
          <w:sz w:val="22"/>
          <w:szCs w:val="22"/>
        </w:rPr>
        <w:t>.</w:t>
      </w:r>
      <w:r w:rsidRPr="00311631">
        <w:rPr>
          <w:rFonts w:ascii="Arial" w:hAnsi="Arial" w:cs="Arial"/>
          <w:bCs/>
          <w:sz w:val="22"/>
          <w:szCs w:val="22"/>
          <w:vertAlign w:val="superscript"/>
        </w:rPr>
        <w:footnoteReference w:id="57"/>
      </w:r>
      <w:r w:rsidR="007A415D">
        <w:rPr>
          <w:rFonts w:ascii="Arial" w:hAnsi="Arial" w:cs="Arial"/>
          <w:bCs/>
          <w:sz w:val="22"/>
          <w:szCs w:val="22"/>
        </w:rPr>
        <w:t xml:space="preserve"> </w:t>
      </w:r>
      <w:r w:rsidRPr="00311631">
        <w:rPr>
          <w:rFonts w:ascii="Arial" w:hAnsi="Arial" w:cs="Arial"/>
          <w:bCs/>
          <w:sz w:val="22"/>
          <w:szCs w:val="22"/>
        </w:rPr>
        <w:t>Such a conception of Holmes’ theory has been critic</w:t>
      </w:r>
      <w:r w:rsidR="007A415D">
        <w:rPr>
          <w:rFonts w:ascii="Arial" w:hAnsi="Arial" w:cs="Arial"/>
          <w:bCs/>
          <w:sz w:val="22"/>
          <w:szCs w:val="22"/>
        </w:rPr>
        <w:t>s</w:t>
      </w:r>
      <w:r w:rsidRPr="00311631">
        <w:rPr>
          <w:rFonts w:ascii="Arial" w:hAnsi="Arial" w:cs="Arial"/>
          <w:bCs/>
          <w:sz w:val="22"/>
          <w:szCs w:val="22"/>
        </w:rPr>
        <w:t xml:space="preserve">ed as </w:t>
      </w:r>
      <w:r w:rsidR="00363B6D">
        <w:rPr>
          <w:rFonts w:ascii="Arial" w:hAnsi="Arial" w:cs="Arial"/>
          <w:bCs/>
          <w:sz w:val="22"/>
          <w:szCs w:val="22"/>
        </w:rPr>
        <w:t>‘</w:t>
      </w:r>
      <w:r w:rsidRPr="00311631">
        <w:rPr>
          <w:rFonts w:ascii="Arial" w:hAnsi="Arial" w:cs="Arial"/>
          <w:bCs/>
          <w:sz w:val="22"/>
          <w:szCs w:val="22"/>
        </w:rPr>
        <w:t>ignoring the internal point of view that the theory was designed to serve….[that of] deterring and reforming the bad man for the sake and protection of the good</w:t>
      </w:r>
      <w:r w:rsidR="00363B6D">
        <w:rPr>
          <w:rFonts w:ascii="Arial" w:hAnsi="Arial" w:cs="Arial"/>
          <w:bCs/>
          <w:sz w:val="22"/>
          <w:szCs w:val="22"/>
        </w:rPr>
        <w:t>’</w:t>
      </w:r>
      <w:r w:rsidR="007A415D">
        <w:rPr>
          <w:rFonts w:ascii="Arial" w:hAnsi="Arial" w:cs="Arial"/>
          <w:bCs/>
          <w:sz w:val="22"/>
          <w:szCs w:val="22"/>
        </w:rPr>
        <w:t>.</w:t>
      </w:r>
      <w:r w:rsidRPr="00311631">
        <w:rPr>
          <w:rFonts w:ascii="Arial" w:hAnsi="Arial" w:cs="Arial"/>
          <w:bCs/>
          <w:sz w:val="22"/>
          <w:szCs w:val="22"/>
          <w:vertAlign w:val="superscript"/>
        </w:rPr>
        <w:footnoteReference w:id="58"/>
      </w:r>
      <w:r w:rsidR="007A415D">
        <w:rPr>
          <w:rFonts w:ascii="Arial" w:hAnsi="Arial" w:cs="Arial"/>
          <w:bCs/>
          <w:sz w:val="22"/>
          <w:szCs w:val="22"/>
        </w:rPr>
        <w:t xml:space="preserve"> T</w:t>
      </w:r>
      <w:r w:rsidRPr="00311631">
        <w:rPr>
          <w:rFonts w:ascii="Arial" w:hAnsi="Arial" w:cs="Arial"/>
          <w:bCs/>
          <w:sz w:val="22"/>
          <w:szCs w:val="22"/>
        </w:rPr>
        <w:t xml:space="preserve">he legislation introduced in </w:t>
      </w:r>
      <w:r w:rsidRPr="00311631">
        <w:rPr>
          <w:rFonts w:ascii="Arial" w:hAnsi="Arial" w:cs="Arial"/>
          <w:bCs/>
          <w:i/>
          <w:iCs/>
          <w:sz w:val="22"/>
          <w:szCs w:val="22"/>
        </w:rPr>
        <w:t>After Dark</w:t>
      </w:r>
      <w:r w:rsidRPr="00311631">
        <w:rPr>
          <w:rFonts w:ascii="Arial" w:hAnsi="Arial" w:cs="Arial"/>
          <w:bCs/>
          <w:sz w:val="22"/>
          <w:szCs w:val="22"/>
        </w:rPr>
        <w:t xml:space="preserve">, </w:t>
      </w:r>
      <w:r w:rsidR="007A415D">
        <w:rPr>
          <w:rFonts w:ascii="Arial" w:hAnsi="Arial" w:cs="Arial"/>
          <w:bCs/>
          <w:sz w:val="22"/>
          <w:szCs w:val="22"/>
        </w:rPr>
        <w:t xml:space="preserve">however, </w:t>
      </w:r>
      <w:r w:rsidRPr="00311631">
        <w:rPr>
          <w:rFonts w:ascii="Arial" w:hAnsi="Arial" w:cs="Arial"/>
          <w:bCs/>
          <w:sz w:val="22"/>
          <w:szCs w:val="22"/>
        </w:rPr>
        <w:t xml:space="preserve">in imposing such stringent </w:t>
      </w:r>
      <w:r w:rsidRPr="00311631">
        <w:rPr>
          <w:rFonts w:ascii="Arial" w:hAnsi="Arial" w:cs="Arial"/>
          <w:bCs/>
          <w:sz w:val="22"/>
          <w:szCs w:val="22"/>
        </w:rPr>
        <w:lastRenderedPageBreak/>
        <w:t xml:space="preserve">regulations upon the behaviour of </w:t>
      </w:r>
      <w:r w:rsidR="00363B6D">
        <w:rPr>
          <w:rFonts w:ascii="Arial" w:hAnsi="Arial" w:cs="Arial"/>
          <w:bCs/>
          <w:sz w:val="22"/>
          <w:szCs w:val="22"/>
        </w:rPr>
        <w:t>‘</w:t>
      </w:r>
      <w:r w:rsidRPr="00311631">
        <w:rPr>
          <w:rFonts w:ascii="Arial" w:hAnsi="Arial" w:cs="Arial"/>
          <w:bCs/>
          <w:sz w:val="22"/>
          <w:szCs w:val="22"/>
        </w:rPr>
        <w:t>bad men</w:t>
      </w:r>
      <w:r w:rsidR="00363B6D">
        <w:rPr>
          <w:rFonts w:ascii="Arial" w:hAnsi="Arial" w:cs="Arial"/>
          <w:bCs/>
          <w:sz w:val="22"/>
          <w:szCs w:val="22"/>
        </w:rPr>
        <w:t>’</w:t>
      </w:r>
      <w:r w:rsidRPr="00311631">
        <w:rPr>
          <w:rFonts w:ascii="Arial" w:hAnsi="Arial" w:cs="Arial"/>
          <w:bCs/>
          <w:sz w:val="22"/>
          <w:szCs w:val="22"/>
        </w:rPr>
        <w:t xml:space="preserve"> (indeed, predicated on the assumption that all men are </w:t>
      </w:r>
      <w:r w:rsidR="00363B6D">
        <w:rPr>
          <w:rFonts w:ascii="Arial" w:hAnsi="Arial" w:cs="Arial"/>
          <w:bCs/>
          <w:sz w:val="22"/>
          <w:szCs w:val="22"/>
        </w:rPr>
        <w:t>‘</w:t>
      </w:r>
      <w:r w:rsidRPr="00311631">
        <w:rPr>
          <w:rFonts w:ascii="Arial" w:hAnsi="Arial" w:cs="Arial"/>
          <w:bCs/>
          <w:sz w:val="22"/>
          <w:szCs w:val="22"/>
        </w:rPr>
        <w:t>bad</w:t>
      </w:r>
      <w:r w:rsidR="00363B6D">
        <w:rPr>
          <w:rFonts w:ascii="Arial" w:hAnsi="Arial" w:cs="Arial"/>
          <w:bCs/>
          <w:sz w:val="22"/>
          <w:szCs w:val="22"/>
        </w:rPr>
        <w:t>’</w:t>
      </w:r>
      <w:r w:rsidRPr="00311631">
        <w:rPr>
          <w:rFonts w:ascii="Arial" w:hAnsi="Arial" w:cs="Arial"/>
          <w:bCs/>
          <w:sz w:val="22"/>
          <w:szCs w:val="22"/>
        </w:rPr>
        <w:t xml:space="preserve">) </w:t>
      </w:r>
      <w:r w:rsidR="00363B6D">
        <w:rPr>
          <w:rFonts w:ascii="Arial" w:hAnsi="Arial" w:cs="Arial"/>
          <w:bCs/>
          <w:sz w:val="22"/>
          <w:szCs w:val="22"/>
        </w:rPr>
        <w:t>‘</w:t>
      </w:r>
      <w:r w:rsidRPr="00311631">
        <w:rPr>
          <w:rFonts w:ascii="Arial" w:hAnsi="Arial" w:cs="Arial"/>
          <w:bCs/>
          <w:sz w:val="22"/>
          <w:szCs w:val="22"/>
        </w:rPr>
        <w:t xml:space="preserve">allows [the </w:t>
      </w:r>
      <w:r w:rsidR="00363B6D">
        <w:rPr>
          <w:rFonts w:ascii="Arial" w:hAnsi="Arial" w:cs="Arial"/>
          <w:bCs/>
          <w:sz w:val="22"/>
          <w:szCs w:val="22"/>
        </w:rPr>
        <w:t>‘</w:t>
      </w:r>
      <w:r w:rsidRPr="00311631">
        <w:rPr>
          <w:rFonts w:ascii="Arial" w:hAnsi="Arial" w:cs="Arial"/>
          <w:bCs/>
          <w:sz w:val="22"/>
          <w:szCs w:val="22"/>
        </w:rPr>
        <w:t>bad man</w:t>
      </w:r>
      <w:r w:rsidR="00363B6D">
        <w:rPr>
          <w:rFonts w:ascii="Arial" w:hAnsi="Arial" w:cs="Arial"/>
          <w:bCs/>
          <w:sz w:val="22"/>
          <w:szCs w:val="22"/>
        </w:rPr>
        <w:t>’</w:t>
      </w:r>
      <w:r w:rsidRPr="00311631">
        <w:rPr>
          <w:rFonts w:ascii="Arial" w:hAnsi="Arial" w:cs="Arial"/>
          <w:bCs/>
          <w:sz w:val="22"/>
          <w:szCs w:val="22"/>
        </w:rPr>
        <w:t>] to predict, with a fair degree of accuracy, how a court would rule, and thereby provides him with external guidance (via the threat of possible sanctions) regarding the appropriate precautions to take</w:t>
      </w:r>
      <w:r w:rsidR="00363B6D">
        <w:rPr>
          <w:rFonts w:ascii="Arial" w:hAnsi="Arial" w:cs="Arial"/>
          <w:bCs/>
          <w:sz w:val="22"/>
          <w:szCs w:val="22"/>
        </w:rPr>
        <w:t>’</w:t>
      </w:r>
      <w:r w:rsidR="008F198C">
        <w:rPr>
          <w:rFonts w:ascii="Arial" w:hAnsi="Arial" w:cs="Arial"/>
          <w:bCs/>
          <w:sz w:val="22"/>
          <w:szCs w:val="22"/>
        </w:rPr>
        <w:t>.</w:t>
      </w:r>
      <w:r w:rsidRPr="00311631">
        <w:rPr>
          <w:rFonts w:ascii="Arial" w:hAnsi="Arial" w:cs="Arial"/>
          <w:bCs/>
          <w:sz w:val="22"/>
          <w:szCs w:val="22"/>
          <w:vertAlign w:val="superscript"/>
        </w:rPr>
        <w:footnoteReference w:id="59"/>
      </w:r>
      <w:r w:rsidRPr="00311631">
        <w:rPr>
          <w:rFonts w:ascii="Arial" w:hAnsi="Arial" w:cs="Arial"/>
          <w:bCs/>
          <w:sz w:val="22"/>
          <w:szCs w:val="22"/>
        </w:rPr>
        <w:t xml:space="preserve"> Such calculations are, indeed, embarked upon by the principal </w:t>
      </w:r>
      <w:r w:rsidR="00363B6D">
        <w:rPr>
          <w:rFonts w:ascii="Arial" w:hAnsi="Arial" w:cs="Arial"/>
          <w:bCs/>
          <w:sz w:val="22"/>
          <w:szCs w:val="22"/>
        </w:rPr>
        <w:t>‘</w:t>
      </w:r>
      <w:r w:rsidRPr="00311631">
        <w:rPr>
          <w:rFonts w:ascii="Arial" w:hAnsi="Arial" w:cs="Arial"/>
          <w:bCs/>
          <w:sz w:val="22"/>
          <w:szCs w:val="22"/>
        </w:rPr>
        <w:t>bad</w:t>
      </w:r>
      <w:r w:rsidR="00363B6D">
        <w:rPr>
          <w:rFonts w:ascii="Arial" w:hAnsi="Arial" w:cs="Arial"/>
          <w:bCs/>
          <w:sz w:val="22"/>
          <w:szCs w:val="22"/>
        </w:rPr>
        <w:t>’</w:t>
      </w:r>
      <w:r w:rsidRPr="00311631">
        <w:rPr>
          <w:rFonts w:ascii="Arial" w:hAnsi="Arial" w:cs="Arial"/>
          <w:bCs/>
          <w:sz w:val="22"/>
          <w:szCs w:val="22"/>
        </w:rPr>
        <w:t xml:space="preserve"> male actors in </w:t>
      </w:r>
      <w:r w:rsidRPr="00311631">
        <w:rPr>
          <w:rFonts w:ascii="Arial" w:hAnsi="Arial" w:cs="Arial"/>
          <w:bCs/>
          <w:i/>
          <w:iCs/>
          <w:sz w:val="22"/>
          <w:szCs w:val="22"/>
        </w:rPr>
        <w:t>After Dark</w:t>
      </w:r>
      <w:r w:rsidRPr="00311631">
        <w:rPr>
          <w:rFonts w:ascii="Arial" w:hAnsi="Arial" w:cs="Arial"/>
          <w:bCs/>
          <w:sz w:val="22"/>
          <w:szCs w:val="22"/>
        </w:rPr>
        <w:t xml:space="preserve"> – the primary antagonist Tom, and Cass’s father Greg, who like Tom takes advantage of her affection towards him to find a flaw in the curfew system so as to carry on a sexual relationship with a married woman (Scarlet Caldwell, with whom his adulterous relationship had brought about the end of his marriage to Sarah) – resulting in the inevitable infliction of the harm that the legislation was presumably intended to prevent. </w:t>
      </w:r>
    </w:p>
    <w:p w14:paraId="53B6C74B" w14:textId="77777777" w:rsidR="008F198C" w:rsidRPr="00311631" w:rsidRDefault="008F198C" w:rsidP="00B62C5F">
      <w:pPr>
        <w:pStyle w:val="ArticleTitle"/>
        <w:spacing w:after="0" w:line="360" w:lineRule="auto"/>
        <w:ind w:firstLine="720"/>
        <w:rPr>
          <w:rFonts w:ascii="Arial" w:hAnsi="Arial" w:cs="Arial"/>
          <w:bCs/>
          <w:sz w:val="22"/>
          <w:szCs w:val="22"/>
        </w:rPr>
      </w:pPr>
    </w:p>
    <w:p w14:paraId="5867E025" w14:textId="2C670EF2" w:rsidR="00311631" w:rsidRDefault="00311631" w:rsidP="008F198C">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If the desired result of the system of control imposed in </w:t>
      </w:r>
      <w:r w:rsidRPr="00311631">
        <w:rPr>
          <w:rFonts w:ascii="Arial" w:hAnsi="Arial" w:cs="Arial"/>
          <w:bCs/>
          <w:i/>
          <w:iCs/>
          <w:sz w:val="22"/>
          <w:szCs w:val="22"/>
        </w:rPr>
        <w:t xml:space="preserve">After Dark </w:t>
      </w:r>
      <w:r w:rsidRPr="00311631">
        <w:rPr>
          <w:rFonts w:ascii="Arial" w:hAnsi="Arial" w:cs="Arial"/>
          <w:bCs/>
          <w:sz w:val="22"/>
          <w:szCs w:val="22"/>
        </w:rPr>
        <w:t>is the eradication of gender-based violence, it is clear from the events of the novel that the restrictions imposed by this system are not sufficient to obtain the desired result. This appears to be partly due to these restrictions being focused entirely on preventing men from committing acts of violence against women as opposed to the more pressing problem of why this particular crime exists in the first place: in other words, the result rather than the cause of the problem. Although the novel describes several social improvements that have been introduced by legal reforms following the 2023 Act</w:t>
      </w:r>
      <w:r w:rsidR="00AB0417">
        <w:rPr>
          <w:rFonts w:ascii="Arial" w:hAnsi="Arial" w:cs="Arial"/>
          <w:bCs/>
          <w:sz w:val="22"/>
          <w:szCs w:val="22"/>
        </w:rPr>
        <w:t>,</w:t>
      </w:r>
      <w:r w:rsidRPr="00311631">
        <w:rPr>
          <w:rFonts w:ascii="Arial" w:hAnsi="Arial" w:cs="Arial"/>
          <w:bCs/>
          <w:sz w:val="22"/>
          <w:szCs w:val="22"/>
          <w:vertAlign w:val="superscript"/>
        </w:rPr>
        <w:footnoteReference w:id="60"/>
      </w:r>
      <w:r w:rsidRPr="00311631">
        <w:rPr>
          <w:rFonts w:ascii="Arial" w:hAnsi="Arial" w:cs="Arial"/>
          <w:bCs/>
          <w:sz w:val="22"/>
          <w:szCs w:val="22"/>
        </w:rPr>
        <w:t xml:space="preserve"> these are focused upon minimising the risk of harm that might arise from gender-based violence, as opposed to removing that risk. </w:t>
      </w:r>
      <w:r w:rsidRPr="00311631">
        <w:rPr>
          <w:rFonts w:ascii="Arial" w:hAnsi="Arial" w:cs="Arial"/>
          <w:bCs/>
          <w:i/>
          <w:iCs/>
          <w:sz w:val="22"/>
          <w:szCs w:val="22"/>
        </w:rPr>
        <w:t>A fortiori</w:t>
      </w:r>
      <w:r w:rsidRPr="00311631">
        <w:rPr>
          <w:rFonts w:ascii="Arial" w:hAnsi="Arial" w:cs="Arial"/>
          <w:bCs/>
          <w:sz w:val="22"/>
          <w:szCs w:val="22"/>
        </w:rPr>
        <w:t>, as the risk of men committing acts of violence against women remains operative, women living with men under curfew remain under threat of violence. The increased risk of gender-based violence in a situation where the victim and the perpetrator have been in one another’s company for lengthy periods of time has been noted in the context of the rise in reported incidents of gender-based violence in many countries during periods of time when those same countries’ governments had imposed restrictions on movement to prevent the spread of Covid-19</w:t>
      </w:r>
      <w:r w:rsidR="00AB0417">
        <w:rPr>
          <w:rFonts w:ascii="Arial" w:hAnsi="Arial" w:cs="Arial"/>
          <w:bCs/>
          <w:sz w:val="22"/>
          <w:szCs w:val="22"/>
        </w:rPr>
        <w:t>.</w:t>
      </w:r>
      <w:r w:rsidRPr="00311631">
        <w:rPr>
          <w:rFonts w:ascii="Arial" w:hAnsi="Arial" w:cs="Arial"/>
          <w:bCs/>
          <w:sz w:val="22"/>
          <w:szCs w:val="22"/>
          <w:vertAlign w:val="superscript"/>
        </w:rPr>
        <w:footnoteReference w:id="61"/>
      </w:r>
      <w:r w:rsidRPr="00311631">
        <w:rPr>
          <w:rFonts w:ascii="Arial" w:hAnsi="Arial" w:cs="Arial"/>
          <w:bCs/>
          <w:sz w:val="22"/>
          <w:szCs w:val="22"/>
        </w:rPr>
        <w:t xml:space="preserve"> In the </w:t>
      </w:r>
      <w:r w:rsidR="00363B6D">
        <w:rPr>
          <w:rFonts w:ascii="Arial" w:hAnsi="Arial" w:cs="Arial"/>
          <w:bCs/>
          <w:sz w:val="22"/>
          <w:szCs w:val="22"/>
        </w:rPr>
        <w:t>‘</w:t>
      </w:r>
      <w:r w:rsidRPr="00311631">
        <w:rPr>
          <w:rFonts w:ascii="Arial" w:hAnsi="Arial" w:cs="Arial"/>
          <w:bCs/>
          <w:sz w:val="22"/>
          <w:szCs w:val="22"/>
        </w:rPr>
        <w:t>Author’s Note</w:t>
      </w:r>
      <w:r w:rsidR="00363B6D">
        <w:rPr>
          <w:rFonts w:ascii="Arial" w:hAnsi="Arial" w:cs="Arial"/>
          <w:bCs/>
          <w:sz w:val="22"/>
          <w:szCs w:val="22"/>
        </w:rPr>
        <w:t>’</w:t>
      </w:r>
      <w:r w:rsidRPr="00311631">
        <w:rPr>
          <w:rFonts w:ascii="Arial" w:hAnsi="Arial" w:cs="Arial"/>
          <w:bCs/>
          <w:sz w:val="22"/>
          <w:szCs w:val="22"/>
        </w:rPr>
        <w:t xml:space="preserve"> to </w:t>
      </w:r>
      <w:r w:rsidRPr="00311631">
        <w:rPr>
          <w:rFonts w:ascii="Arial" w:hAnsi="Arial" w:cs="Arial"/>
          <w:bCs/>
          <w:i/>
          <w:iCs/>
          <w:sz w:val="22"/>
          <w:szCs w:val="22"/>
        </w:rPr>
        <w:t>After Dark</w:t>
      </w:r>
      <w:r w:rsidRPr="00311631">
        <w:rPr>
          <w:rFonts w:ascii="Arial" w:hAnsi="Arial" w:cs="Arial"/>
          <w:bCs/>
          <w:sz w:val="22"/>
          <w:szCs w:val="22"/>
        </w:rPr>
        <w:t xml:space="preserve">, Cowie comments that the widespread compliance in the United Kingdom with these restrictions showed </w:t>
      </w:r>
      <w:r w:rsidR="00363B6D">
        <w:rPr>
          <w:rFonts w:ascii="Arial" w:hAnsi="Arial" w:cs="Arial"/>
          <w:bCs/>
          <w:sz w:val="22"/>
          <w:szCs w:val="22"/>
        </w:rPr>
        <w:t>‘</w:t>
      </w:r>
      <w:r w:rsidRPr="00311631">
        <w:rPr>
          <w:rFonts w:ascii="Arial" w:hAnsi="Arial" w:cs="Arial"/>
          <w:bCs/>
          <w:sz w:val="22"/>
          <w:szCs w:val="22"/>
        </w:rPr>
        <w:t>how willing we were to accept restrictions that would previously have been unthinkable</w:t>
      </w:r>
      <w:r w:rsidR="00363B6D">
        <w:rPr>
          <w:rFonts w:ascii="Arial" w:hAnsi="Arial" w:cs="Arial"/>
          <w:bCs/>
          <w:sz w:val="22"/>
          <w:szCs w:val="22"/>
        </w:rPr>
        <w:t>’</w:t>
      </w:r>
      <w:r w:rsidR="00AB0417">
        <w:rPr>
          <w:rFonts w:ascii="Arial" w:hAnsi="Arial" w:cs="Arial"/>
          <w:bCs/>
          <w:sz w:val="22"/>
          <w:szCs w:val="22"/>
        </w:rPr>
        <w:t>.</w:t>
      </w:r>
      <w:r w:rsidRPr="00311631">
        <w:rPr>
          <w:rFonts w:ascii="Arial" w:hAnsi="Arial" w:cs="Arial"/>
          <w:bCs/>
          <w:sz w:val="22"/>
          <w:szCs w:val="22"/>
          <w:vertAlign w:val="superscript"/>
        </w:rPr>
        <w:footnoteReference w:id="62"/>
      </w:r>
      <w:r w:rsidRPr="00311631">
        <w:rPr>
          <w:rFonts w:ascii="Arial" w:hAnsi="Arial" w:cs="Arial"/>
          <w:bCs/>
          <w:sz w:val="22"/>
          <w:szCs w:val="22"/>
        </w:rPr>
        <w:t xml:space="preserve"> It is doubtful that the victims of gender-based violence attributable to these restrictions (an increase in 25% was reported</w:t>
      </w:r>
      <w:r w:rsidRPr="00311631">
        <w:rPr>
          <w:rFonts w:ascii="Arial" w:hAnsi="Arial" w:cs="Arial"/>
          <w:bCs/>
          <w:sz w:val="22"/>
          <w:szCs w:val="22"/>
          <w:vertAlign w:val="superscript"/>
        </w:rPr>
        <w:footnoteReference w:id="63"/>
      </w:r>
      <w:r w:rsidRPr="00311631">
        <w:rPr>
          <w:rFonts w:ascii="Arial" w:hAnsi="Arial" w:cs="Arial"/>
          <w:bCs/>
          <w:sz w:val="22"/>
          <w:szCs w:val="22"/>
        </w:rPr>
        <w:t xml:space="preserve">) would regard themselves as having </w:t>
      </w:r>
      <w:r w:rsidR="00363B6D">
        <w:rPr>
          <w:rFonts w:ascii="Arial" w:hAnsi="Arial" w:cs="Arial"/>
          <w:bCs/>
          <w:sz w:val="22"/>
          <w:szCs w:val="22"/>
        </w:rPr>
        <w:t>‘</w:t>
      </w:r>
      <w:r w:rsidRPr="00311631">
        <w:rPr>
          <w:rFonts w:ascii="Arial" w:hAnsi="Arial" w:cs="Arial"/>
          <w:bCs/>
          <w:sz w:val="22"/>
          <w:szCs w:val="22"/>
        </w:rPr>
        <w:t>accepted</w:t>
      </w:r>
      <w:r w:rsidR="00363B6D">
        <w:rPr>
          <w:rFonts w:ascii="Arial" w:hAnsi="Arial" w:cs="Arial"/>
          <w:bCs/>
          <w:sz w:val="22"/>
          <w:szCs w:val="22"/>
        </w:rPr>
        <w:t>’</w:t>
      </w:r>
      <w:r w:rsidRPr="00311631">
        <w:rPr>
          <w:rFonts w:ascii="Arial" w:hAnsi="Arial" w:cs="Arial"/>
          <w:bCs/>
          <w:sz w:val="22"/>
          <w:szCs w:val="22"/>
        </w:rPr>
        <w:t xml:space="preserve"> the system against the background of which they were subjected to that violence, </w:t>
      </w:r>
      <w:r w:rsidRPr="00311631">
        <w:rPr>
          <w:rFonts w:ascii="Arial" w:hAnsi="Arial" w:cs="Arial"/>
          <w:bCs/>
          <w:sz w:val="22"/>
          <w:szCs w:val="22"/>
        </w:rPr>
        <w:lastRenderedPageBreak/>
        <w:t>or that they would be likely to champion the introduction of a system that serves to place women permanently at a heightened risk of violence from men with whom they live.</w:t>
      </w:r>
    </w:p>
    <w:p w14:paraId="6DD5F87F" w14:textId="77777777" w:rsidR="00AB0417" w:rsidRPr="00311631" w:rsidRDefault="00AB0417" w:rsidP="008F198C">
      <w:pPr>
        <w:pStyle w:val="ArticleTitle"/>
        <w:spacing w:after="0" w:line="360" w:lineRule="auto"/>
        <w:ind w:firstLine="720"/>
        <w:rPr>
          <w:rFonts w:ascii="Arial" w:hAnsi="Arial" w:cs="Arial"/>
          <w:b/>
          <w:bCs/>
          <w:sz w:val="22"/>
          <w:szCs w:val="22"/>
        </w:rPr>
      </w:pPr>
    </w:p>
    <w:p w14:paraId="240EC0A3" w14:textId="0B6E937D" w:rsidR="00311631" w:rsidRDefault="00311631" w:rsidP="007020DB">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events of </w:t>
      </w:r>
      <w:r w:rsidRPr="00311631">
        <w:rPr>
          <w:rFonts w:ascii="Arial" w:hAnsi="Arial" w:cs="Arial"/>
          <w:bCs/>
          <w:i/>
          <w:iCs/>
          <w:sz w:val="22"/>
          <w:szCs w:val="22"/>
        </w:rPr>
        <w:t xml:space="preserve">After Dark </w:t>
      </w:r>
      <w:r w:rsidRPr="00311631">
        <w:rPr>
          <w:rFonts w:ascii="Arial" w:hAnsi="Arial" w:cs="Arial"/>
          <w:bCs/>
          <w:sz w:val="22"/>
          <w:szCs w:val="22"/>
        </w:rPr>
        <w:t xml:space="preserve">depict also the lack of respect for the system of control introduced by the 2023 legislation arising out of its economic and social consequences. In Chapter Three of the novel, the collapse of Sarah and Greg’s marriage is described as having been precipitated by Greg’s assuming primary responsibility for childcare while Sarah is required to change her working hours </w:t>
      </w:r>
      <w:r w:rsidR="00363B6D">
        <w:rPr>
          <w:rFonts w:ascii="Arial" w:hAnsi="Arial" w:cs="Arial"/>
          <w:bCs/>
          <w:sz w:val="22"/>
          <w:szCs w:val="22"/>
        </w:rPr>
        <w:t>‘</w:t>
      </w:r>
      <w:r w:rsidRPr="00311631">
        <w:rPr>
          <w:rFonts w:ascii="Arial" w:hAnsi="Arial" w:cs="Arial"/>
          <w:bCs/>
          <w:sz w:val="22"/>
          <w:szCs w:val="22"/>
        </w:rPr>
        <w:t>from a part-time job to working more hours than she ever had before</w:t>
      </w:r>
      <w:r w:rsidR="00363B6D">
        <w:rPr>
          <w:rFonts w:ascii="Arial" w:hAnsi="Arial" w:cs="Arial"/>
          <w:bCs/>
          <w:sz w:val="22"/>
          <w:szCs w:val="22"/>
        </w:rPr>
        <w:t>’</w:t>
      </w:r>
      <w:r w:rsidR="007020DB">
        <w:rPr>
          <w:rFonts w:ascii="Arial" w:hAnsi="Arial" w:cs="Arial"/>
          <w:bCs/>
          <w:sz w:val="22"/>
          <w:szCs w:val="22"/>
        </w:rPr>
        <w:t>,</w:t>
      </w:r>
      <w:r w:rsidRPr="00311631">
        <w:rPr>
          <w:rFonts w:ascii="Arial" w:hAnsi="Arial" w:cs="Arial"/>
          <w:bCs/>
          <w:sz w:val="22"/>
          <w:szCs w:val="22"/>
          <w:vertAlign w:val="superscript"/>
        </w:rPr>
        <w:footnoteReference w:id="64"/>
      </w:r>
      <w:r w:rsidRPr="00311631">
        <w:rPr>
          <w:rFonts w:ascii="Arial" w:hAnsi="Arial" w:cs="Arial"/>
          <w:bCs/>
          <w:sz w:val="22"/>
          <w:szCs w:val="22"/>
        </w:rPr>
        <w:t xml:space="preserve"> and the resultant conflict culminating in Greg’s breaking curfew and imprisonment. This makes it clear that, despite the (apparent) shift in the balance of societal power from women to men, the world of </w:t>
      </w:r>
      <w:r w:rsidRPr="00311631">
        <w:rPr>
          <w:rFonts w:ascii="Arial" w:hAnsi="Arial" w:cs="Arial"/>
          <w:bCs/>
          <w:i/>
          <w:iCs/>
          <w:sz w:val="22"/>
          <w:szCs w:val="22"/>
        </w:rPr>
        <w:t xml:space="preserve">After Dark </w:t>
      </w:r>
      <w:r w:rsidRPr="00311631">
        <w:rPr>
          <w:rFonts w:ascii="Arial" w:hAnsi="Arial" w:cs="Arial"/>
          <w:bCs/>
          <w:sz w:val="22"/>
          <w:szCs w:val="22"/>
        </w:rPr>
        <w:t>perpetuates the pressure imposed upon women by the male-driven 20</w:t>
      </w:r>
      <w:r w:rsidRPr="00311631">
        <w:rPr>
          <w:rFonts w:ascii="Arial" w:hAnsi="Arial" w:cs="Arial"/>
          <w:bCs/>
          <w:sz w:val="22"/>
          <w:szCs w:val="22"/>
          <w:vertAlign w:val="superscript"/>
        </w:rPr>
        <w:t>th</w:t>
      </w:r>
      <w:r w:rsidRPr="00311631">
        <w:rPr>
          <w:rFonts w:ascii="Arial" w:hAnsi="Arial" w:cs="Arial"/>
          <w:bCs/>
          <w:sz w:val="22"/>
          <w:szCs w:val="22"/>
        </w:rPr>
        <w:t xml:space="preserve"> century neoliberal capitalist system that </w:t>
      </w:r>
      <w:r w:rsidR="00363B6D">
        <w:rPr>
          <w:rFonts w:ascii="Arial" w:hAnsi="Arial" w:cs="Arial"/>
          <w:bCs/>
          <w:sz w:val="22"/>
          <w:szCs w:val="22"/>
        </w:rPr>
        <w:t>‘</w:t>
      </w:r>
      <w:r w:rsidRPr="00311631">
        <w:rPr>
          <w:rFonts w:ascii="Arial" w:hAnsi="Arial" w:cs="Arial"/>
          <w:bCs/>
          <w:sz w:val="22"/>
          <w:szCs w:val="22"/>
        </w:rPr>
        <w:t>reif[ies] an essentialist conception of women’s maternal role</w:t>
      </w:r>
      <w:r w:rsidR="00363B6D">
        <w:rPr>
          <w:rFonts w:ascii="Arial" w:hAnsi="Arial" w:cs="Arial"/>
          <w:bCs/>
          <w:sz w:val="22"/>
          <w:szCs w:val="22"/>
        </w:rPr>
        <w:t>’</w:t>
      </w:r>
      <w:r w:rsidRPr="00311631">
        <w:rPr>
          <w:rFonts w:ascii="Arial" w:hAnsi="Arial" w:cs="Arial"/>
          <w:bCs/>
          <w:sz w:val="22"/>
          <w:szCs w:val="22"/>
          <w:vertAlign w:val="superscript"/>
        </w:rPr>
        <w:footnoteReference w:id="65"/>
      </w:r>
      <w:r w:rsidRPr="00311631">
        <w:rPr>
          <w:rFonts w:ascii="Arial" w:hAnsi="Arial" w:cs="Arial"/>
          <w:bCs/>
          <w:sz w:val="22"/>
          <w:szCs w:val="22"/>
        </w:rPr>
        <w:t xml:space="preserve"> and as such requires that they struggle to balance caring responsibilities with the need to make money to a degree not expected of men. While Greg is not described as having committed acts of gender-based physical violence, his attempts to justify his actions to Sarah as having been a consequence of her not being </w:t>
      </w:r>
      <w:r w:rsidR="00363B6D">
        <w:rPr>
          <w:rFonts w:ascii="Arial" w:hAnsi="Arial" w:cs="Arial"/>
          <w:bCs/>
          <w:sz w:val="22"/>
          <w:szCs w:val="22"/>
        </w:rPr>
        <w:t>‘</w:t>
      </w:r>
      <w:r w:rsidRPr="00311631">
        <w:rPr>
          <w:rFonts w:ascii="Arial" w:hAnsi="Arial" w:cs="Arial"/>
          <w:bCs/>
          <w:sz w:val="22"/>
          <w:szCs w:val="22"/>
        </w:rPr>
        <w:t>cut out to be a wife, and…certainly [not] cut out to be a mother</w:t>
      </w:r>
      <w:r w:rsidR="00363B6D">
        <w:rPr>
          <w:rFonts w:ascii="Arial" w:hAnsi="Arial" w:cs="Arial"/>
          <w:bCs/>
          <w:sz w:val="22"/>
          <w:szCs w:val="22"/>
        </w:rPr>
        <w:t>’</w:t>
      </w:r>
      <w:r w:rsidRPr="00311631">
        <w:rPr>
          <w:rFonts w:ascii="Arial" w:hAnsi="Arial" w:cs="Arial"/>
          <w:bCs/>
          <w:sz w:val="22"/>
          <w:szCs w:val="22"/>
          <w:vertAlign w:val="superscript"/>
        </w:rPr>
        <w:footnoteReference w:id="66"/>
      </w:r>
      <w:r w:rsidRPr="00311631">
        <w:rPr>
          <w:rFonts w:ascii="Arial" w:hAnsi="Arial" w:cs="Arial"/>
          <w:bCs/>
          <w:sz w:val="22"/>
          <w:szCs w:val="22"/>
        </w:rPr>
        <w:t xml:space="preserve"> amount to psychological manipulation and emotional abuse</w:t>
      </w:r>
      <w:r w:rsidR="007020DB">
        <w:rPr>
          <w:rFonts w:ascii="Arial" w:hAnsi="Arial" w:cs="Arial"/>
          <w:bCs/>
          <w:sz w:val="22"/>
          <w:szCs w:val="22"/>
        </w:rPr>
        <w:t>.</w:t>
      </w:r>
      <w:r w:rsidRPr="00311631">
        <w:rPr>
          <w:rFonts w:ascii="Arial" w:hAnsi="Arial" w:cs="Arial"/>
          <w:bCs/>
          <w:sz w:val="22"/>
          <w:szCs w:val="22"/>
          <w:vertAlign w:val="superscript"/>
        </w:rPr>
        <w:footnoteReference w:id="67"/>
      </w:r>
      <w:r w:rsidRPr="00311631">
        <w:rPr>
          <w:rFonts w:ascii="Arial" w:hAnsi="Arial" w:cs="Arial"/>
          <w:bCs/>
          <w:sz w:val="22"/>
          <w:szCs w:val="22"/>
        </w:rPr>
        <w:t xml:space="preserve"> Cass, who grew up in this environment and believed her father’s treatment of her mother to have been justified (</w:t>
      </w:r>
      <w:r w:rsidR="00363B6D">
        <w:rPr>
          <w:rFonts w:ascii="Arial" w:hAnsi="Arial" w:cs="Arial"/>
          <w:bCs/>
          <w:sz w:val="22"/>
          <w:szCs w:val="22"/>
        </w:rPr>
        <w:t>‘</w:t>
      </w:r>
      <w:r w:rsidRPr="00311631">
        <w:rPr>
          <w:rFonts w:ascii="Arial" w:hAnsi="Arial" w:cs="Arial"/>
          <w:bCs/>
          <w:sz w:val="22"/>
          <w:szCs w:val="22"/>
        </w:rPr>
        <w:t>Everything was fine!’ she yelled. ‘We were happy! We were a family! And you ruined it!’</w:t>
      </w:r>
      <w:r w:rsidR="00363B6D">
        <w:rPr>
          <w:rFonts w:ascii="Arial" w:hAnsi="Arial" w:cs="Arial"/>
          <w:bCs/>
          <w:sz w:val="22"/>
          <w:szCs w:val="22"/>
        </w:rPr>
        <w:t>’</w:t>
      </w:r>
      <w:r w:rsidRPr="00311631">
        <w:rPr>
          <w:rFonts w:ascii="Arial" w:hAnsi="Arial" w:cs="Arial"/>
          <w:bCs/>
          <w:sz w:val="22"/>
          <w:szCs w:val="22"/>
          <w:vertAlign w:val="superscript"/>
        </w:rPr>
        <w:footnoteReference w:id="68"/>
      </w:r>
      <w:r w:rsidRPr="00311631">
        <w:rPr>
          <w:rFonts w:ascii="Arial" w:hAnsi="Arial" w:cs="Arial"/>
          <w:bCs/>
          <w:sz w:val="22"/>
          <w:szCs w:val="22"/>
        </w:rPr>
        <w:t xml:space="preserve">), openly expresses disdain for the system of control imposed upon men and colludes with both Greg and Tom to allow them to circumvent it, and herself enters into an emotionally abusive relationship with Tom (he lies to her about the nature of his relationship with Helen so as to seduce her into having sex with him, then ends the relationship with Cass and calls her a </w:t>
      </w:r>
      <w:r w:rsidR="00363B6D">
        <w:rPr>
          <w:rFonts w:ascii="Arial" w:hAnsi="Arial" w:cs="Arial"/>
          <w:bCs/>
          <w:sz w:val="22"/>
          <w:szCs w:val="22"/>
        </w:rPr>
        <w:t>‘</w:t>
      </w:r>
      <w:r w:rsidRPr="00311631">
        <w:rPr>
          <w:rFonts w:ascii="Arial" w:hAnsi="Arial" w:cs="Arial"/>
          <w:bCs/>
          <w:sz w:val="22"/>
          <w:szCs w:val="22"/>
        </w:rPr>
        <w:t>stupid little tart</w:t>
      </w:r>
      <w:r w:rsidR="00363B6D">
        <w:rPr>
          <w:rFonts w:ascii="Arial" w:hAnsi="Arial" w:cs="Arial"/>
          <w:bCs/>
          <w:sz w:val="22"/>
          <w:szCs w:val="22"/>
        </w:rPr>
        <w:t>’</w:t>
      </w:r>
      <w:r w:rsidRPr="00311631">
        <w:rPr>
          <w:rFonts w:ascii="Arial" w:hAnsi="Arial" w:cs="Arial"/>
          <w:bCs/>
          <w:sz w:val="22"/>
          <w:szCs w:val="22"/>
          <w:vertAlign w:val="superscript"/>
        </w:rPr>
        <w:footnoteReference w:id="69"/>
      </w:r>
      <w:r w:rsidRPr="00311631">
        <w:rPr>
          <w:rFonts w:ascii="Arial" w:hAnsi="Arial" w:cs="Arial"/>
          <w:bCs/>
          <w:sz w:val="22"/>
          <w:szCs w:val="22"/>
        </w:rPr>
        <w:t>). This is reflective of the acknowledged long-term effect upon children brought up in an environment of domestic abuse that they are more likely to become victims of abuse from their partner in a relationship during adult life</w:t>
      </w:r>
      <w:r w:rsidR="00B342F3">
        <w:rPr>
          <w:rFonts w:ascii="Arial" w:hAnsi="Arial" w:cs="Arial"/>
          <w:bCs/>
          <w:sz w:val="22"/>
          <w:szCs w:val="22"/>
        </w:rPr>
        <w:t>.</w:t>
      </w:r>
      <w:r w:rsidRPr="00311631">
        <w:rPr>
          <w:rFonts w:ascii="Arial" w:hAnsi="Arial" w:cs="Arial"/>
          <w:bCs/>
          <w:sz w:val="22"/>
          <w:szCs w:val="22"/>
          <w:vertAlign w:val="superscript"/>
        </w:rPr>
        <w:footnoteReference w:id="70"/>
      </w:r>
      <w:r w:rsidRPr="00311631">
        <w:rPr>
          <w:rFonts w:ascii="Arial" w:hAnsi="Arial" w:cs="Arial"/>
          <w:bCs/>
          <w:sz w:val="22"/>
          <w:szCs w:val="22"/>
        </w:rPr>
        <w:t xml:space="preserve"> The significance of household income in relationships involving gender-based violence has also been noted. Although no one factor has been identified as causative of gender-based violence, such is its prevalence across a very broad range of </w:t>
      </w:r>
      <w:r w:rsidRPr="00311631">
        <w:rPr>
          <w:rFonts w:ascii="Arial" w:hAnsi="Arial" w:cs="Arial"/>
          <w:bCs/>
          <w:sz w:val="22"/>
          <w:szCs w:val="22"/>
        </w:rPr>
        <w:lastRenderedPageBreak/>
        <w:t>characteristics</w:t>
      </w:r>
      <w:r w:rsidR="00B342F3">
        <w:rPr>
          <w:rFonts w:ascii="Arial" w:hAnsi="Arial" w:cs="Arial"/>
          <w:bCs/>
          <w:sz w:val="22"/>
          <w:szCs w:val="22"/>
        </w:rPr>
        <w:t>,</w:t>
      </w:r>
      <w:r w:rsidRPr="00311631">
        <w:rPr>
          <w:rFonts w:ascii="Arial" w:hAnsi="Arial" w:cs="Arial"/>
          <w:bCs/>
          <w:sz w:val="22"/>
          <w:szCs w:val="22"/>
          <w:vertAlign w:val="superscript"/>
        </w:rPr>
        <w:footnoteReference w:id="71"/>
      </w:r>
      <w:r w:rsidRPr="00311631">
        <w:rPr>
          <w:rFonts w:ascii="Arial" w:hAnsi="Arial" w:cs="Arial"/>
          <w:bCs/>
          <w:sz w:val="22"/>
          <w:szCs w:val="22"/>
        </w:rPr>
        <w:t xml:space="preserve"> research has shown a greater tendency for women with a lower socio-economic status to be affected by gender-based violence</w:t>
      </w:r>
      <w:r w:rsidRPr="00311631">
        <w:rPr>
          <w:rFonts w:ascii="Arial" w:hAnsi="Arial" w:cs="Arial"/>
          <w:bCs/>
          <w:sz w:val="22"/>
          <w:szCs w:val="22"/>
          <w:vertAlign w:val="superscript"/>
        </w:rPr>
        <w:footnoteReference w:id="72"/>
      </w:r>
      <w:r w:rsidRPr="00311631">
        <w:rPr>
          <w:rFonts w:ascii="Arial" w:hAnsi="Arial" w:cs="Arial"/>
          <w:bCs/>
          <w:sz w:val="22"/>
          <w:szCs w:val="22"/>
        </w:rPr>
        <w:t>, and reported incidents of gender-based violence to be at their highest in neighbourhoods with the lowest household income</w:t>
      </w:r>
      <w:r w:rsidR="00B342F3">
        <w:rPr>
          <w:rFonts w:ascii="Arial" w:hAnsi="Arial" w:cs="Arial"/>
          <w:bCs/>
          <w:sz w:val="22"/>
          <w:szCs w:val="22"/>
        </w:rPr>
        <w:t>.</w:t>
      </w:r>
      <w:r w:rsidRPr="00311631">
        <w:rPr>
          <w:rFonts w:ascii="Arial" w:hAnsi="Arial" w:cs="Arial"/>
          <w:bCs/>
          <w:sz w:val="22"/>
          <w:szCs w:val="22"/>
          <w:vertAlign w:val="superscript"/>
        </w:rPr>
        <w:footnoteReference w:id="73"/>
      </w:r>
      <w:r w:rsidRPr="00311631">
        <w:rPr>
          <w:rFonts w:ascii="Arial" w:hAnsi="Arial" w:cs="Arial"/>
          <w:bCs/>
          <w:sz w:val="22"/>
          <w:szCs w:val="22"/>
        </w:rPr>
        <w:t xml:space="preserve"> With these factors in mind, it is evident that the system of control imposed in </w:t>
      </w:r>
      <w:r w:rsidRPr="00311631">
        <w:rPr>
          <w:rFonts w:ascii="Arial" w:hAnsi="Arial" w:cs="Arial"/>
          <w:bCs/>
          <w:i/>
          <w:iCs/>
          <w:sz w:val="22"/>
          <w:szCs w:val="22"/>
        </w:rPr>
        <w:t xml:space="preserve">After Dark </w:t>
      </w:r>
      <w:r w:rsidRPr="00311631">
        <w:rPr>
          <w:rFonts w:ascii="Arial" w:hAnsi="Arial" w:cs="Arial"/>
          <w:bCs/>
          <w:sz w:val="22"/>
          <w:szCs w:val="22"/>
        </w:rPr>
        <w:t>engenders a lack of respect that not only results in a failure to impose effective control upon men, but also heightens the risk of harm to women.</w:t>
      </w:r>
    </w:p>
    <w:p w14:paraId="31126991" w14:textId="77777777" w:rsidR="00B342F3" w:rsidRPr="00311631" w:rsidRDefault="00B342F3" w:rsidP="007020DB">
      <w:pPr>
        <w:pStyle w:val="ArticleTitle"/>
        <w:spacing w:after="0" w:line="360" w:lineRule="auto"/>
        <w:ind w:firstLine="720"/>
        <w:rPr>
          <w:rFonts w:ascii="Arial" w:hAnsi="Arial" w:cs="Arial"/>
          <w:bCs/>
          <w:sz w:val="22"/>
          <w:szCs w:val="22"/>
        </w:rPr>
      </w:pPr>
    </w:p>
    <w:p w14:paraId="6500F4D8" w14:textId="6C9C637A" w:rsidR="00311631" w:rsidRDefault="00311631" w:rsidP="00B342F3">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A further way in which the system of control in </w:t>
      </w:r>
      <w:r w:rsidRPr="00311631">
        <w:rPr>
          <w:rFonts w:ascii="Arial" w:hAnsi="Arial" w:cs="Arial"/>
          <w:bCs/>
          <w:i/>
          <w:iCs/>
          <w:sz w:val="22"/>
          <w:szCs w:val="22"/>
        </w:rPr>
        <w:t xml:space="preserve">After Dark </w:t>
      </w:r>
      <w:r w:rsidRPr="00311631">
        <w:rPr>
          <w:rFonts w:ascii="Arial" w:hAnsi="Arial" w:cs="Arial"/>
          <w:bCs/>
          <w:sz w:val="22"/>
          <w:szCs w:val="22"/>
        </w:rPr>
        <w:t xml:space="preserve">fails to instil respect is through its increasing perceptions of stereotypical gender roles. The restrictions imposed in </w:t>
      </w:r>
      <w:r w:rsidRPr="00311631">
        <w:rPr>
          <w:rFonts w:ascii="Arial" w:hAnsi="Arial" w:cs="Arial"/>
          <w:bCs/>
          <w:i/>
          <w:iCs/>
          <w:sz w:val="22"/>
          <w:szCs w:val="22"/>
        </w:rPr>
        <w:t xml:space="preserve">After Dark </w:t>
      </w:r>
      <w:r w:rsidRPr="00311631">
        <w:rPr>
          <w:rFonts w:ascii="Arial" w:hAnsi="Arial" w:cs="Arial"/>
          <w:bCs/>
          <w:sz w:val="22"/>
          <w:szCs w:val="22"/>
        </w:rPr>
        <w:t>are focused upon men, and designed with the purpose of preventing and deterring men from using violence against women, predicated on the assumption that all men are predisposed to commit violence against women. The notion of a man using physical violence against his female domestic partner has existed for so long as to create a stereotype, borne of the folk belief that men were legally permitted to use violence in this way (although it is almost certain that there is no reliable legal authority in support of this belief).</w:t>
      </w:r>
      <w:r w:rsidR="007E7C00" w:rsidRPr="00311631">
        <w:rPr>
          <w:rFonts w:ascii="Arial" w:hAnsi="Arial" w:cs="Arial"/>
          <w:bCs/>
          <w:sz w:val="22"/>
          <w:szCs w:val="22"/>
          <w:vertAlign w:val="superscript"/>
        </w:rPr>
        <w:footnoteReference w:id="74"/>
      </w:r>
      <w:r w:rsidRPr="00311631">
        <w:rPr>
          <w:rFonts w:ascii="Arial" w:hAnsi="Arial" w:cs="Arial"/>
          <w:bCs/>
          <w:sz w:val="22"/>
          <w:szCs w:val="22"/>
        </w:rPr>
        <w:t xml:space="preserve">  </w:t>
      </w:r>
    </w:p>
    <w:p w14:paraId="66FEB163" w14:textId="77777777" w:rsidR="00B342F3" w:rsidRPr="00311631" w:rsidRDefault="00B342F3" w:rsidP="00B342F3">
      <w:pPr>
        <w:pStyle w:val="ArticleTitle"/>
        <w:spacing w:after="0" w:line="360" w:lineRule="auto"/>
        <w:ind w:firstLine="720"/>
        <w:rPr>
          <w:rFonts w:ascii="Arial" w:hAnsi="Arial" w:cs="Arial"/>
          <w:bCs/>
          <w:sz w:val="22"/>
          <w:szCs w:val="22"/>
        </w:rPr>
      </w:pPr>
    </w:p>
    <w:p w14:paraId="70BDF52E" w14:textId="77777777" w:rsidR="00311631" w:rsidRDefault="00311631" w:rsidP="00B342F3">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As such, the legislation by control exacted in </w:t>
      </w:r>
      <w:r w:rsidRPr="00311631">
        <w:rPr>
          <w:rFonts w:ascii="Arial" w:hAnsi="Arial" w:cs="Arial"/>
          <w:bCs/>
          <w:i/>
          <w:iCs/>
          <w:sz w:val="22"/>
          <w:szCs w:val="22"/>
        </w:rPr>
        <w:t xml:space="preserve">After Dark </w:t>
      </w:r>
      <w:r w:rsidRPr="00311631">
        <w:rPr>
          <w:rFonts w:ascii="Arial" w:hAnsi="Arial" w:cs="Arial"/>
          <w:bCs/>
          <w:sz w:val="22"/>
          <w:szCs w:val="22"/>
        </w:rPr>
        <w:t xml:space="preserve">is likely to have the effect of strengthening the perception of this stereotype of men as perpetrators of violence upon women – an effect depicted by the perceptions demonstrated by the language used by, and the actions of, the female characters in </w:t>
      </w:r>
      <w:r w:rsidRPr="00311631">
        <w:rPr>
          <w:rFonts w:ascii="Arial" w:hAnsi="Arial" w:cs="Arial"/>
          <w:bCs/>
          <w:i/>
          <w:iCs/>
          <w:sz w:val="22"/>
          <w:szCs w:val="22"/>
        </w:rPr>
        <w:t>After Dark</w:t>
      </w:r>
      <w:r w:rsidRPr="00311631">
        <w:rPr>
          <w:rFonts w:ascii="Arial" w:hAnsi="Arial" w:cs="Arial"/>
          <w:bCs/>
          <w:sz w:val="22"/>
          <w:szCs w:val="22"/>
        </w:rPr>
        <w:t xml:space="preserve">. The only characters who do not demonstrate views to this effect are Helen, who despite her inculcating such perceptions in her students, refuses to adopt them in the context of her own relationship with Tom and (the novel implies) pays the ultimate price for doing so, and Cass – at least until the novel’s closing chapters (a point discussed later in this article). Although the novel does not devote any attention to examining the perceptions of its male characters, the principal male characters (Tom and Greg) act in ways that do not suggest anything other than a belief in conformity to these stereotypes – specifically, in lying to, being unfaithful to, and (in Tom’s case) violently murdering the women with whom they share a close relationship. </w:t>
      </w:r>
    </w:p>
    <w:p w14:paraId="56314747" w14:textId="77777777" w:rsidR="005B621E" w:rsidRPr="00311631" w:rsidRDefault="005B621E" w:rsidP="00B342F3">
      <w:pPr>
        <w:pStyle w:val="ArticleTitle"/>
        <w:spacing w:after="0" w:line="360" w:lineRule="auto"/>
        <w:ind w:firstLine="720"/>
        <w:rPr>
          <w:rFonts w:ascii="Arial" w:hAnsi="Arial" w:cs="Arial"/>
          <w:bCs/>
          <w:sz w:val="22"/>
          <w:szCs w:val="22"/>
        </w:rPr>
      </w:pPr>
    </w:p>
    <w:p w14:paraId="4273E96F" w14:textId="2BCE8175" w:rsidR="00311631" w:rsidRPr="00311631" w:rsidRDefault="00311631" w:rsidP="005B621E">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Research into relationships where gender-based violence has taken place has recognised the important role played (to a more significant effect than socio-economic factors) </w:t>
      </w:r>
      <w:r w:rsidRPr="00311631">
        <w:rPr>
          <w:rFonts w:ascii="Arial" w:hAnsi="Arial" w:cs="Arial"/>
          <w:bCs/>
          <w:sz w:val="22"/>
          <w:szCs w:val="22"/>
        </w:rPr>
        <w:lastRenderedPageBreak/>
        <w:t xml:space="preserve">by </w:t>
      </w:r>
      <w:r w:rsidR="00363B6D">
        <w:rPr>
          <w:rFonts w:ascii="Arial" w:hAnsi="Arial" w:cs="Arial"/>
          <w:bCs/>
          <w:sz w:val="22"/>
          <w:szCs w:val="22"/>
        </w:rPr>
        <w:t>‘</w:t>
      </w:r>
      <w:r w:rsidRPr="00311631">
        <w:rPr>
          <w:rFonts w:ascii="Arial" w:hAnsi="Arial" w:cs="Arial"/>
          <w:bCs/>
          <w:sz w:val="22"/>
          <w:szCs w:val="22"/>
        </w:rPr>
        <w:t>partner behaviour linked to traditional notions of manhood such as having multiple partners, drunkenness and controlling female behaviour</w:t>
      </w:r>
      <w:r w:rsidR="00363B6D">
        <w:rPr>
          <w:rFonts w:ascii="Arial" w:hAnsi="Arial" w:cs="Arial"/>
          <w:bCs/>
          <w:sz w:val="22"/>
          <w:szCs w:val="22"/>
        </w:rPr>
        <w:t>’</w:t>
      </w:r>
      <w:r w:rsidRPr="00311631">
        <w:rPr>
          <w:rFonts w:ascii="Arial" w:hAnsi="Arial" w:cs="Arial"/>
          <w:bCs/>
          <w:sz w:val="22"/>
          <w:szCs w:val="22"/>
        </w:rPr>
        <w:t xml:space="preserve">, and has recommended that one way to attempt to prevent gender-based violence is to challenge </w:t>
      </w:r>
      <w:r w:rsidR="00363B6D">
        <w:rPr>
          <w:rFonts w:ascii="Arial" w:hAnsi="Arial" w:cs="Arial"/>
          <w:bCs/>
          <w:sz w:val="22"/>
          <w:szCs w:val="22"/>
        </w:rPr>
        <w:t>‘</w:t>
      </w:r>
      <w:r w:rsidRPr="00311631">
        <w:rPr>
          <w:rFonts w:ascii="Arial" w:hAnsi="Arial" w:cs="Arial"/>
          <w:bCs/>
          <w:sz w:val="22"/>
          <w:szCs w:val="22"/>
        </w:rPr>
        <w:t>social norms that hinder gender equity and foster violence</w:t>
      </w:r>
      <w:r w:rsidR="00363B6D">
        <w:rPr>
          <w:rFonts w:ascii="Arial" w:hAnsi="Arial" w:cs="Arial"/>
          <w:bCs/>
          <w:sz w:val="22"/>
          <w:szCs w:val="22"/>
        </w:rPr>
        <w:t>’</w:t>
      </w:r>
      <w:r w:rsidR="005B621E">
        <w:rPr>
          <w:rFonts w:ascii="Arial" w:hAnsi="Arial" w:cs="Arial"/>
          <w:bCs/>
          <w:sz w:val="22"/>
          <w:szCs w:val="22"/>
        </w:rPr>
        <w:t>.</w:t>
      </w:r>
      <w:r w:rsidRPr="00311631">
        <w:rPr>
          <w:rFonts w:ascii="Arial" w:hAnsi="Arial" w:cs="Arial"/>
          <w:bCs/>
          <w:sz w:val="22"/>
          <w:szCs w:val="22"/>
          <w:vertAlign w:val="superscript"/>
        </w:rPr>
        <w:footnoteReference w:id="75"/>
      </w:r>
      <w:r w:rsidRPr="00311631">
        <w:rPr>
          <w:rFonts w:ascii="Arial" w:hAnsi="Arial" w:cs="Arial"/>
          <w:bCs/>
          <w:sz w:val="22"/>
          <w:szCs w:val="22"/>
        </w:rPr>
        <w:t xml:space="preserve"> As depicted in </w:t>
      </w:r>
      <w:r w:rsidRPr="00311631">
        <w:rPr>
          <w:rFonts w:ascii="Arial" w:hAnsi="Arial" w:cs="Arial"/>
          <w:bCs/>
          <w:i/>
          <w:iCs/>
          <w:sz w:val="22"/>
          <w:szCs w:val="22"/>
        </w:rPr>
        <w:t>After Dark</w:t>
      </w:r>
      <w:r w:rsidRPr="00311631">
        <w:rPr>
          <w:rFonts w:ascii="Arial" w:hAnsi="Arial" w:cs="Arial"/>
          <w:bCs/>
          <w:sz w:val="22"/>
          <w:szCs w:val="22"/>
        </w:rPr>
        <w:t>, it is likely that legislation of the kind introduced in that novel would not only fail to challenge, but would in fact uphold, reinforce, and perhaps even suggest approval of such norms, with (literally) harmful consequences.</w:t>
      </w:r>
    </w:p>
    <w:p w14:paraId="73CF2DC0" w14:textId="77777777" w:rsidR="00311631" w:rsidRPr="00311631" w:rsidRDefault="00311631" w:rsidP="00932066">
      <w:pPr>
        <w:pStyle w:val="ArticleTitle"/>
        <w:spacing w:after="0" w:line="360" w:lineRule="auto"/>
        <w:rPr>
          <w:rFonts w:ascii="Arial" w:hAnsi="Arial" w:cs="Arial"/>
          <w:bCs/>
          <w:sz w:val="22"/>
          <w:szCs w:val="22"/>
        </w:rPr>
      </w:pPr>
    </w:p>
    <w:p w14:paraId="6E1B0433" w14:textId="44658BD0" w:rsidR="00311631" w:rsidRPr="00311631" w:rsidRDefault="00311631" w:rsidP="005B621E">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events of </w:t>
      </w:r>
      <w:r w:rsidRPr="00311631">
        <w:rPr>
          <w:rFonts w:ascii="Arial" w:hAnsi="Arial" w:cs="Arial"/>
          <w:bCs/>
          <w:i/>
          <w:iCs/>
          <w:sz w:val="22"/>
          <w:szCs w:val="22"/>
        </w:rPr>
        <w:t xml:space="preserve">After Dark </w:t>
      </w:r>
      <w:r w:rsidRPr="00311631">
        <w:rPr>
          <w:rFonts w:ascii="Arial" w:hAnsi="Arial" w:cs="Arial"/>
          <w:bCs/>
          <w:sz w:val="22"/>
          <w:szCs w:val="22"/>
        </w:rPr>
        <w:t xml:space="preserve">depict the failure of the 2023 Act due in part because of the acts of a person (Cass) belonging to the class of persons (women) that the Act was introduced to protect. This demonstrates the importance of respect for the law in the context of legislation by control, and how if the very people that the legislation is supposed to protect do not regard it with respect, it is doomed to failure. One of the effects of the 2023 Act is that, in acknowledging that all men are presumed to be violent abusers of women and women requiring of protection from them, it separates women from men. Separatism as a method of </w:t>
      </w:r>
      <w:r w:rsidR="00363B6D">
        <w:rPr>
          <w:rFonts w:ascii="Arial" w:hAnsi="Arial" w:cs="Arial"/>
          <w:bCs/>
          <w:sz w:val="22"/>
          <w:szCs w:val="22"/>
        </w:rPr>
        <w:t>‘</w:t>
      </w:r>
      <w:r w:rsidRPr="00311631">
        <w:rPr>
          <w:rFonts w:ascii="Arial" w:hAnsi="Arial" w:cs="Arial"/>
          <w:bCs/>
          <w:sz w:val="22"/>
          <w:szCs w:val="22"/>
        </w:rPr>
        <w:t>weaken[ing] male control over women, and allow[ing] for women to transform their characters</w:t>
      </w:r>
      <w:r w:rsidR="00363B6D">
        <w:rPr>
          <w:rFonts w:ascii="Arial" w:hAnsi="Arial" w:cs="Arial"/>
          <w:bCs/>
          <w:sz w:val="22"/>
          <w:szCs w:val="22"/>
        </w:rPr>
        <w:t>’</w:t>
      </w:r>
      <w:r w:rsidRPr="00311631">
        <w:rPr>
          <w:rFonts w:ascii="Arial" w:hAnsi="Arial" w:cs="Arial"/>
          <w:bCs/>
          <w:sz w:val="22"/>
          <w:szCs w:val="22"/>
          <w:vertAlign w:val="superscript"/>
        </w:rPr>
        <w:footnoteReference w:id="76"/>
      </w:r>
      <w:r w:rsidRPr="00311631">
        <w:rPr>
          <w:rFonts w:ascii="Arial" w:hAnsi="Arial" w:cs="Arial"/>
          <w:bCs/>
          <w:sz w:val="22"/>
          <w:szCs w:val="22"/>
        </w:rPr>
        <w:t xml:space="preserve"> has been practised by several radical feminist groups, notably the New York City-based group Cell 16, founded by Valerie Solanas. Best known for her attempted assassination of Andy Warhol, Solanas’ writings (calling for women to liberate themselves by using violence against men) have until recently been viewed as at best works of </w:t>
      </w:r>
      <w:r w:rsidR="00363B6D">
        <w:rPr>
          <w:rFonts w:ascii="Arial" w:hAnsi="Arial" w:cs="Arial"/>
          <w:bCs/>
          <w:sz w:val="22"/>
          <w:szCs w:val="22"/>
        </w:rPr>
        <w:t>‘</w:t>
      </w:r>
      <w:r w:rsidRPr="00311631">
        <w:rPr>
          <w:rFonts w:ascii="Arial" w:hAnsi="Arial" w:cs="Arial"/>
          <w:bCs/>
          <w:sz w:val="22"/>
          <w:szCs w:val="22"/>
        </w:rPr>
        <w:t>biting satire</w:t>
      </w:r>
      <w:r w:rsidR="00363B6D">
        <w:rPr>
          <w:rFonts w:ascii="Arial" w:hAnsi="Arial" w:cs="Arial"/>
          <w:bCs/>
          <w:sz w:val="22"/>
          <w:szCs w:val="22"/>
        </w:rPr>
        <w:t>’</w:t>
      </w:r>
      <w:r w:rsidRPr="00311631">
        <w:rPr>
          <w:rFonts w:ascii="Arial" w:hAnsi="Arial" w:cs="Arial"/>
          <w:bCs/>
          <w:sz w:val="22"/>
          <w:szCs w:val="22"/>
          <w:vertAlign w:val="superscript"/>
        </w:rPr>
        <w:footnoteReference w:id="77"/>
      </w:r>
      <w:r w:rsidRPr="00311631">
        <w:rPr>
          <w:rFonts w:ascii="Arial" w:hAnsi="Arial" w:cs="Arial"/>
          <w:bCs/>
          <w:sz w:val="22"/>
          <w:szCs w:val="22"/>
        </w:rPr>
        <w:t xml:space="preserve"> and at worst dismissed as the outpourings of a </w:t>
      </w:r>
      <w:r w:rsidR="00363B6D">
        <w:rPr>
          <w:rFonts w:ascii="Arial" w:hAnsi="Arial" w:cs="Arial"/>
          <w:bCs/>
          <w:sz w:val="22"/>
          <w:szCs w:val="22"/>
        </w:rPr>
        <w:t>‘</w:t>
      </w:r>
      <w:r w:rsidRPr="00311631">
        <w:rPr>
          <w:rFonts w:ascii="Arial" w:hAnsi="Arial" w:cs="Arial"/>
          <w:bCs/>
          <w:sz w:val="22"/>
          <w:szCs w:val="22"/>
        </w:rPr>
        <w:t>homicidal loon</w:t>
      </w:r>
      <w:r w:rsidR="00363B6D">
        <w:rPr>
          <w:rFonts w:ascii="Arial" w:hAnsi="Arial" w:cs="Arial"/>
          <w:bCs/>
          <w:sz w:val="22"/>
          <w:szCs w:val="22"/>
        </w:rPr>
        <w:t>’</w:t>
      </w:r>
      <w:r w:rsidR="00B12349">
        <w:rPr>
          <w:rFonts w:ascii="Arial" w:hAnsi="Arial" w:cs="Arial"/>
          <w:bCs/>
          <w:sz w:val="22"/>
          <w:szCs w:val="22"/>
        </w:rPr>
        <w:t>,</w:t>
      </w:r>
      <w:r w:rsidRPr="00311631">
        <w:rPr>
          <w:rFonts w:ascii="Arial" w:hAnsi="Arial" w:cs="Arial"/>
          <w:bCs/>
          <w:sz w:val="22"/>
          <w:szCs w:val="22"/>
          <w:vertAlign w:val="superscript"/>
        </w:rPr>
        <w:footnoteReference w:id="78"/>
      </w:r>
      <w:r w:rsidRPr="00311631">
        <w:rPr>
          <w:rFonts w:ascii="Arial" w:hAnsi="Arial" w:cs="Arial"/>
          <w:bCs/>
          <w:sz w:val="22"/>
          <w:szCs w:val="22"/>
        </w:rPr>
        <w:t xml:space="preserve"> but are now starting to be taken seriously for raising uncomfortable questions about the extent to which women should challenge male exploitation, and </w:t>
      </w:r>
      <w:r w:rsidR="00363B6D">
        <w:rPr>
          <w:rFonts w:ascii="Arial" w:hAnsi="Arial" w:cs="Arial"/>
          <w:bCs/>
          <w:sz w:val="22"/>
          <w:szCs w:val="22"/>
        </w:rPr>
        <w:t>‘</w:t>
      </w:r>
      <w:r w:rsidRPr="00311631">
        <w:rPr>
          <w:rFonts w:ascii="Arial" w:hAnsi="Arial" w:cs="Arial"/>
          <w:bCs/>
          <w:sz w:val="22"/>
          <w:szCs w:val="22"/>
        </w:rPr>
        <w:t>the impossibility of women experiencing freedom if they continue to share the world with men</w:t>
      </w:r>
      <w:r w:rsidR="00363B6D">
        <w:rPr>
          <w:rFonts w:ascii="Arial" w:hAnsi="Arial" w:cs="Arial"/>
          <w:bCs/>
          <w:sz w:val="22"/>
          <w:szCs w:val="22"/>
        </w:rPr>
        <w:t>’</w:t>
      </w:r>
      <w:r w:rsidR="009E392B">
        <w:rPr>
          <w:rFonts w:ascii="Arial" w:hAnsi="Arial" w:cs="Arial"/>
          <w:bCs/>
          <w:sz w:val="22"/>
          <w:szCs w:val="22"/>
        </w:rPr>
        <w:t>.</w:t>
      </w:r>
      <w:r w:rsidRPr="00311631">
        <w:rPr>
          <w:rFonts w:ascii="Arial" w:hAnsi="Arial" w:cs="Arial"/>
          <w:bCs/>
          <w:sz w:val="22"/>
          <w:szCs w:val="22"/>
          <w:vertAlign w:val="superscript"/>
        </w:rPr>
        <w:footnoteReference w:id="79"/>
      </w:r>
      <w:r w:rsidRPr="00311631">
        <w:rPr>
          <w:rFonts w:ascii="Arial" w:hAnsi="Arial" w:cs="Arial"/>
          <w:bCs/>
          <w:sz w:val="22"/>
          <w:szCs w:val="22"/>
        </w:rPr>
        <w:t xml:space="preserve"> Viewed through this lens, separatism of the type envisaged in </w:t>
      </w:r>
      <w:r w:rsidRPr="00311631">
        <w:rPr>
          <w:rFonts w:ascii="Arial" w:hAnsi="Arial" w:cs="Arial"/>
          <w:bCs/>
          <w:i/>
          <w:iCs/>
          <w:sz w:val="22"/>
          <w:szCs w:val="22"/>
        </w:rPr>
        <w:t>After Dark</w:t>
      </w:r>
      <w:r w:rsidRPr="00311631">
        <w:rPr>
          <w:rFonts w:ascii="Arial" w:hAnsi="Arial" w:cs="Arial"/>
          <w:bCs/>
          <w:sz w:val="22"/>
          <w:szCs w:val="22"/>
        </w:rPr>
        <w:t xml:space="preserve"> fails to achieve the objective of freeing women from male oppression: so long as women continue to share the world with men, separating women from men </w:t>
      </w:r>
      <w:r w:rsidR="00363B6D">
        <w:rPr>
          <w:rFonts w:ascii="Arial" w:hAnsi="Arial" w:cs="Arial"/>
          <w:bCs/>
          <w:sz w:val="22"/>
          <w:szCs w:val="22"/>
        </w:rPr>
        <w:t>‘</w:t>
      </w:r>
      <w:r w:rsidRPr="00311631">
        <w:rPr>
          <w:rFonts w:ascii="Arial" w:hAnsi="Arial" w:cs="Arial"/>
          <w:bCs/>
          <w:sz w:val="22"/>
          <w:szCs w:val="22"/>
        </w:rPr>
        <w:t>merely removes women from the shared world, completing the patriarchal project of women’s exclusion</w:t>
      </w:r>
      <w:r w:rsidR="00363B6D">
        <w:rPr>
          <w:rFonts w:ascii="Arial" w:hAnsi="Arial" w:cs="Arial"/>
          <w:bCs/>
          <w:sz w:val="22"/>
          <w:szCs w:val="22"/>
        </w:rPr>
        <w:t>’</w:t>
      </w:r>
      <w:r w:rsidR="009E392B">
        <w:rPr>
          <w:rFonts w:ascii="Arial" w:hAnsi="Arial" w:cs="Arial"/>
          <w:bCs/>
          <w:sz w:val="22"/>
          <w:szCs w:val="22"/>
        </w:rPr>
        <w:t>.</w:t>
      </w:r>
      <w:r w:rsidRPr="00311631">
        <w:rPr>
          <w:rFonts w:ascii="Arial" w:hAnsi="Arial" w:cs="Arial"/>
          <w:bCs/>
          <w:sz w:val="22"/>
          <w:szCs w:val="22"/>
          <w:vertAlign w:val="superscript"/>
        </w:rPr>
        <w:footnoteReference w:id="80"/>
      </w:r>
    </w:p>
    <w:p w14:paraId="1D7D16A2" w14:textId="77777777" w:rsidR="00311631" w:rsidRPr="00311631" w:rsidRDefault="00311631" w:rsidP="00932066">
      <w:pPr>
        <w:pStyle w:val="ArticleTitle"/>
        <w:spacing w:after="0" w:line="360" w:lineRule="auto"/>
        <w:rPr>
          <w:rFonts w:ascii="Arial" w:hAnsi="Arial" w:cs="Arial"/>
          <w:bCs/>
          <w:sz w:val="22"/>
          <w:szCs w:val="22"/>
        </w:rPr>
      </w:pPr>
    </w:p>
    <w:p w14:paraId="62DA134D" w14:textId="0451D163" w:rsidR="00311631" w:rsidRPr="00311631" w:rsidRDefault="00311631" w:rsidP="005B621E">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A further consequence of the form of separatism introduced in </w:t>
      </w:r>
      <w:r w:rsidRPr="00311631">
        <w:rPr>
          <w:rFonts w:ascii="Arial" w:hAnsi="Arial" w:cs="Arial"/>
          <w:bCs/>
          <w:i/>
          <w:iCs/>
          <w:sz w:val="22"/>
          <w:szCs w:val="22"/>
        </w:rPr>
        <w:t xml:space="preserve">After Dark </w:t>
      </w:r>
      <w:r w:rsidRPr="00311631">
        <w:rPr>
          <w:rFonts w:ascii="Arial" w:hAnsi="Arial" w:cs="Arial"/>
          <w:bCs/>
          <w:sz w:val="22"/>
          <w:szCs w:val="22"/>
        </w:rPr>
        <w:t xml:space="preserve">is that of increasing the risk of exposure of males to violence at the hands of other males. A consequence of the requirement of the 2023 Act that all males must be </w:t>
      </w:r>
      <w:r w:rsidR="00363B6D">
        <w:rPr>
          <w:rFonts w:ascii="Arial" w:hAnsi="Arial" w:cs="Arial"/>
          <w:bCs/>
          <w:sz w:val="22"/>
          <w:szCs w:val="22"/>
        </w:rPr>
        <w:t>‘</w:t>
      </w:r>
      <w:r w:rsidRPr="00311631">
        <w:rPr>
          <w:rFonts w:ascii="Arial" w:hAnsi="Arial" w:cs="Arial"/>
          <w:bCs/>
          <w:sz w:val="22"/>
          <w:szCs w:val="22"/>
        </w:rPr>
        <w:t>tagged</w:t>
      </w:r>
      <w:r w:rsidR="00363B6D">
        <w:rPr>
          <w:rFonts w:ascii="Arial" w:hAnsi="Arial" w:cs="Arial"/>
          <w:bCs/>
          <w:sz w:val="22"/>
          <w:szCs w:val="22"/>
        </w:rPr>
        <w:t>’</w:t>
      </w:r>
      <w:r w:rsidRPr="00311631">
        <w:rPr>
          <w:rFonts w:ascii="Arial" w:hAnsi="Arial" w:cs="Arial"/>
          <w:bCs/>
          <w:sz w:val="22"/>
          <w:szCs w:val="22"/>
        </w:rPr>
        <w:t xml:space="preserve"> and subject </w:t>
      </w:r>
      <w:r w:rsidRPr="00311631">
        <w:rPr>
          <w:rFonts w:ascii="Arial" w:hAnsi="Arial" w:cs="Arial"/>
          <w:bCs/>
          <w:sz w:val="22"/>
          <w:szCs w:val="22"/>
        </w:rPr>
        <w:lastRenderedPageBreak/>
        <w:t>to the curfew restrictions upon attaining the age of ten</w:t>
      </w:r>
      <w:r w:rsidRPr="00311631">
        <w:rPr>
          <w:rFonts w:ascii="Arial" w:hAnsi="Arial" w:cs="Arial"/>
          <w:bCs/>
          <w:sz w:val="22"/>
          <w:szCs w:val="22"/>
          <w:vertAlign w:val="superscript"/>
        </w:rPr>
        <w:footnoteReference w:id="81"/>
      </w:r>
      <w:r w:rsidRPr="00311631">
        <w:rPr>
          <w:rFonts w:ascii="Arial" w:hAnsi="Arial" w:cs="Arial"/>
          <w:bCs/>
          <w:sz w:val="22"/>
          <w:szCs w:val="22"/>
        </w:rPr>
        <w:t xml:space="preserve"> is that young males are at much greater risk of violence from male family members. This is illustrated in </w:t>
      </w:r>
      <w:r w:rsidRPr="00311631">
        <w:rPr>
          <w:rFonts w:ascii="Arial" w:hAnsi="Arial" w:cs="Arial"/>
          <w:bCs/>
          <w:i/>
          <w:iCs/>
          <w:sz w:val="22"/>
          <w:szCs w:val="22"/>
        </w:rPr>
        <w:t xml:space="preserve">After Dark </w:t>
      </w:r>
      <w:r w:rsidRPr="00311631">
        <w:rPr>
          <w:rFonts w:ascii="Arial" w:hAnsi="Arial" w:cs="Arial"/>
          <w:bCs/>
          <w:sz w:val="22"/>
          <w:szCs w:val="22"/>
        </w:rPr>
        <w:t>through the character of Cass’s friend Billy, the only male character in the novel who demonstrates any positive attributes. Billy’s observations of his parents’ apparently frequent arguments</w:t>
      </w:r>
      <w:r w:rsidRPr="00311631">
        <w:rPr>
          <w:rFonts w:ascii="Arial" w:hAnsi="Arial" w:cs="Arial"/>
          <w:bCs/>
          <w:sz w:val="22"/>
          <w:szCs w:val="22"/>
          <w:vertAlign w:val="superscript"/>
        </w:rPr>
        <w:footnoteReference w:id="82"/>
      </w:r>
      <w:r w:rsidRPr="00311631">
        <w:rPr>
          <w:rFonts w:ascii="Arial" w:hAnsi="Arial" w:cs="Arial"/>
          <w:bCs/>
          <w:sz w:val="22"/>
          <w:szCs w:val="22"/>
        </w:rPr>
        <w:t xml:space="preserve"> suggest that he is at least a witness to, if not a victim of, domestic violence at the hands of his father. During much of the novel, Cass is sensitive to Billy’s predicament, and is complicit in allowing him to remove his tag so as to escape his unpleasant domestic environment. However, by the end of the novel she appears to regard him as no more deserving of pity than any other man inconvenienced by the curfew restrictions</w:t>
      </w:r>
      <w:r w:rsidRPr="00311631">
        <w:rPr>
          <w:rFonts w:ascii="Arial" w:hAnsi="Arial" w:cs="Arial"/>
          <w:bCs/>
          <w:sz w:val="22"/>
          <w:szCs w:val="22"/>
          <w:vertAlign w:val="superscript"/>
        </w:rPr>
        <w:footnoteReference w:id="83"/>
      </w:r>
      <w:r w:rsidRPr="00311631">
        <w:rPr>
          <w:rFonts w:ascii="Arial" w:hAnsi="Arial" w:cs="Arial"/>
          <w:bCs/>
          <w:sz w:val="22"/>
          <w:szCs w:val="22"/>
        </w:rPr>
        <w:t xml:space="preserve"> - a likely consequence of her seemingly new-found enthusiastic support of gender-based restrictions (to be discussed below) – and responds brusquely to his statement that his mother has moved out of the family home</w:t>
      </w:r>
      <w:r w:rsidR="003A3CFC">
        <w:rPr>
          <w:rFonts w:ascii="Arial" w:hAnsi="Arial" w:cs="Arial"/>
          <w:bCs/>
          <w:sz w:val="22"/>
          <w:szCs w:val="22"/>
        </w:rPr>
        <w:t>.</w:t>
      </w:r>
      <w:r w:rsidRPr="00311631">
        <w:rPr>
          <w:rFonts w:ascii="Arial" w:hAnsi="Arial" w:cs="Arial"/>
          <w:bCs/>
          <w:sz w:val="22"/>
          <w:szCs w:val="22"/>
          <w:vertAlign w:val="superscript"/>
        </w:rPr>
        <w:footnoteReference w:id="84"/>
      </w:r>
      <w:r w:rsidRPr="00311631">
        <w:rPr>
          <w:rFonts w:ascii="Arial" w:hAnsi="Arial" w:cs="Arial"/>
          <w:bCs/>
          <w:sz w:val="22"/>
          <w:szCs w:val="22"/>
        </w:rPr>
        <w:t xml:space="preserve"> Abandoned by his mother and his (seemingly, only) friend and left to the mercies of his father, Billy does not appear to have a bright future ahead. Billy’s exchange with Cass illustrates also his lack of respect before the law that has been imposed upon him, heightening its inadequacy as a means of control. To this end, not only has the curfew system demonstrably failed to protect women, it has exposed vulnerable men to violence at the hands of other men. The violence that Billy is impeded from evading due to the curfew restrictions is, as has been noted</w:t>
      </w:r>
      <w:r w:rsidR="003A3CFC">
        <w:rPr>
          <w:rFonts w:ascii="Arial" w:hAnsi="Arial" w:cs="Arial"/>
          <w:bCs/>
          <w:sz w:val="22"/>
          <w:szCs w:val="22"/>
        </w:rPr>
        <w:t>,</w:t>
      </w:r>
      <w:r w:rsidRPr="00311631">
        <w:rPr>
          <w:rFonts w:ascii="Arial" w:hAnsi="Arial" w:cs="Arial"/>
          <w:bCs/>
          <w:sz w:val="22"/>
          <w:szCs w:val="22"/>
          <w:vertAlign w:val="superscript"/>
        </w:rPr>
        <w:footnoteReference w:id="85"/>
      </w:r>
      <w:r w:rsidRPr="00311631">
        <w:rPr>
          <w:rFonts w:ascii="Arial" w:hAnsi="Arial" w:cs="Arial"/>
          <w:bCs/>
          <w:sz w:val="22"/>
          <w:szCs w:val="22"/>
        </w:rPr>
        <w:t xml:space="preserve"> likely to be more severe in nature due to its being inflicted by a single father – a phenomenon (unlike violence in single-mother families) not solely attributable to economic deprivation</w:t>
      </w:r>
      <w:r w:rsidRPr="00311631">
        <w:rPr>
          <w:rFonts w:ascii="Arial" w:hAnsi="Arial" w:cs="Arial"/>
          <w:bCs/>
          <w:sz w:val="22"/>
          <w:szCs w:val="22"/>
          <w:vertAlign w:val="superscript"/>
        </w:rPr>
        <w:footnoteReference w:id="86"/>
      </w:r>
      <w:r w:rsidRPr="00311631">
        <w:rPr>
          <w:rFonts w:ascii="Arial" w:hAnsi="Arial" w:cs="Arial"/>
          <w:bCs/>
          <w:sz w:val="22"/>
          <w:szCs w:val="22"/>
        </w:rPr>
        <w:t xml:space="preserve"> - although that factor is likely to be highly significant in respect of Billy’s, and all single-father families, in the world of </w:t>
      </w:r>
      <w:r w:rsidRPr="00311631">
        <w:rPr>
          <w:rFonts w:ascii="Arial" w:hAnsi="Arial" w:cs="Arial"/>
          <w:bCs/>
          <w:i/>
          <w:iCs/>
          <w:sz w:val="22"/>
          <w:szCs w:val="22"/>
        </w:rPr>
        <w:t xml:space="preserve">After Dark </w:t>
      </w:r>
      <w:r w:rsidRPr="00311631">
        <w:rPr>
          <w:rFonts w:ascii="Arial" w:hAnsi="Arial" w:cs="Arial"/>
          <w:bCs/>
          <w:sz w:val="22"/>
          <w:szCs w:val="22"/>
        </w:rPr>
        <w:t xml:space="preserve">due to the economic opportunities denied men by the curfew restrictions. Further, research into the long-term effects of child abuse upon male survivors prefers an even more damning indictment of the curfew system, in respect of the </w:t>
      </w:r>
      <w:r w:rsidR="00363B6D">
        <w:rPr>
          <w:rFonts w:ascii="Arial" w:hAnsi="Arial" w:cs="Arial"/>
          <w:bCs/>
          <w:sz w:val="22"/>
          <w:szCs w:val="22"/>
        </w:rPr>
        <w:t>‘</w:t>
      </w:r>
      <w:r w:rsidRPr="00311631">
        <w:rPr>
          <w:rFonts w:ascii="Arial" w:hAnsi="Arial" w:cs="Arial"/>
          <w:bCs/>
          <w:sz w:val="22"/>
          <w:szCs w:val="22"/>
        </w:rPr>
        <w:t>significant association</w:t>
      </w:r>
      <w:r w:rsidR="00363B6D">
        <w:rPr>
          <w:rFonts w:ascii="Arial" w:hAnsi="Arial" w:cs="Arial"/>
          <w:bCs/>
          <w:sz w:val="22"/>
          <w:szCs w:val="22"/>
        </w:rPr>
        <w:t>’</w:t>
      </w:r>
      <w:r w:rsidRPr="00311631">
        <w:rPr>
          <w:rFonts w:ascii="Arial" w:hAnsi="Arial" w:cs="Arial"/>
          <w:bCs/>
          <w:sz w:val="22"/>
          <w:szCs w:val="22"/>
        </w:rPr>
        <w:t xml:space="preserve"> between male survivors of child abuse and male perpetrators of </w:t>
      </w:r>
      <w:r w:rsidR="00363B6D">
        <w:rPr>
          <w:rFonts w:ascii="Arial" w:hAnsi="Arial" w:cs="Arial"/>
          <w:bCs/>
          <w:sz w:val="22"/>
          <w:szCs w:val="22"/>
        </w:rPr>
        <w:t>‘</w:t>
      </w:r>
      <w:r w:rsidRPr="00311631">
        <w:rPr>
          <w:rFonts w:ascii="Arial" w:hAnsi="Arial" w:cs="Arial"/>
          <w:bCs/>
          <w:sz w:val="22"/>
          <w:szCs w:val="22"/>
        </w:rPr>
        <w:t>intimate partner violence</w:t>
      </w:r>
      <w:r w:rsidR="00363B6D">
        <w:rPr>
          <w:rFonts w:ascii="Arial" w:hAnsi="Arial" w:cs="Arial"/>
          <w:bCs/>
          <w:sz w:val="22"/>
          <w:szCs w:val="22"/>
        </w:rPr>
        <w:t>’</w:t>
      </w:r>
      <w:r w:rsidR="006A10F4">
        <w:rPr>
          <w:rFonts w:ascii="Arial" w:hAnsi="Arial" w:cs="Arial"/>
          <w:bCs/>
          <w:sz w:val="22"/>
          <w:szCs w:val="22"/>
        </w:rPr>
        <w:t>.</w:t>
      </w:r>
      <w:r w:rsidRPr="00311631">
        <w:rPr>
          <w:rFonts w:ascii="Arial" w:hAnsi="Arial" w:cs="Arial"/>
          <w:bCs/>
          <w:sz w:val="22"/>
          <w:szCs w:val="22"/>
          <w:vertAlign w:val="superscript"/>
        </w:rPr>
        <w:footnoteReference w:id="87"/>
      </w:r>
      <w:r w:rsidRPr="00311631">
        <w:rPr>
          <w:rFonts w:ascii="Arial" w:hAnsi="Arial" w:cs="Arial"/>
          <w:bCs/>
          <w:sz w:val="22"/>
          <w:szCs w:val="22"/>
        </w:rPr>
        <w:t xml:space="preserve"> As such, the effect of the curfew restrictions in the (highly unlikely to be isolated) case of Billy is not only to expose young men to violence, but to increase the risk that him and the probable many others like him will in adulthood perpetrate the very harms against women that the curfew restrictions were implemented to prevent.</w:t>
      </w:r>
    </w:p>
    <w:p w14:paraId="632351A1" w14:textId="77777777" w:rsidR="00311631" w:rsidRPr="00311631" w:rsidRDefault="00311631" w:rsidP="00932066">
      <w:pPr>
        <w:pStyle w:val="ArticleTitle"/>
        <w:spacing w:after="0" w:line="360" w:lineRule="auto"/>
        <w:rPr>
          <w:rFonts w:ascii="Arial" w:hAnsi="Arial" w:cs="Arial"/>
          <w:bCs/>
          <w:sz w:val="22"/>
          <w:szCs w:val="22"/>
        </w:rPr>
      </w:pPr>
    </w:p>
    <w:p w14:paraId="5CFF7377" w14:textId="1049834A" w:rsidR="00311631" w:rsidRDefault="00311631" w:rsidP="00505935">
      <w:pPr>
        <w:pStyle w:val="ArticleTitle"/>
        <w:spacing w:after="0" w:line="360" w:lineRule="auto"/>
        <w:ind w:firstLine="720"/>
        <w:rPr>
          <w:rFonts w:ascii="Arial" w:hAnsi="Arial" w:cs="Arial"/>
          <w:bCs/>
          <w:sz w:val="22"/>
          <w:szCs w:val="22"/>
        </w:rPr>
      </w:pPr>
      <w:r w:rsidRPr="00311631">
        <w:rPr>
          <w:rFonts w:ascii="Arial" w:hAnsi="Arial" w:cs="Arial"/>
          <w:bCs/>
          <w:sz w:val="22"/>
          <w:szCs w:val="22"/>
        </w:rPr>
        <w:lastRenderedPageBreak/>
        <w:t xml:space="preserve">Another problem to be noted in respect of the legislation described in </w:t>
      </w:r>
      <w:r w:rsidRPr="00311631">
        <w:rPr>
          <w:rFonts w:ascii="Arial" w:hAnsi="Arial" w:cs="Arial"/>
          <w:bCs/>
          <w:i/>
          <w:iCs/>
          <w:sz w:val="22"/>
          <w:szCs w:val="22"/>
        </w:rPr>
        <w:t xml:space="preserve">After Dark </w:t>
      </w:r>
      <w:r w:rsidRPr="00311631">
        <w:rPr>
          <w:rFonts w:ascii="Arial" w:hAnsi="Arial" w:cs="Arial"/>
          <w:bCs/>
          <w:sz w:val="22"/>
          <w:szCs w:val="22"/>
        </w:rPr>
        <w:t>concerns its impact upon LGBT people. As described in the novel, the legislation makes no distinction of the gender identity of those who are subjected to the curfew restrictions. The effect of this is to deny biological males the opportunity to identify as female. This approach is in tune with the views of some radical feminists (including Ti-Grace Atkinson</w:t>
      </w:r>
      <w:r w:rsidR="00505935">
        <w:rPr>
          <w:rFonts w:ascii="Arial" w:hAnsi="Arial" w:cs="Arial"/>
          <w:bCs/>
          <w:sz w:val="22"/>
          <w:szCs w:val="22"/>
        </w:rPr>
        <w:t>,</w:t>
      </w:r>
      <w:r w:rsidRPr="00311631">
        <w:rPr>
          <w:rFonts w:ascii="Arial" w:hAnsi="Arial" w:cs="Arial"/>
          <w:bCs/>
          <w:sz w:val="22"/>
          <w:szCs w:val="22"/>
          <w:vertAlign w:val="superscript"/>
        </w:rPr>
        <w:footnoteReference w:id="88"/>
      </w:r>
      <w:r w:rsidRPr="00311631">
        <w:rPr>
          <w:rFonts w:ascii="Arial" w:hAnsi="Arial" w:cs="Arial"/>
          <w:bCs/>
          <w:sz w:val="22"/>
          <w:szCs w:val="22"/>
        </w:rPr>
        <w:t xml:space="preserve"> a prominent supporter of Valerie Solanas</w:t>
      </w:r>
      <w:r w:rsidRPr="00311631">
        <w:rPr>
          <w:rFonts w:ascii="Arial" w:hAnsi="Arial" w:cs="Arial"/>
          <w:bCs/>
          <w:sz w:val="22"/>
          <w:szCs w:val="22"/>
          <w:vertAlign w:val="superscript"/>
        </w:rPr>
        <w:footnoteReference w:id="89"/>
      </w:r>
      <w:r w:rsidRPr="00311631">
        <w:rPr>
          <w:rFonts w:ascii="Arial" w:hAnsi="Arial" w:cs="Arial"/>
          <w:bCs/>
          <w:sz w:val="22"/>
          <w:szCs w:val="22"/>
        </w:rPr>
        <w:t>). However, it betrays a lack of respect for the experience of persons identifying as trans women. Recent research suggests that LGBT people living in the United Kingdom are more likely to experience violence than Germany or Portugal, and that trans individuals are the group of people most likely to experience violence within that category</w:t>
      </w:r>
      <w:r w:rsidR="00505935">
        <w:rPr>
          <w:rFonts w:ascii="Arial" w:hAnsi="Arial" w:cs="Arial"/>
          <w:bCs/>
          <w:sz w:val="22"/>
          <w:szCs w:val="22"/>
        </w:rPr>
        <w:t>.</w:t>
      </w:r>
      <w:r w:rsidRPr="00311631">
        <w:rPr>
          <w:rFonts w:ascii="Arial" w:hAnsi="Arial" w:cs="Arial"/>
          <w:bCs/>
          <w:sz w:val="22"/>
          <w:szCs w:val="22"/>
          <w:vertAlign w:val="superscript"/>
        </w:rPr>
        <w:footnoteReference w:id="90"/>
      </w:r>
      <w:r w:rsidRPr="00311631">
        <w:rPr>
          <w:rFonts w:ascii="Arial" w:hAnsi="Arial" w:cs="Arial"/>
          <w:bCs/>
          <w:sz w:val="22"/>
          <w:szCs w:val="22"/>
        </w:rPr>
        <w:t xml:space="preserve"> Viewed alongside recent research findings that the majority of the UK population regard trans people with </w:t>
      </w:r>
      <w:r w:rsidR="00363B6D">
        <w:rPr>
          <w:rFonts w:ascii="Arial" w:hAnsi="Arial" w:cs="Arial"/>
          <w:bCs/>
          <w:sz w:val="22"/>
          <w:szCs w:val="22"/>
        </w:rPr>
        <w:t>‘</w:t>
      </w:r>
      <w:r w:rsidRPr="00311631">
        <w:rPr>
          <w:rFonts w:ascii="Arial" w:hAnsi="Arial" w:cs="Arial"/>
          <w:bCs/>
          <w:sz w:val="22"/>
          <w:szCs w:val="22"/>
        </w:rPr>
        <w:t>admiration</w:t>
      </w:r>
      <w:r w:rsidR="00363B6D">
        <w:rPr>
          <w:rFonts w:ascii="Arial" w:hAnsi="Arial" w:cs="Arial"/>
          <w:bCs/>
          <w:sz w:val="22"/>
          <w:szCs w:val="22"/>
        </w:rPr>
        <w:t>’</w:t>
      </w:r>
      <w:r w:rsidRPr="00311631">
        <w:rPr>
          <w:rFonts w:ascii="Arial" w:hAnsi="Arial" w:cs="Arial"/>
          <w:bCs/>
          <w:sz w:val="22"/>
          <w:szCs w:val="22"/>
        </w:rPr>
        <w:t xml:space="preserve"> or </w:t>
      </w:r>
      <w:r w:rsidR="00363B6D">
        <w:rPr>
          <w:rFonts w:ascii="Arial" w:hAnsi="Arial" w:cs="Arial"/>
          <w:bCs/>
          <w:sz w:val="22"/>
          <w:szCs w:val="22"/>
        </w:rPr>
        <w:t>‘</w:t>
      </w:r>
      <w:r w:rsidRPr="00311631">
        <w:rPr>
          <w:rFonts w:ascii="Arial" w:hAnsi="Arial" w:cs="Arial"/>
          <w:bCs/>
          <w:sz w:val="22"/>
          <w:szCs w:val="22"/>
        </w:rPr>
        <w:t>respect</w:t>
      </w:r>
      <w:r w:rsidR="00363B6D">
        <w:rPr>
          <w:rFonts w:ascii="Arial" w:hAnsi="Arial" w:cs="Arial"/>
          <w:bCs/>
          <w:sz w:val="22"/>
          <w:szCs w:val="22"/>
        </w:rPr>
        <w:t>’</w:t>
      </w:r>
      <w:r w:rsidR="00505935">
        <w:rPr>
          <w:rFonts w:ascii="Arial" w:hAnsi="Arial" w:cs="Arial"/>
          <w:bCs/>
          <w:sz w:val="22"/>
          <w:szCs w:val="22"/>
        </w:rPr>
        <w:t>,</w:t>
      </w:r>
      <w:r w:rsidRPr="00311631">
        <w:rPr>
          <w:rFonts w:ascii="Arial" w:hAnsi="Arial" w:cs="Arial"/>
          <w:bCs/>
          <w:sz w:val="22"/>
          <w:szCs w:val="22"/>
          <w:vertAlign w:val="superscript"/>
        </w:rPr>
        <w:footnoteReference w:id="91"/>
      </w:r>
      <w:r w:rsidRPr="00311631">
        <w:rPr>
          <w:rFonts w:ascii="Arial" w:hAnsi="Arial" w:cs="Arial"/>
          <w:bCs/>
          <w:sz w:val="22"/>
          <w:szCs w:val="22"/>
        </w:rPr>
        <w:t xml:space="preserve"> this in turn serves to undermine the respect with which the legislation is likely to be regarded. Finally, the legislation of </w:t>
      </w:r>
      <w:r w:rsidRPr="00311631">
        <w:rPr>
          <w:rFonts w:ascii="Arial" w:hAnsi="Arial" w:cs="Arial"/>
          <w:bCs/>
          <w:i/>
          <w:iCs/>
          <w:sz w:val="22"/>
          <w:szCs w:val="22"/>
        </w:rPr>
        <w:t xml:space="preserve">After Dark </w:t>
      </w:r>
      <w:r w:rsidRPr="00311631">
        <w:rPr>
          <w:rFonts w:ascii="Arial" w:hAnsi="Arial" w:cs="Arial"/>
          <w:bCs/>
          <w:sz w:val="22"/>
          <w:szCs w:val="22"/>
        </w:rPr>
        <w:t>fails to acknowledge male sexuality; given the prominence of heterosexist cultural attitudes towards women as a factor causative of gender-based violence</w:t>
      </w:r>
      <w:r w:rsidR="00505935">
        <w:rPr>
          <w:rFonts w:ascii="Arial" w:hAnsi="Arial" w:cs="Arial"/>
          <w:bCs/>
          <w:sz w:val="22"/>
          <w:szCs w:val="22"/>
        </w:rPr>
        <w:t>,</w:t>
      </w:r>
      <w:r w:rsidRPr="00311631">
        <w:rPr>
          <w:rFonts w:ascii="Arial" w:hAnsi="Arial" w:cs="Arial"/>
          <w:bCs/>
          <w:sz w:val="22"/>
          <w:szCs w:val="22"/>
          <w:vertAlign w:val="superscript"/>
        </w:rPr>
        <w:footnoteReference w:id="92"/>
      </w:r>
      <w:r w:rsidRPr="00311631">
        <w:rPr>
          <w:rFonts w:ascii="Arial" w:hAnsi="Arial" w:cs="Arial"/>
          <w:bCs/>
          <w:sz w:val="22"/>
          <w:szCs w:val="22"/>
        </w:rPr>
        <w:t xml:space="preserve"> it is striking to see in </w:t>
      </w:r>
      <w:r w:rsidRPr="00311631">
        <w:rPr>
          <w:rFonts w:ascii="Arial" w:hAnsi="Arial" w:cs="Arial"/>
          <w:bCs/>
          <w:i/>
          <w:iCs/>
          <w:sz w:val="22"/>
          <w:szCs w:val="22"/>
        </w:rPr>
        <w:t xml:space="preserve">After Dark </w:t>
      </w:r>
      <w:r w:rsidRPr="00311631">
        <w:rPr>
          <w:rFonts w:ascii="Arial" w:hAnsi="Arial" w:cs="Arial"/>
          <w:bCs/>
          <w:sz w:val="22"/>
          <w:szCs w:val="22"/>
        </w:rPr>
        <w:t>no evidence</w:t>
      </w:r>
      <w:r w:rsidRPr="00311631">
        <w:rPr>
          <w:rFonts w:ascii="Arial" w:hAnsi="Arial" w:cs="Arial"/>
          <w:bCs/>
          <w:sz w:val="22"/>
          <w:szCs w:val="22"/>
          <w:vertAlign w:val="superscript"/>
        </w:rPr>
        <w:footnoteReference w:id="93"/>
      </w:r>
      <w:r w:rsidRPr="00311631">
        <w:rPr>
          <w:rFonts w:ascii="Arial" w:hAnsi="Arial" w:cs="Arial"/>
          <w:bCs/>
          <w:sz w:val="22"/>
          <w:szCs w:val="22"/>
        </w:rPr>
        <w:t xml:space="preserve"> that the legislation does not treat gay men as being equally as likely as heterosexual men to commit acts of violence against women. This in turn has the consequence that gay men are subjected to curfew restrictions that increase their own risk of harm at the hands of their male partners. In the light of research findings that there is a high prevalence of intimate partner violence in same sex male couples</w:t>
      </w:r>
      <w:r w:rsidR="00233418">
        <w:rPr>
          <w:rFonts w:ascii="Arial" w:hAnsi="Arial" w:cs="Arial"/>
          <w:bCs/>
          <w:sz w:val="22"/>
          <w:szCs w:val="22"/>
        </w:rPr>
        <w:t>,</w:t>
      </w:r>
      <w:r w:rsidRPr="00311631">
        <w:rPr>
          <w:rFonts w:ascii="Arial" w:hAnsi="Arial" w:cs="Arial"/>
          <w:bCs/>
          <w:sz w:val="22"/>
          <w:szCs w:val="22"/>
          <w:vertAlign w:val="superscript"/>
        </w:rPr>
        <w:footnoteReference w:id="94"/>
      </w:r>
      <w:r w:rsidRPr="00311631">
        <w:rPr>
          <w:rFonts w:ascii="Arial" w:hAnsi="Arial" w:cs="Arial"/>
          <w:bCs/>
          <w:sz w:val="22"/>
          <w:szCs w:val="22"/>
        </w:rPr>
        <w:t xml:space="preserve"> it is difficult to see the legislation imposed in </w:t>
      </w:r>
      <w:r w:rsidRPr="00311631">
        <w:rPr>
          <w:rFonts w:ascii="Arial" w:hAnsi="Arial" w:cs="Arial"/>
          <w:bCs/>
          <w:i/>
          <w:iCs/>
          <w:sz w:val="22"/>
          <w:szCs w:val="22"/>
        </w:rPr>
        <w:t xml:space="preserve">After Dark </w:t>
      </w:r>
      <w:r w:rsidRPr="00311631">
        <w:rPr>
          <w:rFonts w:ascii="Arial" w:hAnsi="Arial" w:cs="Arial"/>
          <w:bCs/>
          <w:sz w:val="22"/>
          <w:szCs w:val="22"/>
        </w:rPr>
        <w:t xml:space="preserve">as likely to be viewed by gay men as anything other than an instrument of oppression, in turn increasing likely animus on their part against the potential female victims of male violence who the legislation ostensibly is designed to protect, and further </w:t>
      </w:r>
      <w:r w:rsidR="00363B6D">
        <w:rPr>
          <w:rFonts w:ascii="Arial" w:hAnsi="Arial" w:cs="Arial"/>
          <w:bCs/>
          <w:sz w:val="22"/>
          <w:szCs w:val="22"/>
        </w:rPr>
        <w:t>‘</w:t>
      </w:r>
      <w:r w:rsidRPr="00311631">
        <w:rPr>
          <w:rFonts w:ascii="Arial" w:hAnsi="Arial" w:cs="Arial"/>
          <w:bCs/>
          <w:sz w:val="22"/>
          <w:szCs w:val="22"/>
        </w:rPr>
        <w:t>remov[ing] women from the shared world</w:t>
      </w:r>
      <w:r w:rsidR="00363B6D">
        <w:rPr>
          <w:rFonts w:ascii="Arial" w:hAnsi="Arial" w:cs="Arial"/>
          <w:bCs/>
          <w:sz w:val="22"/>
          <w:szCs w:val="22"/>
        </w:rPr>
        <w:t>’</w:t>
      </w:r>
      <w:r w:rsidR="00233418">
        <w:rPr>
          <w:rFonts w:ascii="Arial" w:hAnsi="Arial" w:cs="Arial"/>
          <w:bCs/>
          <w:sz w:val="22"/>
          <w:szCs w:val="22"/>
        </w:rPr>
        <w:t>.</w:t>
      </w:r>
      <w:r w:rsidRPr="00311631">
        <w:rPr>
          <w:rFonts w:ascii="Arial" w:hAnsi="Arial" w:cs="Arial"/>
          <w:bCs/>
          <w:sz w:val="22"/>
          <w:szCs w:val="22"/>
          <w:vertAlign w:val="superscript"/>
        </w:rPr>
        <w:footnoteReference w:id="95"/>
      </w:r>
    </w:p>
    <w:p w14:paraId="150DB4C0" w14:textId="77777777" w:rsidR="002D579F" w:rsidRDefault="002D579F" w:rsidP="00505935">
      <w:pPr>
        <w:pStyle w:val="ArticleTitle"/>
        <w:spacing w:after="0" w:line="360" w:lineRule="auto"/>
        <w:ind w:firstLine="720"/>
        <w:rPr>
          <w:rFonts w:ascii="Arial" w:hAnsi="Arial" w:cs="Arial"/>
          <w:bCs/>
          <w:sz w:val="22"/>
          <w:szCs w:val="22"/>
        </w:rPr>
      </w:pPr>
    </w:p>
    <w:p w14:paraId="1391C26F" w14:textId="77777777" w:rsidR="002D579F" w:rsidRPr="00311631" w:rsidRDefault="002D579F" w:rsidP="00505935">
      <w:pPr>
        <w:pStyle w:val="ArticleTitle"/>
        <w:spacing w:after="0" w:line="360" w:lineRule="auto"/>
        <w:ind w:firstLine="720"/>
        <w:rPr>
          <w:rFonts w:ascii="Arial" w:hAnsi="Arial" w:cs="Arial"/>
          <w:bCs/>
          <w:sz w:val="22"/>
          <w:szCs w:val="22"/>
        </w:rPr>
      </w:pPr>
    </w:p>
    <w:p w14:paraId="4EFD7E3C" w14:textId="77777777" w:rsidR="00311631" w:rsidRPr="00311631" w:rsidRDefault="00311631" w:rsidP="00932066">
      <w:pPr>
        <w:pStyle w:val="ArticleTitle"/>
        <w:spacing w:after="0" w:line="360" w:lineRule="auto"/>
        <w:rPr>
          <w:rFonts w:ascii="Arial" w:hAnsi="Arial" w:cs="Arial"/>
          <w:bCs/>
          <w:sz w:val="22"/>
          <w:szCs w:val="22"/>
        </w:rPr>
      </w:pPr>
    </w:p>
    <w:p w14:paraId="6DE0B41D" w14:textId="1A9431EA" w:rsidR="00311631" w:rsidRDefault="00363B6D" w:rsidP="00932066">
      <w:pPr>
        <w:pStyle w:val="ArticleTitle"/>
        <w:spacing w:after="0" w:line="360" w:lineRule="auto"/>
        <w:rPr>
          <w:rFonts w:ascii="Arial" w:hAnsi="Arial" w:cs="Arial"/>
          <w:b/>
          <w:i/>
          <w:iCs/>
          <w:sz w:val="22"/>
          <w:szCs w:val="22"/>
        </w:rPr>
      </w:pPr>
      <w:r w:rsidRPr="00233418">
        <w:rPr>
          <w:rFonts w:ascii="Arial" w:hAnsi="Arial" w:cs="Arial"/>
          <w:b/>
          <w:i/>
          <w:iCs/>
          <w:sz w:val="22"/>
          <w:szCs w:val="22"/>
        </w:rPr>
        <w:lastRenderedPageBreak/>
        <w:t>‘</w:t>
      </w:r>
      <w:r w:rsidR="00311631" w:rsidRPr="00311631">
        <w:rPr>
          <w:rFonts w:ascii="Arial" w:hAnsi="Arial" w:cs="Arial"/>
          <w:b/>
          <w:i/>
          <w:iCs/>
          <w:sz w:val="22"/>
          <w:szCs w:val="22"/>
        </w:rPr>
        <w:t>Male violence had to be stopped/Whatever it took</w:t>
      </w:r>
      <w:r w:rsidRPr="00233418">
        <w:rPr>
          <w:rFonts w:ascii="Arial" w:hAnsi="Arial" w:cs="Arial"/>
          <w:b/>
          <w:i/>
          <w:iCs/>
          <w:sz w:val="22"/>
          <w:szCs w:val="22"/>
        </w:rPr>
        <w:t>’</w:t>
      </w:r>
      <w:r w:rsidR="00311631" w:rsidRPr="00311631">
        <w:rPr>
          <w:rFonts w:ascii="Arial" w:hAnsi="Arial" w:cs="Arial"/>
          <w:bCs/>
          <w:sz w:val="22"/>
          <w:szCs w:val="22"/>
          <w:vertAlign w:val="superscript"/>
        </w:rPr>
        <w:footnoteReference w:id="96"/>
      </w:r>
    </w:p>
    <w:p w14:paraId="08926C56" w14:textId="77777777" w:rsidR="002D579F" w:rsidRPr="00311631" w:rsidRDefault="002D579F" w:rsidP="00932066">
      <w:pPr>
        <w:pStyle w:val="ArticleTitle"/>
        <w:spacing w:after="0" w:line="360" w:lineRule="auto"/>
        <w:rPr>
          <w:rFonts w:ascii="Arial" w:hAnsi="Arial" w:cs="Arial"/>
          <w:b/>
          <w:i/>
          <w:iCs/>
          <w:sz w:val="22"/>
          <w:szCs w:val="22"/>
        </w:rPr>
      </w:pPr>
    </w:p>
    <w:p w14:paraId="606AA116" w14:textId="45D0F25D"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 xml:space="preserve">Helen’s murder, seen against the background of the above issues, exposes the failure of legislation by control imposed upon men through the curfew system to provide the desired protection to women. With this in mind, the events of the closing chapters of </w:t>
      </w:r>
      <w:r w:rsidRPr="00311631">
        <w:rPr>
          <w:rFonts w:ascii="Arial" w:hAnsi="Arial" w:cs="Arial"/>
          <w:bCs/>
          <w:i/>
          <w:iCs/>
          <w:sz w:val="22"/>
          <w:szCs w:val="22"/>
        </w:rPr>
        <w:t>After Dark</w:t>
      </w:r>
      <w:r w:rsidRPr="00311631">
        <w:rPr>
          <w:rFonts w:ascii="Arial" w:hAnsi="Arial" w:cs="Arial"/>
          <w:bCs/>
          <w:sz w:val="22"/>
          <w:szCs w:val="22"/>
        </w:rPr>
        <w:t xml:space="preserve"> may come as a surprise to a first-time reader, who would be forgiven for expecting that the characters previously supportive of the curfew system would alter their position.</w:t>
      </w:r>
      <w:r w:rsidR="00741B0E" w:rsidRPr="00311631">
        <w:rPr>
          <w:rFonts w:ascii="Arial" w:hAnsi="Arial" w:cs="Arial"/>
          <w:bCs/>
          <w:sz w:val="22"/>
          <w:szCs w:val="22"/>
          <w:vertAlign w:val="superscript"/>
        </w:rPr>
        <w:footnoteReference w:id="97"/>
      </w:r>
      <w:r w:rsidRPr="00311631">
        <w:rPr>
          <w:rFonts w:ascii="Arial" w:hAnsi="Arial" w:cs="Arial"/>
          <w:bCs/>
          <w:sz w:val="22"/>
          <w:szCs w:val="22"/>
        </w:rPr>
        <w:t xml:space="preserve"> However, the opposite in fact occurs: Cass becomes a whole-hearted supporter of the system, even going so far as to ceremonially burn her stock of pre-curfew woman’s magazines</w:t>
      </w:r>
      <w:r w:rsidR="00741B0E">
        <w:rPr>
          <w:rFonts w:ascii="Arial" w:hAnsi="Arial" w:cs="Arial"/>
          <w:bCs/>
          <w:sz w:val="22"/>
          <w:szCs w:val="22"/>
        </w:rPr>
        <w:t>,</w:t>
      </w:r>
      <w:r w:rsidRPr="00311631">
        <w:rPr>
          <w:rFonts w:ascii="Arial" w:hAnsi="Arial" w:cs="Arial"/>
          <w:bCs/>
          <w:sz w:val="22"/>
          <w:szCs w:val="22"/>
          <w:vertAlign w:val="superscript"/>
        </w:rPr>
        <w:footnoteReference w:id="98"/>
      </w:r>
      <w:r w:rsidRPr="00311631">
        <w:rPr>
          <w:rFonts w:ascii="Arial" w:hAnsi="Arial" w:cs="Arial"/>
          <w:bCs/>
          <w:sz w:val="22"/>
          <w:szCs w:val="22"/>
        </w:rPr>
        <w:t xml:space="preserve"> and joins her mother in a march on Parliament by women demanding </w:t>
      </w:r>
      <w:r w:rsidR="00363B6D">
        <w:rPr>
          <w:rFonts w:ascii="Arial" w:hAnsi="Arial" w:cs="Arial"/>
          <w:bCs/>
          <w:sz w:val="22"/>
          <w:szCs w:val="22"/>
        </w:rPr>
        <w:t>‘</w:t>
      </w:r>
      <w:r w:rsidRPr="00311631">
        <w:rPr>
          <w:rFonts w:ascii="Arial" w:hAnsi="Arial" w:cs="Arial"/>
          <w:bCs/>
          <w:sz w:val="22"/>
          <w:szCs w:val="22"/>
        </w:rPr>
        <w:t xml:space="preserve">something </w:t>
      </w:r>
      <w:r w:rsidRPr="00311631">
        <w:rPr>
          <w:rFonts w:ascii="Arial" w:hAnsi="Arial" w:cs="Arial"/>
          <w:bCs/>
          <w:i/>
          <w:iCs/>
          <w:sz w:val="22"/>
          <w:szCs w:val="22"/>
        </w:rPr>
        <w:t>more</w:t>
      </w:r>
      <w:r w:rsidR="00363B6D">
        <w:rPr>
          <w:rFonts w:ascii="Arial" w:hAnsi="Arial" w:cs="Arial"/>
          <w:bCs/>
          <w:sz w:val="22"/>
          <w:szCs w:val="22"/>
        </w:rPr>
        <w:t>’</w:t>
      </w:r>
      <w:r w:rsidR="00741B0E">
        <w:rPr>
          <w:rFonts w:ascii="Arial" w:hAnsi="Arial" w:cs="Arial"/>
          <w:bCs/>
          <w:sz w:val="22"/>
          <w:szCs w:val="22"/>
        </w:rPr>
        <w:t>.</w:t>
      </w:r>
      <w:r w:rsidRPr="00311631">
        <w:rPr>
          <w:rFonts w:ascii="Arial" w:hAnsi="Arial" w:cs="Arial"/>
          <w:bCs/>
          <w:sz w:val="22"/>
          <w:szCs w:val="22"/>
          <w:vertAlign w:val="superscript"/>
        </w:rPr>
        <w:footnoteReference w:id="99"/>
      </w:r>
    </w:p>
    <w:p w14:paraId="457AAB7E" w14:textId="77777777" w:rsidR="00233418" w:rsidRPr="00311631" w:rsidRDefault="00233418" w:rsidP="00932066">
      <w:pPr>
        <w:pStyle w:val="ArticleTitle"/>
        <w:spacing w:after="0" w:line="360" w:lineRule="auto"/>
        <w:rPr>
          <w:rFonts w:ascii="Arial" w:hAnsi="Arial" w:cs="Arial"/>
          <w:bCs/>
          <w:sz w:val="22"/>
          <w:szCs w:val="22"/>
        </w:rPr>
      </w:pPr>
    </w:p>
    <w:p w14:paraId="75B2C033" w14:textId="4D4D81F9" w:rsidR="00311631" w:rsidRDefault="00311631" w:rsidP="00741B0E">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This invites speculation as to how far the state might go to control men. Having failed to provide the necessary measure of control by restraining potential male aggressors, the logical next step, using </w:t>
      </w:r>
      <w:r w:rsidR="00363B6D">
        <w:rPr>
          <w:rFonts w:ascii="Arial" w:hAnsi="Arial" w:cs="Arial"/>
          <w:bCs/>
          <w:sz w:val="22"/>
          <w:szCs w:val="22"/>
        </w:rPr>
        <w:t>‘</w:t>
      </w:r>
      <w:r w:rsidRPr="00311631">
        <w:rPr>
          <w:rFonts w:ascii="Arial" w:hAnsi="Arial" w:cs="Arial"/>
          <w:bCs/>
          <w:sz w:val="22"/>
          <w:szCs w:val="22"/>
        </w:rPr>
        <w:t>violence…[as] a lens to examine and critique alternate forms of feminist political organising</w:t>
      </w:r>
      <w:r w:rsidR="00363B6D">
        <w:rPr>
          <w:rFonts w:ascii="Arial" w:hAnsi="Arial" w:cs="Arial"/>
          <w:bCs/>
          <w:sz w:val="22"/>
          <w:szCs w:val="22"/>
        </w:rPr>
        <w:t>’</w:t>
      </w:r>
      <w:r w:rsidR="004A0F91">
        <w:rPr>
          <w:rFonts w:ascii="Arial" w:hAnsi="Arial" w:cs="Arial"/>
          <w:bCs/>
          <w:sz w:val="22"/>
          <w:szCs w:val="22"/>
        </w:rPr>
        <w:t>,</w:t>
      </w:r>
      <w:r w:rsidRPr="00311631">
        <w:rPr>
          <w:rFonts w:ascii="Arial" w:hAnsi="Arial" w:cs="Arial"/>
          <w:bCs/>
          <w:sz w:val="22"/>
          <w:szCs w:val="22"/>
          <w:vertAlign w:val="superscript"/>
        </w:rPr>
        <w:footnoteReference w:id="100"/>
      </w:r>
      <w:r w:rsidRPr="00311631">
        <w:rPr>
          <w:rFonts w:ascii="Arial" w:hAnsi="Arial" w:cs="Arial"/>
          <w:bCs/>
          <w:sz w:val="22"/>
          <w:szCs w:val="22"/>
        </w:rPr>
        <w:t xml:space="preserve"> is to kill them. This was the position advocated by Valerie Solanas in her </w:t>
      </w:r>
      <w:r w:rsidRPr="00311631">
        <w:rPr>
          <w:rFonts w:ascii="Arial" w:hAnsi="Arial" w:cs="Arial"/>
          <w:bCs/>
          <w:i/>
          <w:iCs/>
          <w:sz w:val="22"/>
          <w:szCs w:val="22"/>
        </w:rPr>
        <w:t>SCUM Manifesto</w:t>
      </w:r>
      <w:r w:rsidR="004A0F91">
        <w:rPr>
          <w:rFonts w:ascii="Arial" w:hAnsi="Arial" w:cs="Arial"/>
          <w:bCs/>
          <w:i/>
          <w:iCs/>
          <w:sz w:val="22"/>
          <w:szCs w:val="22"/>
        </w:rPr>
        <w:t>,</w:t>
      </w:r>
      <w:r w:rsidRPr="00311631">
        <w:rPr>
          <w:rFonts w:ascii="Arial" w:hAnsi="Arial" w:cs="Arial"/>
          <w:bCs/>
          <w:sz w:val="22"/>
          <w:szCs w:val="22"/>
          <w:vertAlign w:val="superscript"/>
        </w:rPr>
        <w:footnoteReference w:id="101"/>
      </w:r>
      <w:r w:rsidRPr="00311631">
        <w:rPr>
          <w:rFonts w:ascii="Arial" w:hAnsi="Arial" w:cs="Arial"/>
          <w:bCs/>
          <w:sz w:val="22"/>
          <w:szCs w:val="22"/>
        </w:rPr>
        <w:t xml:space="preserve"> wherein male violence is described as the product of envy on the part of men that they are not themselves female</w:t>
      </w:r>
      <w:r w:rsidRPr="00311631">
        <w:rPr>
          <w:rFonts w:ascii="Arial" w:hAnsi="Arial" w:cs="Arial"/>
          <w:bCs/>
          <w:sz w:val="22"/>
          <w:szCs w:val="22"/>
          <w:vertAlign w:val="superscript"/>
        </w:rPr>
        <w:footnoteReference w:id="102"/>
      </w:r>
      <w:r w:rsidRPr="00311631">
        <w:rPr>
          <w:rFonts w:ascii="Arial" w:hAnsi="Arial" w:cs="Arial"/>
          <w:bCs/>
          <w:sz w:val="22"/>
          <w:szCs w:val="22"/>
        </w:rPr>
        <w:t xml:space="preserve"> (Solanas describes a man as </w:t>
      </w:r>
      <w:r w:rsidR="00363B6D">
        <w:rPr>
          <w:rFonts w:ascii="Arial" w:hAnsi="Arial" w:cs="Arial"/>
          <w:bCs/>
          <w:sz w:val="22"/>
          <w:szCs w:val="22"/>
        </w:rPr>
        <w:t>‘</w:t>
      </w:r>
      <w:r w:rsidRPr="00311631">
        <w:rPr>
          <w:rFonts w:ascii="Arial" w:hAnsi="Arial" w:cs="Arial"/>
          <w:bCs/>
          <w:sz w:val="22"/>
          <w:szCs w:val="22"/>
        </w:rPr>
        <w:t>an incomplete female, a walking abortion, aborted at the gene stage</w:t>
      </w:r>
      <w:r w:rsidR="00363B6D">
        <w:rPr>
          <w:rFonts w:ascii="Arial" w:hAnsi="Arial" w:cs="Arial"/>
          <w:bCs/>
          <w:sz w:val="22"/>
          <w:szCs w:val="22"/>
        </w:rPr>
        <w:t>’</w:t>
      </w:r>
      <w:r w:rsidRPr="00311631">
        <w:rPr>
          <w:rFonts w:ascii="Arial" w:hAnsi="Arial" w:cs="Arial"/>
          <w:bCs/>
          <w:sz w:val="22"/>
          <w:szCs w:val="22"/>
        </w:rPr>
        <w:t>).</w:t>
      </w:r>
      <w:r w:rsidR="004A0F91" w:rsidRPr="00311631">
        <w:rPr>
          <w:rFonts w:ascii="Arial" w:hAnsi="Arial" w:cs="Arial"/>
          <w:bCs/>
          <w:sz w:val="22"/>
          <w:szCs w:val="22"/>
          <w:vertAlign w:val="superscript"/>
        </w:rPr>
        <w:footnoteReference w:id="103"/>
      </w:r>
      <w:r w:rsidRPr="00311631">
        <w:rPr>
          <w:rFonts w:ascii="Arial" w:hAnsi="Arial" w:cs="Arial"/>
          <w:bCs/>
          <w:sz w:val="22"/>
          <w:szCs w:val="22"/>
        </w:rPr>
        <w:t xml:space="preserve"> Violence thus conceived of as a feminine, rather than masculine, proclivity</w:t>
      </w:r>
      <w:r w:rsidR="004A0F91">
        <w:rPr>
          <w:rFonts w:ascii="Arial" w:hAnsi="Arial" w:cs="Arial"/>
          <w:bCs/>
          <w:sz w:val="22"/>
          <w:szCs w:val="22"/>
        </w:rPr>
        <w:t>,</w:t>
      </w:r>
      <w:r w:rsidRPr="00311631">
        <w:rPr>
          <w:rFonts w:ascii="Arial" w:hAnsi="Arial" w:cs="Arial"/>
          <w:bCs/>
          <w:sz w:val="22"/>
          <w:szCs w:val="22"/>
          <w:vertAlign w:val="superscript"/>
        </w:rPr>
        <w:footnoteReference w:id="104"/>
      </w:r>
      <w:r w:rsidRPr="00311631">
        <w:rPr>
          <w:rFonts w:ascii="Arial" w:hAnsi="Arial" w:cs="Arial"/>
          <w:bCs/>
          <w:sz w:val="22"/>
          <w:szCs w:val="22"/>
        </w:rPr>
        <w:t xml:space="preserve"> is the only proper method whereby women – represented by </w:t>
      </w:r>
      <w:r w:rsidR="00363B6D">
        <w:rPr>
          <w:rFonts w:ascii="Arial" w:hAnsi="Arial" w:cs="Arial"/>
          <w:bCs/>
          <w:sz w:val="22"/>
          <w:szCs w:val="22"/>
        </w:rPr>
        <w:t>‘</w:t>
      </w:r>
      <w:r w:rsidRPr="00311631">
        <w:rPr>
          <w:rFonts w:ascii="Arial" w:hAnsi="Arial" w:cs="Arial"/>
          <w:bCs/>
          <w:sz w:val="22"/>
          <w:szCs w:val="22"/>
        </w:rPr>
        <w:t>SCUM</w:t>
      </w:r>
      <w:r w:rsidR="00363B6D">
        <w:rPr>
          <w:rFonts w:ascii="Arial" w:hAnsi="Arial" w:cs="Arial"/>
          <w:bCs/>
          <w:sz w:val="22"/>
          <w:szCs w:val="22"/>
        </w:rPr>
        <w:t>’</w:t>
      </w:r>
      <w:r w:rsidRPr="00311631">
        <w:rPr>
          <w:rFonts w:ascii="Arial" w:hAnsi="Arial" w:cs="Arial"/>
          <w:bCs/>
          <w:sz w:val="22"/>
          <w:szCs w:val="22"/>
        </w:rPr>
        <w:t xml:space="preserve"> – can liberate themselves, by </w:t>
      </w:r>
      <w:r w:rsidR="00363B6D">
        <w:rPr>
          <w:rFonts w:ascii="Arial" w:hAnsi="Arial" w:cs="Arial"/>
          <w:bCs/>
          <w:sz w:val="22"/>
          <w:szCs w:val="22"/>
        </w:rPr>
        <w:t>‘</w:t>
      </w:r>
      <w:r w:rsidRPr="00311631">
        <w:rPr>
          <w:rFonts w:ascii="Arial" w:hAnsi="Arial" w:cs="Arial"/>
          <w:bCs/>
          <w:sz w:val="22"/>
          <w:szCs w:val="22"/>
        </w:rPr>
        <w:t>kill[ing] all men who are not in the Men’s Auxiliary of SCUM. Men in the Men’s Auxiliary are those men who are working diligently to eliminate themselves</w:t>
      </w:r>
      <w:r w:rsidR="00363B6D">
        <w:rPr>
          <w:rFonts w:ascii="Arial" w:hAnsi="Arial" w:cs="Arial"/>
          <w:bCs/>
          <w:sz w:val="22"/>
          <w:szCs w:val="22"/>
        </w:rPr>
        <w:t>’</w:t>
      </w:r>
      <w:r w:rsidR="009111D7">
        <w:rPr>
          <w:rFonts w:ascii="Arial" w:hAnsi="Arial" w:cs="Arial"/>
          <w:bCs/>
          <w:sz w:val="22"/>
          <w:szCs w:val="22"/>
        </w:rPr>
        <w:t>.</w:t>
      </w:r>
      <w:r w:rsidRPr="00311631">
        <w:rPr>
          <w:rFonts w:ascii="Arial" w:hAnsi="Arial" w:cs="Arial"/>
          <w:bCs/>
          <w:sz w:val="22"/>
          <w:szCs w:val="22"/>
          <w:vertAlign w:val="superscript"/>
        </w:rPr>
        <w:footnoteReference w:id="105"/>
      </w:r>
      <w:r w:rsidRPr="00311631">
        <w:rPr>
          <w:rFonts w:ascii="Arial" w:hAnsi="Arial" w:cs="Arial"/>
          <w:bCs/>
          <w:sz w:val="22"/>
          <w:szCs w:val="22"/>
        </w:rPr>
        <w:t xml:space="preserve"> Cass’s transition from an attitude of apathy towards the threat of gender-based violence, to what is implied to be one of resistance by use of force in retaliation, echoes Solanas’ desire that women should not </w:t>
      </w:r>
      <w:r w:rsidR="00363B6D">
        <w:rPr>
          <w:rFonts w:ascii="Arial" w:hAnsi="Arial" w:cs="Arial"/>
          <w:bCs/>
          <w:sz w:val="22"/>
          <w:szCs w:val="22"/>
        </w:rPr>
        <w:t>‘</w:t>
      </w:r>
      <w:r w:rsidRPr="00311631">
        <w:rPr>
          <w:rFonts w:ascii="Arial" w:hAnsi="Arial" w:cs="Arial"/>
          <w:bCs/>
          <w:sz w:val="22"/>
          <w:szCs w:val="22"/>
        </w:rPr>
        <w:t>drop out</w:t>
      </w:r>
      <w:r w:rsidR="00363B6D">
        <w:rPr>
          <w:rFonts w:ascii="Arial" w:hAnsi="Arial" w:cs="Arial"/>
          <w:bCs/>
          <w:sz w:val="22"/>
          <w:szCs w:val="22"/>
        </w:rPr>
        <w:t>’</w:t>
      </w:r>
      <w:r w:rsidRPr="00311631">
        <w:rPr>
          <w:rFonts w:ascii="Arial" w:hAnsi="Arial" w:cs="Arial"/>
          <w:bCs/>
          <w:sz w:val="22"/>
          <w:szCs w:val="22"/>
        </w:rPr>
        <w:t xml:space="preserve"> of the male-dominated world, but rather assume control over that world by violent methods</w:t>
      </w:r>
      <w:r w:rsidR="009111D7">
        <w:rPr>
          <w:rFonts w:ascii="Arial" w:hAnsi="Arial" w:cs="Arial"/>
          <w:bCs/>
          <w:sz w:val="22"/>
          <w:szCs w:val="22"/>
        </w:rPr>
        <w:t>.</w:t>
      </w:r>
      <w:r w:rsidRPr="00311631">
        <w:rPr>
          <w:rFonts w:ascii="Arial" w:hAnsi="Arial" w:cs="Arial"/>
          <w:bCs/>
          <w:sz w:val="22"/>
          <w:szCs w:val="22"/>
          <w:vertAlign w:val="superscript"/>
        </w:rPr>
        <w:footnoteReference w:id="106"/>
      </w:r>
      <w:r w:rsidRPr="00311631">
        <w:rPr>
          <w:rFonts w:ascii="Arial" w:hAnsi="Arial" w:cs="Arial"/>
          <w:bCs/>
          <w:sz w:val="22"/>
          <w:szCs w:val="22"/>
        </w:rPr>
        <w:t xml:space="preserve"> Although interpreted by some as a call for gendercide</w:t>
      </w:r>
      <w:r w:rsidR="009111D7">
        <w:rPr>
          <w:rFonts w:ascii="Arial" w:hAnsi="Arial" w:cs="Arial"/>
          <w:bCs/>
          <w:sz w:val="22"/>
          <w:szCs w:val="22"/>
        </w:rPr>
        <w:t>,</w:t>
      </w:r>
      <w:r w:rsidRPr="00311631">
        <w:rPr>
          <w:rFonts w:ascii="Arial" w:hAnsi="Arial" w:cs="Arial"/>
          <w:bCs/>
          <w:sz w:val="22"/>
          <w:szCs w:val="22"/>
          <w:vertAlign w:val="superscript"/>
        </w:rPr>
        <w:footnoteReference w:id="107"/>
      </w:r>
      <w:r w:rsidRPr="00311631">
        <w:rPr>
          <w:rFonts w:ascii="Arial" w:hAnsi="Arial" w:cs="Arial"/>
          <w:bCs/>
          <w:sz w:val="22"/>
          <w:szCs w:val="22"/>
        </w:rPr>
        <w:t xml:space="preserve"> Solanas’s intention was that the manifesto be taken up </w:t>
      </w:r>
      <w:r w:rsidRPr="00311631">
        <w:rPr>
          <w:rFonts w:ascii="Arial" w:hAnsi="Arial" w:cs="Arial"/>
          <w:bCs/>
          <w:sz w:val="22"/>
          <w:szCs w:val="22"/>
        </w:rPr>
        <w:lastRenderedPageBreak/>
        <w:t xml:space="preserve">by women to use violence against men to enable the destruction of </w:t>
      </w:r>
      <w:r w:rsidR="00363B6D">
        <w:rPr>
          <w:rFonts w:ascii="Arial" w:hAnsi="Arial" w:cs="Arial"/>
          <w:bCs/>
          <w:sz w:val="22"/>
          <w:szCs w:val="22"/>
        </w:rPr>
        <w:t>‘</w:t>
      </w:r>
      <w:r w:rsidRPr="00311631">
        <w:rPr>
          <w:rFonts w:ascii="Arial" w:hAnsi="Arial" w:cs="Arial"/>
          <w:bCs/>
          <w:sz w:val="22"/>
          <w:szCs w:val="22"/>
        </w:rPr>
        <w:t>the money-work system</w:t>
      </w:r>
      <w:r w:rsidR="00363B6D">
        <w:rPr>
          <w:rFonts w:ascii="Arial" w:hAnsi="Arial" w:cs="Arial"/>
          <w:bCs/>
          <w:sz w:val="22"/>
          <w:szCs w:val="22"/>
        </w:rPr>
        <w:t>’</w:t>
      </w:r>
      <w:r w:rsidRPr="00311631">
        <w:rPr>
          <w:rFonts w:ascii="Arial" w:hAnsi="Arial" w:cs="Arial"/>
          <w:bCs/>
          <w:sz w:val="22"/>
          <w:szCs w:val="22"/>
        </w:rPr>
        <w:t xml:space="preserve"> by which women are subjugated to men.</w:t>
      </w:r>
      <w:r w:rsidR="009111D7" w:rsidRPr="00311631">
        <w:rPr>
          <w:rFonts w:ascii="Arial" w:hAnsi="Arial" w:cs="Arial"/>
          <w:bCs/>
          <w:sz w:val="22"/>
          <w:szCs w:val="22"/>
          <w:vertAlign w:val="superscript"/>
        </w:rPr>
        <w:footnoteReference w:id="108"/>
      </w:r>
      <w:r w:rsidRPr="00311631">
        <w:rPr>
          <w:rFonts w:ascii="Arial" w:hAnsi="Arial" w:cs="Arial"/>
          <w:bCs/>
          <w:sz w:val="22"/>
          <w:szCs w:val="22"/>
        </w:rPr>
        <w:t xml:space="preserve"> However, there is no reason (in law, at least) why a state-driven gendercide, proceeding from the starting point that men to not have the right to life</w:t>
      </w:r>
      <w:r w:rsidRPr="00311631">
        <w:rPr>
          <w:rFonts w:ascii="Arial" w:hAnsi="Arial" w:cs="Arial"/>
          <w:bCs/>
          <w:sz w:val="22"/>
          <w:szCs w:val="22"/>
          <w:vertAlign w:val="superscript"/>
        </w:rPr>
        <w:footnoteReference w:id="109"/>
      </w:r>
      <w:r w:rsidRPr="00311631">
        <w:rPr>
          <w:rFonts w:ascii="Arial" w:hAnsi="Arial" w:cs="Arial"/>
          <w:bCs/>
          <w:sz w:val="22"/>
          <w:szCs w:val="22"/>
        </w:rPr>
        <w:t xml:space="preserve"> might be brought about and yet leave that system in place to be adapted by women as they see fit. </w:t>
      </w:r>
    </w:p>
    <w:p w14:paraId="15C795C1" w14:textId="77777777" w:rsidR="009111D7" w:rsidRPr="00311631" w:rsidRDefault="009111D7" w:rsidP="00741B0E">
      <w:pPr>
        <w:pStyle w:val="ArticleTitle"/>
        <w:spacing w:after="0" w:line="360" w:lineRule="auto"/>
        <w:ind w:firstLine="720"/>
        <w:rPr>
          <w:rFonts w:ascii="Arial" w:hAnsi="Arial" w:cs="Arial"/>
          <w:bCs/>
          <w:sz w:val="22"/>
          <w:szCs w:val="22"/>
        </w:rPr>
      </w:pPr>
    </w:p>
    <w:p w14:paraId="6584645A" w14:textId="4485085A" w:rsidR="00311631" w:rsidRDefault="00311631" w:rsidP="009111D7">
      <w:pPr>
        <w:pStyle w:val="ArticleTitle"/>
        <w:spacing w:after="0" w:line="360" w:lineRule="auto"/>
        <w:ind w:firstLine="720"/>
        <w:rPr>
          <w:rFonts w:ascii="Arial" w:hAnsi="Arial" w:cs="Arial"/>
          <w:bCs/>
          <w:sz w:val="22"/>
          <w:szCs w:val="22"/>
        </w:rPr>
      </w:pPr>
      <w:r w:rsidRPr="00311631">
        <w:rPr>
          <w:rFonts w:ascii="Arial" w:hAnsi="Arial" w:cs="Arial"/>
          <w:bCs/>
          <w:sz w:val="22"/>
          <w:szCs w:val="22"/>
        </w:rPr>
        <w:t>The biological necessity for men to exist in order to facilitate reproduction has been considered in the context of Solanas’s work by Adam Sykes</w:t>
      </w:r>
      <w:r w:rsidR="001C79E6">
        <w:rPr>
          <w:rFonts w:ascii="Arial" w:hAnsi="Arial" w:cs="Arial"/>
          <w:bCs/>
          <w:sz w:val="22"/>
          <w:szCs w:val="22"/>
        </w:rPr>
        <w:t>,</w:t>
      </w:r>
      <w:r w:rsidRPr="00311631">
        <w:rPr>
          <w:rFonts w:ascii="Arial" w:hAnsi="Arial" w:cs="Arial"/>
          <w:bCs/>
          <w:sz w:val="22"/>
          <w:szCs w:val="22"/>
          <w:vertAlign w:val="superscript"/>
        </w:rPr>
        <w:footnoteReference w:id="110"/>
      </w:r>
      <w:r w:rsidRPr="00311631">
        <w:rPr>
          <w:rFonts w:ascii="Arial" w:hAnsi="Arial" w:cs="Arial"/>
          <w:bCs/>
          <w:sz w:val="22"/>
          <w:szCs w:val="22"/>
        </w:rPr>
        <w:t xml:space="preserve"> who goes on to discuss innovations in medical science that enable fertilisation of human eggs without the need for a live male sperm donor</w:t>
      </w:r>
      <w:r w:rsidR="001C79E6">
        <w:rPr>
          <w:rFonts w:ascii="Arial" w:hAnsi="Arial" w:cs="Arial"/>
          <w:bCs/>
          <w:sz w:val="22"/>
          <w:szCs w:val="22"/>
        </w:rPr>
        <w:t>.</w:t>
      </w:r>
      <w:r w:rsidRPr="00311631">
        <w:rPr>
          <w:rFonts w:ascii="Arial" w:hAnsi="Arial" w:cs="Arial"/>
          <w:bCs/>
          <w:sz w:val="22"/>
          <w:szCs w:val="22"/>
          <w:vertAlign w:val="superscript"/>
        </w:rPr>
        <w:footnoteReference w:id="111"/>
      </w:r>
      <w:r w:rsidRPr="00311631">
        <w:rPr>
          <w:rFonts w:ascii="Arial" w:hAnsi="Arial" w:cs="Arial"/>
          <w:bCs/>
          <w:sz w:val="22"/>
          <w:szCs w:val="22"/>
        </w:rPr>
        <w:t xml:space="preserve"> This is in the context of a broader discussion of the natural decline of the Y-chromosome and the inevitable extinction of men. As such, it might be argued that the elimination of men by violence is nothing more than the lending of a helping hand to nature, and there ought to be no legal obstacles to prevent this.</w:t>
      </w:r>
    </w:p>
    <w:p w14:paraId="59B4C9B7" w14:textId="77777777" w:rsidR="001C79E6" w:rsidRPr="00311631" w:rsidRDefault="001C79E6" w:rsidP="009111D7">
      <w:pPr>
        <w:pStyle w:val="ArticleTitle"/>
        <w:spacing w:after="0" w:line="360" w:lineRule="auto"/>
        <w:ind w:firstLine="720"/>
        <w:rPr>
          <w:rFonts w:ascii="Arial" w:hAnsi="Arial" w:cs="Arial"/>
          <w:bCs/>
          <w:sz w:val="22"/>
          <w:szCs w:val="22"/>
        </w:rPr>
      </w:pPr>
    </w:p>
    <w:p w14:paraId="230ACC67" w14:textId="48DF3665" w:rsidR="00311631" w:rsidRPr="00311631" w:rsidRDefault="00311631" w:rsidP="001C79E6">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Anyone who regards the law as a bulwark against oppression should be appalled by such a notion. However, this is the ultimate end of a system of legislation by control. Once a state begins to regard a class of persons as less deserving of the freedoms afforded to others, the door is opened for all freedoms to be taken not just from that class of persons, but from all persons. As has been pointed out, </w:t>
      </w:r>
      <w:r w:rsidR="00363B6D">
        <w:rPr>
          <w:rFonts w:ascii="Arial" w:hAnsi="Arial" w:cs="Arial"/>
          <w:bCs/>
          <w:sz w:val="22"/>
          <w:szCs w:val="22"/>
        </w:rPr>
        <w:t>‘</w:t>
      </w:r>
      <w:r w:rsidRPr="00311631">
        <w:rPr>
          <w:rFonts w:ascii="Arial" w:hAnsi="Arial" w:cs="Arial"/>
          <w:bCs/>
          <w:sz w:val="22"/>
          <w:szCs w:val="22"/>
        </w:rPr>
        <w:t>humanity is at all times and in all places (not just the Gestapo and Al Qaeda) fallible [and] liable to slip into cruelty, and that democracy and the rule of law can easily give way to individual fear and state insecurity. As individuals and as states, we then face the threat of being undone</w:t>
      </w:r>
      <w:r w:rsidR="00363B6D">
        <w:rPr>
          <w:rFonts w:ascii="Arial" w:hAnsi="Arial" w:cs="Arial"/>
          <w:bCs/>
          <w:sz w:val="22"/>
          <w:szCs w:val="22"/>
        </w:rPr>
        <w:t>’</w:t>
      </w:r>
      <w:r w:rsidR="0063205F">
        <w:rPr>
          <w:rFonts w:ascii="Arial" w:hAnsi="Arial" w:cs="Arial"/>
          <w:bCs/>
          <w:sz w:val="22"/>
          <w:szCs w:val="22"/>
        </w:rPr>
        <w:t>.</w:t>
      </w:r>
      <w:r w:rsidRPr="00311631">
        <w:rPr>
          <w:rFonts w:ascii="Arial" w:hAnsi="Arial" w:cs="Arial"/>
          <w:bCs/>
          <w:sz w:val="22"/>
          <w:szCs w:val="22"/>
          <w:vertAlign w:val="superscript"/>
        </w:rPr>
        <w:footnoteReference w:id="112"/>
      </w:r>
      <w:r w:rsidRPr="00311631">
        <w:rPr>
          <w:rFonts w:ascii="Arial" w:hAnsi="Arial" w:cs="Arial"/>
          <w:bCs/>
          <w:sz w:val="22"/>
          <w:szCs w:val="22"/>
        </w:rPr>
        <w:t xml:space="preserve"> </w:t>
      </w:r>
    </w:p>
    <w:p w14:paraId="705060FC" w14:textId="77777777" w:rsidR="00311631" w:rsidRPr="00311631" w:rsidRDefault="00311631" w:rsidP="00932066">
      <w:pPr>
        <w:pStyle w:val="ArticleTitle"/>
        <w:spacing w:after="0" w:line="360" w:lineRule="auto"/>
        <w:rPr>
          <w:rFonts w:ascii="Arial" w:hAnsi="Arial" w:cs="Arial"/>
          <w:bCs/>
          <w:sz w:val="22"/>
          <w:szCs w:val="22"/>
        </w:rPr>
      </w:pPr>
    </w:p>
    <w:p w14:paraId="56A58E05" w14:textId="0FE76C0A" w:rsidR="00311631" w:rsidRPr="0063205F" w:rsidRDefault="00311631" w:rsidP="00932066">
      <w:pPr>
        <w:pStyle w:val="ArticleTitle"/>
        <w:spacing w:after="0" w:line="360" w:lineRule="auto"/>
        <w:rPr>
          <w:rFonts w:ascii="Arial" w:hAnsi="Arial" w:cs="Arial"/>
          <w:b/>
          <w:i/>
          <w:iCs/>
          <w:sz w:val="22"/>
          <w:szCs w:val="22"/>
        </w:rPr>
      </w:pPr>
      <w:r w:rsidRPr="00311631">
        <w:rPr>
          <w:rFonts w:ascii="Arial" w:hAnsi="Arial" w:cs="Arial"/>
          <w:b/>
          <w:i/>
          <w:iCs/>
          <w:sz w:val="22"/>
          <w:szCs w:val="22"/>
        </w:rPr>
        <w:t xml:space="preserve">Conclusion - Light at the </w:t>
      </w:r>
      <w:r w:rsidR="0063205F">
        <w:rPr>
          <w:rFonts w:ascii="Arial" w:hAnsi="Arial" w:cs="Arial"/>
          <w:b/>
          <w:i/>
          <w:iCs/>
          <w:sz w:val="22"/>
          <w:szCs w:val="22"/>
        </w:rPr>
        <w:t>E</w:t>
      </w:r>
      <w:r w:rsidRPr="00311631">
        <w:rPr>
          <w:rFonts w:ascii="Arial" w:hAnsi="Arial" w:cs="Arial"/>
          <w:b/>
          <w:i/>
          <w:iCs/>
          <w:sz w:val="22"/>
          <w:szCs w:val="22"/>
        </w:rPr>
        <w:t>nd?</w:t>
      </w:r>
    </w:p>
    <w:p w14:paraId="695CF35C" w14:textId="77777777" w:rsidR="0063205F" w:rsidRPr="00311631" w:rsidRDefault="0063205F" w:rsidP="00932066">
      <w:pPr>
        <w:pStyle w:val="ArticleTitle"/>
        <w:spacing w:after="0" w:line="360" w:lineRule="auto"/>
        <w:rPr>
          <w:rFonts w:ascii="Arial" w:hAnsi="Arial" w:cs="Arial"/>
          <w:bCs/>
          <w:sz w:val="22"/>
          <w:szCs w:val="22"/>
          <w:u w:val="single"/>
        </w:rPr>
      </w:pPr>
    </w:p>
    <w:p w14:paraId="28463401" w14:textId="20ED36EC" w:rsidR="00311631" w:rsidRDefault="00311631" w:rsidP="00932066">
      <w:pPr>
        <w:pStyle w:val="ArticleTitle"/>
        <w:spacing w:after="0" w:line="360" w:lineRule="auto"/>
        <w:rPr>
          <w:rFonts w:ascii="Arial" w:hAnsi="Arial" w:cs="Arial"/>
          <w:bCs/>
          <w:sz w:val="22"/>
          <w:szCs w:val="22"/>
        </w:rPr>
      </w:pPr>
      <w:r w:rsidRPr="00311631">
        <w:rPr>
          <w:rFonts w:ascii="Arial" w:hAnsi="Arial" w:cs="Arial"/>
          <w:bCs/>
          <w:sz w:val="22"/>
          <w:szCs w:val="22"/>
        </w:rPr>
        <w:t xml:space="preserve">If legislation by control is not, therefore, the solution to the problem of gender-based violence, then the question remains as what is. To say that </w:t>
      </w:r>
      <w:r w:rsidR="00363B6D">
        <w:rPr>
          <w:rFonts w:ascii="Arial" w:hAnsi="Arial" w:cs="Arial"/>
          <w:bCs/>
          <w:sz w:val="22"/>
          <w:szCs w:val="22"/>
        </w:rPr>
        <w:t>‘</w:t>
      </w:r>
      <w:r w:rsidRPr="00311631">
        <w:rPr>
          <w:rFonts w:ascii="Arial" w:hAnsi="Arial" w:cs="Arial"/>
          <w:bCs/>
          <w:sz w:val="22"/>
          <w:szCs w:val="22"/>
        </w:rPr>
        <w:t>there are no easy answers</w:t>
      </w:r>
      <w:r w:rsidR="00363B6D">
        <w:rPr>
          <w:rFonts w:ascii="Arial" w:hAnsi="Arial" w:cs="Arial"/>
          <w:bCs/>
          <w:sz w:val="22"/>
          <w:szCs w:val="22"/>
        </w:rPr>
        <w:t>’</w:t>
      </w:r>
      <w:r w:rsidRPr="00311631">
        <w:rPr>
          <w:rFonts w:ascii="Arial" w:hAnsi="Arial" w:cs="Arial"/>
          <w:bCs/>
          <w:sz w:val="22"/>
          <w:szCs w:val="22"/>
        </w:rPr>
        <w:t xml:space="preserve"> would be facile, and an insult to the women who have suffered, and continue to suffer, at the hands of men. However, the literature on this subject has identified what might be described as potential signposts on the long journey out of the shadow cast by male violence. Rather than attempt to prevent gender-based violence by imposing controls upon potential male aggressors, legislative policy might instead be focussed upon eliminating factors associated with gender-</w:t>
      </w:r>
      <w:r w:rsidRPr="00311631">
        <w:rPr>
          <w:rFonts w:ascii="Arial" w:hAnsi="Arial" w:cs="Arial"/>
          <w:bCs/>
          <w:sz w:val="22"/>
          <w:szCs w:val="22"/>
        </w:rPr>
        <w:lastRenderedPageBreak/>
        <w:t>based violence. While not attributable to this factor alone, it has been noted that neighbourhoods with a low household income are also likely to have a large number of incidences of domestic violence</w:t>
      </w:r>
      <w:r w:rsidR="0063205F">
        <w:rPr>
          <w:rFonts w:ascii="Arial" w:hAnsi="Arial" w:cs="Arial"/>
          <w:bCs/>
          <w:sz w:val="22"/>
          <w:szCs w:val="22"/>
        </w:rPr>
        <w:t>.</w:t>
      </w:r>
      <w:r w:rsidRPr="00311631">
        <w:rPr>
          <w:rFonts w:ascii="Arial" w:hAnsi="Arial" w:cs="Arial"/>
          <w:bCs/>
          <w:sz w:val="22"/>
          <w:szCs w:val="22"/>
          <w:vertAlign w:val="superscript"/>
        </w:rPr>
        <w:footnoteReference w:id="113"/>
      </w:r>
      <w:r w:rsidRPr="00311631">
        <w:rPr>
          <w:rFonts w:ascii="Arial" w:hAnsi="Arial" w:cs="Arial"/>
          <w:bCs/>
          <w:sz w:val="22"/>
          <w:szCs w:val="22"/>
        </w:rPr>
        <w:t xml:space="preserve"> A parallel might be drawn here between the </w:t>
      </w:r>
      <w:r w:rsidR="00363B6D">
        <w:rPr>
          <w:rFonts w:ascii="Arial" w:hAnsi="Arial" w:cs="Arial"/>
          <w:bCs/>
          <w:sz w:val="22"/>
          <w:szCs w:val="22"/>
        </w:rPr>
        <w:t>‘</w:t>
      </w:r>
      <w:r w:rsidRPr="00311631">
        <w:rPr>
          <w:rFonts w:ascii="Arial" w:hAnsi="Arial" w:cs="Arial"/>
          <w:bCs/>
          <w:sz w:val="22"/>
          <w:szCs w:val="22"/>
        </w:rPr>
        <w:t>Mother House</w:t>
      </w:r>
      <w:r w:rsidR="00363B6D">
        <w:rPr>
          <w:rFonts w:ascii="Arial" w:hAnsi="Arial" w:cs="Arial"/>
          <w:bCs/>
          <w:sz w:val="22"/>
          <w:szCs w:val="22"/>
        </w:rPr>
        <w:t>’</w:t>
      </w:r>
      <w:r w:rsidRPr="00311631">
        <w:rPr>
          <w:rFonts w:ascii="Arial" w:hAnsi="Arial" w:cs="Arial"/>
          <w:bCs/>
          <w:sz w:val="22"/>
          <w:szCs w:val="22"/>
        </w:rPr>
        <w:t xml:space="preserve"> system of female-only communal living in which Sarah and Cass live in </w:t>
      </w:r>
      <w:r w:rsidRPr="00311631">
        <w:rPr>
          <w:rFonts w:ascii="Arial" w:hAnsi="Arial" w:cs="Arial"/>
          <w:bCs/>
          <w:i/>
          <w:iCs/>
          <w:sz w:val="22"/>
          <w:szCs w:val="22"/>
        </w:rPr>
        <w:t xml:space="preserve">After Dark, </w:t>
      </w:r>
      <w:r w:rsidRPr="00311631">
        <w:rPr>
          <w:rFonts w:ascii="Arial" w:hAnsi="Arial" w:cs="Arial"/>
          <w:bCs/>
          <w:sz w:val="22"/>
          <w:szCs w:val="22"/>
        </w:rPr>
        <w:t xml:space="preserve">and the real-world announcement of what has been described as a </w:t>
      </w:r>
      <w:r w:rsidR="00363B6D">
        <w:rPr>
          <w:rFonts w:ascii="Arial" w:hAnsi="Arial" w:cs="Arial"/>
          <w:bCs/>
          <w:sz w:val="22"/>
          <w:szCs w:val="22"/>
        </w:rPr>
        <w:t>‘</w:t>
      </w:r>
      <w:r w:rsidRPr="00311631">
        <w:rPr>
          <w:rFonts w:ascii="Arial" w:hAnsi="Arial" w:cs="Arial"/>
          <w:bCs/>
          <w:sz w:val="22"/>
          <w:szCs w:val="22"/>
        </w:rPr>
        <w:t>women-only tower block</w:t>
      </w:r>
      <w:r w:rsidR="00363B6D">
        <w:rPr>
          <w:rFonts w:ascii="Arial" w:hAnsi="Arial" w:cs="Arial"/>
          <w:bCs/>
          <w:sz w:val="22"/>
          <w:szCs w:val="22"/>
        </w:rPr>
        <w:t>’</w:t>
      </w:r>
      <w:r w:rsidRPr="00311631">
        <w:rPr>
          <w:rFonts w:ascii="Arial" w:hAnsi="Arial" w:cs="Arial"/>
          <w:bCs/>
          <w:sz w:val="22"/>
          <w:szCs w:val="22"/>
        </w:rPr>
        <w:t xml:space="preserve"> to provide affordable housing for women.</w:t>
      </w:r>
      <w:r w:rsidR="0063205F" w:rsidRPr="00311631">
        <w:rPr>
          <w:rFonts w:ascii="Arial" w:hAnsi="Arial" w:cs="Arial"/>
          <w:bCs/>
          <w:sz w:val="22"/>
          <w:szCs w:val="22"/>
          <w:vertAlign w:val="superscript"/>
        </w:rPr>
        <w:footnoteReference w:id="114"/>
      </w:r>
      <w:r w:rsidR="0063205F">
        <w:rPr>
          <w:rFonts w:ascii="Arial" w:hAnsi="Arial" w:cs="Arial"/>
          <w:bCs/>
          <w:sz w:val="22"/>
          <w:szCs w:val="22"/>
        </w:rPr>
        <w:t xml:space="preserve"> </w:t>
      </w:r>
      <w:r w:rsidRPr="00311631">
        <w:rPr>
          <w:rFonts w:ascii="Arial" w:hAnsi="Arial" w:cs="Arial"/>
          <w:bCs/>
          <w:sz w:val="22"/>
          <w:szCs w:val="22"/>
        </w:rPr>
        <w:t xml:space="preserve">While economic factors are the expressed motivation for this development, rather than an otherwise inescapable threat of gender-based violence (male partners and children are to be allowed to reside there also) the </w:t>
      </w:r>
      <w:r w:rsidR="0063205F">
        <w:rPr>
          <w:rFonts w:ascii="Arial" w:hAnsi="Arial" w:cs="Arial"/>
          <w:bCs/>
          <w:sz w:val="22"/>
          <w:szCs w:val="22"/>
        </w:rPr>
        <w:t>s</w:t>
      </w:r>
      <w:r w:rsidRPr="00311631">
        <w:rPr>
          <w:rFonts w:ascii="Arial" w:hAnsi="Arial" w:cs="Arial"/>
          <w:bCs/>
          <w:sz w:val="22"/>
          <w:szCs w:val="22"/>
        </w:rPr>
        <w:t>ociety responsible for the development clearly draws the link between financial difficulties and gender-based violence</w:t>
      </w:r>
      <w:r w:rsidRPr="00311631">
        <w:rPr>
          <w:rFonts w:ascii="Arial" w:hAnsi="Arial" w:cs="Arial"/>
          <w:bCs/>
          <w:sz w:val="22"/>
          <w:szCs w:val="22"/>
          <w:vertAlign w:val="superscript"/>
        </w:rPr>
        <w:footnoteReference w:id="115"/>
      </w:r>
      <w:r w:rsidRPr="00311631">
        <w:rPr>
          <w:rFonts w:ascii="Arial" w:hAnsi="Arial" w:cs="Arial"/>
          <w:bCs/>
          <w:sz w:val="22"/>
          <w:szCs w:val="22"/>
        </w:rPr>
        <w:t xml:space="preserve"> and implicit in their championing of this development is the elimination of the risk of gender-based violence at the hands of a financially-controlling male partner.</w:t>
      </w:r>
    </w:p>
    <w:p w14:paraId="33EA0561" w14:textId="77777777" w:rsidR="0063205F" w:rsidRPr="00311631" w:rsidRDefault="0063205F" w:rsidP="00932066">
      <w:pPr>
        <w:pStyle w:val="ArticleTitle"/>
        <w:spacing w:after="0" w:line="360" w:lineRule="auto"/>
        <w:rPr>
          <w:rFonts w:ascii="Arial" w:hAnsi="Arial" w:cs="Arial"/>
          <w:bCs/>
          <w:sz w:val="22"/>
          <w:szCs w:val="22"/>
        </w:rPr>
      </w:pPr>
    </w:p>
    <w:p w14:paraId="2845CA34" w14:textId="412DC026" w:rsidR="00311631" w:rsidRPr="00311631" w:rsidRDefault="00311631" w:rsidP="0063205F">
      <w:pPr>
        <w:pStyle w:val="ArticleTitle"/>
        <w:spacing w:after="0" w:line="360" w:lineRule="auto"/>
        <w:ind w:firstLine="720"/>
        <w:rPr>
          <w:rFonts w:ascii="Arial" w:hAnsi="Arial" w:cs="Arial"/>
          <w:bCs/>
          <w:sz w:val="22"/>
          <w:szCs w:val="22"/>
        </w:rPr>
      </w:pPr>
      <w:r w:rsidRPr="00311631">
        <w:rPr>
          <w:rFonts w:ascii="Arial" w:hAnsi="Arial" w:cs="Arial"/>
          <w:bCs/>
          <w:sz w:val="22"/>
          <w:szCs w:val="22"/>
        </w:rPr>
        <w:t>Although financial investment in the context of gender-based violence has been recently discussed in the UK Parliament</w:t>
      </w:r>
      <w:r w:rsidR="0063205F">
        <w:rPr>
          <w:rFonts w:ascii="Arial" w:hAnsi="Arial" w:cs="Arial"/>
          <w:bCs/>
          <w:sz w:val="22"/>
          <w:szCs w:val="22"/>
        </w:rPr>
        <w:t>,</w:t>
      </w:r>
      <w:r w:rsidRPr="00311631">
        <w:rPr>
          <w:rFonts w:ascii="Arial" w:hAnsi="Arial" w:cs="Arial"/>
          <w:bCs/>
          <w:sz w:val="22"/>
          <w:szCs w:val="22"/>
          <w:vertAlign w:val="superscript"/>
        </w:rPr>
        <w:footnoteReference w:id="116"/>
      </w:r>
      <w:r w:rsidRPr="00311631">
        <w:rPr>
          <w:rFonts w:ascii="Arial" w:hAnsi="Arial" w:cs="Arial"/>
          <w:bCs/>
          <w:sz w:val="22"/>
          <w:szCs w:val="22"/>
        </w:rPr>
        <w:t xml:space="preserve"> that discussion has been focussed on the economic investment needed to educate and prevent potential perpetrators of gender-based violence, rather than upon the link between poverty and gender-based violence and what might be needed to address this problem. The particular problem of social inequality in the United Kingdom has recently become part of Government policy (under the slogan </w:t>
      </w:r>
      <w:r w:rsidR="00363B6D">
        <w:rPr>
          <w:rFonts w:ascii="Arial" w:hAnsi="Arial" w:cs="Arial"/>
          <w:bCs/>
          <w:sz w:val="22"/>
          <w:szCs w:val="22"/>
        </w:rPr>
        <w:t>‘</w:t>
      </w:r>
      <w:r w:rsidRPr="00311631">
        <w:rPr>
          <w:rFonts w:ascii="Arial" w:hAnsi="Arial" w:cs="Arial"/>
          <w:bCs/>
          <w:sz w:val="22"/>
          <w:szCs w:val="22"/>
        </w:rPr>
        <w:t>Levelling Up</w:t>
      </w:r>
      <w:r w:rsidR="00363B6D">
        <w:rPr>
          <w:rFonts w:ascii="Arial" w:hAnsi="Arial" w:cs="Arial"/>
          <w:bCs/>
          <w:sz w:val="22"/>
          <w:szCs w:val="22"/>
        </w:rPr>
        <w:t>’</w:t>
      </w:r>
      <w:r w:rsidRPr="00311631">
        <w:rPr>
          <w:rFonts w:ascii="Arial" w:hAnsi="Arial" w:cs="Arial"/>
          <w:bCs/>
          <w:sz w:val="22"/>
          <w:szCs w:val="22"/>
        </w:rPr>
        <w:t>),</w:t>
      </w:r>
      <w:r w:rsidR="0063205F" w:rsidRPr="00311631">
        <w:rPr>
          <w:rFonts w:ascii="Arial" w:hAnsi="Arial" w:cs="Arial"/>
          <w:bCs/>
          <w:sz w:val="22"/>
          <w:szCs w:val="22"/>
          <w:vertAlign w:val="superscript"/>
        </w:rPr>
        <w:footnoteReference w:id="117"/>
      </w:r>
      <w:r w:rsidRPr="00311631">
        <w:rPr>
          <w:rFonts w:ascii="Arial" w:hAnsi="Arial" w:cs="Arial"/>
          <w:bCs/>
          <w:sz w:val="22"/>
          <w:szCs w:val="22"/>
        </w:rPr>
        <w:t xml:space="preserve"> undoubtedly due to the </w:t>
      </w:r>
      <w:r w:rsidR="00363B6D">
        <w:rPr>
          <w:rFonts w:ascii="Arial" w:hAnsi="Arial" w:cs="Arial"/>
          <w:bCs/>
          <w:sz w:val="22"/>
          <w:szCs w:val="22"/>
        </w:rPr>
        <w:t>‘</w:t>
      </w:r>
      <w:r w:rsidRPr="00311631">
        <w:rPr>
          <w:rFonts w:ascii="Arial" w:hAnsi="Arial" w:cs="Arial"/>
          <w:bCs/>
          <w:sz w:val="22"/>
          <w:szCs w:val="22"/>
        </w:rPr>
        <w:t>political realignment that occurred during the 2019 general election</w:t>
      </w:r>
      <w:r w:rsidR="00363B6D">
        <w:rPr>
          <w:rFonts w:ascii="Arial" w:hAnsi="Arial" w:cs="Arial"/>
          <w:bCs/>
          <w:sz w:val="22"/>
          <w:szCs w:val="22"/>
        </w:rPr>
        <w:t>’</w:t>
      </w:r>
      <w:r w:rsidRPr="00311631">
        <w:rPr>
          <w:rFonts w:ascii="Arial" w:hAnsi="Arial" w:cs="Arial"/>
          <w:bCs/>
          <w:sz w:val="22"/>
          <w:szCs w:val="22"/>
          <w:vertAlign w:val="superscript"/>
        </w:rPr>
        <w:footnoteReference w:id="118"/>
      </w:r>
      <w:r w:rsidRPr="00311631">
        <w:rPr>
          <w:rFonts w:ascii="Arial" w:hAnsi="Arial" w:cs="Arial"/>
          <w:bCs/>
          <w:sz w:val="22"/>
          <w:szCs w:val="22"/>
        </w:rPr>
        <w:t xml:space="preserve"> in which many traditionally working-class constituencies with Labour representation in Parliament returned Conservative candidates. A recent study of a </w:t>
      </w:r>
      <w:r w:rsidR="00363B6D">
        <w:rPr>
          <w:rFonts w:ascii="Arial" w:hAnsi="Arial" w:cs="Arial"/>
          <w:bCs/>
          <w:sz w:val="22"/>
          <w:szCs w:val="22"/>
        </w:rPr>
        <w:t>‘</w:t>
      </w:r>
      <w:r w:rsidRPr="00311631">
        <w:rPr>
          <w:rFonts w:ascii="Arial" w:hAnsi="Arial" w:cs="Arial"/>
          <w:bCs/>
          <w:sz w:val="22"/>
          <w:szCs w:val="22"/>
        </w:rPr>
        <w:t>relatively poor</w:t>
      </w:r>
      <w:r w:rsidR="00363B6D">
        <w:rPr>
          <w:rFonts w:ascii="Arial" w:hAnsi="Arial" w:cs="Arial"/>
          <w:bCs/>
          <w:sz w:val="22"/>
          <w:szCs w:val="22"/>
        </w:rPr>
        <w:t>’</w:t>
      </w:r>
      <w:r w:rsidRPr="00311631">
        <w:rPr>
          <w:rFonts w:ascii="Arial" w:hAnsi="Arial" w:cs="Arial"/>
          <w:bCs/>
          <w:sz w:val="22"/>
          <w:szCs w:val="22"/>
          <w:vertAlign w:val="superscript"/>
        </w:rPr>
        <w:footnoteReference w:id="119"/>
      </w:r>
      <w:r w:rsidRPr="00311631">
        <w:rPr>
          <w:rFonts w:ascii="Arial" w:hAnsi="Arial" w:cs="Arial"/>
          <w:bCs/>
          <w:sz w:val="22"/>
          <w:szCs w:val="22"/>
        </w:rPr>
        <w:t xml:space="preserve"> town identified a need for </w:t>
      </w:r>
      <w:r w:rsidR="00363B6D">
        <w:rPr>
          <w:rFonts w:ascii="Arial" w:hAnsi="Arial" w:cs="Arial"/>
          <w:bCs/>
          <w:sz w:val="22"/>
          <w:szCs w:val="22"/>
        </w:rPr>
        <w:t>‘</w:t>
      </w:r>
      <w:r w:rsidRPr="00311631">
        <w:rPr>
          <w:rFonts w:ascii="Arial" w:hAnsi="Arial" w:cs="Arial"/>
          <w:bCs/>
          <w:sz w:val="22"/>
          <w:szCs w:val="22"/>
        </w:rPr>
        <w:t xml:space="preserve">a radical reworking of higher-level economic development policy away from [gross value added] through growth and jobs….regulation of job quality which goes beyond minimum wage standards; a tax funded programme for creation of good, new jobs in the foundational sectors providing essential services like care; recognition of the absolute limits of any policy of diffusing prosperity by getting people into work without some form of basic income and/ or reduction of housing costs; political leadership rather than </w:t>
      </w:r>
      <w:r w:rsidRPr="00311631">
        <w:rPr>
          <w:rFonts w:ascii="Arial" w:hAnsi="Arial" w:cs="Arial"/>
          <w:bCs/>
          <w:sz w:val="22"/>
          <w:szCs w:val="22"/>
        </w:rPr>
        <w:lastRenderedPageBreak/>
        <w:t>evasion and buck-passing on the eco-foundational issues which are crucial to the wellbeing of future generations</w:t>
      </w:r>
      <w:r w:rsidR="00363B6D">
        <w:rPr>
          <w:rFonts w:ascii="Arial" w:hAnsi="Arial" w:cs="Arial"/>
          <w:bCs/>
          <w:sz w:val="22"/>
          <w:szCs w:val="22"/>
        </w:rPr>
        <w:t>’</w:t>
      </w:r>
      <w:r w:rsidR="0063205F">
        <w:rPr>
          <w:rFonts w:ascii="Arial" w:hAnsi="Arial" w:cs="Arial"/>
          <w:bCs/>
          <w:sz w:val="22"/>
          <w:szCs w:val="22"/>
        </w:rPr>
        <w:t>.</w:t>
      </w:r>
      <w:r w:rsidRPr="00311631">
        <w:rPr>
          <w:rFonts w:ascii="Arial" w:hAnsi="Arial" w:cs="Arial"/>
          <w:bCs/>
          <w:sz w:val="22"/>
          <w:szCs w:val="22"/>
          <w:vertAlign w:val="superscript"/>
        </w:rPr>
        <w:footnoteReference w:id="120"/>
      </w:r>
      <w:r w:rsidRPr="00311631">
        <w:rPr>
          <w:rFonts w:ascii="Arial" w:hAnsi="Arial" w:cs="Arial"/>
          <w:bCs/>
          <w:sz w:val="22"/>
          <w:szCs w:val="22"/>
        </w:rPr>
        <w:t xml:space="preserve"> However, the Levelling Up White Paper contains no such proposals, reinforcing the concern that the Government strategy is </w:t>
      </w:r>
      <w:r w:rsidR="00363B6D">
        <w:rPr>
          <w:rFonts w:ascii="Arial" w:hAnsi="Arial" w:cs="Arial"/>
          <w:bCs/>
          <w:sz w:val="22"/>
          <w:szCs w:val="22"/>
        </w:rPr>
        <w:t>‘</w:t>
      </w:r>
      <w:r w:rsidRPr="00311631">
        <w:rPr>
          <w:rFonts w:ascii="Arial" w:hAnsi="Arial" w:cs="Arial"/>
          <w:bCs/>
          <w:sz w:val="22"/>
          <w:szCs w:val="22"/>
        </w:rPr>
        <w:t>driven, rather nakedly, by political calculation rather than a real concern to address longstanding problems</w:t>
      </w:r>
      <w:r w:rsidR="00363B6D">
        <w:rPr>
          <w:rFonts w:ascii="Arial" w:hAnsi="Arial" w:cs="Arial"/>
          <w:bCs/>
          <w:sz w:val="22"/>
          <w:szCs w:val="22"/>
        </w:rPr>
        <w:t>’</w:t>
      </w:r>
      <w:r w:rsidRPr="00311631">
        <w:rPr>
          <w:rFonts w:ascii="Arial" w:hAnsi="Arial" w:cs="Arial"/>
          <w:bCs/>
          <w:sz w:val="22"/>
          <w:szCs w:val="22"/>
          <w:vertAlign w:val="superscript"/>
        </w:rPr>
        <w:footnoteReference w:id="121"/>
      </w:r>
      <w:r w:rsidRPr="00311631">
        <w:rPr>
          <w:rFonts w:ascii="Arial" w:hAnsi="Arial" w:cs="Arial"/>
          <w:bCs/>
          <w:sz w:val="22"/>
          <w:szCs w:val="22"/>
        </w:rPr>
        <w:t>, and that, as such, the economic factors identified as an indicator of gender-based violence are unlikely to subside.</w:t>
      </w:r>
    </w:p>
    <w:p w14:paraId="186AFD71" w14:textId="77777777" w:rsidR="00311631" w:rsidRPr="00311631" w:rsidRDefault="00311631" w:rsidP="00932066">
      <w:pPr>
        <w:pStyle w:val="ArticleTitle"/>
        <w:spacing w:after="0" w:line="360" w:lineRule="auto"/>
        <w:rPr>
          <w:rFonts w:ascii="Arial" w:hAnsi="Arial" w:cs="Arial"/>
          <w:bCs/>
          <w:sz w:val="22"/>
          <w:szCs w:val="22"/>
        </w:rPr>
      </w:pPr>
    </w:p>
    <w:p w14:paraId="5B8995A4" w14:textId="78AABAD0" w:rsidR="00311631" w:rsidRPr="00311631" w:rsidRDefault="00311631" w:rsidP="007304FC">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There is, however, some cause for optimism. The Local Government Association debate identifies the need for the education system to prevent gender-based violence, and for government investment towards this end, to ensure messaging that </w:t>
      </w:r>
      <w:r w:rsidR="00363B6D">
        <w:rPr>
          <w:rFonts w:ascii="Arial" w:hAnsi="Arial" w:cs="Arial"/>
          <w:bCs/>
          <w:sz w:val="22"/>
          <w:szCs w:val="22"/>
        </w:rPr>
        <w:t>‘</w:t>
      </w:r>
      <w:r w:rsidRPr="00311631">
        <w:rPr>
          <w:rFonts w:ascii="Arial" w:hAnsi="Arial" w:cs="Arial"/>
          <w:bCs/>
          <w:sz w:val="22"/>
          <w:szCs w:val="22"/>
        </w:rPr>
        <w:t xml:space="preserve">actively tackles harmful gender stereotypes (for </w:t>
      </w:r>
      <w:r w:rsidRPr="00311631">
        <w:rPr>
          <w:rFonts w:ascii="Arial" w:hAnsi="Arial" w:cs="Arial"/>
          <w:sz w:val="22"/>
          <w:szCs w:val="22"/>
        </w:rPr>
        <w:t>men and women</w:t>
      </w:r>
      <w:r w:rsidRPr="00311631">
        <w:rPr>
          <w:rFonts w:ascii="Arial" w:hAnsi="Arial" w:cs="Arial"/>
          <w:bCs/>
          <w:sz w:val="22"/>
          <w:szCs w:val="22"/>
        </w:rPr>
        <w:t>), including the impact of media online</w:t>
      </w:r>
      <w:r w:rsidR="007304FC">
        <w:rPr>
          <w:rFonts w:ascii="Arial" w:hAnsi="Arial" w:cs="Arial"/>
          <w:bCs/>
          <w:sz w:val="22"/>
          <w:szCs w:val="22"/>
        </w:rPr>
        <w:t>.</w:t>
      </w:r>
      <w:r w:rsidRPr="00311631">
        <w:rPr>
          <w:rFonts w:ascii="Arial" w:hAnsi="Arial" w:cs="Arial"/>
          <w:bCs/>
          <w:sz w:val="22"/>
          <w:szCs w:val="22"/>
          <w:vertAlign w:val="superscript"/>
        </w:rPr>
        <w:footnoteReference w:id="122"/>
      </w:r>
      <w:r w:rsidRPr="00311631">
        <w:rPr>
          <w:rFonts w:ascii="Arial" w:hAnsi="Arial" w:cs="Arial"/>
          <w:bCs/>
          <w:sz w:val="22"/>
          <w:szCs w:val="22"/>
        </w:rPr>
        <w:t xml:space="preserve"> The final proviso is a likely reference to the popularity online of propagators of gender-based violence such as Andrew Tate (who has 6.9 million followers on Twitter</w:t>
      </w:r>
      <w:r w:rsidRPr="00311631">
        <w:rPr>
          <w:rFonts w:ascii="Arial" w:hAnsi="Arial" w:cs="Arial"/>
          <w:bCs/>
          <w:sz w:val="22"/>
          <w:szCs w:val="22"/>
          <w:vertAlign w:val="superscript"/>
        </w:rPr>
        <w:footnoteReference w:id="123"/>
      </w:r>
      <w:r w:rsidRPr="00311631">
        <w:rPr>
          <w:rFonts w:ascii="Arial" w:hAnsi="Arial" w:cs="Arial"/>
          <w:bCs/>
          <w:sz w:val="22"/>
          <w:szCs w:val="22"/>
        </w:rPr>
        <w:t xml:space="preserve"> and is as of this writing awaiting trial in Romania for charges including rape and sex trafficking).</w:t>
      </w:r>
      <w:r w:rsidR="007304FC" w:rsidRPr="00311631">
        <w:rPr>
          <w:rFonts w:ascii="Arial" w:hAnsi="Arial" w:cs="Arial"/>
          <w:bCs/>
          <w:sz w:val="22"/>
          <w:szCs w:val="22"/>
          <w:vertAlign w:val="superscript"/>
        </w:rPr>
        <w:footnoteReference w:id="124"/>
      </w:r>
      <w:r w:rsidRPr="00311631">
        <w:rPr>
          <w:rFonts w:ascii="Arial" w:hAnsi="Arial" w:cs="Arial"/>
          <w:bCs/>
          <w:sz w:val="22"/>
          <w:szCs w:val="22"/>
        </w:rPr>
        <w:t xml:space="preserve"> In this respect, the focus upon the potential for violence arising from greater physical strength in males as identified in the </w:t>
      </w:r>
      <w:r w:rsidR="00363B6D">
        <w:rPr>
          <w:rFonts w:ascii="Arial" w:hAnsi="Arial" w:cs="Arial"/>
          <w:bCs/>
          <w:sz w:val="22"/>
          <w:szCs w:val="22"/>
        </w:rPr>
        <w:t>‘</w:t>
      </w:r>
      <w:r w:rsidRPr="00311631">
        <w:rPr>
          <w:rFonts w:ascii="Arial" w:hAnsi="Arial" w:cs="Arial"/>
          <w:bCs/>
          <w:sz w:val="22"/>
          <w:szCs w:val="22"/>
        </w:rPr>
        <w:t>Curfew Class</w:t>
      </w:r>
      <w:r w:rsidR="00363B6D">
        <w:rPr>
          <w:rFonts w:ascii="Arial" w:hAnsi="Arial" w:cs="Arial"/>
          <w:bCs/>
          <w:sz w:val="22"/>
          <w:szCs w:val="22"/>
        </w:rPr>
        <w:t>’</w:t>
      </w:r>
      <w:r w:rsidRPr="00311631">
        <w:rPr>
          <w:rFonts w:ascii="Arial" w:hAnsi="Arial" w:cs="Arial"/>
          <w:bCs/>
          <w:sz w:val="22"/>
          <w:szCs w:val="22"/>
        </w:rPr>
        <w:t xml:space="preserve"> described in Chapter 2 of </w:t>
      </w:r>
      <w:r w:rsidRPr="00311631">
        <w:rPr>
          <w:rFonts w:ascii="Arial" w:hAnsi="Arial" w:cs="Arial"/>
          <w:bCs/>
          <w:i/>
          <w:iCs/>
          <w:sz w:val="22"/>
          <w:szCs w:val="22"/>
        </w:rPr>
        <w:t xml:space="preserve">After Dark </w:t>
      </w:r>
      <w:r w:rsidRPr="00311631">
        <w:rPr>
          <w:rFonts w:ascii="Arial" w:hAnsi="Arial" w:cs="Arial"/>
          <w:bCs/>
          <w:sz w:val="22"/>
          <w:szCs w:val="22"/>
        </w:rPr>
        <w:t>may be drawn upon in the effort to educate males at a young age to exercise respect and restraint (although male-versus-female arm-wrestling is unlikely to be taken up by policy-makers). This is in accordance with research elsewhere highlighting patterns of stereotypical male behaviour in cases of gender-based violence, a factor identified as of greater significance than that of household income</w:t>
      </w:r>
      <w:r w:rsidR="00D01657">
        <w:rPr>
          <w:rFonts w:ascii="Arial" w:hAnsi="Arial" w:cs="Arial"/>
          <w:bCs/>
          <w:sz w:val="22"/>
          <w:szCs w:val="22"/>
        </w:rPr>
        <w:t>.</w:t>
      </w:r>
      <w:r w:rsidRPr="00311631">
        <w:rPr>
          <w:rFonts w:ascii="Arial" w:hAnsi="Arial" w:cs="Arial"/>
          <w:bCs/>
          <w:sz w:val="22"/>
          <w:szCs w:val="22"/>
          <w:vertAlign w:val="superscript"/>
        </w:rPr>
        <w:footnoteReference w:id="125"/>
      </w:r>
      <w:r w:rsidR="00D01657">
        <w:rPr>
          <w:rFonts w:ascii="Arial" w:hAnsi="Arial" w:cs="Arial"/>
          <w:bCs/>
          <w:sz w:val="22"/>
          <w:szCs w:val="22"/>
        </w:rPr>
        <w:t xml:space="preserve"> </w:t>
      </w:r>
      <w:r w:rsidRPr="00311631">
        <w:rPr>
          <w:rFonts w:ascii="Arial" w:hAnsi="Arial" w:cs="Arial"/>
          <w:bCs/>
          <w:sz w:val="22"/>
          <w:szCs w:val="22"/>
        </w:rPr>
        <w:t xml:space="preserve">The need for investment in educating men away from the prevalent culture of blaming female victims of gender-based violence has been identified, with particular emphasis upon ensuring that these messages are </w:t>
      </w:r>
      <w:r w:rsidR="00363B6D">
        <w:rPr>
          <w:rFonts w:ascii="Arial" w:hAnsi="Arial" w:cs="Arial"/>
          <w:bCs/>
          <w:sz w:val="22"/>
          <w:szCs w:val="22"/>
        </w:rPr>
        <w:t>‘</w:t>
      </w:r>
      <w:r w:rsidRPr="00311631">
        <w:rPr>
          <w:rFonts w:ascii="Arial" w:hAnsi="Arial" w:cs="Arial"/>
          <w:bCs/>
          <w:sz w:val="22"/>
          <w:szCs w:val="22"/>
        </w:rPr>
        <w:t>well informed, appropriately targeted, and properly designed</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26"/>
      </w:r>
      <w:r w:rsidRPr="00311631">
        <w:rPr>
          <w:rFonts w:ascii="Arial" w:hAnsi="Arial" w:cs="Arial"/>
          <w:bCs/>
          <w:sz w:val="22"/>
          <w:szCs w:val="22"/>
        </w:rPr>
        <w:t xml:space="preserve"> However, concern has been expressed that this culture persists </w:t>
      </w:r>
      <w:r w:rsidR="00363B6D">
        <w:rPr>
          <w:rFonts w:ascii="Arial" w:hAnsi="Arial" w:cs="Arial"/>
          <w:bCs/>
          <w:sz w:val="22"/>
          <w:szCs w:val="22"/>
        </w:rPr>
        <w:t>‘</w:t>
      </w:r>
      <w:r w:rsidRPr="00311631">
        <w:rPr>
          <w:rFonts w:ascii="Arial" w:hAnsi="Arial" w:cs="Arial"/>
          <w:bCs/>
          <w:sz w:val="22"/>
          <w:szCs w:val="22"/>
        </w:rPr>
        <w:t>despite years of public awareness and education efforts</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27"/>
      </w:r>
      <w:r w:rsidRPr="00311631">
        <w:rPr>
          <w:rFonts w:ascii="Arial" w:hAnsi="Arial" w:cs="Arial"/>
          <w:bCs/>
          <w:sz w:val="22"/>
          <w:szCs w:val="22"/>
        </w:rPr>
        <w:t xml:space="preserve"> It may be that such strategies are doomed to failure in the absence of a serious effort by policy-makers to adopt them </w:t>
      </w:r>
      <w:r w:rsidR="00363B6D">
        <w:rPr>
          <w:rFonts w:ascii="Arial" w:hAnsi="Arial" w:cs="Arial"/>
          <w:bCs/>
          <w:sz w:val="22"/>
          <w:szCs w:val="22"/>
        </w:rPr>
        <w:t>‘</w:t>
      </w:r>
      <w:r w:rsidRPr="00311631">
        <w:rPr>
          <w:rFonts w:ascii="Arial" w:hAnsi="Arial" w:cs="Arial"/>
          <w:bCs/>
          <w:sz w:val="22"/>
          <w:szCs w:val="22"/>
        </w:rPr>
        <w:t>along with strategies to fight poverty</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28"/>
      </w:r>
      <w:r w:rsidRPr="00311631">
        <w:rPr>
          <w:rFonts w:ascii="Arial" w:hAnsi="Arial" w:cs="Arial"/>
          <w:bCs/>
          <w:sz w:val="22"/>
          <w:szCs w:val="22"/>
        </w:rPr>
        <w:t xml:space="preserve"> A similar point was made in the last century (in a key text on gender-based </w:t>
      </w:r>
      <w:r w:rsidRPr="00311631">
        <w:rPr>
          <w:rFonts w:ascii="Arial" w:hAnsi="Arial" w:cs="Arial"/>
          <w:bCs/>
          <w:sz w:val="22"/>
          <w:szCs w:val="22"/>
        </w:rPr>
        <w:lastRenderedPageBreak/>
        <w:t xml:space="preserve">violence) that coercive control by men of women </w:t>
      </w:r>
      <w:r w:rsidR="00363B6D">
        <w:rPr>
          <w:rFonts w:ascii="Arial" w:hAnsi="Arial" w:cs="Arial"/>
          <w:bCs/>
          <w:sz w:val="22"/>
          <w:szCs w:val="22"/>
        </w:rPr>
        <w:t>‘</w:t>
      </w:r>
      <w:r w:rsidRPr="00311631">
        <w:rPr>
          <w:rFonts w:ascii="Arial" w:hAnsi="Arial" w:cs="Arial"/>
          <w:bCs/>
          <w:sz w:val="22"/>
          <w:szCs w:val="22"/>
        </w:rPr>
        <w:t>is social, personal, and political all at once</w:t>
      </w:r>
      <w:r w:rsidR="00363B6D">
        <w:rPr>
          <w:rFonts w:ascii="Arial" w:hAnsi="Arial" w:cs="Arial"/>
          <w:bCs/>
          <w:sz w:val="22"/>
          <w:szCs w:val="22"/>
        </w:rPr>
        <w:t>’</w:t>
      </w:r>
      <w:r w:rsidRPr="00311631">
        <w:rPr>
          <w:rFonts w:ascii="Arial" w:hAnsi="Arial" w:cs="Arial"/>
          <w:bCs/>
          <w:sz w:val="22"/>
          <w:szCs w:val="22"/>
        </w:rPr>
        <w:t xml:space="preserve"> and an appropriate response must </w:t>
      </w:r>
      <w:r w:rsidR="00363B6D">
        <w:rPr>
          <w:rFonts w:ascii="Arial" w:hAnsi="Arial" w:cs="Arial"/>
          <w:bCs/>
          <w:sz w:val="22"/>
          <w:szCs w:val="22"/>
        </w:rPr>
        <w:t>‘</w:t>
      </w:r>
      <w:r w:rsidRPr="00311631">
        <w:rPr>
          <w:rFonts w:ascii="Arial" w:hAnsi="Arial" w:cs="Arial"/>
          <w:bCs/>
          <w:sz w:val="22"/>
          <w:szCs w:val="22"/>
        </w:rPr>
        <w:t>combine public law, services attuned to the variety of experiences in abusive relationships, and political action to address the roots of women’s oppression in sexual and related inequalities</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29"/>
      </w:r>
      <w:r w:rsidRPr="00311631">
        <w:rPr>
          <w:rFonts w:ascii="Arial" w:hAnsi="Arial" w:cs="Arial"/>
          <w:bCs/>
          <w:sz w:val="22"/>
          <w:szCs w:val="22"/>
        </w:rPr>
        <w:t xml:space="preserve"> An incomplete response, as depicted in the fictional setting of </w:t>
      </w:r>
      <w:r w:rsidRPr="00311631">
        <w:rPr>
          <w:rFonts w:ascii="Arial" w:hAnsi="Arial" w:cs="Arial"/>
          <w:bCs/>
          <w:i/>
          <w:iCs/>
          <w:sz w:val="22"/>
          <w:szCs w:val="22"/>
        </w:rPr>
        <w:t>After Dark</w:t>
      </w:r>
      <w:r w:rsidRPr="00311631">
        <w:rPr>
          <w:rFonts w:ascii="Arial" w:hAnsi="Arial" w:cs="Arial"/>
          <w:bCs/>
          <w:sz w:val="22"/>
          <w:szCs w:val="22"/>
        </w:rPr>
        <w:t xml:space="preserve">, will be like </w:t>
      </w:r>
      <w:r w:rsidR="00363B6D">
        <w:rPr>
          <w:rFonts w:ascii="Arial" w:hAnsi="Arial" w:cs="Arial"/>
          <w:bCs/>
          <w:sz w:val="22"/>
          <w:szCs w:val="22"/>
        </w:rPr>
        <w:t>‘</w:t>
      </w:r>
      <w:r w:rsidRPr="00311631">
        <w:rPr>
          <w:rFonts w:ascii="Arial" w:hAnsi="Arial" w:cs="Arial"/>
          <w:bCs/>
          <w:sz w:val="22"/>
          <w:szCs w:val="22"/>
        </w:rPr>
        <w:t>the child who tries to step the incoming tide by carrying water from the ocean in a pail</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30"/>
      </w:r>
    </w:p>
    <w:p w14:paraId="483E9A41" w14:textId="77777777" w:rsidR="00311631" w:rsidRPr="00311631" w:rsidRDefault="00311631" w:rsidP="00932066">
      <w:pPr>
        <w:pStyle w:val="ArticleTitle"/>
        <w:spacing w:after="0" w:line="360" w:lineRule="auto"/>
        <w:rPr>
          <w:rFonts w:ascii="Arial" w:hAnsi="Arial" w:cs="Arial"/>
          <w:bCs/>
          <w:sz w:val="22"/>
          <w:szCs w:val="22"/>
        </w:rPr>
      </w:pPr>
    </w:p>
    <w:p w14:paraId="24B09C1D" w14:textId="6BAC3C1F" w:rsidR="00311631" w:rsidRDefault="00311631" w:rsidP="00D01657">
      <w:pPr>
        <w:pStyle w:val="ArticleTitle"/>
        <w:spacing w:after="0" w:line="360" w:lineRule="auto"/>
        <w:ind w:firstLine="720"/>
        <w:rPr>
          <w:rFonts w:ascii="Arial" w:hAnsi="Arial" w:cs="Arial"/>
          <w:bCs/>
          <w:sz w:val="22"/>
          <w:szCs w:val="22"/>
        </w:rPr>
      </w:pPr>
      <w:r w:rsidRPr="00311631">
        <w:rPr>
          <w:rFonts w:ascii="Arial" w:hAnsi="Arial" w:cs="Arial"/>
          <w:bCs/>
          <w:sz w:val="22"/>
          <w:szCs w:val="22"/>
        </w:rPr>
        <w:t>Gender-based violence is a very real social problem, and one that is reported with increasing frequency</w:t>
      </w:r>
      <w:r w:rsidR="00D01657">
        <w:rPr>
          <w:rFonts w:ascii="Arial" w:hAnsi="Arial" w:cs="Arial"/>
          <w:bCs/>
          <w:sz w:val="22"/>
          <w:szCs w:val="22"/>
        </w:rPr>
        <w:t>.</w:t>
      </w:r>
      <w:r w:rsidRPr="00311631">
        <w:rPr>
          <w:rFonts w:ascii="Arial" w:hAnsi="Arial" w:cs="Arial"/>
          <w:bCs/>
          <w:sz w:val="22"/>
          <w:szCs w:val="22"/>
          <w:vertAlign w:val="superscript"/>
        </w:rPr>
        <w:footnoteReference w:id="131"/>
      </w:r>
      <w:r w:rsidRPr="00311631">
        <w:rPr>
          <w:rFonts w:ascii="Arial" w:hAnsi="Arial" w:cs="Arial"/>
          <w:bCs/>
          <w:sz w:val="22"/>
          <w:szCs w:val="22"/>
        </w:rPr>
        <w:t xml:space="preserve"> In the face of such statistics, and in the absence of coordinated efforts to address its causes, it would be not unreasonable to adopt a pessimistic view of the future and imagine that legislation by control of the type envisaged in </w:t>
      </w:r>
      <w:r w:rsidRPr="00311631">
        <w:rPr>
          <w:rFonts w:ascii="Arial" w:hAnsi="Arial" w:cs="Arial"/>
          <w:bCs/>
          <w:i/>
          <w:iCs/>
          <w:sz w:val="22"/>
          <w:szCs w:val="22"/>
        </w:rPr>
        <w:t xml:space="preserve">After Dark </w:t>
      </w:r>
      <w:r w:rsidRPr="00311631">
        <w:rPr>
          <w:rFonts w:ascii="Arial" w:hAnsi="Arial" w:cs="Arial"/>
          <w:bCs/>
          <w:sz w:val="22"/>
          <w:szCs w:val="22"/>
        </w:rPr>
        <w:t xml:space="preserve">is the only likely solution. However, the scale and severity of the problem does appear to be being identified, and some efforts made to take seriously the need to eradicate violence on the part of men, rather than to blame women. The policy debates that resulted in the 2021 Act have come a long way from the 1978 Parliamentary debate on Violence in the Family, wherein the question was put as to whether </w:t>
      </w:r>
      <w:r w:rsidR="00363B6D">
        <w:rPr>
          <w:rFonts w:ascii="Arial" w:hAnsi="Arial" w:cs="Arial"/>
          <w:bCs/>
          <w:sz w:val="22"/>
          <w:szCs w:val="22"/>
        </w:rPr>
        <w:t>‘</w:t>
      </w:r>
      <w:r w:rsidRPr="00311631">
        <w:rPr>
          <w:rFonts w:ascii="Arial" w:hAnsi="Arial" w:cs="Arial"/>
          <w:bCs/>
          <w:sz w:val="22"/>
          <w:szCs w:val="22"/>
        </w:rPr>
        <w:t>the fact that many women now go to work lead[s] to the neglect of children and lack of discipline</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32"/>
      </w:r>
      <w:r w:rsidRPr="00311631">
        <w:rPr>
          <w:rFonts w:ascii="Arial" w:hAnsi="Arial" w:cs="Arial"/>
          <w:bCs/>
          <w:sz w:val="22"/>
          <w:szCs w:val="22"/>
        </w:rPr>
        <w:t xml:space="preserve"> Similarly, the fact that there are academic journals focused upon gender-based violence containing articles written mostly by women academics marks that the world of academic debate that might inform future policy development on this issue is a very different one from that of 1972, when the Journal of the Society of Public Teachers of Law reported that its Annual Meeting was attended by </w:t>
      </w:r>
      <w:r w:rsidR="00363B6D">
        <w:rPr>
          <w:rFonts w:ascii="Arial" w:hAnsi="Arial" w:cs="Arial"/>
          <w:bCs/>
          <w:sz w:val="22"/>
          <w:szCs w:val="22"/>
        </w:rPr>
        <w:t>‘</w:t>
      </w:r>
      <w:r w:rsidRPr="00311631">
        <w:rPr>
          <w:rFonts w:ascii="Arial" w:hAnsi="Arial" w:cs="Arial"/>
          <w:bCs/>
          <w:sz w:val="22"/>
          <w:szCs w:val="22"/>
        </w:rPr>
        <w:t xml:space="preserve">[s]ome 300 members of the society </w:t>
      </w:r>
      <w:r w:rsidRPr="00311631">
        <w:rPr>
          <w:rFonts w:ascii="Arial" w:hAnsi="Arial" w:cs="Arial"/>
          <w:bCs/>
          <w:i/>
          <w:iCs/>
          <w:sz w:val="22"/>
          <w:szCs w:val="22"/>
        </w:rPr>
        <w:t>and their wives</w:t>
      </w:r>
      <w:r w:rsidR="00363B6D">
        <w:rPr>
          <w:rFonts w:ascii="Arial" w:hAnsi="Arial" w:cs="Arial"/>
          <w:bCs/>
          <w:sz w:val="22"/>
          <w:szCs w:val="22"/>
        </w:rPr>
        <w:t>’</w:t>
      </w:r>
      <w:r w:rsidR="00D01657">
        <w:rPr>
          <w:rFonts w:ascii="Arial" w:hAnsi="Arial" w:cs="Arial"/>
          <w:bCs/>
          <w:sz w:val="22"/>
          <w:szCs w:val="22"/>
        </w:rPr>
        <w:t>.</w:t>
      </w:r>
      <w:r w:rsidRPr="00311631">
        <w:rPr>
          <w:rFonts w:ascii="Arial" w:hAnsi="Arial" w:cs="Arial"/>
          <w:bCs/>
          <w:sz w:val="22"/>
          <w:szCs w:val="22"/>
          <w:vertAlign w:val="superscript"/>
        </w:rPr>
        <w:footnoteReference w:id="133"/>
      </w:r>
      <w:r w:rsidRPr="00311631">
        <w:rPr>
          <w:rFonts w:ascii="Arial" w:hAnsi="Arial" w:cs="Arial"/>
          <w:bCs/>
          <w:sz w:val="22"/>
          <w:szCs w:val="22"/>
        </w:rPr>
        <w:t xml:space="preserve"> With this in mind, it may be appropriate to adopt a degree of optimism that the future may not be as bleak as that in envisaged in </w:t>
      </w:r>
      <w:r w:rsidRPr="00311631">
        <w:rPr>
          <w:rFonts w:ascii="Arial" w:hAnsi="Arial" w:cs="Arial"/>
          <w:bCs/>
          <w:i/>
          <w:iCs/>
          <w:sz w:val="22"/>
          <w:szCs w:val="22"/>
        </w:rPr>
        <w:t>After Dark</w:t>
      </w:r>
      <w:r w:rsidRPr="00311631">
        <w:rPr>
          <w:rFonts w:ascii="Arial" w:hAnsi="Arial" w:cs="Arial"/>
          <w:bCs/>
          <w:sz w:val="22"/>
          <w:szCs w:val="22"/>
        </w:rPr>
        <w:t xml:space="preserve">. It has been suggested that the concept of </w:t>
      </w:r>
      <w:r w:rsidR="00363B6D">
        <w:rPr>
          <w:rFonts w:ascii="Arial" w:hAnsi="Arial" w:cs="Arial"/>
          <w:bCs/>
          <w:sz w:val="22"/>
          <w:szCs w:val="22"/>
        </w:rPr>
        <w:t>‘</w:t>
      </w:r>
      <w:r w:rsidRPr="00311631">
        <w:rPr>
          <w:rFonts w:ascii="Arial" w:hAnsi="Arial" w:cs="Arial"/>
          <w:bCs/>
          <w:sz w:val="22"/>
          <w:szCs w:val="22"/>
        </w:rPr>
        <w:t>psychological capital</w:t>
      </w:r>
      <w:r w:rsidR="00363B6D">
        <w:rPr>
          <w:rFonts w:ascii="Arial" w:hAnsi="Arial" w:cs="Arial"/>
          <w:bCs/>
          <w:sz w:val="22"/>
          <w:szCs w:val="22"/>
        </w:rPr>
        <w:t>’</w:t>
      </w:r>
      <w:r w:rsidRPr="00311631">
        <w:rPr>
          <w:rFonts w:ascii="Arial" w:hAnsi="Arial" w:cs="Arial"/>
          <w:bCs/>
          <w:sz w:val="22"/>
          <w:szCs w:val="22"/>
          <w:vertAlign w:val="superscript"/>
        </w:rPr>
        <w:footnoteReference w:id="134"/>
      </w:r>
      <w:r w:rsidRPr="00311631">
        <w:rPr>
          <w:rFonts w:ascii="Arial" w:hAnsi="Arial" w:cs="Arial"/>
          <w:bCs/>
          <w:sz w:val="22"/>
          <w:szCs w:val="22"/>
        </w:rPr>
        <w:t xml:space="preserve"> </w:t>
      </w:r>
      <w:r w:rsidR="00363B6D">
        <w:rPr>
          <w:rFonts w:ascii="Arial" w:hAnsi="Arial" w:cs="Arial"/>
          <w:bCs/>
          <w:sz w:val="22"/>
          <w:szCs w:val="22"/>
        </w:rPr>
        <w:t>‘</w:t>
      </w:r>
      <w:r w:rsidRPr="00311631">
        <w:rPr>
          <w:rFonts w:ascii="Arial" w:hAnsi="Arial" w:cs="Arial"/>
          <w:bCs/>
          <w:sz w:val="22"/>
          <w:szCs w:val="22"/>
        </w:rPr>
        <w:t>including hope, resilience, optimism, and self-efficacy…is vital for creating a positive future</w:t>
      </w:r>
      <w:r w:rsidR="00363B6D">
        <w:rPr>
          <w:rFonts w:ascii="Arial" w:hAnsi="Arial" w:cs="Arial"/>
          <w:bCs/>
          <w:sz w:val="22"/>
          <w:szCs w:val="22"/>
        </w:rPr>
        <w:t>’</w:t>
      </w:r>
      <w:r w:rsidRPr="00311631">
        <w:rPr>
          <w:rFonts w:ascii="Arial" w:hAnsi="Arial" w:cs="Arial"/>
          <w:bCs/>
          <w:sz w:val="22"/>
          <w:szCs w:val="22"/>
          <w:vertAlign w:val="superscript"/>
        </w:rPr>
        <w:footnoteReference w:id="135"/>
      </w:r>
      <w:r w:rsidRPr="00311631">
        <w:rPr>
          <w:rFonts w:ascii="Arial" w:hAnsi="Arial" w:cs="Arial"/>
          <w:bCs/>
          <w:sz w:val="22"/>
          <w:szCs w:val="22"/>
        </w:rPr>
        <w:t xml:space="preserve"> may be of significance in the effort to eradicate gender-based violence. This is a bold and potentially offensive statement if taken at face value, particularly given the face-value suggestion that the power of positive thinking can in some way prevent gender-based violence, and the suggestion that a strategy devised for organisational development with the outcomes of </w:t>
      </w:r>
      <w:r w:rsidR="00363B6D">
        <w:rPr>
          <w:rFonts w:ascii="Arial" w:hAnsi="Arial" w:cs="Arial"/>
          <w:bCs/>
          <w:sz w:val="22"/>
          <w:szCs w:val="22"/>
        </w:rPr>
        <w:t>‘</w:t>
      </w:r>
      <w:r w:rsidRPr="00311631">
        <w:rPr>
          <w:rFonts w:ascii="Arial" w:hAnsi="Arial" w:cs="Arial"/>
          <w:bCs/>
          <w:sz w:val="22"/>
          <w:szCs w:val="22"/>
        </w:rPr>
        <w:t>dollar impact and very high return on investment</w:t>
      </w:r>
      <w:r w:rsidR="00363B6D">
        <w:rPr>
          <w:rFonts w:ascii="Arial" w:hAnsi="Arial" w:cs="Arial"/>
          <w:bCs/>
          <w:sz w:val="22"/>
          <w:szCs w:val="22"/>
        </w:rPr>
        <w:t>’</w:t>
      </w:r>
      <w:r w:rsidRPr="00311631">
        <w:rPr>
          <w:rFonts w:ascii="Arial" w:hAnsi="Arial" w:cs="Arial"/>
          <w:bCs/>
          <w:sz w:val="22"/>
          <w:szCs w:val="22"/>
          <w:vertAlign w:val="superscript"/>
        </w:rPr>
        <w:footnoteReference w:id="136"/>
      </w:r>
      <w:r w:rsidRPr="00311631">
        <w:rPr>
          <w:rFonts w:ascii="Arial" w:hAnsi="Arial" w:cs="Arial"/>
          <w:bCs/>
          <w:sz w:val="22"/>
          <w:szCs w:val="22"/>
        </w:rPr>
        <w:t xml:space="preserve"> can be transposed to the very different situation of women under threat of, or </w:t>
      </w:r>
      <w:r w:rsidRPr="00311631">
        <w:rPr>
          <w:rFonts w:ascii="Arial" w:hAnsi="Arial" w:cs="Arial"/>
          <w:bCs/>
          <w:sz w:val="22"/>
          <w:szCs w:val="22"/>
        </w:rPr>
        <w:lastRenderedPageBreak/>
        <w:t xml:space="preserve">actually experiencing, gender based violence. Indeed, it may be that it cannot: Sharma and Borah note that </w:t>
      </w:r>
      <w:r w:rsidR="00363B6D">
        <w:rPr>
          <w:rFonts w:ascii="Arial" w:hAnsi="Arial" w:cs="Arial"/>
          <w:bCs/>
          <w:sz w:val="22"/>
          <w:szCs w:val="22"/>
        </w:rPr>
        <w:t>‘</w:t>
      </w:r>
      <w:r w:rsidRPr="00311631">
        <w:rPr>
          <w:rFonts w:ascii="Arial" w:hAnsi="Arial" w:cs="Arial"/>
          <w:bCs/>
          <w:sz w:val="22"/>
          <w:szCs w:val="22"/>
        </w:rPr>
        <w:t>no research has yet focused on understanding psychological capital…in cases of domestic violence</w:t>
      </w:r>
      <w:r w:rsidR="00363B6D">
        <w:rPr>
          <w:rFonts w:ascii="Arial" w:hAnsi="Arial" w:cs="Arial"/>
          <w:bCs/>
          <w:sz w:val="22"/>
          <w:szCs w:val="22"/>
        </w:rPr>
        <w:t>’</w:t>
      </w:r>
      <w:r w:rsidR="006F1815">
        <w:rPr>
          <w:rFonts w:ascii="Arial" w:hAnsi="Arial" w:cs="Arial"/>
          <w:bCs/>
          <w:sz w:val="22"/>
          <w:szCs w:val="22"/>
        </w:rPr>
        <w:t>,</w:t>
      </w:r>
      <w:r w:rsidRPr="00311631">
        <w:rPr>
          <w:rFonts w:ascii="Arial" w:hAnsi="Arial" w:cs="Arial"/>
          <w:bCs/>
          <w:sz w:val="22"/>
          <w:szCs w:val="22"/>
          <w:vertAlign w:val="superscript"/>
        </w:rPr>
        <w:footnoteReference w:id="137"/>
      </w:r>
      <w:r w:rsidRPr="00311631">
        <w:rPr>
          <w:rFonts w:ascii="Arial" w:hAnsi="Arial" w:cs="Arial"/>
          <w:bCs/>
          <w:sz w:val="22"/>
          <w:szCs w:val="22"/>
        </w:rPr>
        <w:t xml:space="preserve"> and the outcome of such research may indeed be that the two environments are irreconcilable. However, the philosophy at the heart of the concept is one that is in essence correct to apply in the circumstances: gender-based violence is characteri</w:t>
      </w:r>
      <w:r w:rsidR="00872CC8">
        <w:rPr>
          <w:rFonts w:ascii="Arial" w:hAnsi="Arial" w:cs="Arial"/>
          <w:bCs/>
          <w:sz w:val="22"/>
          <w:szCs w:val="22"/>
        </w:rPr>
        <w:t>s</w:t>
      </w:r>
      <w:r w:rsidRPr="00311631">
        <w:rPr>
          <w:rFonts w:ascii="Arial" w:hAnsi="Arial" w:cs="Arial"/>
          <w:bCs/>
          <w:sz w:val="22"/>
          <w:szCs w:val="22"/>
        </w:rPr>
        <w:t>ed by a physically stronger male imposing themself upon a physically weaker female, and a strengthening of psychological resources may be an important defence.</w:t>
      </w:r>
    </w:p>
    <w:p w14:paraId="537C880E" w14:textId="77777777" w:rsidR="006F1815" w:rsidRPr="00311631" w:rsidRDefault="006F1815" w:rsidP="00D01657">
      <w:pPr>
        <w:pStyle w:val="ArticleTitle"/>
        <w:spacing w:after="0" w:line="360" w:lineRule="auto"/>
        <w:ind w:firstLine="720"/>
        <w:rPr>
          <w:rFonts w:ascii="Arial" w:hAnsi="Arial" w:cs="Arial"/>
          <w:bCs/>
          <w:sz w:val="22"/>
          <w:szCs w:val="22"/>
        </w:rPr>
      </w:pPr>
    </w:p>
    <w:p w14:paraId="2661B89D" w14:textId="7BCAFC92" w:rsidR="00311631" w:rsidRPr="00311631" w:rsidRDefault="00311631" w:rsidP="006F1815">
      <w:pPr>
        <w:pStyle w:val="ArticleTitle"/>
        <w:spacing w:after="0" w:line="360" w:lineRule="auto"/>
        <w:ind w:firstLine="720"/>
        <w:rPr>
          <w:rFonts w:ascii="Arial" w:hAnsi="Arial" w:cs="Arial"/>
          <w:bCs/>
          <w:sz w:val="22"/>
          <w:szCs w:val="22"/>
        </w:rPr>
      </w:pPr>
      <w:r w:rsidRPr="00311631">
        <w:rPr>
          <w:rFonts w:ascii="Arial" w:hAnsi="Arial" w:cs="Arial"/>
          <w:bCs/>
          <w:sz w:val="22"/>
          <w:szCs w:val="22"/>
        </w:rPr>
        <w:t xml:space="preserve">The world envisaged in </w:t>
      </w:r>
      <w:r w:rsidRPr="00311631">
        <w:rPr>
          <w:rFonts w:ascii="Arial" w:hAnsi="Arial" w:cs="Arial"/>
          <w:bCs/>
          <w:i/>
          <w:iCs/>
          <w:sz w:val="22"/>
          <w:szCs w:val="22"/>
        </w:rPr>
        <w:t>After Dark</w:t>
      </w:r>
      <w:r w:rsidRPr="00311631">
        <w:rPr>
          <w:rFonts w:ascii="Arial" w:hAnsi="Arial" w:cs="Arial"/>
          <w:bCs/>
          <w:sz w:val="22"/>
          <w:szCs w:val="22"/>
        </w:rPr>
        <w:t xml:space="preserve"> is one in which both men and women are subjugated almost entirely to state control of their economic and social activities for the sake of the prevention of crime – an effort that ultimately fails. Men are liars and murderers, women are either their victims, duped into being their accomplices, or indoctrinated into the state philosophy that the lives of men are worthless</w:t>
      </w:r>
      <w:r w:rsidR="00872CC8">
        <w:rPr>
          <w:rFonts w:ascii="Arial" w:hAnsi="Arial" w:cs="Arial"/>
          <w:bCs/>
          <w:sz w:val="22"/>
          <w:szCs w:val="22"/>
        </w:rPr>
        <w:t>. This is</w:t>
      </w:r>
      <w:r w:rsidRPr="00311631">
        <w:rPr>
          <w:rFonts w:ascii="Arial" w:hAnsi="Arial" w:cs="Arial"/>
          <w:bCs/>
          <w:sz w:val="22"/>
          <w:szCs w:val="22"/>
        </w:rPr>
        <w:t xml:space="preserve"> a point particularly exemplified by Sarah’s killing of a man who attempts to remove his tag</w:t>
      </w:r>
      <w:r w:rsidRPr="00311631">
        <w:rPr>
          <w:rFonts w:ascii="Arial" w:hAnsi="Arial" w:cs="Arial"/>
          <w:bCs/>
          <w:sz w:val="22"/>
          <w:szCs w:val="22"/>
          <w:vertAlign w:val="superscript"/>
        </w:rPr>
        <w:footnoteReference w:id="138"/>
      </w:r>
      <w:r w:rsidRPr="00311631">
        <w:rPr>
          <w:rFonts w:ascii="Arial" w:hAnsi="Arial" w:cs="Arial"/>
          <w:bCs/>
          <w:sz w:val="22"/>
          <w:szCs w:val="22"/>
        </w:rPr>
        <w:t xml:space="preserve"> and subsequently demonstrating no regret or suffering any consequences. In the light of the extent and severity of cases of gender-based violence in the real world, it is easy to see why this book came to be written. However, the very fact that gender-based violence occupies such a prominent position on the agenda of policy-makers, and that there has been some serious effort to address it through the making of less-intrusive legislation, is cause for some optimism that gender-based violence might be if not eliminated, then perhaps reduced significantly, by means other than legislation by control, or violent retaliation against men. </w:t>
      </w:r>
    </w:p>
    <w:p w14:paraId="0DF41BBB" w14:textId="77777777" w:rsidR="00311631" w:rsidRPr="00311631" w:rsidRDefault="00311631" w:rsidP="00932066">
      <w:pPr>
        <w:pStyle w:val="ArticleTitle"/>
        <w:spacing w:after="0" w:line="360" w:lineRule="auto"/>
        <w:rPr>
          <w:rFonts w:ascii="Arial" w:hAnsi="Arial" w:cs="Arial"/>
          <w:bCs/>
          <w:sz w:val="22"/>
          <w:szCs w:val="22"/>
        </w:rPr>
      </w:pPr>
    </w:p>
    <w:p w14:paraId="1BCC26EA" w14:textId="2962018B" w:rsidR="004324AD" w:rsidRPr="00932066" w:rsidRDefault="00311631" w:rsidP="00F2299A">
      <w:pPr>
        <w:pStyle w:val="ArticleTitle"/>
        <w:spacing w:after="0" w:line="360" w:lineRule="auto"/>
        <w:ind w:firstLine="720"/>
        <w:rPr>
          <w:rFonts w:ascii="Arial" w:hAnsi="Arial" w:cs="Arial"/>
        </w:rPr>
      </w:pPr>
      <w:r w:rsidRPr="00311631">
        <w:rPr>
          <w:rFonts w:ascii="Arial" w:hAnsi="Arial" w:cs="Arial"/>
          <w:bCs/>
          <w:sz w:val="22"/>
          <w:szCs w:val="22"/>
        </w:rPr>
        <w:t xml:space="preserve">The majority of policy decisions continue to be made by men, and are likely to remain so for the foreseeable future. It may be that organised social action of the type envisaged (albeit briefly) in the opening pages of </w:t>
      </w:r>
      <w:r w:rsidRPr="00311631">
        <w:rPr>
          <w:rFonts w:ascii="Arial" w:hAnsi="Arial" w:cs="Arial"/>
          <w:bCs/>
          <w:i/>
          <w:iCs/>
          <w:sz w:val="22"/>
          <w:szCs w:val="22"/>
        </w:rPr>
        <w:t xml:space="preserve">After Dark </w:t>
      </w:r>
      <w:r w:rsidRPr="00311631">
        <w:rPr>
          <w:rFonts w:ascii="Arial" w:hAnsi="Arial" w:cs="Arial"/>
          <w:bCs/>
          <w:sz w:val="22"/>
          <w:szCs w:val="22"/>
        </w:rPr>
        <w:t xml:space="preserve">is necessary in order for a concerted effort to be taken to not only tackle gender-based violence, but to eradicate its causes. As demonstrated in the failure of the programme of legislation described in </w:t>
      </w:r>
      <w:r w:rsidRPr="00311631">
        <w:rPr>
          <w:rFonts w:ascii="Arial" w:hAnsi="Arial" w:cs="Arial"/>
          <w:bCs/>
          <w:i/>
          <w:iCs/>
          <w:sz w:val="22"/>
          <w:szCs w:val="22"/>
        </w:rPr>
        <w:t>After Dark</w:t>
      </w:r>
      <w:r w:rsidRPr="00311631">
        <w:rPr>
          <w:rFonts w:ascii="Arial" w:hAnsi="Arial" w:cs="Arial"/>
          <w:bCs/>
          <w:sz w:val="22"/>
          <w:szCs w:val="22"/>
        </w:rPr>
        <w:t xml:space="preserve">, however, this task cannot fall on women alone, though – if any legislation to address this subject is to be effective, it must be robust and respected, and for this to happen there is a need for men to be involved in recognising the problem that they have caused and working with women towards its resolution. It is not hard to see, particularly online, that some men are unprepared to recognise that they are a threat, and indeed consider themselves to be the ones who are threatened, and in such circumstances to be pessimistic that things are ever likely to change. Alternatively, this may be perceived as witnessing the desperate last gasp of apologists for </w:t>
      </w:r>
      <w:r w:rsidRPr="00311631">
        <w:rPr>
          <w:rFonts w:ascii="Arial" w:hAnsi="Arial" w:cs="Arial"/>
          <w:bCs/>
          <w:sz w:val="22"/>
          <w:szCs w:val="22"/>
        </w:rPr>
        <w:lastRenderedPageBreak/>
        <w:t xml:space="preserve">male violence in the face of concerted efforts to eliminate it, and that with a unified approach by men and women it will be consigned to history, or indeed the pages of fiction. Such a perception may be considered to be naïve optimism: however, as has been noted, </w:t>
      </w:r>
      <w:r w:rsidR="00363B6D">
        <w:rPr>
          <w:rFonts w:ascii="Arial" w:hAnsi="Arial" w:cs="Arial"/>
          <w:bCs/>
          <w:sz w:val="22"/>
          <w:szCs w:val="22"/>
        </w:rPr>
        <w:t>‘</w:t>
      </w:r>
      <w:r w:rsidRPr="00311631">
        <w:rPr>
          <w:rFonts w:ascii="Arial" w:hAnsi="Arial" w:cs="Arial"/>
          <w:bCs/>
          <w:sz w:val="22"/>
          <w:szCs w:val="22"/>
        </w:rPr>
        <w:t>maintaining a positivity toward the future may be important when the environment is so uncertain</w:t>
      </w:r>
      <w:r w:rsidR="00363B6D">
        <w:rPr>
          <w:rFonts w:ascii="Arial" w:hAnsi="Arial" w:cs="Arial"/>
          <w:bCs/>
          <w:sz w:val="22"/>
          <w:szCs w:val="22"/>
        </w:rPr>
        <w:t>’</w:t>
      </w:r>
      <w:r w:rsidR="00776B05">
        <w:rPr>
          <w:rFonts w:ascii="Arial" w:hAnsi="Arial" w:cs="Arial"/>
          <w:bCs/>
          <w:sz w:val="22"/>
          <w:szCs w:val="22"/>
        </w:rPr>
        <w:t>.</w:t>
      </w:r>
      <w:r w:rsidRPr="00311631">
        <w:rPr>
          <w:rFonts w:ascii="Arial" w:hAnsi="Arial" w:cs="Arial"/>
          <w:bCs/>
          <w:sz w:val="22"/>
          <w:szCs w:val="22"/>
          <w:vertAlign w:val="superscript"/>
        </w:rPr>
        <w:footnoteReference w:id="139"/>
      </w:r>
    </w:p>
    <w:sectPr w:rsidR="004324AD" w:rsidRPr="00932066" w:rsidSect="00182F39">
      <w:headerReference w:type="default" r:id="rId8"/>
      <w:footerReference w:type="default" r:id="rId9"/>
      <w:pgSz w:w="11906" w:h="16838"/>
      <w:pgMar w:top="1440" w:right="1440" w:bottom="1440" w:left="1440"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ECEE" w14:textId="77777777" w:rsidR="00232762" w:rsidRDefault="00232762" w:rsidP="00BC0A68">
      <w:pPr>
        <w:spacing w:after="0" w:line="240" w:lineRule="auto"/>
      </w:pPr>
      <w:r>
        <w:separator/>
      </w:r>
    </w:p>
  </w:endnote>
  <w:endnote w:type="continuationSeparator" w:id="0">
    <w:p w14:paraId="1B47279A" w14:textId="77777777" w:rsidR="00232762" w:rsidRDefault="00232762"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0594747"/>
      <w:docPartObj>
        <w:docPartGallery w:val="Page Numbers (Bottom of Page)"/>
        <w:docPartUnique/>
      </w:docPartObj>
    </w:sdtPr>
    <w:sdtEndPr>
      <w:rPr>
        <w:noProof/>
      </w:rPr>
    </w:sdtEndPr>
    <w:sdtContent>
      <w:p w14:paraId="7DF1CEA4" w14:textId="7C94F7B6" w:rsidR="00D64846" w:rsidRPr="00BC0A68" w:rsidRDefault="00D64846">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ED3CA5">
          <w:rPr>
            <w:rFonts w:ascii="Palatino Linotype" w:hAnsi="Palatino Linotype"/>
            <w:noProof/>
          </w:rPr>
          <w:t>27</w:t>
        </w:r>
        <w:r w:rsidRPr="00BC0A68">
          <w:rPr>
            <w:rFonts w:ascii="Palatino Linotype" w:hAnsi="Palatino Linotype"/>
            <w:noProof/>
          </w:rPr>
          <w:fldChar w:fldCharType="end"/>
        </w:r>
      </w:p>
    </w:sdtContent>
  </w:sdt>
  <w:p w14:paraId="40915F37" w14:textId="77777777" w:rsidR="00D64846" w:rsidRPr="00BC0A68" w:rsidRDefault="00D6484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2836" w14:textId="77777777" w:rsidR="00232762" w:rsidRDefault="00232762" w:rsidP="00BC0A68">
      <w:pPr>
        <w:spacing w:after="0" w:line="240" w:lineRule="auto"/>
      </w:pPr>
      <w:r>
        <w:separator/>
      </w:r>
    </w:p>
  </w:footnote>
  <w:footnote w:type="continuationSeparator" w:id="0">
    <w:p w14:paraId="0B839BCC" w14:textId="77777777" w:rsidR="00232762" w:rsidRDefault="00232762" w:rsidP="00BC0A68">
      <w:pPr>
        <w:spacing w:after="0" w:line="240" w:lineRule="auto"/>
      </w:pPr>
      <w:r>
        <w:continuationSeparator/>
      </w:r>
    </w:p>
  </w:footnote>
  <w:footnote w:id="1">
    <w:p w14:paraId="60620D9B" w14:textId="313E9271" w:rsidR="00D64846" w:rsidRPr="009109BF" w:rsidRDefault="00D64846" w:rsidP="00A6138D">
      <w:pPr>
        <w:pStyle w:val="FootnoteText"/>
        <w:rPr>
          <w:rFonts w:ascii="Arial" w:hAnsi="Arial" w:cs="Arial"/>
          <w:bCs/>
          <w:sz w:val="18"/>
          <w:szCs w:val="18"/>
        </w:rPr>
      </w:pPr>
      <w:r w:rsidRPr="009109BF">
        <w:rPr>
          <w:rStyle w:val="FootnoteReference"/>
          <w:rFonts w:ascii="Arial" w:hAnsi="Arial" w:cs="Arial"/>
          <w:sz w:val="18"/>
          <w:szCs w:val="18"/>
        </w:rPr>
        <w:footnoteRef/>
      </w:r>
      <w:r w:rsidRPr="009109BF">
        <w:rPr>
          <w:rFonts w:ascii="Arial" w:hAnsi="Arial" w:cs="Arial"/>
          <w:bCs/>
          <w:sz w:val="18"/>
          <w:szCs w:val="18"/>
        </w:rPr>
        <w:t xml:space="preserve"> </w:t>
      </w:r>
      <w:r w:rsidR="00174F10" w:rsidRPr="009109BF">
        <w:rPr>
          <w:rFonts w:ascii="Arial" w:hAnsi="Arial" w:cs="Arial"/>
          <w:bCs/>
          <w:sz w:val="18"/>
          <w:szCs w:val="18"/>
        </w:rPr>
        <w:t>Ross Fletcher</w:t>
      </w:r>
      <w:r w:rsidR="00946737" w:rsidRPr="009109BF">
        <w:rPr>
          <w:rFonts w:ascii="Arial" w:hAnsi="Arial" w:cs="Arial"/>
          <w:bCs/>
          <w:sz w:val="18"/>
          <w:szCs w:val="18"/>
        </w:rPr>
        <w:t>,</w:t>
      </w:r>
      <w:r w:rsidRPr="009109BF">
        <w:rPr>
          <w:rFonts w:ascii="Arial" w:hAnsi="Arial" w:cs="Arial"/>
          <w:bCs/>
          <w:sz w:val="18"/>
          <w:szCs w:val="18"/>
        </w:rPr>
        <w:t xml:space="preserve"> University of</w:t>
      </w:r>
      <w:r w:rsidR="00174F10" w:rsidRPr="009109BF">
        <w:rPr>
          <w:rFonts w:ascii="Arial" w:hAnsi="Arial" w:cs="Arial"/>
          <w:bCs/>
          <w:sz w:val="18"/>
          <w:szCs w:val="18"/>
        </w:rPr>
        <w:t xml:space="preserve"> Northumbria</w:t>
      </w:r>
      <w:r w:rsidRPr="009109BF">
        <w:rPr>
          <w:rFonts w:ascii="Arial" w:hAnsi="Arial" w:cs="Arial"/>
          <w:bCs/>
          <w:sz w:val="18"/>
          <w:szCs w:val="18"/>
        </w:rPr>
        <w:t>. Email:</w:t>
      </w:r>
      <w:r w:rsidRPr="009109BF">
        <w:rPr>
          <w:rFonts w:ascii="Arial" w:hAnsi="Arial" w:cs="Arial"/>
          <w:sz w:val="18"/>
          <w:szCs w:val="18"/>
        </w:rPr>
        <w:t xml:space="preserve"> </w:t>
      </w:r>
      <w:r w:rsidR="00174F10" w:rsidRPr="009109BF">
        <w:rPr>
          <w:rFonts w:ascii="Arial" w:hAnsi="Arial" w:cs="Arial"/>
          <w:bCs/>
          <w:sz w:val="18"/>
          <w:szCs w:val="18"/>
        </w:rPr>
        <w:t>ross.fletcher@northumbria.ac.uk</w:t>
      </w:r>
    </w:p>
    <w:p w14:paraId="73768793" w14:textId="5F0B730E" w:rsidR="00D64846" w:rsidRPr="009109BF" w:rsidRDefault="00D64846" w:rsidP="00A6138D">
      <w:pPr>
        <w:pStyle w:val="FootnoteText"/>
        <w:rPr>
          <w:rFonts w:ascii="Arial" w:hAnsi="Arial" w:cs="Arial"/>
          <w:sz w:val="18"/>
          <w:szCs w:val="18"/>
        </w:rPr>
      </w:pPr>
      <w:r w:rsidRPr="009109BF">
        <w:rPr>
          <w:rFonts w:ascii="Arial" w:hAnsi="Arial" w:cs="Arial"/>
          <w:sz w:val="18"/>
          <w:szCs w:val="18"/>
        </w:rPr>
        <w:t xml:space="preserve">Citation Format: </w:t>
      </w:r>
      <w:r w:rsidR="00174F10" w:rsidRPr="009109BF">
        <w:rPr>
          <w:rFonts w:ascii="Arial" w:hAnsi="Arial" w:cs="Arial"/>
          <w:sz w:val="18"/>
          <w:szCs w:val="18"/>
        </w:rPr>
        <w:t>Fletcher, R</w:t>
      </w:r>
      <w:r w:rsidR="00110F97">
        <w:rPr>
          <w:rFonts w:ascii="Arial" w:hAnsi="Arial" w:cs="Arial"/>
          <w:sz w:val="18"/>
          <w:szCs w:val="18"/>
        </w:rPr>
        <w:t>,</w:t>
      </w:r>
      <w:r w:rsidRPr="009109BF">
        <w:rPr>
          <w:rFonts w:ascii="Arial" w:hAnsi="Arial" w:cs="Arial"/>
          <w:sz w:val="18"/>
          <w:szCs w:val="18"/>
        </w:rPr>
        <w:t xml:space="preserve"> ‘</w:t>
      </w:r>
      <w:r w:rsidR="00174F10" w:rsidRPr="009109BF">
        <w:rPr>
          <w:rFonts w:ascii="Arial" w:hAnsi="Arial" w:cs="Arial"/>
          <w:sz w:val="18"/>
          <w:szCs w:val="18"/>
        </w:rPr>
        <w:t xml:space="preserve">Against </w:t>
      </w:r>
      <w:r w:rsidR="00182F39">
        <w:rPr>
          <w:rFonts w:ascii="Arial" w:hAnsi="Arial" w:cs="Arial"/>
          <w:sz w:val="18"/>
          <w:szCs w:val="18"/>
        </w:rPr>
        <w:t>a</w:t>
      </w:r>
      <w:r w:rsidR="00174F10" w:rsidRPr="009109BF">
        <w:rPr>
          <w:rFonts w:ascii="Arial" w:hAnsi="Arial" w:cs="Arial"/>
          <w:sz w:val="18"/>
          <w:szCs w:val="18"/>
        </w:rPr>
        <w:t xml:space="preserve"> Dark Background: The Prevention of Femicide Act 2023 and the Problem </w:t>
      </w:r>
      <w:r w:rsidR="00182F39">
        <w:rPr>
          <w:rFonts w:ascii="Arial" w:hAnsi="Arial" w:cs="Arial"/>
          <w:sz w:val="18"/>
          <w:szCs w:val="18"/>
        </w:rPr>
        <w:t>o</w:t>
      </w:r>
      <w:r w:rsidR="00174F10" w:rsidRPr="009109BF">
        <w:rPr>
          <w:rFonts w:ascii="Arial" w:hAnsi="Arial" w:cs="Arial"/>
          <w:sz w:val="18"/>
          <w:szCs w:val="18"/>
        </w:rPr>
        <w:t xml:space="preserve">f Legislating </w:t>
      </w:r>
      <w:r w:rsidR="00182F39">
        <w:rPr>
          <w:rFonts w:ascii="Arial" w:hAnsi="Arial" w:cs="Arial"/>
          <w:sz w:val="18"/>
          <w:szCs w:val="18"/>
        </w:rPr>
        <w:t>f</w:t>
      </w:r>
      <w:r w:rsidR="00174F10" w:rsidRPr="009109BF">
        <w:rPr>
          <w:rFonts w:ascii="Arial" w:hAnsi="Arial" w:cs="Arial"/>
          <w:sz w:val="18"/>
          <w:szCs w:val="18"/>
        </w:rPr>
        <w:t xml:space="preserve">or Control’ </w:t>
      </w:r>
      <w:r w:rsidRPr="009109BF">
        <w:rPr>
          <w:rFonts w:ascii="Arial" w:hAnsi="Arial" w:cs="Arial"/>
          <w:sz w:val="18"/>
          <w:szCs w:val="18"/>
        </w:rPr>
        <w:t>(202</w:t>
      </w:r>
      <w:r w:rsidR="00946737" w:rsidRPr="009109BF">
        <w:rPr>
          <w:rFonts w:ascii="Arial" w:hAnsi="Arial" w:cs="Arial"/>
          <w:sz w:val="18"/>
          <w:szCs w:val="18"/>
        </w:rPr>
        <w:t>4</w:t>
      </w:r>
      <w:r w:rsidRPr="009109BF">
        <w:rPr>
          <w:rFonts w:ascii="Arial" w:hAnsi="Arial" w:cs="Arial"/>
          <w:sz w:val="18"/>
          <w:szCs w:val="18"/>
        </w:rPr>
        <w:t xml:space="preserve">) </w:t>
      </w:r>
      <w:r w:rsidR="00946737" w:rsidRPr="009109BF">
        <w:rPr>
          <w:rFonts w:ascii="Arial" w:hAnsi="Arial" w:cs="Arial"/>
          <w:sz w:val="18"/>
          <w:szCs w:val="18"/>
        </w:rPr>
        <w:t>3</w:t>
      </w:r>
      <w:r w:rsidR="00655AC8" w:rsidRPr="009109BF">
        <w:rPr>
          <w:rFonts w:ascii="Arial" w:hAnsi="Arial" w:cs="Arial"/>
          <w:sz w:val="18"/>
          <w:szCs w:val="18"/>
        </w:rPr>
        <w:t xml:space="preserve"> </w:t>
      </w:r>
      <w:r w:rsidRPr="009109BF">
        <w:rPr>
          <w:rFonts w:ascii="Arial" w:hAnsi="Arial" w:cs="Arial"/>
          <w:i/>
          <w:iCs/>
          <w:sz w:val="18"/>
          <w:szCs w:val="18"/>
        </w:rPr>
        <w:t xml:space="preserve">International Journal of Gender, Sexuality and Law </w:t>
      </w:r>
      <w:r w:rsidR="00182F39">
        <w:rPr>
          <w:rFonts w:ascii="Arial" w:hAnsi="Arial" w:cs="Arial"/>
          <w:sz w:val="18"/>
          <w:szCs w:val="18"/>
        </w:rPr>
        <w:t>49</w:t>
      </w:r>
      <w:r w:rsidR="00655AC8" w:rsidRPr="009109BF">
        <w:rPr>
          <w:rFonts w:ascii="Arial" w:hAnsi="Arial" w:cs="Arial"/>
          <w:sz w:val="18"/>
          <w:szCs w:val="18"/>
        </w:rPr>
        <w:t>.</w:t>
      </w:r>
    </w:p>
  </w:footnote>
  <w:footnote w:id="2">
    <w:p w14:paraId="41319B09" w14:textId="5E929F0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27274" w:rsidRPr="009109BF">
        <w:rPr>
          <w:rFonts w:ascii="Arial" w:hAnsi="Arial" w:cs="Arial"/>
          <w:sz w:val="18"/>
          <w:szCs w:val="18"/>
        </w:rPr>
        <w:t xml:space="preserve">J </w:t>
      </w:r>
      <w:r w:rsidRPr="009109BF">
        <w:rPr>
          <w:rFonts w:ascii="Arial" w:hAnsi="Arial" w:cs="Arial"/>
          <w:sz w:val="18"/>
          <w:szCs w:val="18"/>
        </w:rPr>
        <w:t>Cowie</w:t>
      </w:r>
      <w:r w:rsidR="00D27274" w:rsidRPr="009109BF">
        <w:rPr>
          <w:rFonts w:ascii="Arial" w:hAnsi="Arial" w:cs="Arial"/>
          <w:sz w:val="18"/>
          <w:szCs w:val="18"/>
        </w:rPr>
        <w:t xml:space="preserve">, </w:t>
      </w:r>
      <w:r w:rsidRPr="009109BF">
        <w:rPr>
          <w:rFonts w:ascii="Arial" w:hAnsi="Arial" w:cs="Arial"/>
          <w:i/>
          <w:iCs/>
          <w:sz w:val="18"/>
          <w:szCs w:val="18"/>
        </w:rPr>
        <w:t>After Dark</w:t>
      </w:r>
      <w:r w:rsidRPr="009109BF">
        <w:rPr>
          <w:rFonts w:ascii="Arial" w:hAnsi="Arial" w:cs="Arial"/>
          <w:sz w:val="18"/>
          <w:szCs w:val="18"/>
        </w:rPr>
        <w:t xml:space="preserve"> </w:t>
      </w:r>
      <w:r w:rsidR="00D27274" w:rsidRPr="009109BF">
        <w:rPr>
          <w:rFonts w:ascii="Arial" w:hAnsi="Arial" w:cs="Arial"/>
          <w:sz w:val="18"/>
          <w:szCs w:val="18"/>
        </w:rPr>
        <w:t>(</w:t>
      </w:r>
      <w:r w:rsidRPr="009109BF">
        <w:rPr>
          <w:rFonts w:ascii="Arial" w:hAnsi="Arial" w:cs="Arial"/>
          <w:sz w:val="18"/>
          <w:szCs w:val="18"/>
        </w:rPr>
        <w:t>Penguin</w:t>
      </w:r>
      <w:r w:rsidR="00D27274" w:rsidRPr="009109BF">
        <w:rPr>
          <w:rFonts w:ascii="Arial" w:hAnsi="Arial" w:cs="Arial"/>
          <w:sz w:val="18"/>
          <w:szCs w:val="18"/>
        </w:rPr>
        <w:t>, 2020)</w:t>
      </w:r>
      <w:r w:rsidRPr="009109BF">
        <w:rPr>
          <w:rFonts w:ascii="Arial" w:hAnsi="Arial" w:cs="Arial"/>
          <w:sz w:val="18"/>
          <w:szCs w:val="18"/>
        </w:rPr>
        <w:t>.</w:t>
      </w:r>
    </w:p>
  </w:footnote>
  <w:footnote w:id="3">
    <w:p w14:paraId="271571C7" w14:textId="73B8618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27274" w:rsidRPr="009109BF">
        <w:rPr>
          <w:rFonts w:ascii="Arial" w:hAnsi="Arial" w:cs="Arial"/>
          <w:sz w:val="18"/>
          <w:szCs w:val="18"/>
        </w:rPr>
        <w:t xml:space="preserve">A P </w:t>
      </w:r>
      <w:r w:rsidRPr="009109BF">
        <w:rPr>
          <w:rFonts w:ascii="Arial" w:hAnsi="Arial" w:cs="Arial"/>
          <w:sz w:val="18"/>
          <w:szCs w:val="18"/>
        </w:rPr>
        <w:t xml:space="preserve">Herbert, </w:t>
      </w:r>
      <w:r w:rsidR="00363B6D" w:rsidRPr="009109BF">
        <w:rPr>
          <w:rFonts w:ascii="Arial" w:hAnsi="Arial" w:cs="Arial"/>
          <w:sz w:val="18"/>
          <w:szCs w:val="18"/>
        </w:rPr>
        <w:t>‘</w:t>
      </w:r>
      <w:r w:rsidRPr="009109BF">
        <w:rPr>
          <w:rFonts w:ascii="Arial" w:hAnsi="Arial" w:cs="Arial"/>
          <w:sz w:val="18"/>
          <w:szCs w:val="18"/>
        </w:rPr>
        <w:t>Rex v Haddock: Is It A Free Country?</w:t>
      </w:r>
      <w:r w:rsidR="00363B6D" w:rsidRPr="009109BF">
        <w:rPr>
          <w:rFonts w:ascii="Arial" w:hAnsi="Arial" w:cs="Arial"/>
          <w:sz w:val="18"/>
          <w:szCs w:val="18"/>
        </w:rPr>
        <w:t>’</w:t>
      </w:r>
      <w:r w:rsidRPr="009109BF">
        <w:rPr>
          <w:rFonts w:ascii="Arial" w:hAnsi="Arial" w:cs="Arial"/>
          <w:sz w:val="18"/>
          <w:szCs w:val="18"/>
        </w:rPr>
        <w:t xml:space="preserve"> (1927) in </w:t>
      </w:r>
      <w:r w:rsidRPr="009109BF">
        <w:rPr>
          <w:rFonts w:ascii="Arial" w:hAnsi="Arial" w:cs="Arial"/>
          <w:i/>
          <w:iCs/>
          <w:sz w:val="18"/>
          <w:szCs w:val="18"/>
        </w:rPr>
        <w:t xml:space="preserve">Uncommon Law </w:t>
      </w:r>
      <w:r w:rsidR="00DC4E30" w:rsidRPr="009109BF">
        <w:rPr>
          <w:rFonts w:ascii="Arial" w:hAnsi="Arial" w:cs="Arial"/>
          <w:sz w:val="18"/>
          <w:szCs w:val="18"/>
        </w:rPr>
        <w:t>(</w:t>
      </w:r>
      <w:r w:rsidRPr="009109BF">
        <w:rPr>
          <w:rFonts w:ascii="Arial" w:hAnsi="Arial" w:cs="Arial"/>
          <w:sz w:val="18"/>
          <w:szCs w:val="18"/>
        </w:rPr>
        <w:t xml:space="preserve">Methuen &amp; Co, </w:t>
      </w:r>
      <w:r w:rsidR="00DC4E30" w:rsidRPr="009109BF">
        <w:rPr>
          <w:rFonts w:ascii="Arial" w:hAnsi="Arial" w:cs="Arial"/>
          <w:sz w:val="18"/>
          <w:szCs w:val="18"/>
        </w:rPr>
        <w:t xml:space="preserve">1948, reprint), </w:t>
      </w:r>
      <w:r w:rsidRPr="009109BF">
        <w:rPr>
          <w:rFonts w:ascii="Arial" w:hAnsi="Arial" w:cs="Arial"/>
          <w:sz w:val="18"/>
          <w:szCs w:val="18"/>
        </w:rPr>
        <w:t>24-29, 28.</w:t>
      </w:r>
    </w:p>
  </w:footnote>
  <w:footnote w:id="4">
    <w:p w14:paraId="7CBA9A09" w14:textId="41F0C3E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Human Rights Act 1998, s 3(1)</w:t>
      </w:r>
    </w:p>
  </w:footnote>
  <w:footnote w:id="5">
    <w:p w14:paraId="1DB434B2" w14:textId="6300CA9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See </w:t>
      </w:r>
      <w:r w:rsidR="00DC4E30" w:rsidRPr="009109BF">
        <w:rPr>
          <w:rFonts w:ascii="Arial" w:hAnsi="Arial" w:cs="Arial"/>
          <w:sz w:val="18"/>
          <w:szCs w:val="18"/>
        </w:rPr>
        <w:t xml:space="preserve">K D </w:t>
      </w:r>
      <w:r w:rsidRPr="009109BF">
        <w:rPr>
          <w:rFonts w:ascii="Arial" w:hAnsi="Arial" w:cs="Arial"/>
          <w:sz w:val="18"/>
          <w:szCs w:val="18"/>
        </w:rPr>
        <w:t>Ewing</w:t>
      </w:r>
      <w:r w:rsidR="00DC4E30" w:rsidRPr="009109BF">
        <w:rPr>
          <w:rFonts w:ascii="Arial" w:hAnsi="Arial" w:cs="Arial"/>
          <w:sz w:val="18"/>
          <w:szCs w:val="18"/>
        </w:rPr>
        <w:t>,</w:t>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Covid-19: Government by Decree [2020] 31(1) King’s Law Journal 1-24</w:t>
      </w:r>
      <w:r w:rsidR="00DC4E30" w:rsidRPr="009109BF">
        <w:rPr>
          <w:rFonts w:ascii="Arial" w:hAnsi="Arial" w:cs="Arial"/>
          <w:sz w:val="18"/>
          <w:szCs w:val="18"/>
        </w:rPr>
        <w:t>.</w:t>
      </w:r>
    </w:p>
  </w:footnote>
  <w:footnote w:id="6">
    <w:p w14:paraId="25565A05" w14:textId="486016C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006F2" w:rsidRPr="009109BF">
        <w:rPr>
          <w:rFonts w:ascii="Arial" w:hAnsi="Arial" w:cs="Arial"/>
          <w:sz w:val="18"/>
          <w:szCs w:val="18"/>
        </w:rPr>
        <w:t>i</w:t>
      </w:r>
      <w:r w:rsidR="00DC4E30" w:rsidRPr="009109BF">
        <w:rPr>
          <w:rFonts w:ascii="Arial" w:hAnsi="Arial" w:cs="Arial"/>
          <w:sz w:val="18"/>
          <w:szCs w:val="18"/>
        </w:rPr>
        <w:t>bid</w:t>
      </w:r>
      <w:r w:rsidR="00D006F2" w:rsidRPr="009109BF">
        <w:rPr>
          <w:rFonts w:ascii="Arial" w:hAnsi="Arial" w:cs="Arial"/>
          <w:i/>
          <w:iCs/>
          <w:sz w:val="18"/>
          <w:szCs w:val="18"/>
        </w:rPr>
        <w:t xml:space="preserve">, </w:t>
      </w:r>
      <w:r w:rsidRPr="009109BF">
        <w:rPr>
          <w:rFonts w:ascii="Arial" w:hAnsi="Arial" w:cs="Arial"/>
          <w:sz w:val="18"/>
          <w:szCs w:val="18"/>
        </w:rPr>
        <w:t>2-5</w:t>
      </w:r>
      <w:r w:rsidR="00D006F2" w:rsidRPr="009109BF">
        <w:rPr>
          <w:rFonts w:ascii="Arial" w:hAnsi="Arial" w:cs="Arial"/>
          <w:sz w:val="18"/>
          <w:szCs w:val="18"/>
        </w:rPr>
        <w:t>.</w:t>
      </w:r>
    </w:p>
  </w:footnote>
  <w:footnote w:id="7">
    <w:p w14:paraId="7CC844FC" w14:textId="1467B3F3"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006F2" w:rsidRPr="009109BF">
        <w:rPr>
          <w:rFonts w:ascii="Arial" w:hAnsi="Arial" w:cs="Arial"/>
          <w:sz w:val="18"/>
          <w:szCs w:val="18"/>
        </w:rPr>
        <w:t>ibid,</w:t>
      </w:r>
      <w:r w:rsidRPr="009109BF">
        <w:rPr>
          <w:rFonts w:ascii="Arial" w:hAnsi="Arial" w:cs="Arial"/>
          <w:i/>
          <w:iCs/>
          <w:sz w:val="18"/>
          <w:szCs w:val="18"/>
        </w:rPr>
        <w:t xml:space="preserve"> </w:t>
      </w:r>
      <w:r w:rsidRPr="009109BF">
        <w:rPr>
          <w:rFonts w:ascii="Arial" w:hAnsi="Arial" w:cs="Arial"/>
          <w:sz w:val="18"/>
          <w:szCs w:val="18"/>
        </w:rPr>
        <w:t>19, fn</w:t>
      </w:r>
      <w:r w:rsidR="00D006F2" w:rsidRPr="009109BF">
        <w:rPr>
          <w:rFonts w:ascii="Arial" w:hAnsi="Arial" w:cs="Arial"/>
          <w:sz w:val="18"/>
          <w:szCs w:val="18"/>
        </w:rPr>
        <w:t xml:space="preserve"> </w:t>
      </w:r>
      <w:r w:rsidRPr="009109BF">
        <w:rPr>
          <w:rFonts w:ascii="Arial" w:hAnsi="Arial" w:cs="Arial"/>
          <w:sz w:val="18"/>
          <w:szCs w:val="18"/>
        </w:rPr>
        <w:t>84</w:t>
      </w:r>
      <w:r w:rsidR="00D006F2" w:rsidRPr="009109BF">
        <w:rPr>
          <w:rFonts w:ascii="Arial" w:hAnsi="Arial" w:cs="Arial"/>
          <w:sz w:val="18"/>
          <w:szCs w:val="18"/>
        </w:rPr>
        <w:t>.</w:t>
      </w:r>
    </w:p>
  </w:footnote>
  <w:footnote w:id="8">
    <w:p w14:paraId="2A0B6937" w14:textId="379C0EE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006F2" w:rsidRPr="009109BF">
        <w:rPr>
          <w:rFonts w:ascii="Arial" w:hAnsi="Arial" w:cs="Arial"/>
          <w:sz w:val="18"/>
          <w:szCs w:val="18"/>
        </w:rPr>
        <w:t xml:space="preserve">Ibid, </w:t>
      </w:r>
      <w:r w:rsidRPr="009109BF">
        <w:rPr>
          <w:rFonts w:ascii="Arial" w:hAnsi="Arial" w:cs="Arial"/>
          <w:sz w:val="18"/>
          <w:szCs w:val="18"/>
        </w:rPr>
        <w:t>2</w:t>
      </w:r>
      <w:r w:rsidR="00D006F2" w:rsidRPr="009109BF">
        <w:rPr>
          <w:rFonts w:ascii="Arial" w:hAnsi="Arial" w:cs="Arial"/>
          <w:sz w:val="18"/>
          <w:szCs w:val="18"/>
        </w:rPr>
        <w:t>.</w:t>
      </w:r>
    </w:p>
  </w:footnote>
  <w:footnote w:id="9">
    <w:p w14:paraId="49476D2E" w14:textId="112C28EC" w:rsidR="00D006F2" w:rsidRPr="009109BF" w:rsidRDefault="00D006F2" w:rsidP="00D006F2">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 L Motta Ferraz, ‘Pandemic Inequality: The Two Worlds of Social Distancing’ (2020) The Yale Review</w:t>
      </w:r>
      <w:r w:rsidR="00182F39">
        <w:rPr>
          <w:rFonts w:ascii="Arial" w:hAnsi="Arial" w:cs="Arial"/>
          <w:sz w:val="18"/>
          <w:szCs w:val="18"/>
        </w:rPr>
        <w:t xml:space="preserve">. Available at: </w:t>
      </w:r>
      <w:hyperlink r:id="rId1" w:history="1">
        <w:r w:rsidRPr="009109BF">
          <w:rPr>
            <w:rStyle w:val="Hyperlink"/>
            <w:rFonts w:ascii="Arial" w:hAnsi="Arial" w:cs="Arial"/>
            <w:sz w:val="18"/>
            <w:szCs w:val="18"/>
          </w:rPr>
          <w:t>https://yalereview.org/article/pandemic-inequality</w:t>
        </w:r>
      </w:hyperlink>
      <w:r w:rsidR="00182F39">
        <w:rPr>
          <w:rFonts w:ascii="Arial" w:hAnsi="Arial" w:cs="Arial"/>
          <w:sz w:val="18"/>
          <w:szCs w:val="18"/>
        </w:rPr>
        <w:t xml:space="preserve"> </w:t>
      </w:r>
      <w:r w:rsidRPr="009109BF">
        <w:rPr>
          <w:rFonts w:ascii="Arial" w:hAnsi="Arial" w:cs="Arial"/>
          <w:sz w:val="18"/>
          <w:szCs w:val="18"/>
        </w:rPr>
        <w:t>(</w:t>
      </w:r>
      <w:r w:rsidR="00FD7C24">
        <w:rPr>
          <w:rFonts w:ascii="Arial" w:hAnsi="Arial" w:cs="Arial"/>
          <w:sz w:val="18"/>
          <w:szCs w:val="18"/>
        </w:rPr>
        <w:t xml:space="preserve">last </w:t>
      </w:r>
      <w:r w:rsidRPr="009109BF">
        <w:rPr>
          <w:rFonts w:ascii="Arial" w:hAnsi="Arial" w:cs="Arial"/>
          <w:sz w:val="18"/>
          <w:szCs w:val="18"/>
        </w:rPr>
        <w:t xml:space="preserve">accessed </w:t>
      </w:r>
      <w:r w:rsidR="00FD7C24">
        <w:rPr>
          <w:rFonts w:ascii="Arial" w:hAnsi="Arial" w:cs="Arial"/>
          <w:sz w:val="18"/>
          <w:szCs w:val="18"/>
        </w:rPr>
        <w:t>14</w:t>
      </w:r>
      <w:r w:rsidR="00182F39">
        <w:rPr>
          <w:rFonts w:ascii="Arial" w:hAnsi="Arial" w:cs="Arial"/>
          <w:sz w:val="18"/>
          <w:szCs w:val="18"/>
          <w:vertAlign w:val="superscript"/>
        </w:rPr>
        <w:t xml:space="preserve"> </w:t>
      </w:r>
      <w:r w:rsidR="00FD7C24">
        <w:rPr>
          <w:rFonts w:ascii="Arial" w:hAnsi="Arial" w:cs="Arial"/>
          <w:sz w:val="18"/>
          <w:szCs w:val="18"/>
        </w:rPr>
        <w:t>June 2024</w:t>
      </w:r>
      <w:r w:rsidRPr="009109BF">
        <w:rPr>
          <w:rFonts w:ascii="Arial" w:hAnsi="Arial" w:cs="Arial"/>
          <w:sz w:val="18"/>
          <w:szCs w:val="18"/>
        </w:rPr>
        <w:t>)</w:t>
      </w:r>
    </w:p>
  </w:footnote>
  <w:footnote w:id="10">
    <w:p w14:paraId="5724F3B4" w14:textId="209E13C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006F2" w:rsidRPr="009109BF">
        <w:rPr>
          <w:rFonts w:ascii="Arial" w:hAnsi="Arial" w:cs="Arial"/>
          <w:sz w:val="18"/>
          <w:szCs w:val="18"/>
        </w:rPr>
        <w:t xml:space="preserve">M </w:t>
      </w:r>
      <w:r w:rsidRPr="009109BF">
        <w:rPr>
          <w:rFonts w:ascii="Arial" w:hAnsi="Arial" w:cs="Arial"/>
          <w:sz w:val="18"/>
          <w:szCs w:val="18"/>
        </w:rPr>
        <w:t>Ford</w:t>
      </w:r>
      <w:r w:rsidR="00D006F2" w:rsidRPr="009109BF">
        <w:rPr>
          <w:rFonts w:ascii="Arial" w:hAnsi="Arial" w:cs="Arial"/>
          <w:sz w:val="18"/>
          <w:szCs w:val="18"/>
        </w:rPr>
        <w:t xml:space="preserve"> and T</w:t>
      </w:r>
      <w:r w:rsidRPr="009109BF">
        <w:rPr>
          <w:rFonts w:ascii="Arial" w:hAnsi="Arial" w:cs="Arial"/>
          <w:sz w:val="18"/>
          <w:szCs w:val="18"/>
        </w:rPr>
        <w:t xml:space="preserve"> Novitz</w:t>
      </w:r>
      <w:r w:rsidR="00D006F2" w:rsidRPr="009109BF">
        <w:rPr>
          <w:rFonts w:ascii="Arial" w:hAnsi="Arial" w:cs="Arial"/>
          <w:sz w:val="18"/>
          <w:szCs w:val="18"/>
        </w:rPr>
        <w:t>,</w:t>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 xml:space="preserve">Legislating </w:t>
      </w:r>
      <w:r w:rsidR="00182F39">
        <w:rPr>
          <w:rFonts w:ascii="Arial" w:hAnsi="Arial" w:cs="Arial"/>
          <w:sz w:val="18"/>
          <w:szCs w:val="18"/>
        </w:rPr>
        <w:t>f</w:t>
      </w:r>
      <w:r w:rsidRPr="009109BF">
        <w:rPr>
          <w:rFonts w:ascii="Arial" w:hAnsi="Arial" w:cs="Arial"/>
          <w:sz w:val="18"/>
          <w:szCs w:val="18"/>
        </w:rPr>
        <w:t>or Control: The Trade Union Act 2016</w:t>
      </w:r>
      <w:r w:rsidR="00363B6D" w:rsidRPr="009109BF">
        <w:rPr>
          <w:rFonts w:ascii="Arial" w:hAnsi="Arial" w:cs="Arial"/>
          <w:sz w:val="18"/>
          <w:szCs w:val="18"/>
        </w:rPr>
        <w:t>’</w:t>
      </w:r>
      <w:r w:rsidRPr="009109BF">
        <w:rPr>
          <w:rFonts w:ascii="Arial" w:hAnsi="Arial" w:cs="Arial"/>
          <w:sz w:val="18"/>
          <w:szCs w:val="18"/>
        </w:rPr>
        <w:t xml:space="preserve"> (2016) 45(3) Industrial Law Journal 277-298</w:t>
      </w:r>
      <w:r w:rsidR="00D006F2" w:rsidRPr="009109BF">
        <w:rPr>
          <w:rFonts w:ascii="Arial" w:hAnsi="Arial" w:cs="Arial"/>
          <w:sz w:val="18"/>
          <w:szCs w:val="18"/>
        </w:rPr>
        <w:t>.</w:t>
      </w:r>
    </w:p>
  </w:footnote>
  <w:footnote w:id="11">
    <w:p w14:paraId="3FA634E8" w14:textId="641C0B1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The term is a reference to </w:t>
      </w:r>
      <w:r w:rsidR="006E65D7" w:rsidRPr="009109BF">
        <w:rPr>
          <w:rFonts w:ascii="Arial" w:hAnsi="Arial" w:cs="Arial"/>
          <w:sz w:val="18"/>
          <w:szCs w:val="18"/>
        </w:rPr>
        <w:t xml:space="preserve">S Auerbach, </w:t>
      </w:r>
      <w:r w:rsidRPr="009109BF">
        <w:rPr>
          <w:rFonts w:ascii="Arial" w:hAnsi="Arial" w:cs="Arial"/>
          <w:i/>
          <w:iCs/>
          <w:sz w:val="18"/>
          <w:szCs w:val="18"/>
        </w:rPr>
        <w:t>Legislating for Conflict</w:t>
      </w:r>
      <w:r w:rsidRPr="009109BF">
        <w:rPr>
          <w:rFonts w:ascii="Arial" w:hAnsi="Arial" w:cs="Arial"/>
          <w:sz w:val="18"/>
          <w:szCs w:val="18"/>
        </w:rPr>
        <w:t xml:space="preserve"> (Oxford University Press</w:t>
      </w:r>
      <w:r w:rsidR="006E65D7" w:rsidRPr="009109BF">
        <w:rPr>
          <w:rFonts w:ascii="Arial" w:hAnsi="Arial" w:cs="Arial"/>
          <w:sz w:val="18"/>
          <w:szCs w:val="18"/>
        </w:rPr>
        <w:t>, 1990</w:t>
      </w:r>
      <w:r w:rsidRPr="009109BF">
        <w:rPr>
          <w:rFonts w:ascii="Arial" w:hAnsi="Arial" w:cs="Arial"/>
          <w:sz w:val="18"/>
          <w:szCs w:val="18"/>
        </w:rPr>
        <w:t>), a monograph chronicling the development of the legislation imposed in the 1980s to restrict trade union activities.</w:t>
      </w:r>
    </w:p>
  </w:footnote>
  <w:footnote w:id="12">
    <w:p w14:paraId="66486D10" w14:textId="75A1B453"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Ford </w:t>
      </w:r>
      <w:r w:rsidR="006E65D7" w:rsidRPr="009109BF">
        <w:rPr>
          <w:rFonts w:ascii="Arial" w:hAnsi="Arial" w:cs="Arial"/>
          <w:sz w:val="18"/>
          <w:szCs w:val="18"/>
        </w:rPr>
        <w:t>and</w:t>
      </w:r>
      <w:r w:rsidRPr="009109BF">
        <w:rPr>
          <w:rFonts w:ascii="Arial" w:hAnsi="Arial" w:cs="Arial"/>
          <w:sz w:val="18"/>
          <w:szCs w:val="18"/>
        </w:rPr>
        <w:t xml:space="preserve"> Novitz</w:t>
      </w:r>
      <w:r w:rsidR="006E65D7" w:rsidRPr="009109BF">
        <w:rPr>
          <w:rFonts w:ascii="Arial" w:hAnsi="Arial" w:cs="Arial"/>
          <w:sz w:val="18"/>
          <w:szCs w:val="18"/>
        </w:rPr>
        <w:t>,</w:t>
      </w:r>
      <w:r w:rsidRPr="009109BF">
        <w:rPr>
          <w:rFonts w:ascii="Arial" w:hAnsi="Arial" w:cs="Arial"/>
          <w:sz w:val="18"/>
          <w:szCs w:val="18"/>
        </w:rPr>
        <w:t xml:space="preserve"> </w:t>
      </w:r>
      <w:r w:rsidR="006E65D7" w:rsidRPr="009109BF">
        <w:rPr>
          <w:rFonts w:ascii="Arial" w:hAnsi="Arial" w:cs="Arial"/>
          <w:sz w:val="18"/>
          <w:szCs w:val="18"/>
        </w:rPr>
        <w:t xml:space="preserve">‘Legislating </w:t>
      </w:r>
      <w:r w:rsidR="00182F39">
        <w:rPr>
          <w:rFonts w:ascii="Arial" w:hAnsi="Arial" w:cs="Arial"/>
          <w:sz w:val="18"/>
          <w:szCs w:val="18"/>
        </w:rPr>
        <w:t>f</w:t>
      </w:r>
      <w:r w:rsidR="006E65D7" w:rsidRPr="009109BF">
        <w:rPr>
          <w:rFonts w:ascii="Arial" w:hAnsi="Arial" w:cs="Arial"/>
          <w:sz w:val="18"/>
          <w:szCs w:val="18"/>
        </w:rPr>
        <w:t>or Control: The Trade Union Act 2016’, n 10 above,</w:t>
      </w:r>
      <w:r w:rsidRPr="009109BF">
        <w:rPr>
          <w:rFonts w:ascii="Arial" w:hAnsi="Arial" w:cs="Arial"/>
          <w:i/>
          <w:iCs/>
          <w:sz w:val="18"/>
          <w:szCs w:val="18"/>
        </w:rPr>
        <w:t xml:space="preserve"> </w:t>
      </w:r>
      <w:r w:rsidRPr="009109BF">
        <w:rPr>
          <w:rFonts w:ascii="Arial" w:hAnsi="Arial" w:cs="Arial"/>
          <w:sz w:val="18"/>
          <w:szCs w:val="18"/>
        </w:rPr>
        <w:t>284</w:t>
      </w:r>
      <w:r w:rsidR="006E65D7" w:rsidRPr="009109BF">
        <w:rPr>
          <w:rFonts w:ascii="Arial" w:hAnsi="Arial" w:cs="Arial"/>
          <w:sz w:val="18"/>
          <w:szCs w:val="18"/>
        </w:rPr>
        <w:t>.</w:t>
      </w:r>
    </w:p>
  </w:footnote>
  <w:footnote w:id="13">
    <w:p w14:paraId="038CF547" w14:textId="652B6499"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E65D7" w:rsidRPr="009109BF">
        <w:rPr>
          <w:rFonts w:ascii="Arial" w:hAnsi="Arial" w:cs="Arial"/>
          <w:sz w:val="18"/>
          <w:szCs w:val="18"/>
        </w:rPr>
        <w:t xml:space="preserve">K D </w:t>
      </w:r>
      <w:r w:rsidRPr="009109BF">
        <w:rPr>
          <w:rFonts w:ascii="Arial" w:hAnsi="Arial" w:cs="Arial"/>
          <w:sz w:val="18"/>
          <w:szCs w:val="18"/>
        </w:rPr>
        <w:t>Ewing</w:t>
      </w:r>
      <w:r w:rsidR="006E65D7" w:rsidRPr="009109BF">
        <w:rPr>
          <w:rFonts w:ascii="Arial" w:hAnsi="Arial" w:cs="Arial"/>
          <w:sz w:val="18"/>
          <w:szCs w:val="18"/>
        </w:rPr>
        <w:t xml:space="preserve"> and J </w:t>
      </w:r>
      <w:r w:rsidRPr="009109BF">
        <w:rPr>
          <w:rFonts w:ascii="Arial" w:hAnsi="Arial" w:cs="Arial"/>
          <w:sz w:val="18"/>
          <w:szCs w:val="18"/>
        </w:rPr>
        <w:t xml:space="preserve">Hendy, </w:t>
      </w:r>
      <w:r w:rsidR="00363B6D" w:rsidRPr="009109BF">
        <w:rPr>
          <w:rFonts w:ascii="Arial" w:hAnsi="Arial" w:cs="Arial"/>
          <w:sz w:val="18"/>
          <w:szCs w:val="18"/>
        </w:rPr>
        <w:t>‘</w:t>
      </w:r>
      <w:r w:rsidRPr="009109BF">
        <w:rPr>
          <w:rFonts w:ascii="Arial" w:hAnsi="Arial" w:cs="Arial"/>
          <w:sz w:val="18"/>
          <w:szCs w:val="18"/>
        </w:rPr>
        <w:t>The Trade Union Act 2016 and the Failure of Human Rights</w:t>
      </w:r>
      <w:r w:rsidR="00363B6D" w:rsidRPr="009109BF">
        <w:rPr>
          <w:rFonts w:ascii="Arial" w:hAnsi="Arial" w:cs="Arial"/>
          <w:sz w:val="18"/>
          <w:szCs w:val="18"/>
        </w:rPr>
        <w:t>’</w:t>
      </w:r>
      <w:r w:rsidRPr="009109BF">
        <w:rPr>
          <w:rFonts w:ascii="Arial" w:hAnsi="Arial" w:cs="Arial"/>
          <w:sz w:val="18"/>
          <w:szCs w:val="18"/>
        </w:rPr>
        <w:t xml:space="preserve"> (2016</w:t>
      </w:r>
      <w:r w:rsidR="006E65D7" w:rsidRPr="009109BF">
        <w:rPr>
          <w:rFonts w:ascii="Arial" w:hAnsi="Arial" w:cs="Arial"/>
          <w:sz w:val="18"/>
          <w:szCs w:val="18"/>
        </w:rPr>
        <w:t>)</w:t>
      </w:r>
      <w:r w:rsidRPr="009109BF">
        <w:rPr>
          <w:rFonts w:ascii="Arial" w:hAnsi="Arial" w:cs="Arial"/>
          <w:sz w:val="18"/>
          <w:szCs w:val="18"/>
        </w:rPr>
        <w:t xml:space="preserve"> 45 (3) Industrial Law Journal 391-422, 391</w:t>
      </w:r>
      <w:r w:rsidR="006E65D7" w:rsidRPr="009109BF">
        <w:rPr>
          <w:rFonts w:ascii="Arial" w:hAnsi="Arial" w:cs="Arial"/>
          <w:sz w:val="18"/>
          <w:szCs w:val="18"/>
        </w:rPr>
        <w:t>.</w:t>
      </w:r>
    </w:p>
  </w:footnote>
  <w:footnote w:id="14">
    <w:p w14:paraId="51AA5EF0" w14:textId="3BF9FB76" w:rsidR="00311631" w:rsidRPr="00EE7204" w:rsidRDefault="00311631" w:rsidP="00884E4D">
      <w:pPr>
        <w:autoSpaceDE w:val="0"/>
        <w:autoSpaceDN w:val="0"/>
        <w:adjustRightInd w:val="0"/>
        <w:spacing w:after="0" w:line="240" w:lineRule="auto"/>
        <w:rPr>
          <w:rFonts w:ascii="Arial" w:hAnsi="Arial" w:cs="Arial"/>
          <w:sz w:val="18"/>
          <w:szCs w:val="18"/>
        </w:rPr>
      </w:pPr>
      <w:r w:rsidRPr="00EE7204">
        <w:rPr>
          <w:rStyle w:val="FootnoteReference"/>
          <w:rFonts w:ascii="Arial" w:hAnsi="Arial" w:cs="Arial"/>
          <w:sz w:val="18"/>
          <w:szCs w:val="18"/>
        </w:rPr>
        <w:footnoteRef/>
      </w:r>
      <w:r w:rsidRPr="00EE7204">
        <w:rPr>
          <w:rFonts w:ascii="Arial" w:hAnsi="Arial" w:cs="Arial"/>
          <w:sz w:val="18"/>
          <w:szCs w:val="18"/>
        </w:rPr>
        <w:t xml:space="preserve"> </w:t>
      </w:r>
      <w:r w:rsidR="00843B71" w:rsidRPr="00182F39">
        <w:rPr>
          <w:rFonts w:ascii="Arial" w:hAnsi="Arial" w:cs="Arial"/>
          <w:sz w:val="18"/>
          <w:szCs w:val="18"/>
        </w:rPr>
        <w:t>Conservative Party Manifesto: Conservative Party, "Strong Leadershi</w:t>
      </w:r>
      <w:r w:rsidR="00884E4D" w:rsidRPr="00182F39">
        <w:rPr>
          <w:rFonts w:ascii="Arial" w:hAnsi="Arial" w:cs="Arial"/>
          <w:sz w:val="18"/>
          <w:szCs w:val="18"/>
        </w:rPr>
        <w:t>p</w:t>
      </w:r>
      <w:r w:rsidR="00843B71" w:rsidRPr="00182F39">
        <w:rPr>
          <w:rFonts w:ascii="Arial" w:hAnsi="Arial" w:cs="Arial"/>
          <w:sz w:val="18"/>
          <w:szCs w:val="18"/>
        </w:rPr>
        <w:t xml:space="preserve"> A Clear Economic Plan</w:t>
      </w:r>
      <w:r w:rsidR="00EE7204" w:rsidRPr="00182F39">
        <w:rPr>
          <w:rFonts w:ascii="Arial" w:hAnsi="Arial" w:cs="Arial"/>
          <w:sz w:val="18"/>
          <w:szCs w:val="18"/>
        </w:rPr>
        <w:t xml:space="preserve"> </w:t>
      </w:r>
      <w:r w:rsidR="00843B71" w:rsidRPr="00182F39">
        <w:rPr>
          <w:rFonts w:ascii="Arial" w:hAnsi="Arial" w:cs="Arial"/>
          <w:sz w:val="18"/>
          <w:szCs w:val="18"/>
        </w:rPr>
        <w:t>A Brighter, More Secure Future</w:t>
      </w:r>
      <w:r w:rsidR="00EE7204" w:rsidRPr="00182F39">
        <w:rPr>
          <w:rFonts w:ascii="Arial" w:hAnsi="Arial" w:cs="Arial"/>
          <w:sz w:val="18"/>
          <w:szCs w:val="18"/>
        </w:rPr>
        <w:t>”</w:t>
      </w:r>
      <w:r w:rsidR="00843B71" w:rsidRPr="00182F39">
        <w:rPr>
          <w:rFonts w:ascii="Arial" w:hAnsi="Arial" w:cs="Arial"/>
          <w:sz w:val="18"/>
          <w:szCs w:val="18"/>
        </w:rPr>
        <w:t xml:space="preserve"> (2015)</w:t>
      </w:r>
      <w:r w:rsidR="00182F39">
        <w:rPr>
          <w:rFonts w:ascii="Arial" w:hAnsi="Arial" w:cs="Arial"/>
          <w:sz w:val="18"/>
          <w:szCs w:val="18"/>
        </w:rPr>
        <w:t xml:space="preserve">, </w:t>
      </w:r>
      <w:r w:rsidRPr="00182F39">
        <w:rPr>
          <w:rFonts w:ascii="Arial" w:hAnsi="Arial" w:cs="Arial"/>
          <w:sz w:val="18"/>
          <w:szCs w:val="18"/>
        </w:rPr>
        <w:t>18</w:t>
      </w:r>
      <w:r w:rsidR="00EE7204" w:rsidRPr="00182F39">
        <w:rPr>
          <w:rFonts w:ascii="Arial" w:hAnsi="Arial" w:cs="Arial"/>
          <w:sz w:val="18"/>
          <w:szCs w:val="18"/>
        </w:rPr>
        <w:t>.</w:t>
      </w:r>
    </w:p>
  </w:footnote>
  <w:footnote w:id="15">
    <w:p w14:paraId="1008F53B" w14:textId="71E30CD0" w:rsidR="00311631" w:rsidRPr="00EE7204" w:rsidRDefault="00311631" w:rsidP="00A6138D">
      <w:pPr>
        <w:pStyle w:val="FootnoteText"/>
        <w:rPr>
          <w:rFonts w:ascii="Arial" w:hAnsi="Arial" w:cs="Arial"/>
          <w:sz w:val="18"/>
          <w:szCs w:val="18"/>
        </w:rPr>
      </w:pPr>
      <w:r w:rsidRPr="00EE7204">
        <w:rPr>
          <w:rStyle w:val="FootnoteReference"/>
          <w:rFonts w:ascii="Arial" w:hAnsi="Arial" w:cs="Arial"/>
          <w:sz w:val="18"/>
          <w:szCs w:val="18"/>
        </w:rPr>
        <w:footnoteRef/>
      </w:r>
      <w:r w:rsidRPr="00EE7204">
        <w:rPr>
          <w:rFonts w:ascii="Arial" w:hAnsi="Arial" w:cs="Arial"/>
          <w:sz w:val="18"/>
          <w:szCs w:val="18"/>
        </w:rPr>
        <w:t xml:space="preserve"> </w:t>
      </w:r>
      <w:r w:rsidR="00AE3776" w:rsidRPr="00EE7204">
        <w:rPr>
          <w:rFonts w:ascii="Arial" w:hAnsi="Arial" w:cs="Arial"/>
          <w:sz w:val="18"/>
          <w:szCs w:val="18"/>
        </w:rPr>
        <w:t>i</w:t>
      </w:r>
      <w:r w:rsidR="00DC4E30" w:rsidRPr="00EE7204">
        <w:rPr>
          <w:rFonts w:ascii="Arial" w:hAnsi="Arial" w:cs="Arial"/>
          <w:sz w:val="18"/>
          <w:szCs w:val="18"/>
        </w:rPr>
        <w:t>bid</w:t>
      </w:r>
      <w:r w:rsidR="00AE3776" w:rsidRPr="00EE7204">
        <w:rPr>
          <w:rFonts w:ascii="Arial" w:hAnsi="Arial" w:cs="Arial"/>
          <w:sz w:val="18"/>
          <w:szCs w:val="18"/>
        </w:rPr>
        <w:t>,</w:t>
      </w:r>
      <w:r w:rsidRPr="00EE7204">
        <w:rPr>
          <w:rFonts w:ascii="Arial" w:hAnsi="Arial" w:cs="Arial"/>
          <w:sz w:val="18"/>
          <w:szCs w:val="18"/>
        </w:rPr>
        <w:t xml:space="preserve"> 291</w:t>
      </w:r>
      <w:r w:rsidR="00AE3776" w:rsidRPr="00EE7204">
        <w:rPr>
          <w:rFonts w:ascii="Arial" w:hAnsi="Arial" w:cs="Arial"/>
          <w:sz w:val="18"/>
          <w:szCs w:val="18"/>
        </w:rPr>
        <w:t>.</w:t>
      </w:r>
    </w:p>
  </w:footnote>
  <w:footnote w:id="16">
    <w:p w14:paraId="42B49C52" w14:textId="2C1C5C55" w:rsidR="00311631" w:rsidRPr="00EE7204" w:rsidRDefault="00311631" w:rsidP="00A6138D">
      <w:pPr>
        <w:pStyle w:val="FootnoteText"/>
        <w:rPr>
          <w:rFonts w:ascii="Arial" w:hAnsi="Arial" w:cs="Arial"/>
          <w:sz w:val="18"/>
          <w:szCs w:val="18"/>
        </w:rPr>
      </w:pPr>
      <w:r w:rsidRPr="00EE7204">
        <w:rPr>
          <w:rStyle w:val="FootnoteReference"/>
          <w:rFonts w:ascii="Arial" w:hAnsi="Arial" w:cs="Arial"/>
          <w:sz w:val="18"/>
          <w:szCs w:val="18"/>
        </w:rPr>
        <w:footnoteRef/>
      </w:r>
      <w:r w:rsidRPr="00EE7204">
        <w:rPr>
          <w:rFonts w:ascii="Arial" w:hAnsi="Arial" w:cs="Arial"/>
          <w:sz w:val="18"/>
          <w:szCs w:val="18"/>
        </w:rPr>
        <w:t xml:space="preserve"> </w:t>
      </w:r>
      <w:r w:rsidR="00AE3776" w:rsidRPr="00EE7204">
        <w:rPr>
          <w:rFonts w:ascii="Arial" w:hAnsi="Arial" w:cs="Arial"/>
          <w:sz w:val="18"/>
          <w:szCs w:val="18"/>
        </w:rPr>
        <w:t xml:space="preserve">ibid, </w:t>
      </w:r>
      <w:r w:rsidRPr="00EE7204">
        <w:rPr>
          <w:rFonts w:ascii="Arial" w:hAnsi="Arial" w:cs="Arial"/>
          <w:sz w:val="18"/>
          <w:szCs w:val="18"/>
        </w:rPr>
        <w:t>296</w:t>
      </w:r>
      <w:r w:rsidR="00AE3776" w:rsidRPr="00EE7204">
        <w:rPr>
          <w:rFonts w:ascii="Arial" w:hAnsi="Arial" w:cs="Arial"/>
          <w:sz w:val="18"/>
          <w:szCs w:val="18"/>
        </w:rPr>
        <w:t>.</w:t>
      </w:r>
    </w:p>
  </w:footnote>
  <w:footnote w:id="17">
    <w:p w14:paraId="25DDBEFF" w14:textId="0487E0AF" w:rsidR="00311631" w:rsidRPr="00EE7204" w:rsidRDefault="00311631" w:rsidP="00A6138D">
      <w:pPr>
        <w:pStyle w:val="FootnoteText"/>
        <w:rPr>
          <w:rFonts w:ascii="Arial" w:hAnsi="Arial" w:cs="Arial"/>
          <w:sz w:val="18"/>
          <w:szCs w:val="18"/>
        </w:rPr>
      </w:pPr>
      <w:r w:rsidRPr="00EE7204">
        <w:rPr>
          <w:rStyle w:val="FootnoteReference"/>
          <w:rFonts w:ascii="Arial" w:hAnsi="Arial" w:cs="Arial"/>
          <w:sz w:val="18"/>
          <w:szCs w:val="18"/>
        </w:rPr>
        <w:footnoteRef/>
      </w:r>
      <w:r w:rsidRPr="00EE7204">
        <w:rPr>
          <w:rFonts w:ascii="Arial" w:hAnsi="Arial" w:cs="Arial"/>
          <w:sz w:val="18"/>
          <w:szCs w:val="18"/>
        </w:rPr>
        <w:t xml:space="preserve"> </w:t>
      </w:r>
      <w:r w:rsidR="00AE3776" w:rsidRPr="00EE7204">
        <w:rPr>
          <w:rFonts w:ascii="Arial" w:hAnsi="Arial" w:cs="Arial"/>
          <w:sz w:val="18"/>
          <w:szCs w:val="18"/>
        </w:rPr>
        <w:t>i</w:t>
      </w:r>
      <w:r w:rsidR="00DC4E30" w:rsidRPr="00EE7204">
        <w:rPr>
          <w:rFonts w:ascii="Arial" w:hAnsi="Arial" w:cs="Arial"/>
          <w:sz w:val="18"/>
          <w:szCs w:val="18"/>
        </w:rPr>
        <w:t>bid</w:t>
      </w:r>
      <w:r w:rsidR="00AE3776" w:rsidRPr="00EE7204">
        <w:rPr>
          <w:rFonts w:ascii="Arial" w:hAnsi="Arial" w:cs="Arial"/>
          <w:i/>
          <w:iCs/>
          <w:sz w:val="18"/>
          <w:szCs w:val="18"/>
        </w:rPr>
        <w:t>,</w:t>
      </w:r>
      <w:r w:rsidRPr="00EE7204">
        <w:rPr>
          <w:rFonts w:ascii="Arial" w:hAnsi="Arial" w:cs="Arial"/>
          <w:i/>
          <w:iCs/>
          <w:sz w:val="18"/>
          <w:szCs w:val="18"/>
        </w:rPr>
        <w:t xml:space="preserve"> </w:t>
      </w:r>
      <w:r w:rsidRPr="00EE7204">
        <w:rPr>
          <w:rFonts w:ascii="Arial" w:hAnsi="Arial" w:cs="Arial"/>
          <w:sz w:val="18"/>
          <w:szCs w:val="18"/>
        </w:rPr>
        <w:t>295</w:t>
      </w:r>
      <w:r w:rsidR="00AE3776" w:rsidRPr="00EE7204">
        <w:rPr>
          <w:rFonts w:ascii="Arial" w:hAnsi="Arial" w:cs="Arial"/>
          <w:sz w:val="18"/>
          <w:szCs w:val="18"/>
        </w:rPr>
        <w:t>.</w:t>
      </w:r>
    </w:p>
  </w:footnote>
  <w:footnote w:id="18">
    <w:p w14:paraId="46F501DF" w14:textId="37820B51" w:rsidR="00311631" w:rsidRPr="00EE7204" w:rsidRDefault="00311631" w:rsidP="00A6138D">
      <w:pPr>
        <w:pStyle w:val="FootnoteText"/>
        <w:rPr>
          <w:rFonts w:ascii="Arial" w:hAnsi="Arial" w:cs="Arial"/>
          <w:sz w:val="18"/>
          <w:szCs w:val="18"/>
        </w:rPr>
      </w:pPr>
      <w:r w:rsidRPr="00EE7204">
        <w:rPr>
          <w:rStyle w:val="FootnoteReference"/>
          <w:rFonts w:ascii="Arial" w:hAnsi="Arial" w:cs="Arial"/>
          <w:sz w:val="18"/>
          <w:szCs w:val="18"/>
        </w:rPr>
        <w:footnoteRef/>
      </w:r>
      <w:r w:rsidRPr="00EE7204">
        <w:rPr>
          <w:rFonts w:ascii="Arial" w:hAnsi="Arial" w:cs="Arial"/>
          <w:sz w:val="18"/>
          <w:szCs w:val="18"/>
        </w:rPr>
        <w:t xml:space="preserve"> </w:t>
      </w:r>
      <w:r w:rsidR="00AE3776" w:rsidRPr="00EE7204">
        <w:rPr>
          <w:rFonts w:ascii="Arial" w:hAnsi="Arial" w:cs="Arial"/>
          <w:sz w:val="18"/>
          <w:szCs w:val="18"/>
        </w:rPr>
        <w:t xml:space="preserve">L </w:t>
      </w:r>
      <w:r w:rsidRPr="00EE7204">
        <w:rPr>
          <w:rFonts w:ascii="Arial" w:hAnsi="Arial" w:cs="Arial"/>
          <w:sz w:val="18"/>
          <w:szCs w:val="18"/>
        </w:rPr>
        <w:t xml:space="preserve">McCluskey, </w:t>
      </w:r>
      <w:r w:rsidR="00363B6D" w:rsidRPr="00EE7204">
        <w:rPr>
          <w:rFonts w:ascii="Arial" w:hAnsi="Arial" w:cs="Arial"/>
          <w:sz w:val="18"/>
          <w:szCs w:val="18"/>
        </w:rPr>
        <w:t>‘</w:t>
      </w:r>
      <w:r w:rsidRPr="00EE7204">
        <w:rPr>
          <w:rFonts w:ascii="Arial" w:hAnsi="Arial" w:cs="Arial"/>
          <w:sz w:val="18"/>
          <w:szCs w:val="18"/>
        </w:rPr>
        <w:t>Can Unions Stay Within The Law Any Longer?</w:t>
      </w:r>
      <w:r w:rsidR="00363B6D" w:rsidRPr="00EE7204">
        <w:rPr>
          <w:rFonts w:ascii="Arial" w:hAnsi="Arial" w:cs="Arial"/>
          <w:sz w:val="18"/>
          <w:szCs w:val="18"/>
        </w:rPr>
        <w:t>’</w:t>
      </w:r>
      <w:r w:rsidRPr="00EE7204">
        <w:rPr>
          <w:rFonts w:ascii="Arial" w:hAnsi="Arial" w:cs="Arial"/>
          <w:sz w:val="18"/>
          <w:szCs w:val="18"/>
        </w:rPr>
        <w:t xml:space="preserve"> (2015) 44(3) Industrial Law Journal 439-449, 449</w:t>
      </w:r>
      <w:r w:rsidR="00AE3776" w:rsidRPr="00EE7204">
        <w:rPr>
          <w:rFonts w:ascii="Arial" w:hAnsi="Arial" w:cs="Arial"/>
          <w:sz w:val="18"/>
          <w:szCs w:val="18"/>
        </w:rPr>
        <w:t>.</w:t>
      </w:r>
    </w:p>
  </w:footnote>
  <w:footnote w:id="19">
    <w:p w14:paraId="40559B8F" w14:textId="7A080BA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E3776" w:rsidRPr="009109BF">
        <w:rPr>
          <w:rFonts w:ascii="Arial" w:hAnsi="Arial" w:cs="Arial"/>
          <w:sz w:val="18"/>
          <w:szCs w:val="18"/>
        </w:rPr>
        <w:t xml:space="preserve">A </w:t>
      </w:r>
      <w:r w:rsidRPr="009109BF">
        <w:rPr>
          <w:rFonts w:ascii="Arial" w:hAnsi="Arial" w:cs="Arial"/>
          <w:sz w:val="18"/>
          <w:szCs w:val="18"/>
        </w:rPr>
        <w:t xml:space="preserve">Bogg, </w:t>
      </w:r>
      <w:r w:rsidR="00363B6D" w:rsidRPr="009109BF">
        <w:rPr>
          <w:rFonts w:ascii="Arial" w:hAnsi="Arial" w:cs="Arial"/>
          <w:sz w:val="18"/>
          <w:szCs w:val="18"/>
        </w:rPr>
        <w:t>‘</w:t>
      </w:r>
      <w:r w:rsidRPr="009109BF">
        <w:rPr>
          <w:rFonts w:ascii="Arial" w:hAnsi="Arial" w:cs="Arial"/>
          <w:sz w:val="18"/>
          <w:szCs w:val="18"/>
        </w:rPr>
        <w:t xml:space="preserve">Beyond </w:t>
      </w:r>
      <w:r w:rsidR="00AE3776" w:rsidRPr="009109BF">
        <w:rPr>
          <w:rFonts w:ascii="Arial" w:hAnsi="Arial" w:cs="Arial"/>
          <w:sz w:val="18"/>
          <w:szCs w:val="18"/>
        </w:rPr>
        <w:t>N</w:t>
      </w:r>
      <w:r w:rsidRPr="009109BF">
        <w:rPr>
          <w:rFonts w:ascii="Arial" w:hAnsi="Arial" w:cs="Arial"/>
          <w:sz w:val="18"/>
          <w:szCs w:val="18"/>
        </w:rPr>
        <w:t>eo-</w:t>
      </w:r>
      <w:r w:rsidR="00AE3776" w:rsidRPr="009109BF">
        <w:rPr>
          <w:rFonts w:ascii="Arial" w:hAnsi="Arial" w:cs="Arial"/>
          <w:sz w:val="18"/>
          <w:szCs w:val="18"/>
        </w:rPr>
        <w:t>L</w:t>
      </w:r>
      <w:r w:rsidRPr="009109BF">
        <w:rPr>
          <w:rFonts w:ascii="Arial" w:hAnsi="Arial" w:cs="Arial"/>
          <w:sz w:val="18"/>
          <w:szCs w:val="18"/>
        </w:rPr>
        <w:t xml:space="preserve">iberalism: the Trade Union Act 2016 and the </w:t>
      </w:r>
      <w:r w:rsidR="00AE3776" w:rsidRPr="009109BF">
        <w:rPr>
          <w:rFonts w:ascii="Arial" w:hAnsi="Arial" w:cs="Arial"/>
          <w:sz w:val="18"/>
          <w:szCs w:val="18"/>
        </w:rPr>
        <w:t>A</w:t>
      </w:r>
      <w:r w:rsidRPr="009109BF">
        <w:rPr>
          <w:rFonts w:ascii="Arial" w:hAnsi="Arial" w:cs="Arial"/>
          <w:sz w:val="18"/>
          <w:szCs w:val="18"/>
        </w:rPr>
        <w:t xml:space="preserve">uthoritarian </w:t>
      </w:r>
      <w:r w:rsidR="00AE3776" w:rsidRPr="009109BF">
        <w:rPr>
          <w:rFonts w:ascii="Arial" w:hAnsi="Arial" w:cs="Arial"/>
          <w:sz w:val="18"/>
          <w:szCs w:val="18"/>
        </w:rPr>
        <w:t>S</w:t>
      </w:r>
      <w:r w:rsidRPr="009109BF">
        <w:rPr>
          <w:rFonts w:ascii="Arial" w:hAnsi="Arial" w:cs="Arial"/>
          <w:sz w:val="18"/>
          <w:szCs w:val="18"/>
        </w:rPr>
        <w:t>tate</w:t>
      </w:r>
      <w:r w:rsidR="00363B6D" w:rsidRPr="009109BF">
        <w:rPr>
          <w:rFonts w:ascii="Arial" w:hAnsi="Arial" w:cs="Arial"/>
          <w:sz w:val="18"/>
          <w:szCs w:val="18"/>
        </w:rPr>
        <w:t>’</w:t>
      </w:r>
      <w:r w:rsidRPr="009109BF">
        <w:rPr>
          <w:rFonts w:ascii="Arial" w:hAnsi="Arial" w:cs="Arial"/>
          <w:sz w:val="18"/>
          <w:szCs w:val="18"/>
        </w:rPr>
        <w:t xml:space="preserve"> (2016) 45(3) Industrial Law Journal 299-336, 333.</w:t>
      </w:r>
    </w:p>
  </w:footnote>
  <w:footnote w:id="20">
    <w:p w14:paraId="2F3D84BB" w14:textId="064EAC6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E3776" w:rsidRPr="009109BF">
        <w:rPr>
          <w:rFonts w:ascii="Arial" w:hAnsi="Arial" w:cs="Arial"/>
          <w:sz w:val="18"/>
          <w:szCs w:val="18"/>
        </w:rPr>
        <w:t>ibid</w:t>
      </w:r>
      <w:r w:rsidR="00AE3776" w:rsidRPr="009109BF">
        <w:rPr>
          <w:rFonts w:ascii="Arial" w:hAnsi="Arial" w:cs="Arial"/>
          <w:i/>
          <w:iCs/>
          <w:sz w:val="18"/>
          <w:szCs w:val="18"/>
        </w:rPr>
        <w:t>,</w:t>
      </w:r>
      <w:r w:rsidRPr="009109BF">
        <w:rPr>
          <w:rFonts w:ascii="Arial" w:hAnsi="Arial" w:cs="Arial"/>
          <w:i/>
          <w:iCs/>
          <w:sz w:val="18"/>
          <w:szCs w:val="18"/>
        </w:rPr>
        <w:t xml:space="preserve"> </w:t>
      </w:r>
      <w:r w:rsidRPr="009109BF">
        <w:rPr>
          <w:rFonts w:ascii="Arial" w:hAnsi="Arial" w:cs="Arial"/>
          <w:sz w:val="18"/>
          <w:szCs w:val="18"/>
        </w:rPr>
        <w:t>331</w:t>
      </w:r>
      <w:r w:rsidR="00182F39">
        <w:rPr>
          <w:rFonts w:ascii="Arial" w:hAnsi="Arial" w:cs="Arial"/>
          <w:sz w:val="18"/>
          <w:szCs w:val="18"/>
        </w:rPr>
        <w:t>.</w:t>
      </w:r>
    </w:p>
  </w:footnote>
  <w:footnote w:id="21">
    <w:p w14:paraId="6619D438" w14:textId="79AC9657" w:rsidR="00311631" w:rsidRPr="009109BF" w:rsidRDefault="00311631" w:rsidP="00A6138D">
      <w:pPr>
        <w:autoSpaceDE w:val="0"/>
        <w:autoSpaceDN w:val="0"/>
        <w:adjustRightInd w:val="0"/>
        <w:spacing w:after="0" w:line="240" w:lineRule="auto"/>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E3776" w:rsidRPr="009109BF">
        <w:rPr>
          <w:rFonts w:ascii="Arial" w:hAnsi="Arial" w:cs="Arial"/>
          <w:sz w:val="18"/>
          <w:szCs w:val="18"/>
        </w:rPr>
        <w:t xml:space="preserve">J </w:t>
      </w:r>
      <w:r w:rsidRPr="009109BF">
        <w:rPr>
          <w:rFonts w:ascii="Arial" w:hAnsi="Arial" w:cs="Arial"/>
          <w:sz w:val="18"/>
          <w:szCs w:val="18"/>
        </w:rPr>
        <w:t>Elgar</w:t>
      </w:r>
      <w:r w:rsidR="00AE3776" w:rsidRPr="009109BF">
        <w:rPr>
          <w:rFonts w:ascii="Arial" w:hAnsi="Arial" w:cs="Arial"/>
          <w:sz w:val="18"/>
          <w:szCs w:val="18"/>
        </w:rPr>
        <w:t xml:space="preserve"> and R</w:t>
      </w:r>
      <w:r w:rsidRPr="009109BF">
        <w:rPr>
          <w:rFonts w:ascii="Arial" w:hAnsi="Arial" w:cs="Arial"/>
          <w:sz w:val="18"/>
          <w:szCs w:val="18"/>
        </w:rPr>
        <w:t xml:space="preserve"> Simpson, </w:t>
      </w:r>
      <w:r w:rsidR="00363B6D" w:rsidRPr="009109BF">
        <w:rPr>
          <w:rFonts w:ascii="Arial" w:hAnsi="Arial" w:cs="Arial"/>
          <w:sz w:val="18"/>
          <w:szCs w:val="18"/>
        </w:rPr>
        <w:t>‘</w:t>
      </w:r>
      <w:r w:rsidRPr="009109BF">
        <w:rPr>
          <w:rFonts w:ascii="Arial" w:hAnsi="Arial" w:cs="Arial"/>
          <w:sz w:val="18"/>
          <w:szCs w:val="18"/>
        </w:rPr>
        <w:t>Union Negotiators, Industrial Action and the Law: Report of a Survey of</w:t>
      </w:r>
    </w:p>
    <w:p w14:paraId="07EF63D4" w14:textId="77777777" w:rsidR="00311631" w:rsidRPr="009109BF" w:rsidRDefault="00311631" w:rsidP="00A6138D">
      <w:pPr>
        <w:autoSpaceDE w:val="0"/>
        <w:autoSpaceDN w:val="0"/>
        <w:adjustRightInd w:val="0"/>
        <w:spacing w:after="0" w:line="240" w:lineRule="auto"/>
        <w:rPr>
          <w:rFonts w:ascii="Arial" w:hAnsi="Arial" w:cs="Arial"/>
          <w:sz w:val="18"/>
          <w:szCs w:val="18"/>
        </w:rPr>
      </w:pPr>
      <w:r w:rsidRPr="009109BF">
        <w:rPr>
          <w:rFonts w:ascii="Arial" w:hAnsi="Arial" w:cs="Arial"/>
          <w:sz w:val="18"/>
          <w:szCs w:val="18"/>
        </w:rPr>
        <w:t>Negotiators in Twenty Five Unions 1991-1992' (CEPDP 171, Centre for Economic Performance London</w:t>
      </w:r>
    </w:p>
    <w:p w14:paraId="05D57CAF" w14:textId="24451273" w:rsidR="00311631" w:rsidRPr="009109BF" w:rsidRDefault="00311631" w:rsidP="00A6138D">
      <w:pPr>
        <w:autoSpaceDE w:val="0"/>
        <w:autoSpaceDN w:val="0"/>
        <w:adjustRightInd w:val="0"/>
        <w:spacing w:after="0" w:line="240" w:lineRule="auto"/>
        <w:rPr>
          <w:rFonts w:ascii="Arial" w:hAnsi="Arial" w:cs="Arial"/>
          <w:sz w:val="18"/>
          <w:szCs w:val="18"/>
        </w:rPr>
      </w:pPr>
      <w:r w:rsidRPr="009109BF">
        <w:rPr>
          <w:rFonts w:ascii="Arial" w:hAnsi="Arial" w:cs="Arial"/>
          <w:sz w:val="18"/>
          <w:szCs w:val="18"/>
        </w:rPr>
        <w:t>School of Economics and Political Science, October 1993), 14</w:t>
      </w:r>
      <w:r w:rsidR="00AE3776" w:rsidRPr="009109BF">
        <w:rPr>
          <w:rFonts w:ascii="Arial" w:hAnsi="Arial" w:cs="Arial"/>
          <w:sz w:val="18"/>
          <w:szCs w:val="18"/>
        </w:rPr>
        <w:t xml:space="preserve">. Available at: </w:t>
      </w:r>
      <w:hyperlink r:id="rId2" w:history="1">
        <w:r w:rsidR="00AE3776" w:rsidRPr="009109BF">
          <w:rPr>
            <w:rStyle w:val="Hyperlink"/>
            <w:rFonts w:ascii="Arial" w:hAnsi="Arial" w:cs="Arial"/>
            <w:sz w:val="18"/>
            <w:szCs w:val="18"/>
          </w:rPr>
          <w:t>http://eprints.lse.ac.uk/20931/1/Union_Negotiators.pdf</w:t>
        </w:r>
      </w:hyperlink>
      <w:r w:rsidRPr="009109BF">
        <w:rPr>
          <w:rFonts w:ascii="Arial" w:hAnsi="Arial" w:cs="Arial"/>
          <w:sz w:val="18"/>
          <w:szCs w:val="18"/>
        </w:rPr>
        <w:t>) (</w:t>
      </w:r>
      <w:r w:rsidR="00962C2E">
        <w:rPr>
          <w:rFonts w:ascii="Arial" w:hAnsi="Arial" w:cs="Arial"/>
          <w:sz w:val="18"/>
          <w:szCs w:val="18"/>
        </w:rPr>
        <w:t xml:space="preserve">last </w:t>
      </w:r>
      <w:r w:rsidRPr="009109BF">
        <w:rPr>
          <w:rFonts w:ascii="Arial" w:hAnsi="Arial" w:cs="Arial"/>
          <w:sz w:val="18"/>
          <w:szCs w:val="18"/>
        </w:rPr>
        <w:t xml:space="preserve">accessed </w:t>
      </w:r>
      <w:r w:rsidR="00962C2E">
        <w:rPr>
          <w:rFonts w:ascii="Arial" w:hAnsi="Arial" w:cs="Arial"/>
          <w:sz w:val="18"/>
          <w:szCs w:val="18"/>
        </w:rPr>
        <w:t>14 June 2024</w:t>
      </w:r>
      <w:r w:rsidRPr="009109BF">
        <w:rPr>
          <w:rFonts w:ascii="Arial" w:hAnsi="Arial" w:cs="Arial"/>
          <w:sz w:val="18"/>
          <w:szCs w:val="18"/>
        </w:rPr>
        <w:t>)</w:t>
      </w:r>
      <w:r w:rsidR="00AE3776" w:rsidRPr="009109BF">
        <w:rPr>
          <w:rFonts w:ascii="Arial" w:hAnsi="Arial" w:cs="Arial"/>
          <w:sz w:val="18"/>
          <w:szCs w:val="18"/>
        </w:rPr>
        <w:t>.</w:t>
      </w:r>
    </w:p>
  </w:footnote>
  <w:footnote w:id="22">
    <w:p w14:paraId="3E9B1222" w14:textId="78B13515" w:rsidR="00AE3776" w:rsidRPr="009109BF" w:rsidRDefault="00AE3776" w:rsidP="00AE3776">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Pr="00182F39">
        <w:rPr>
          <w:rFonts w:ascii="Arial" w:hAnsi="Arial" w:cs="Arial"/>
          <w:sz w:val="18"/>
          <w:szCs w:val="18"/>
        </w:rPr>
        <w:t xml:space="preserve">C Barrow, </w:t>
      </w:r>
      <w:r w:rsidR="0058145B" w:rsidRPr="00182F39">
        <w:rPr>
          <w:rFonts w:ascii="Arial" w:hAnsi="Arial" w:cs="Arial"/>
          <w:sz w:val="18"/>
          <w:szCs w:val="18"/>
        </w:rPr>
        <w:t xml:space="preserve">“The Trade Union Act 2016, the </w:t>
      </w:r>
      <w:r w:rsidR="00486994" w:rsidRPr="00182F39">
        <w:rPr>
          <w:rFonts w:ascii="Arial" w:hAnsi="Arial" w:cs="Arial"/>
          <w:sz w:val="18"/>
          <w:szCs w:val="18"/>
        </w:rPr>
        <w:t>European Court of Human Rights, and the ‘</w:t>
      </w:r>
      <w:r w:rsidR="00182F39" w:rsidRPr="00182F39">
        <w:rPr>
          <w:rFonts w:ascii="Arial" w:hAnsi="Arial" w:cs="Arial"/>
          <w:sz w:val="18"/>
          <w:szCs w:val="18"/>
        </w:rPr>
        <w:t>Ri</w:t>
      </w:r>
      <w:r w:rsidR="00486994" w:rsidRPr="00182F39">
        <w:rPr>
          <w:rFonts w:ascii="Arial" w:hAnsi="Arial" w:cs="Arial"/>
          <w:sz w:val="18"/>
          <w:szCs w:val="18"/>
        </w:rPr>
        <w:t xml:space="preserve">ght to </w:t>
      </w:r>
      <w:r w:rsidR="00182F39" w:rsidRPr="00182F39">
        <w:rPr>
          <w:rFonts w:ascii="Arial" w:hAnsi="Arial" w:cs="Arial"/>
          <w:sz w:val="18"/>
          <w:szCs w:val="18"/>
        </w:rPr>
        <w:t>S</w:t>
      </w:r>
      <w:r w:rsidR="00486994" w:rsidRPr="00182F39">
        <w:rPr>
          <w:rFonts w:ascii="Arial" w:hAnsi="Arial" w:cs="Arial"/>
          <w:sz w:val="18"/>
          <w:szCs w:val="18"/>
        </w:rPr>
        <w:t>trike’ under Article 11 of the European Convention”</w:t>
      </w:r>
      <w:r w:rsidR="00940B74" w:rsidRPr="00182F39">
        <w:rPr>
          <w:rFonts w:ascii="Arial" w:hAnsi="Arial" w:cs="Arial"/>
          <w:sz w:val="18"/>
          <w:szCs w:val="18"/>
        </w:rPr>
        <w:t xml:space="preserve"> [2018] </w:t>
      </w:r>
      <w:r w:rsidRPr="00182F39">
        <w:rPr>
          <w:rFonts w:ascii="Arial" w:hAnsi="Arial" w:cs="Arial"/>
          <w:sz w:val="18"/>
          <w:szCs w:val="18"/>
        </w:rPr>
        <w:t>(2) European Human Rights Law Review 158-167, 167.</w:t>
      </w:r>
    </w:p>
  </w:footnote>
  <w:footnote w:id="23">
    <w:p w14:paraId="7323E98F" w14:textId="51B84D73"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E3776" w:rsidRPr="009109BF">
        <w:rPr>
          <w:rFonts w:ascii="Arial" w:hAnsi="Arial" w:cs="Arial"/>
          <w:sz w:val="18"/>
          <w:szCs w:val="18"/>
        </w:rPr>
        <w:t xml:space="preserve">D </w:t>
      </w:r>
      <w:r w:rsidRPr="009109BF">
        <w:rPr>
          <w:rFonts w:ascii="Arial" w:hAnsi="Arial" w:cs="Arial"/>
          <w:sz w:val="18"/>
          <w:szCs w:val="18"/>
        </w:rPr>
        <w:t xml:space="preserve">Clark, </w:t>
      </w:r>
      <w:r w:rsidR="00363B6D" w:rsidRPr="009109BF">
        <w:rPr>
          <w:rFonts w:ascii="Arial" w:hAnsi="Arial" w:cs="Arial"/>
          <w:sz w:val="18"/>
          <w:szCs w:val="18"/>
        </w:rPr>
        <w:t>‘</w:t>
      </w:r>
      <w:r w:rsidRPr="009109BF">
        <w:rPr>
          <w:rFonts w:ascii="Arial" w:hAnsi="Arial" w:cs="Arial"/>
          <w:sz w:val="18"/>
          <w:szCs w:val="18"/>
        </w:rPr>
        <w:t xml:space="preserve">Number of </w:t>
      </w:r>
      <w:r w:rsidR="00182F39">
        <w:rPr>
          <w:rFonts w:ascii="Arial" w:hAnsi="Arial" w:cs="Arial"/>
          <w:sz w:val="18"/>
          <w:szCs w:val="18"/>
        </w:rPr>
        <w:t>W</w:t>
      </w:r>
      <w:r w:rsidRPr="009109BF">
        <w:rPr>
          <w:rFonts w:ascii="Arial" w:hAnsi="Arial" w:cs="Arial"/>
          <w:sz w:val="18"/>
          <w:szCs w:val="18"/>
        </w:rPr>
        <w:t xml:space="preserve">orking </w:t>
      </w:r>
      <w:r w:rsidR="00182F39">
        <w:rPr>
          <w:rFonts w:ascii="Arial" w:hAnsi="Arial" w:cs="Arial"/>
          <w:sz w:val="18"/>
          <w:szCs w:val="18"/>
        </w:rPr>
        <w:t>D</w:t>
      </w:r>
      <w:r w:rsidRPr="009109BF">
        <w:rPr>
          <w:rFonts w:ascii="Arial" w:hAnsi="Arial" w:cs="Arial"/>
          <w:sz w:val="18"/>
          <w:szCs w:val="18"/>
        </w:rPr>
        <w:t xml:space="preserve">ays </w:t>
      </w:r>
      <w:r w:rsidR="00182F39">
        <w:rPr>
          <w:rFonts w:ascii="Arial" w:hAnsi="Arial" w:cs="Arial"/>
          <w:sz w:val="18"/>
          <w:szCs w:val="18"/>
        </w:rPr>
        <w:t>L</w:t>
      </w:r>
      <w:r w:rsidRPr="009109BF">
        <w:rPr>
          <w:rFonts w:ascii="Arial" w:hAnsi="Arial" w:cs="Arial"/>
          <w:sz w:val="18"/>
          <w:szCs w:val="18"/>
        </w:rPr>
        <w:t xml:space="preserve">ost due to </w:t>
      </w:r>
      <w:r w:rsidR="00182F39">
        <w:rPr>
          <w:rFonts w:ascii="Arial" w:hAnsi="Arial" w:cs="Arial"/>
          <w:sz w:val="18"/>
          <w:szCs w:val="18"/>
        </w:rPr>
        <w:t>L</w:t>
      </w:r>
      <w:r w:rsidRPr="009109BF">
        <w:rPr>
          <w:rFonts w:ascii="Arial" w:hAnsi="Arial" w:cs="Arial"/>
          <w:sz w:val="18"/>
          <w:szCs w:val="18"/>
        </w:rPr>
        <w:t>abo</w:t>
      </w:r>
      <w:r w:rsidR="00182F39">
        <w:rPr>
          <w:rFonts w:ascii="Arial" w:hAnsi="Arial" w:cs="Arial"/>
          <w:sz w:val="18"/>
          <w:szCs w:val="18"/>
        </w:rPr>
        <w:t>u</w:t>
      </w:r>
      <w:r w:rsidRPr="009109BF">
        <w:rPr>
          <w:rFonts w:ascii="Arial" w:hAnsi="Arial" w:cs="Arial"/>
          <w:sz w:val="18"/>
          <w:szCs w:val="18"/>
        </w:rPr>
        <w:t xml:space="preserve">r </w:t>
      </w:r>
      <w:r w:rsidR="00182F39">
        <w:rPr>
          <w:rFonts w:ascii="Arial" w:hAnsi="Arial" w:cs="Arial"/>
          <w:sz w:val="18"/>
          <w:szCs w:val="18"/>
        </w:rPr>
        <w:t>D</w:t>
      </w:r>
      <w:r w:rsidRPr="009109BF">
        <w:rPr>
          <w:rFonts w:ascii="Arial" w:hAnsi="Arial" w:cs="Arial"/>
          <w:sz w:val="18"/>
          <w:szCs w:val="18"/>
        </w:rPr>
        <w:t>isputes in the UK 2010-2023</w:t>
      </w:r>
      <w:r w:rsidR="00363B6D" w:rsidRPr="009109BF">
        <w:rPr>
          <w:rFonts w:ascii="Arial" w:hAnsi="Arial" w:cs="Arial"/>
          <w:sz w:val="18"/>
          <w:szCs w:val="18"/>
        </w:rPr>
        <w:t>’</w:t>
      </w:r>
      <w:r w:rsidRPr="009109BF">
        <w:rPr>
          <w:rFonts w:ascii="Arial" w:hAnsi="Arial" w:cs="Arial"/>
          <w:sz w:val="18"/>
          <w:szCs w:val="18"/>
        </w:rPr>
        <w:t xml:space="preserve"> </w:t>
      </w:r>
      <w:r w:rsidR="00AE3776" w:rsidRPr="009109BF">
        <w:rPr>
          <w:rFonts w:ascii="Arial" w:hAnsi="Arial" w:cs="Arial"/>
          <w:sz w:val="18"/>
          <w:szCs w:val="18"/>
        </w:rPr>
        <w:t>(</w:t>
      </w:r>
      <w:r w:rsidRPr="009109BF">
        <w:rPr>
          <w:rFonts w:ascii="Arial" w:hAnsi="Arial" w:cs="Arial"/>
          <w:sz w:val="18"/>
          <w:szCs w:val="18"/>
        </w:rPr>
        <w:t>Office for National Statistics (UK)</w:t>
      </w:r>
      <w:r w:rsidR="00AE3776" w:rsidRPr="009109BF">
        <w:rPr>
          <w:rFonts w:ascii="Arial" w:hAnsi="Arial" w:cs="Arial"/>
          <w:sz w:val="18"/>
          <w:szCs w:val="18"/>
        </w:rPr>
        <w:t xml:space="preserve">, 2023). Available at: </w:t>
      </w:r>
      <w:hyperlink r:id="rId3" w:history="1">
        <w:r w:rsidRPr="009109BF">
          <w:rPr>
            <w:rStyle w:val="Hyperlink"/>
            <w:rFonts w:ascii="Arial" w:hAnsi="Arial" w:cs="Arial"/>
            <w:sz w:val="18"/>
            <w:szCs w:val="18"/>
          </w:rPr>
          <w:t>https://www.statista.com/statistics/1350908/uk-industrial-action-working-days-lost/</w:t>
        </w:r>
      </w:hyperlink>
      <w:r w:rsidR="00AE3776" w:rsidRPr="009109BF">
        <w:rPr>
          <w:rFonts w:ascii="Arial" w:hAnsi="Arial" w:cs="Arial"/>
          <w:sz w:val="18"/>
          <w:szCs w:val="18"/>
        </w:rPr>
        <w:t xml:space="preserve"> </w:t>
      </w:r>
      <w:r w:rsidRPr="009109BF">
        <w:rPr>
          <w:rFonts w:ascii="Arial" w:hAnsi="Arial" w:cs="Arial"/>
          <w:sz w:val="18"/>
          <w:szCs w:val="18"/>
        </w:rPr>
        <w:t>(</w:t>
      </w:r>
      <w:r w:rsidR="00970817">
        <w:rPr>
          <w:rFonts w:ascii="Arial" w:hAnsi="Arial" w:cs="Arial"/>
          <w:sz w:val="18"/>
          <w:szCs w:val="18"/>
        </w:rPr>
        <w:t xml:space="preserve">last </w:t>
      </w:r>
      <w:r w:rsidRPr="009109BF">
        <w:rPr>
          <w:rFonts w:ascii="Arial" w:hAnsi="Arial" w:cs="Arial"/>
          <w:sz w:val="18"/>
          <w:szCs w:val="18"/>
        </w:rPr>
        <w:t xml:space="preserve">accessed </w:t>
      </w:r>
      <w:r w:rsidR="00970817">
        <w:rPr>
          <w:rFonts w:ascii="Arial" w:hAnsi="Arial" w:cs="Arial"/>
          <w:sz w:val="18"/>
          <w:szCs w:val="18"/>
        </w:rPr>
        <w:t>14 June 2024</w:t>
      </w:r>
      <w:r w:rsidRPr="009109BF">
        <w:rPr>
          <w:rFonts w:ascii="Arial" w:hAnsi="Arial" w:cs="Arial"/>
          <w:sz w:val="18"/>
          <w:szCs w:val="18"/>
        </w:rPr>
        <w:t>)</w:t>
      </w:r>
      <w:r w:rsidR="00AE3776" w:rsidRPr="009109BF">
        <w:rPr>
          <w:rFonts w:ascii="Arial" w:hAnsi="Arial" w:cs="Arial"/>
          <w:sz w:val="18"/>
          <w:szCs w:val="18"/>
        </w:rPr>
        <w:t>.</w:t>
      </w:r>
    </w:p>
  </w:footnote>
  <w:footnote w:id="24">
    <w:p w14:paraId="43C3FCC0" w14:textId="27BAD98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PCS union focus group, 4</w:t>
      </w:r>
      <w:r w:rsidRPr="009109BF">
        <w:rPr>
          <w:rFonts w:ascii="Arial" w:hAnsi="Arial" w:cs="Arial"/>
          <w:sz w:val="18"/>
          <w:szCs w:val="18"/>
          <w:vertAlign w:val="superscript"/>
        </w:rPr>
        <w:t>th</w:t>
      </w:r>
      <w:r w:rsidRPr="009109BF">
        <w:rPr>
          <w:rFonts w:ascii="Arial" w:hAnsi="Arial" w:cs="Arial"/>
          <w:sz w:val="18"/>
          <w:szCs w:val="18"/>
        </w:rPr>
        <w:t xml:space="preserve"> June 2016 (quoted at </w:t>
      </w:r>
      <w:r w:rsidR="00AE3776" w:rsidRPr="009109BF">
        <w:rPr>
          <w:rFonts w:ascii="Arial" w:hAnsi="Arial" w:cs="Arial"/>
          <w:sz w:val="18"/>
          <w:szCs w:val="18"/>
        </w:rPr>
        <w:t xml:space="preserve">F </w:t>
      </w:r>
      <w:r w:rsidRPr="009109BF">
        <w:rPr>
          <w:rFonts w:ascii="Arial" w:hAnsi="Arial" w:cs="Arial"/>
          <w:sz w:val="18"/>
          <w:szCs w:val="18"/>
        </w:rPr>
        <w:t xml:space="preserve">Porter, </w:t>
      </w:r>
      <w:r w:rsidR="00AE3776" w:rsidRPr="009109BF">
        <w:rPr>
          <w:rFonts w:ascii="Arial" w:hAnsi="Arial" w:cs="Arial"/>
          <w:sz w:val="18"/>
          <w:szCs w:val="18"/>
        </w:rPr>
        <w:t xml:space="preserve">H </w:t>
      </w:r>
      <w:r w:rsidRPr="009109BF">
        <w:rPr>
          <w:rFonts w:ascii="Arial" w:hAnsi="Arial" w:cs="Arial"/>
          <w:sz w:val="18"/>
          <w:szCs w:val="18"/>
        </w:rPr>
        <w:t>Blakey,</w:t>
      </w:r>
      <w:r w:rsidR="00AE3776" w:rsidRPr="009109BF">
        <w:rPr>
          <w:rFonts w:ascii="Arial" w:hAnsi="Arial" w:cs="Arial"/>
          <w:sz w:val="18"/>
          <w:szCs w:val="18"/>
        </w:rPr>
        <w:t xml:space="preserve"> M </w:t>
      </w:r>
      <w:r w:rsidRPr="009109BF">
        <w:rPr>
          <w:rFonts w:ascii="Arial" w:hAnsi="Arial" w:cs="Arial"/>
          <w:sz w:val="18"/>
          <w:szCs w:val="18"/>
        </w:rPr>
        <w:t xml:space="preserve">Chater, </w:t>
      </w:r>
      <w:r w:rsidR="00AE3776" w:rsidRPr="009109BF">
        <w:rPr>
          <w:rFonts w:ascii="Arial" w:hAnsi="Arial" w:cs="Arial"/>
          <w:sz w:val="18"/>
          <w:szCs w:val="18"/>
        </w:rPr>
        <w:t xml:space="preserve">G </w:t>
      </w:r>
      <w:r w:rsidRPr="009109BF">
        <w:rPr>
          <w:rFonts w:ascii="Arial" w:hAnsi="Arial" w:cs="Arial"/>
          <w:sz w:val="18"/>
          <w:szCs w:val="18"/>
        </w:rPr>
        <w:t xml:space="preserve">Chesters, </w:t>
      </w:r>
      <w:r w:rsidR="00AE3776" w:rsidRPr="009109BF">
        <w:rPr>
          <w:rFonts w:ascii="Arial" w:hAnsi="Arial" w:cs="Arial"/>
          <w:sz w:val="18"/>
          <w:szCs w:val="18"/>
        </w:rPr>
        <w:t>M</w:t>
      </w:r>
      <w:r w:rsidRPr="009109BF">
        <w:rPr>
          <w:rFonts w:ascii="Arial" w:hAnsi="Arial" w:cs="Arial"/>
          <w:sz w:val="18"/>
          <w:szCs w:val="18"/>
        </w:rPr>
        <w:t xml:space="preserve"> Hannam, </w:t>
      </w:r>
      <w:r w:rsidR="00FA3E6B" w:rsidRPr="009109BF">
        <w:rPr>
          <w:rFonts w:ascii="Arial" w:hAnsi="Arial" w:cs="Arial"/>
          <w:sz w:val="18"/>
          <w:szCs w:val="18"/>
        </w:rPr>
        <w:t xml:space="preserve">and I </w:t>
      </w:r>
      <w:r w:rsidRPr="009109BF">
        <w:rPr>
          <w:rFonts w:ascii="Arial" w:hAnsi="Arial" w:cs="Arial"/>
          <w:sz w:val="18"/>
          <w:szCs w:val="18"/>
        </w:rPr>
        <w:t xml:space="preserve">Manborde, </w:t>
      </w:r>
      <w:r w:rsidR="00363B6D" w:rsidRPr="009109BF">
        <w:rPr>
          <w:rFonts w:ascii="Arial" w:hAnsi="Arial" w:cs="Arial"/>
          <w:sz w:val="18"/>
          <w:szCs w:val="18"/>
        </w:rPr>
        <w:t>‘</w:t>
      </w:r>
      <w:r w:rsidRPr="009109BF">
        <w:rPr>
          <w:rFonts w:ascii="Arial" w:hAnsi="Arial" w:cs="Arial"/>
          <w:sz w:val="18"/>
          <w:szCs w:val="18"/>
        </w:rPr>
        <w:t xml:space="preserve">Voices from the </w:t>
      </w:r>
      <w:r w:rsidR="00FA3E6B" w:rsidRPr="009109BF">
        <w:rPr>
          <w:rFonts w:ascii="Arial" w:hAnsi="Arial" w:cs="Arial"/>
          <w:sz w:val="18"/>
          <w:szCs w:val="18"/>
        </w:rPr>
        <w:t>M</w:t>
      </w:r>
      <w:r w:rsidRPr="009109BF">
        <w:rPr>
          <w:rFonts w:ascii="Arial" w:hAnsi="Arial" w:cs="Arial"/>
          <w:sz w:val="18"/>
          <w:szCs w:val="18"/>
        </w:rPr>
        <w:t xml:space="preserve">ovement: What can the Trade Union Act (2016) </w:t>
      </w:r>
      <w:r w:rsidR="00FA3E6B" w:rsidRPr="009109BF">
        <w:rPr>
          <w:rFonts w:ascii="Arial" w:hAnsi="Arial" w:cs="Arial"/>
          <w:sz w:val="18"/>
          <w:szCs w:val="18"/>
        </w:rPr>
        <w:t>T</w:t>
      </w:r>
      <w:r w:rsidRPr="009109BF">
        <w:rPr>
          <w:rFonts w:ascii="Arial" w:hAnsi="Arial" w:cs="Arial"/>
          <w:sz w:val="18"/>
          <w:szCs w:val="18"/>
        </w:rPr>
        <w:t xml:space="preserve">ell us about </w:t>
      </w:r>
      <w:r w:rsidR="00FA3E6B" w:rsidRPr="009109BF">
        <w:rPr>
          <w:rFonts w:ascii="Arial" w:hAnsi="Arial" w:cs="Arial"/>
          <w:sz w:val="18"/>
          <w:szCs w:val="18"/>
        </w:rPr>
        <w:t>T</w:t>
      </w:r>
      <w:r w:rsidRPr="009109BF">
        <w:rPr>
          <w:rFonts w:ascii="Arial" w:hAnsi="Arial" w:cs="Arial"/>
          <w:sz w:val="18"/>
          <w:szCs w:val="18"/>
        </w:rPr>
        <w:t xml:space="preserve">rade </w:t>
      </w:r>
      <w:r w:rsidR="00FA3E6B" w:rsidRPr="009109BF">
        <w:rPr>
          <w:rFonts w:ascii="Arial" w:hAnsi="Arial" w:cs="Arial"/>
          <w:sz w:val="18"/>
          <w:szCs w:val="18"/>
        </w:rPr>
        <w:t>U</w:t>
      </w:r>
      <w:r w:rsidRPr="009109BF">
        <w:rPr>
          <w:rFonts w:ascii="Arial" w:hAnsi="Arial" w:cs="Arial"/>
          <w:sz w:val="18"/>
          <w:szCs w:val="18"/>
        </w:rPr>
        <w:t xml:space="preserve">nion </w:t>
      </w:r>
      <w:r w:rsidR="00FA3E6B" w:rsidRPr="009109BF">
        <w:rPr>
          <w:rFonts w:ascii="Arial" w:hAnsi="Arial" w:cs="Arial"/>
          <w:sz w:val="18"/>
          <w:szCs w:val="18"/>
        </w:rPr>
        <w:t>O</w:t>
      </w:r>
      <w:r w:rsidRPr="009109BF">
        <w:rPr>
          <w:rFonts w:ascii="Arial" w:hAnsi="Arial" w:cs="Arial"/>
          <w:sz w:val="18"/>
          <w:szCs w:val="18"/>
        </w:rPr>
        <w:t>rganising?</w:t>
      </w:r>
      <w:r w:rsidR="00363B6D" w:rsidRPr="009109BF">
        <w:rPr>
          <w:rFonts w:ascii="Arial" w:hAnsi="Arial" w:cs="Arial"/>
          <w:sz w:val="18"/>
          <w:szCs w:val="18"/>
        </w:rPr>
        <w:t>’</w:t>
      </w:r>
      <w:r w:rsidRPr="009109BF">
        <w:rPr>
          <w:rFonts w:ascii="Arial" w:hAnsi="Arial" w:cs="Arial"/>
          <w:sz w:val="18"/>
          <w:szCs w:val="18"/>
        </w:rPr>
        <w:t xml:space="preserve"> (2017) 25(2) Renewal: A Journal of Social Democracy 59-73, 67).</w:t>
      </w:r>
    </w:p>
  </w:footnote>
  <w:footnote w:id="25">
    <w:p w14:paraId="50C41782" w14:textId="2E095CD9"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 xml:space="preserve">Cowie, </w:t>
      </w:r>
      <w:r w:rsidRPr="009109BF">
        <w:rPr>
          <w:rFonts w:ascii="Arial" w:hAnsi="Arial" w:cs="Arial"/>
          <w:i/>
          <w:iCs/>
          <w:sz w:val="18"/>
          <w:szCs w:val="18"/>
        </w:rPr>
        <w:t>After Dark</w:t>
      </w:r>
      <w:r w:rsidR="00FA3E6B" w:rsidRPr="009109BF">
        <w:rPr>
          <w:rFonts w:ascii="Arial" w:hAnsi="Arial" w:cs="Arial"/>
          <w:i/>
          <w:iCs/>
          <w:sz w:val="18"/>
          <w:szCs w:val="18"/>
        </w:rPr>
        <w:t xml:space="preserve">, </w:t>
      </w:r>
      <w:r w:rsidR="00FA3E6B" w:rsidRPr="009109BF">
        <w:rPr>
          <w:rFonts w:ascii="Arial" w:hAnsi="Arial" w:cs="Arial"/>
          <w:sz w:val="18"/>
          <w:szCs w:val="18"/>
        </w:rPr>
        <w:t xml:space="preserve">n 2 above, </w:t>
      </w:r>
      <w:r w:rsidRPr="009109BF">
        <w:rPr>
          <w:rFonts w:ascii="Arial" w:hAnsi="Arial" w:cs="Arial"/>
          <w:sz w:val="18"/>
          <w:szCs w:val="18"/>
        </w:rPr>
        <w:t>4</w:t>
      </w:r>
      <w:r w:rsidR="00FA3E6B" w:rsidRPr="009109BF">
        <w:rPr>
          <w:rFonts w:ascii="Arial" w:hAnsi="Arial" w:cs="Arial"/>
          <w:sz w:val="18"/>
          <w:szCs w:val="18"/>
        </w:rPr>
        <w:t>.</w:t>
      </w:r>
    </w:p>
  </w:footnote>
  <w:footnote w:id="26">
    <w:p w14:paraId="0DC6B431" w14:textId="2D54053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i</w:t>
      </w:r>
      <w:r w:rsidR="00DC4E30" w:rsidRPr="009109BF">
        <w:rPr>
          <w:rFonts w:ascii="Arial" w:hAnsi="Arial" w:cs="Arial"/>
          <w:sz w:val="18"/>
          <w:szCs w:val="18"/>
        </w:rPr>
        <w:t>bid</w:t>
      </w:r>
      <w:r w:rsidR="00FA3E6B"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16</w:t>
      </w:r>
      <w:r w:rsidR="00FA3E6B" w:rsidRPr="009109BF">
        <w:rPr>
          <w:rFonts w:ascii="Arial" w:hAnsi="Arial" w:cs="Arial"/>
          <w:sz w:val="18"/>
          <w:szCs w:val="18"/>
        </w:rPr>
        <w:t>.</w:t>
      </w:r>
    </w:p>
  </w:footnote>
  <w:footnote w:id="27">
    <w:p w14:paraId="1AFB66BD" w14:textId="182C09B3"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i</w:t>
      </w:r>
      <w:r w:rsidR="00DC4E30" w:rsidRPr="009109BF">
        <w:rPr>
          <w:rFonts w:ascii="Arial" w:hAnsi="Arial" w:cs="Arial"/>
          <w:sz w:val="18"/>
          <w:szCs w:val="18"/>
        </w:rPr>
        <w:t>bid</w:t>
      </w:r>
      <w:r w:rsidR="00FA3E6B"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4</w:t>
      </w:r>
      <w:r w:rsidR="00FA3E6B" w:rsidRPr="009109BF">
        <w:rPr>
          <w:rFonts w:ascii="Arial" w:hAnsi="Arial" w:cs="Arial"/>
          <w:sz w:val="18"/>
          <w:szCs w:val="18"/>
        </w:rPr>
        <w:t>.</w:t>
      </w:r>
    </w:p>
  </w:footnote>
  <w:footnote w:id="28">
    <w:p w14:paraId="39A11735" w14:textId="771843B9" w:rsidR="00311631" w:rsidRPr="009109BF" w:rsidRDefault="00311631" w:rsidP="00A6138D">
      <w:pPr>
        <w:pStyle w:val="FootnoteText"/>
        <w:rPr>
          <w:rFonts w:ascii="Arial" w:hAnsi="Arial" w:cs="Arial"/>
          <w:i/>
          <w:iCs/>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ibid</w:t>
      </w:r>
      <w:r w:rsidR="00FA3E6B" w:rsidRPr="009109BF">
        <w:rPr>
          <w:rFonts w:ascii="Arial" w:hAnsi="Arial" w:cs="Arial"/>
          <w:i/>
          <w:iCs/>
          <w:sz w:val="18"/>
          <w:szCs w:val="18"/>
        </w:rPr>
        <w:t>.</w:t>
      </w:r>
    </w:p>
  </w:footnote>
  <w:footnote w:id="29">
    <w:p w14:paraId="74042F15" w14:textId="1BCD3C2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Domestic Abuse Act 2021 </w:t>
      </w:r>
      <w:r w:rsidR="00FA3E6B" w:rsidRPr="009109BF">
        <w:rPr>
          <w:rFonts w:ascii="Arial" w:hAnsi="Arial" w:cs="Arial"/>
          <w:sz w:val="18"/>
          <w:szCs w:val="18"/>
        </w:rPr>
        <w:t>s</w:t>
      </w:r>
      <w:r w:rsidRPr="009109BF">
        <w:rPr>
          <w:rFonts w:ascii="Arial" w:hAnsi="Arial" w:cs="Arial"/>
          <w:sz w:val="18"/>
          <w:szCs w:val="18"/>
        </w:rPr>
        <w:t xml:space="preserve"> 37</w:t>
      </w:r>
      <w:r w:rsidR="00FA3E6B" w:rsidRPr="009109BF">
        <w:rPr>
          <w:rFonts w:ascii="Arial" w:hAnsi="Arial" w:cs="Arial"/>
          <w:sz w:val="18"/>
          <w:szCs w:val="18"/>
        </w:rPr>
        <w:t>.</w:t>
      </w:r>
    </w:p>
  </w:footnote>
  <w:footnote w:id="30">
    <w:p w14:paraId="5F8F28DF" w14:textId="163E94E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i</w:t>
      </w:r>
      <w:r w:rsidR="00DC4E30" w:rsidRPr="009109BF">
        <w:rPr>
          <w:rFonts w:ascii="Arial" w:hAnsi="Arial" w:cs="Arial"/>
          <w:sz w:val="18"/>
          <w:szCs w:val="18"/>
        </w:rPr>
        <w:t>bid</w:t>
      </w:r>
      <w:r w:rsidR="00FA3E6B" w:rsidRPr="009109BF">
        <w:rPr>
          <w:rFonts w:ascii="Arial" w:hAnsi="Arial" w:cs="Arial"/>
          <w:sz w:val="18"/>
          <w:szCs w:val="18"/>
        </w:rPr>
        <w:t>,</w:t>
      </w:r>
      <w:r w:rsidRPr="009109BF">
        <w:rPr>
          <w:rFonts w:ascii="Arial" w:hAnsi="Arial" w:cs="Arial"/>
          <w:i/>
          <w:iCs/>
          <w:sz w:val="18"/>
          <w:szCs w:val="18"/>
        </w:rPr>
        <w:t xml:space="preserve"> </w:t>
      </w:r>
      <w:r w:rsidR="00FA3E6B" w:rsidRPr="009109BF">
        <w:rPr>
          <w:rFonts w:ascii="Arial" w:hAnsi="Arial" w:cs="Arial"/>
          <w:sz w:val="18"/>
          <w:szCs w:val="18"/>
        </w:rPr>
        <w:t>s</w:t>
      </w:r>
      <w:r w:rsidRPr="009109BF">
        <w:rPr>
          <w:rFonts w:ascii="Arial" w:hAnsi="Arial" w:cs="Arial"/>
          <w:sz w:val="18"/>
          <w:szCs w:val="18"/>
        </w:rPr>
        <w:t xml:space="preserve"> 32</w:t>
      </w:r>
      <w:r w:rsidR="00FA3E6B" w:rsidRPr="009109BF">
        <w:rPr>
          <w:rFonts w:ascii="Arial" w:hAnsi="Arial" w:cs="Arial"/>
          <w:sz w:val="18"/>
          <w:szCs w:val="18"/>
        </w:rPr>
        <w:t>.</w:t>
      </w:r>
    </w:p>
  </w:footnote>
  <w:footnote w:id="31">
    <w:p w14:paraId="121FD0C0" w14:textId="28248B2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i</w:t>
      </w:r>
      <w:r w:rsidR="00DC4E30" w:rsidRPr="009109BF">
        <w:rPr>
          <w:rFonts w:ascii="Arial" w:hAnsi="Arial" w:cs="Arial"/>
          <w:sz w:val="18"/>
          <w:szCs w:val="18"/>
        </w:rPr>
        <w:t>bid</w:t>
      </w:r>
      <w:r w:rsidR="00FA3E6B" w:rsidRPr="009109BF">
        <w:rPr>
          <w:rFonts w:ascii="Arial" w:hAnsi="Arial" w:cs="Arial"/>
          <w:i/>
          <w:iCs/>
          <w:sz w:val="18"/>
          <w:szCs w:val="18"/>
        </w:rPr>
        <w:t>, s</w:t>
      </w:r>
      <w:r w:rsidRPr="009109BF">
        <w:rPr>
          <w:rFonts w:ascii="Arial" w:hAnsi="Arial" w:cs="Arial"/>
          <w:sz w:val="18"/>
          <w:szCs w:val="18"/>
        </w:rPr>
        <w:t>32(3)</w:t>
      </w:r>
      <w:r w:rsidR="00FA3E6B" w:rsidRPr="009109BF">
        <w:rPr>
          <w:rFonts w:ascii="Arial" w:hAnsi="Arial" w:cs="Arial"/>
          <w:sz w:val="18"/>
          <w:szCs w:val="18"/>
        </w:rPr>
        <w:t>.</w:t>
      </w:r>
    </w:p>
  </w:footnote>
  <w:footnote w:id="32">
    <w:p w14:paraId="69981224" w14:textId="4D4665E1" w:rsidR="00311631" w:rsidRPr="009109BF" w:rsidRDefault="00311631" w:rsidP="00A6138D">
      <w:pPr>
        <w:pStyle w:val="FootnoteText"/>
        <w:rPr>
          <w:rFonts w:ascii="Arial" w:hAnsi="Arial" w:cs="Arial"/>
          <w:color w:val="FF0000"/>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A3E6B" w:rsidRPr="009109BF">
        <w:rPr>
          <w:rFonts w:ascii="Arial" w:hAnsi="Arial" w:cs="Arial"/>
          <w:sz w:val="18"/>
          <w:szCs w:val="18"/>
        </w:rPr>
        <w:t xml:space="preserve">Cowie, </w:t>
      </w:r>
      <w:r w:rsidRPr="009109BF">
        <w:rPr>
          <w:rFonts w:ascii="Arial" w:hAnsi="Arial" w:cs="Arial"/>
          <w:i/>
          <w:iCs/>
          <w:sz w:val="18"/>
          <w:szCs w:val="18"/>
        </w:rPr>
        <w:t>After Dark</w:t>
      </w:r>
      <w:r w:rsidR="00FA3E6B" w:rsidRPr="009109BF">
        <w:rPr>
          <w:rFonts w:ascii="Arial" w:hAnsi="Arial" w:cs="Arial"/>
          <w:i/>
          <w:iCs/>
          <w:sz w:val="18"/>
          <w:szCs w:val="18"/>
        </w:rPr>
        <w:t xml:space="preserve">, </w:t>
      </w:r>
      <w:r w:rsidR="00FA3E6B" w:rsidRPr="009109BF">
        <w:rPr>
          <w:rFonts w:ascii="Arial" w:hAnsi="Arial" w:cs="Arial"/>
          <w:sz w:val="18"/>
          <w:szCs w:val="18"/>
        </w:rPr>
        <w:t>n 2 above,</w:t>
      </w:r>
      <w:r w:rsidRPr="009109BF">
        <w:rPr>
          <w:rFonts w:ascii="Arial" w:hAnsi="Arial" w:cs="Arial"/>
          <w:sz w:val="18"/>
          <w:szCs w:val="18"/>
        </w:rPr>
        <w:t xml:space="preserve"> 4</w:t>
      </w:r>
      <w:r w:rsidR="00FA3E6B" w:rsidRPr="009109BF">
        <w:rPr>
          <w:rFonts w:ascii="Arial" w:hAnsi="Arial" w:cs="Arial"/>
          <w:sz w:val="18"/>
          <w:szCs w:val="18"/>
        </w:rPr>
        <w:t>.</w:t>
      </w:r>
    </w:p>
  </w:footnote>
  <w:footnote w:id="33">
    <w:p w14:paraId="4404D667" w14:textId="3298A0E5" w:rsidR="00311631" w:rsidRPr="009109BF" w:rsidRDefault="00311631" w:rsidP="00A6138D">
      <w:pPr>
        <w:pStyle w:val="NormalWeb"/>
        <w:shd w:val="clear" w:color="auto" w:fill="FFFFFF"/>
        <w:spacing w:before="0" w:beforeAutospacing="0" w:after="0" w:afterAutospacing="0"/>
        <w:rPr>
          <w:rFonts w:ascii="Arial" w:hAnsi="Arial" w:cs="Arial"/>
          <w:color w:val="222526"/>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…w</w:t>
      </w:r>
      <w:r w:rsidRPr="009109BF">
        <w:rPr>
          <w:rFonts w:ascii="Arial" w:hAnsi="Arial" w:cs="Arial"/>
          <w:color w:val="222526"/>
          <w:sz w:val="18"/>
          <w:szCs w:val="18"/>
        </w:rPr>
        <w:t xml:space="preserve">omen living in the area revealed police urged them to be vigilant after the mysterious disappearance. One said cops knocked on her door last night and warned her </w:t>
      </w:r>
      <w:r w:rsidR="00363B6D" w:rsidRPr="009109BF">
        <w:rPr>
          <w:rFonts w:ascii="Arial" w:hAnsi="Arial" w:cs="Arial"/>
          <w:color w:val="222526"/>
          <w:sz w:val="18"/>
          <w:szCs w:val="18"/>
        </w:rPr>
        <w:t>‘</w:t>
      </w:r>
      <w:r w:rsidRPr="009109BF">
        <w:rPr>
          <w:rFonts w:ascii="Arial" w:hAnsi="Arial" w:cs="Arial"/>
          <w:color w:val="222526"/>
          <w:sz w:val="18"/>
          <w:szCs w:val="18"/>
        </w:rPr>
        <w:t>not to go out alone</w:t>
      </w:r>
      <w:r w:rsidR="00363B6D" w:rsidRPr="009109BF">
        <w:rPr>
          <w:rFonts w:ascii="Arial" w:hAnsi="Arial" w:cs="Arial"/>
          <w:color w:val="222526"/>
          <w:sz w:val="18"/>
          <w:szCs w:val="18"/>
        </w:rPr>
        <w:t>’</w:t>
      </w:r>
      <w:r w:rsidRPr="009109BF">
        <w:rPr>
          <w:rFonts w:ascii="Arial" w:hAnsi="Arial" w:cs="Arial"/>
          <w:color w:val="222526"/>
          <w:sz w:val="18"/>
          <w:szCs w:val="18"/>
        </w:rPr>
        <w:t xml:space="preserve"> as they desperately try to piece together what happened. Another woman, aged in her 30s, told The Sun Online: </w:t>
      </w:r>
      <w:r w:rsidR="00363B6D" w:rsidRPr="009109BF">
        <w:rPr>
          <w:rFonts w:ascii="Arial" w:hAnsi="Arial" w:cs="Arial"/>
          <w:color w:val="222526"/>
          <w:sz w:val="18"/>
          <w:szCs w:val="18"/>
        </w:rPr>
        <w:t>‘</w:t>
      </w:r>
      <w:r w:rsidRPr="009109BF">
        <w:rPr>
          <w:rFonts w:ascii="Arial" w:hAnsi="Arial" w:cs="Arial"/>
          <w:color w:val="222526"/>
          <w:sz w:val="18"/>
          <w:szCs w:val="18"/>
        </w:rPr>
        <w:t xml:space="preserve">I was told to be more careful because I live on my own. </w:t>
      </w:r>
      <w:r w:rsidR="00363B6D" w:rsidRPr="009109BF">
        <w:rPr>
          <w:rFonts w:ascii="Arial" w:hAnsi="Arial" w:cs="Arial"/>
          <w:color w:val="222526"/>
          <w:sz w:val="18"/>
          <w:szCs w:val="18"/>
        </w:rPr>
        <w:t>‘</w:t>
      </w:r>
      <w:r w:rsidRPr="009109BF">
        <w:rPr>
          <w:rFonts w:ascii="Arial" w:hAnsi="Arial" w:cs="Arial"/>
          <w:color w:val="222526"/>
          <w:sz w:val="18"/>
          <w:szCs w:val="18"/>
        </w:rPr>
        <w:t xml:space="preserve">The police came round yesterday and said to be careful. </w:t>
      </w:r>
      <w:r w:rsidR="00363B6D" w:rsidRPr="009109BF">
        <w:rPr>
          <w:rFonts w:ascii="Arial" w:hAnsi="Arial" w:cs="Arial"/>
          <w:color w:val="222526"/>
          <w:sz w:val="18"/>
          <w:szCs w:val="18"/>
        </w:rPr>
        <w:t>‘</w:t>
      </w:r>
      <w:r w:rsidRPr="009109BF">
        <w:rPr>
          <w:rFonts w:ascii="Arial" w:hAnsi="Arial" w:cs="Arial"/>
          <w:color w:val="222526"/>
          <w:sz w:val="18"/>
          <w:szCs w:val="18"/>
        </w:rPr>
        <w:t>I don’t want to leave the house at the moment. You don’t know what happened.</w:t>
      </w:r>
      <w:r w:rsidR="00363B6D" w:rsidRPr="009109BF">
        <w:rPr>
          <w:rFonts w:ascii="Arial" w:hAnsi="Arial" w:cs="Arial"/>
          <w:color w:val="222526"/>
          <w:sz w:val="18"/>
          <w:szCs w:val="18"/>
        </w:rPr>
        <w:t>’</w:t>
      </w:r>
      <w:r w:rsidR="0033628D" w:rsidRPr="009109BF">
        <w:rPr>
          <w:rFonts w:ascii="Arial" w:hAnsi="Arial" w:cs="Arial"/>
          <w:color w:val="222526"/>
          <w:sz w:val="18"/>
          <w:szCs w:val="18"/>
        </w:rPr>
        <w:t xml:space="preserve"> H </w:t>
      </w:r>
      <w:r w:rsidRPr="009109BF">
        <w:rPr>
          <w:rFonts w:ascii="Arial" w:hAnsi="Arial" w:cs="Arial"/>
          <w:sz w:val="18"/>
          <w:szCs w:val="18"/>
        </w:rPr>
        <w:t>Christodoulou,</w:t>
      </w:r>
      <w:r w:rsidR="00363B6D" w:rsidRPr="009109BF">
        <w:rPr>
          <w:rFonts w:ascii="Arial" w:hAnsi="Arial" w:cs="Arial"/>
          <w:sz w:val="18"/>
          <w:szCs w:val="18"/>
        </w:rPr>
        <w:t>‘</w:t>
      </w:r>
      <w:r w:rsidRPr="009109BF">
        <w:rPr>
          <w:rFonts w:ascii="Arial" w:hAnsi="Arial" w:cs="Arial"/>
          <w:sz w:val="18"/>
          <w:szCs w:val="18"/>
        </w:rPr>
        <w:t xml:space="preserve">FIND SARAH: Sarah Everard </w:t>
      </w:r>
      <w:r w:rsidR="00182F39">
        <w:rPr>
          <w:rFonts w:ascii="Arial" w:hAnsi="Arial" w:cs="Arial"/>
          <w:sz w:val="18"/>
          <w:szCs w:val="18"/>
        </w:rPr>
        <w:t>M</w:t>
      </w:r>
      <w:r w:rsidRPr="009109BF">
        <w:rPr>
          <w:rFonts w:ascii="Arial" w:hAnsi="Arial" w:cs="Arial"/>
          <w:sz w:val="18"/>
          <w:szCs w:val="18"/>
        </w:rPr>
        <w:t xml:space="preserve">issing- CCTV from </w:t>
      </w:r>
      <w:r w:rsidR="00182F39">
        <w:rPr>
          <w:rFonts w:ascii="Arial" w:hAnsi="Arial" w:cs="Arial"/>
          <w:sz w:val="18"/>
          <w:szCs w:val="18"/>
        </w:rPr>
        <w:t>N</w:t>
      </w:r>
      <w:r w:rsidRPr="009109BF">
        <w:rPr>
          <w:rFonts w:ascii="Arial" w:hAnsi="Arial" w:cs="Arial"/>
          <w:sz w:val="18"/>
          <w:szCs w:val="18"/>
        </w:rPr>
        <w:t xml:space="preserve">ear 33-year-old’s </w:t>
      </w:r>
      <w:r w:rsidR="00182F39">
        <w:rPr>
          <w:rFonts w:ascii="Arial" w:hAnsi="Arial" w:cs="Arial"/>
          <w:sz w:val="18"/>
          <w:szCs w:val="18"/>
        </w:rPr>
        <w:t>H</w:t>
      </w:r>
      <w:r w:rsidRPr="009109BF">
        <w:rPr>
          <w:rFonts w:ascii="Arial" w:hAnsi="Arial" w:cs="Arial"/>
          <w:sz w:val="18"/>
          <w:szCs w:val="18"/>
        </w:rPr>
        <w:t xml:space="preserve">ome </w:t>
      </w:r>
      <w:r w:rsidR="00182F39">
        <w:rPr>
          <w:rFonts w:ascii="Arial" w:hAnsi="Arial" w:cs="Arial"/>
          <w:sz w:val="18"/>
          <w:szCs w:val="18"/>
        </w:rPr>
        <w:t>S</w:t>
      </w:r>
      <w:r w:rsidRPr="009109BF">
        <w:rPr>
          <w:rFonts w:ascii="Arial" w:hAnsi="Arial" w:cs="Arial"/>
          <w:sz w:val="18"/>
          <w:szCs w:val="18"/>
        </w:rPr>
        <w:t xml:space="preserve">hows </w:t>
      </w:r>
      <w:r w:rsidR="00182F39">
        <w:rPr>
          <w:rFonts w:ascii="Arial" w:hAnsi="Arial" w:cs="Arial"/>
          <w:sz w:val="18"/>
          <w:szCs w:val="18"/>
        </w:rPr>
        <w:t>N</w:t>
      </w:r>
      <w:r w:rsidRPr="009109BF">
        <w:rPr>
          <w:rFonts w:ascii="Arial" w:hAnsi="Arial" w:cs="Arial"/>
          <w:sz w:val="18"/>
          <w:szCs w:val="18"/>
        </w:rPr>
        <w:t xml:space="preserve">o </w:t>
      </w:r>
      <w:r w:rsidR="00182F39">
        <w:rPr>
          <w:rFonts w:ascii="Arial" w:hAnsi="Arial" w:cs="Arial"/>
          <w:sz w:val="18"/>
          <w:szCs w:val="18"/>
        </w:rPr>
        <w:t>S</w:t>
      </w:r>
      <w:r w:rsidRPr="009109BF">
        <w:rPr>
          <w:rFonts w:ascii="Arial" w:hAnsi="Arial" w:cs="Arial"/>
          <w:sz w:val="18"/>
          <w:szCs w:val="18"/>
        </w:rPr>
        <w:t xml:space="preserve">ign of her </w:t>
      </w:r>
      <w:r w:rsidR="00182F39">
        <w:rPr>
          <w:rFonts w:ascii="Arial" w:hAnsi="Arial" w:cs="Arial"/>
          <w:sz w:val="18"/>
          <w:szCs w:val="18"/>
        </w:rPr>
        <w:t>R</w:t>
      </w:r>
      <w:r w:rsidRPr="009109BF">
        <w:rPr>
          <w:rFonts w:ascii="Arial" w:hAnsi="Arial" w:cs="Arial"/>
          <w:sz w:val="18"/>
          <w:szCs w:val="18"/>
        </w:rPr>
        <w:t xml:space="preserve">eturning to </w:t>
      </w:r>
      <w:r w:rsidR="00182F39">
        <w:rPr>
          <w:rFonts w:ascii="Arial" w:hAnsi="Arial" w:cs="Arial"/>
          <w:sz w:val="18"/>
          <w:szCs w:val="18"/>
        </w:rPr>
        <w:t>F</w:t>
      </w:r>
      <w:r w:rsidRPr="009109BF">
        <w:rPr>
          <w:rFonts w:ascii="Arial" w:hAnsi="Arial" w:cs="Arial"/>
          <w:sz w:val="18"/>
          <w:szCs w:val="18"/>
        </w:rPr>
        <w:t xml:space="preserve">lat on </w:t>
      </w:r>
      <w:r w:rsidR="00182F39">
        <w:rPr>
          <w:rFonts w:ascii="Arial" w:hAnsi="Arial" w:cs="Arial"/>
          <w:sz w:val="18"/>
          <w:szCs w:val="18"/>
        </w:rPr>
        <w:t>N</w:t>
      </w:r>
      <w:r w:rsidRPr="009109BF">
        <w:rPr>
          <w:rFonts w:ascii="Arial" w:hAnsi="Arial" w:cs="Arial"/>
          <w:sz w:val="18"/>
          <w:szCs w:val="18"/>
        </w:rPr>
        <w:t xml:space="preserve">ight she </w:t>
      </w:r>
      <w:r w:rsidR="00182F39">
        <w:rPr>
          <w:rFonts w:ascii="Arial" w:hAnsi="Arial" w:cs="Arial"/>
          <w:sz w:val="18"/>
          <w:szCs w:val="18"/>
        </w:rPr>
        <w:t>V</w:t>
      </w:r>
      <w:r w:rsidRPr="009109BF">
        <w:rPr>
          <w:rFonts w:ascii="Arial" w:hAnsi="Arial" w:cs="Arial"/>
          <w:sz w:val="18"/>
          <w:szCs w:val="18"/>
        </w:rPr>
        <w:t>anished</w:t>
      </w:r>
      <w:r w:rsidR="00363B6D" w:rsidRPr="009109BF">
        <w:rPr>
          <w:rFonts w:ascii="Arial" w:hAnsi="Arial" w:cs="Arial"/>
          <w:sz w:val="18"/>
          <w:szCs w:val="18"/>
        </w:rPr>
        <w:t>’</w:t>
      </w:r>
      <w:r w:rsidRPr="009109BF">
        <w:rPr>
          <w:rFonts w:ascii="Arial" w:hAnsi="Arial" w:cs="Arial"/>
          <w:sz w:val="18"/>
          <w:szCs w:val="18"/>
        </w:rPr>
        <w:t xml:space="preserve">  The Sun Online, 9</w:t>
      </w:r>
      <w:r w:rsidRPr="009109BF">
        <w:rPr>
          <w:rFonts w:ascii="Arial" w:hAnsi="Arial" w:cs="Arial"/>
          <w:sz w:val="18"/>
          <w:szCs w:val="18"/>
          <w:vertAlign w:val="superscript"/>
        </w:rPr>
        <w:t>th</w:t>
      </w:r>
      <w:r w:rsidRPr="009109BF">
        <w:rPr>
          <w:rFonts w:ascii="Arial" w:hAnsi="Arial" w:cs="Arial"/>
          <w:sz w:val="18"/>
          <w:szCs w:val="18"/>
        </w:rPr>
        <w:t xml:space="preserve"> March 2021</w:t>
      </w:r>
      <w:r w:rsidR="0033628D" w:rsidRPr="009109BF">
        <w:rPr>
          <w:rFonts w:ascii="Arial" w:hAnsi="Arial" w:cs="Arial"/>
          <w:sz w:val="18"/>
          <w:szCs w:val="18"/>
        </w:rPr>
        <w:t>. Available at:</w:t>
      </w:r>
      <w:r w:rsidRPr="009109BF">
        <w:rPr>
          <w:rFonts w:ascii="Arial" w:hAnsi="Arial" w:cs="Arial"/>
          <w:sz w:val="18"/>
          <w:szCs w:val="18"/>
        </w:rPr>
        <w:t xml:space="preserve"> </w:t>
      </w:r>
      <w:hyperlink r:id="rId4" w:history="1">
        <w:r w:rsidRPr="009109BF">
          <w:rPr>
            <w:rStyle w:val="Hyperlink"/>
            <w:rFonts w:ascii="Arial" w:hAnsi="Arial" w:cs="Arial"/>
            <w:sz w:val="18"/>
            <w:szCs w:val="18"/>
          </w:rPr>
          <w:t>https://www.thesun.co.uk/news/14282089/sarah-everard-missing-cctv-home-brixton/</w:t>
        </w:r>
      </w:hyperlink>
      <w:r w:rsidRPr="009109BF">
        <w:rPr>
          <w:rFonts w:ascii="Arial" w:hAnsi="Arial" w:cs="Arial"/>
          <w:sz w:val="18"/>
          <w:szCs w:val="18"/>
        </w:rPr>
        <w:t xml:space="preserve"> (last accessed </w:t>
      </w:r>
      <w:r w:rsidR="00F645E9">
        <w:rPr>
          <w:rFonts w:ascii="Arial" w:hAnsi="Arial" w:cs="Arial"/>
          <w:sz w:val="18"/>
          <w:szCs w:val="18"/>
        </w:rPr>
        <w:t>14 June 2024</w:t>
      </w:r>
      <w:r w:rsidRPr="009109BF">
        <w:rPr>
          <w:rFonts w:ascii="Arial" w:hAnsi="Arial" w:cs="Arial"/>
          <w:sz w:val="18"/>
          <w:szCs w:val="18"/>
        </w:rPr>
        <w:t>)</w:t>
      </w:r>
      <w:r w:rsidR="0033628D" w:rsidRPr="009109BF">
        <w:rPr>
          <w:rFonts w:ascii="Arial" w:hAnsi="Arial" w:cs="Arial"/>
          <w:sz w:val="18"/>
          <w:szCs w:val="18"/>
        </w:rPr>
        <w:t>.</w:t>
      </w:r>
    </w:p>
  </w:footnote>
  <w:footnote w:id="34">
    <w:p w14:paraId="08A201DE" w14:textId="765CD87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From a contemporary perspective, it is likely that for most readers of </w:t>
      </w:r>
      <w:r w:rsidRPr="009109BF">
        <w:rPr>
          <w:rFonts w:ascii="Arial" w:hAnsi="Arial" w:cs="Arial"/>
          <w:i/>
          <w:iCs/>
          <w:sz w:val="18"/>
          <w:szCs w:val="18"/>
        </w:rPr>
        <w:t xml:space="preserve">After Dark </w:t>
      </w:r>
      <w:r w:rsidRPr="009109BF">
        <w:rPr>
          <w:rFonts w:ascii="Arial" w:hAnsi="Arial" w:cs="Arial"/>
          <w:sz w:val="18"/>
          <w:szCs w:val="18"/>
        </w:rPr>
        <w:t>the events described in the first chapter of the novel will evoke uncomfortable reflections on this crime (committed on 3</w:t>
      </w:r>
      <w:r w:rsidRPr="009109BF">
        <w:rPr>
          <w:rFonts w:ascii="Arial" w:hAnsi="Arial" w:cs="Arial"/>
          <w:sz w:val="18"/>
          <w:szCs w:val="18"/>
          <w:vertAlign w:val="superscript"/>
        </w:rPr>
        <w:t>rd</w:t>
      </w:r>
      <w:r w:rsidRPr="009109BF">
        <w:rPr>
          <w:rFonts w:ascii="Arial" w:hAnsi="Arial" w:cs="Arial"/>
          <w:sz w:val="18"/>
          <w:szCs w:val="18"/>
        </w:rPr>
        <w:t xml:space="preserve"> March 2021 by an on-duty police officer, who was subsequently given a </w:t>
      </w:r>
      <w:r w:rsidR="00363B6D" w:rsidRPr="009109BF">
        <w:rPr>
          <w:rFonts w:ascii="Arial" w:hAnsi="Arial" w:cs="Arial"/>
          <w:sz w:val="18"/>
          <w:szCs w:val="18"/>
        </w:rPr>
        <w:t>‘</w:t>
      </w:r>
      <w:r w:rsidRPr="009109BF">
        <w:rPr>
          <w:rFonts w:ascii="Arial" w:hAnsi="Arial" w:cs="Arial"/>
          <w:sz w:val="18"/>
          <w:szCs w:val="18"/>
        </w:rPr>
        <w:t>whole life</w:t>
      </w:r>
      <w:r w:rsidR="00363B6D" w:rsidRPr="009109BF">
        <w:rPr>
          <w:rFonts w:ascii="Arial" w:hAnsi="Arial" w:cs="Arial"/>
          <w:sz w:val="18"/>
          <w:szCs w:val="18"/>
        </w:rPr>
        <w:t>’</w:t>
      </w:r>
      <w:r w:rsidRPr="009109BF">
        <w:rPr>
          <w:rFonts w:ascii="Arial" w:hAnsi="Arial" w:cs="Arial"/>
          <w:sz w:val="18"/>
          <w:szCs w:val="18"/>
        </w:rPr>
        <w:t xml:space="preserve"> custodial sentence under s321 of the Sentencing Act 2020, a sentence upheld on appeal (</w:t>
      </w:r>
      <w:r w:rsidRPr="009109BF">
        <w:rPr>
          <w:rFonts w:ascii="Arial" w:hAnsi="Arial" w:cs="Arial"/>
          <w:i/>
          <w:iCs/>
          <w:sz w:val="18"/>
          <w:szCs w:val="18"/>
        </w:rPr>
        <w:t xml:space="preserve">R v Stewart </w:t>
      </w:r>
      <w:r w:rsidRPr="009109BF">
        <w:rPr>
          <w:rFonts w:ascii="Arial" w:hAnsi="Arial" w:cs="Arial"/>
          <w:sz w:val="18"/>
          <w:szCs w:val="18"/>
        </w:rPr>
        <w:t xml:space="preserve">[2022] 4 W.L.R 86). However, according to an </w:t>
      </w:r>
      <w:r w:rsidR="00363B6D" w:rsidRPr="009109BF">
        <w:rPr>
          <w:rFonts w:ascii="Arial" w:hAnsi="Arial" w:cs="Arial"/>
          <w:sz w:val="18"/>
          <w:szCs w:val="18"/>
        </w:rPr>
        <w:t>‘</w:t>
      </w:r>
      <w:r w:rsidRPr="009109BF">
        <w:rPr>
          <w:rFonts w:ascii="Arial" w:hAnsi="Arial" w:cs="Arial"/>
          <w:sz w:val="18"/>
          <w:szCs w:val="18"/>
        </w:rPr>
        <w:t>Author’s Note</w:t>
      </w:r>
      <w:r w:rsidR="00363B6D" w:rsidRPr="009109BF">
        <w:rPr>
          <w:rFonts w:ascii="Arial" w:hAnsi="Arial" w:cs="Arial"/>
          <w:sz w:val="18"/>
          <w:szCs w:val="18"/>
        </w:rPr>
        <w:t>’</w:t>
      </w:r>
      <w:r w:rsidRPr="009109BF">
        <w:rPr>
          <w:rFonts w:ascii="Arial" w:hAnsi="Arial" w:cs="Arial"/>
          <w:sz w:val="18"/>
          <w:szCs w:val="18"/>
        </w:rPr>
        <w:t xml:space="preserve"> (</w:t>
      </w:r>
      <w:r w:rsidRPr="009109BF">
        <w:rPr>
          <w:rFonts w:ascii="Arial" w:hAnsi="Arial" w:cs="Arial"/>
          <w:i/>
          <w:iCs/>
          <w:sz w:val="18"/>
          <w:szCs w:val="18"/>
        </w:rPr>
        <w:t>After Dark</w:t>
      </w:r>
      <w:r w:rsidR="006D50C0" w:rsidRPr="009109BF">
        <w:rPr>
          <w:rFonts w:ascii="Arial" w:hAnsi="Arial" w:cs="Arial"/>
          <w:i/>
          <w:iCs/>
          <w:sz w:val="18"/>
          <w:szCs w:val="18"/>
        </w:rPr>
        <w:t>,</w:t>
      </w:r>
      <w:r w:rsidRPr="009109BF">
        <w:rPr>
          <w:rFonts w:ascii="Arial" w:hAnsi="Arial" w:cs="Arial"/>
          <w:i/>
          <w:iCs/>
          <w:sz w:val="18"/>
          <w:szCs w:val="18"/>
        </w:rPr>
        <w:t xml:space="preserve"> </w:t>
      </w:r>
      <w:r w:rsidRPr="009109BF">
        <w:rPr>
          <w:rFonts w:ascii="Arial" w:hAnsi="Arial" w:cs="Arial"/>
          <w:sz w:val="18"/>
          <w:szCs w:val="18"/>
        </w:rPr>
        <w:t>393), the novel was written in 2019).</w:t>
      </w:r>
    </w:p>
  </w:footnote>
  <w:footnote w:id="35">
    <w:p w14:paraId="4A2E49F6" w14:textId="7C85813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D50C0" w:rsidRPr="009109BF">
        <w:rPr>
          <w:rFonts w:ascii="Arial" w:hAnsi="Arial" w:cs="Arial"/>
          <w:sz w:val="18"/>
          <w:szCs w:val="18"/>
        </w:rPr>
        <w:t xml:space="preserve">Cowie, </w:t>
      </w:r>
      <w:r w:rsidRPr="009109BF">
        <w:rPr>
          <w:rFonts w:ascii="Arial" w:hAnsi="Arial" w:cs="Arial"/>
          <w:i/>
          <w:iCs/>
          <w:sz w:val="18"/>
          <w:szCs w:val="18"/>
        </w:rPr>
        <w:t>After Dark</w:t>
      </w:r>
      <w:r w:rsidR="006D50C0" w:rsidRPr="009109BF">
        <w:rPr>
          <w:rFonts w:ascii="Arial" w:hAnsi="Arial" w:cs="Arial"/>
          <w:i/>
          <w:iCs/>
          <w:sz w:val="18"/>
          <w:szCs w:val="18"/>
        </w:rPr>
        <w:t xml:space="preserve">, </w:t>
      </w:r>
      <w:r w:rsidR="006D50C0" w:rsidRPr="009109BF">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4</w:t>
      </w:r>
      <w:r w:rsidR="006D50C0" w:rsidRPr="009109BF">
        <w:rPr>
          <w:rFonts w:ascii="Arial" w:hAnsi="Arial" w:cs="Arial"/>
          <w:sz w:val="18"/>
          <w:szCs w:val="18"/>
        </w:rPr>
        <w:t>.</w:t>
      </w:r>
    </w:p>
  </w:footnote>
  <w:footnote w:id="36">
    <w:p w14:paraId="666BCB6A" w14:textId="665A7615" w:rsidR="003678C1" w:rsidRPr="009109BF" w:rsidRDefault="003678C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D50C0" w:rsidRPr="009109BF">
        <w:rPr>
          <w:rFonts w:ascii="Arial" w:hAnsi="Arial" w:cs="Arial"/>
          <w:sz w:val="18"/>
          <w:szCs w:val="18"/>
        </w:rPr>
        <w:t>ibid, b</w:t>
      </w:r>
      <w:r w:rsidRPr="009109BF">
        <w:rPr>
          <w:rFonts w:ascii="Arial" w:hAnsi="Arial" w:cs="Arial"/>
          <w:sz w:val="18"/>
          <w:szCs w:val="18"/>
        </w:rPr>
        <w:t>ack cover print</w:t>
      </w:r>
      <w:r w:rsidR="0062387E" w:rsidRPr="009109BF">
        <w:rPr>
          <w:rFonts w:ascii="Arial" w:hAnsi="Arial" w:cs="Arial"/>
          <w:sz w:val="18"/>
          <w:szCs w:val="18"/>
        </w:rPr>
        <w:t>.</w:t>
      </w:r>
    </w:p>
  </w:footnote>
  <w:footnote w:id="37">
    <w:p w14:paraId="3CF2614A" w14:textId="40E5A26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824AA9">
        <w:rPr>
          <w:rFonts w:ascii="Arial" w:hAnsi="Arial" w:cs="Arial"/>
          <w:sz w:val="18"/>
          <w:szCs w:val="18"/>
        </w:rPr>
        <w:t xml:space="preserve">Pannell, J, &amp; Baker, F </w:t>
      </w:r>
      <w:r w:rsidR="00CF2295">
        <w:rPr>
          <w:rFonts w:ascii="Arial" w:hAnsi="Arial" w:cs="Arial"/>
          <w:sz w:val="18"/>
          <w:szCs w:val="18"/>
        </w:rPr>
        <w:t>“Gender balance in politics” Institut</w:t>
      </w:r>
      <w:r w:rsidR="005C2305">
        <w:rPr>
          <w:rFonts w:ascii="Arial" w:hAnsi="Arial" w:cs="Arial"/>
          <w:sz w:val="18"/>
          <w:szCs w:val="18"/>
        </w:rPr>
        <w:t>e for Government, 7</w:t>
      </w:r>
      <w:r w:rsidR="005C2305" w:rsidRPr="005C2305">
        <w:rPr>
          <w:rFonts w:ascii="Arial" w:hAnsi="Arial" w:cs="Arial"/>
          <w:sz w:val="18"/>
          <w:szCs w:val="18"/>
          <w:vertAlign w:val="superscript"/>
        </w:rPr>
        <w:t>th</w:t>
      </w:r>
      <w:r w:rsidR="005C2305">
        <w:rPr>
          <w:rFonts w:ascii="Arial" w:hAnsi="Arial" w:cs="Arial"/>
          <w:sz w:val="18"/>
          <w:szCs w:val="18"/>
        </w:rPr>
        <w:t xml:space="preserve"> May 2021</w:t>
      </w:r>
      <w:r w:rsidR="00182F39">
        <w:rPr>
          <w:rFonts w:ascii="Arial" w:hAnsi="Arial" w:cs="Arial"/>
          <w:sz w:val="18"/>
          <w:szCs w:val="18"/>
        </w:rPr>
        <w:t xml:space="preserve">. Available at: </w:t>
      </w:r>
      <w:hyperlink r:id="rId5" w:history="1">
        <w:r w:rsidRPr="009109BF">
          <w:rPr>
            <w:rStyle w:val="Hyperlink"/>
            <w:rFonts w:ascii="Arial" w:hAnsi="Arial" w:cs="Arial"/>
            <w:sz w:val="18"/>
            <w:szCs w:val="18"/>
          </w:rPr>
          <w:t>https://www.instituteforgovernment.org.uk/explainer/gender-balance-politics</w:t>
        </w:r>
      </w:hyperlink>
      <w:r w:rsidRPr="009109BF">
        <w:rPr>
          <w:rFonts w:ascii="Arial" w:hAnsi="Arial" w:cs="Arial"/>
          <w:sz w:val="18"/>
          <w:szCs w:val="18"/>
        </w:rPr>
        <w:t xml:space="preserve"> (last accessed </w:t>
      </w:r>
      <w:r w:rsidR="00943B03">
        <w:rPr>
          <w:rFonts w:ascii="Arial" w:hAnsi="Arial" w:cs="Arial"/>
          <w:sz w:val="18"/>
          <w:szCs w:val="18"/>
        </w:rPr>
        <w:t>14 June 2024</w:t>
      </w:r>
      <w:r w:rsidRPr="009109BF">
        <w:rPr>
          <w:rFonts w:ascii="Arial" w:hAnsi="Arial" w:cs="Arial"/>
          <w:sz w:val="18"/>
          <w:szCs w:val="18"/>
        </w:rPr>
        <w:t>)</w:t>
      </w:r>
      <w:r w:rsidR="0062387E" w:rsidRPr="009109BF">
        <w:rPr>
          <w:rFonts w:ascii="Arial" w:hAnsi="Arial" w:cs="Arial"/>
          <w:sz w:val="18"/>
          <w:szCs w:val="18"/>
        </w:rPr>
        <w:t>.</w:t>
      </w:r>
    </w:p>
  </w:footnote>
  <w:footnote w:id="38">
    <w:p w14:paraId="398B3703" w14:textId="014BC67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7535C5" w:rsidRPr="009109BF">
        <w:rPr>
          <w:rFonts w:ascii="Arial" w:hAnsi="Arial" w:cs="Arial"/>
          <w:sz w:val="18"/>
          <w:szCs w:val="18"/>
        </w:rPr>
        <w:t xml:space="preserve">Cowie, </w:t>
      </w:r>
      <w:r w:rsidRPr="009109BF">
        <w:rPr>
          <w:rFonts w:ascii="Arial" w:hAnsi="Arial" w:cs="Arial"/>
          <w:i/>
          <w:iCs/>
          <w:sz w:val="18"/>
          <w:szCs w:val="18"/>
        </w:rPr>
        <w:t>After Dark</w:t>
      </w:r>
      <w:r w:rsidR="007535C5" w:rsidRPr="009109BF">
        <w:rPr>
          <w:rFonts w:ascii="Arial" w:hAnsi="Arial" w:cs="Arial"/>
          <w:i/>
          <w:iCs/>
          <w:sz w:val="18"/>
          <w:szCs w:val="18"/>
        </w:rPr>
        <w:t xml:space="preserve">, </w:t>
      </w:r>
      <w:r w:rsidR="007535C5" w:rsidRPr="009109BF">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393</w:t>
      </w:r>
      <w:r w:rsidR="0062387E" w:rsidRPr="009109BF">
        <w:rPr>
          <w:rFonts w:ascii="Arial" w:hAnsi="Arial" w:cs="Arial"/>
          <w:sz w:val="18"/>
          <w:szCs w:val="18"/>
        </w:rPr>
        <w:t>.</w:t>
      </w:r>
    </w:p>
  </w:footnote>
  <w:footnote w:id="39">
    <w:p w14:paraId="2CCA53D8" w14:textId="54AD87A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Human Rights Act 1998, Schedule 1 Part 1</w:t>
      </w:r>
      <w:r w:rsidR="0062387E" w:rsidRPr="009109BF">
        <w:rPr>
          <w:rFonts w:ascii="Arial" w:hAnsi="Arial" w:cs="Arial"/>
          <w:sz w:val="18"/>
          <w:szCs w:val="18"/>
        </w:rPr>
        <w:t>,</w:t>
      </w:r>
      <w:r w:rsidRPr="009109BF">
        <w:rPr>
          <w:rFonts w:ascii="Arial" w:hAnsi="Arial" w:cs="Arial"/>
          <w:sz w:val="18"/>
          <w:szCs w:val="18"/>
        </w:rPr>
        <w:t xml:space="preserve"> Article 8</w:t>
      </w:r>
      <w:r w:rsidR="0062387E" w:rsidRPr="009109BF">
        <w:rPr>
          <w:rFonts w:ascii="Arial" w:hAnsi="Arial" w:cs="Arial"/>
          <w:sz w:val="18"/>
          <w:szCs w:val="18"/>
        </w:rPr>
        <w:t>.</w:t>
      </w:r>
    </w:p>
  </w:footnote>
  <w:footnote w:id="40">
    <w:p w14:paraId="1346A4EB" w14:textId="203B1426" w:rsidR="003678C1" w:rsidRPr="009109BF" w:rsidRDefault="003678C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Pr="009109BF">
        <w:rPr>
          <w:rFonts w:ascii="Arial" w:hAnsi="Arial" w:cs="Arial"/>
          <w:i/>
          <w:iCs/>
          <w:sz w:val="18"/>
          <w:szCs w:val="18"/>
        </w:rPr>
        <w:t xml:space="preserve">R (Dolan and others) v Secretary of State for Health and Social Care and another </w:t>
      </w:r>
      <w:r w:rsidRPr="009109BF">
        <w:rPr>
          <w:rFonts w:ascii="Arial" w:hAnsi="Arial" w:cs="Arial"/>
          <w:sz w:val="18"/>
          <w:szCs w:val="18"/>
        </w:rPr>
        <w:t>[2021] 1 W.L.R 2326, 2545 per Burnett LCJ, King and Singh LJJ</w:t>
      </w:r>
      <w:r w:rsidR="0062387E" w:rsidRPr="009109BF">
        <w:rPr>
          <w:rFonts w:ascii="Arial" w:hAnsi="Arial" w:cs="Arial"/>
          <w:sz w:val="18"/>
          <w:szCs w:val="18"/>
        </w:rPr>
        <w:t>.</w:t>
      </w:r>
    </w:p>
  </w:footnote>
  <w:footnote w:id="41">
    <w:p w14:paraId="260F815C" w14:textId="44943158"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Cowie, </w:t>
      </w:r>
      <w:r w:rsidRPr="009109BF">
        <w:rPr>
          <w:rFonts w:ascii="Arial" w:hAnsi="Arial" w:cs="Arial"/>
          <w:i/>
          <w:iCs/>
          <w:sz w:val="18"/>
          <w:szCs w:val="18"/>
        </w:rPr>
        <w:t>After Dark</w:t>
      </w:r>
      <w:r w:rsidR="0062387E" w:rsidRPr="009109BF">
        <w:rPr>
          <w:rFonts w:ascii="Arial" w:hAnsi="Arial" w:cs="Arial"/>
          <w:i/>
          <w:iCs/>
          <w:sz w:val="18"/>
          <w:szCs w:val="18"/>
        </w:rPr>
        <w:t xml:space="preserve">, </w:t>
      </w:r>
      <w:r w:rsidR="0062387E" w:rsidRPr="009109BF">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395</w:t>
      </w:r>
      <w:r w:rsidR="0062387E" w:rsidRPr="009109BF">
        <w:rPr>
          <w:rFonts w:ascii="Arial" w:hAnsi="Arial" w:cs="Arial"/>
          <w:sz w:val="18"/>
          <w:szCs w:val="18"/>
        </w:rPr>
        <w:t>.</w:t>
      </w:r>
    </w:p>
  </w:footnote>
  <w:footnote w:id="42">
    <w:p w14:paraId="3BE2637D" w14:textId="2C3ACF4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Baroness Jones of Moulsecoomb, HL Deb 10</w:t>
      </w:r>
      <w:r w:rsidRPr="009109BF">
        <w:rPr>
          <w:rFonts w:ascii="Arial" w:hAnsi="Arial" w:cs="Arial"/>
          <w:sz w:val="18"/>
          <w:szCs w:val="18"/>
          <w:vertAlign w:val="superscript"/>
        </w:rPr>
        <w:t>th</w:t>
      </w:r>
      <w:r w:rsidRPr="009109BF">
        <w:rPr>
          <w:rFonts w:ascii="Arial" w:hAnsi="Arial" w:cs="Arial"/>
          <w:sz w:val="18"/>
          <w:szCs w:val="18"/>
        </w:rPr>
        <w:t xml:space="preserve"> March 2021 Vol 810 Col 1750</w:t>
      </w:r>
      <w:r w:rsidR="0062387E" w:rsidRPr="009109BF">
        <w:rPr>
          <w:rFonts w:ascii="Arial" w:hAnsi="Arial" w:cs="Arial"/>
          <w:sz w:val="18"/>
          <w:szCs w:val="18"/>
        </w:rPr>
        <w:t>.</w:t>
      </w:r>
    </w:p>
  </w:footnote>
  <w:footnote w:id="43">
    <w:p w14:paraId="770F8DAB" w14:textId="0078C216" w:rsidR="00311631" w:rsidRPr="009109BF" w:rsidRDefault="00311631" w:rsidP="00A6138D">
      <w:pPr>
        <w:pStyle w:val="Heading1"/>
        <w:ind w:left="0" w:firstLine="0"/>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b w:val="0"/>
          <w:bCs w:val="0"/>
          <w:sz w:val="18"/>
          <w:szCs w:val="18"/>
        </w:rPr>
        <w:t xml:space="preserve">M </w:t>
      </w:r>
      <w:r w:rsidRPr="009109BF">
        <w:rPr>
          <w:rFonts w:ascii="Arial" w:hAnsi="Arial" w:cs="Arial"/>
          <w:b w:val="0"/>
          <w:bCs w:val="0"/>
          <w:color w:val="000000"/>
          <w:sz w:val="18"/>
          <w:szCs w:val="18"/>
        </w:rPr>
        <w:t xml:space="preserve">Goodfellow </w:t>
      </w:r>
      <w:r w:rsidR="00363B6D" w:rsidRPr="009109BF">
        <w:rPr>
          <w:rFonts w:ascii="Arial" w:hAnsi="Arial" w:cs="Arial"/>
          <w:b w:val="0"/>
          <w:bCs w:val="0"/>
          <w:sz w:val="18"/>
          <w:szCs w:val="18"/>
        </w:rPr>
        <w:t>‘</w:t>
      </w:r>
      <w:r w:rsidRPr="009109BF">
        <w:rPr>
          <w:rFonts w:ascii="Arial" w:hAnsi="Arial" w:cs="Arial"/>
          <w:b w:val="0"/>
          <w:bCs w:val="0"/>
          <w:color w:val="000000"/>
          <w:sz w:val="18"/>
          <w:szCs w:val="18"/>
        </w:rPr>
        <w:t xml:space="preserve">Peer who </w:t>
      </w:r>
      <w:r w:rsidR="00182F39">
        <w:rPr>
          <w:rFonts w:ascii="Arial" w:hAnsi="Arial" w:cs="Arial"/>
          <w:b w:val="0"/>
          <w:bCs w:val="0"/>
          <w:color w:val="000000"/>
          <w:sz w:val="18"/>
          <w:szCs w:val="18"/>
        </w:rPr>
        <w:t>S</w:t>
      </w:r>
      <w:r w:rsidRPr="009109BF">
        <w:rPr>
          <w:rFonts w:ascii="Arial" w:hAnsi="Arial" w:cs="Arial"/>
          <w:b w:val="0"/>
          <w:bCs w:val="0"/>
          <w:color w:val="000000"/>
          <w:sz w:val="18"/>
          <w:szCs w:val="18"/>
        </w:rPr>
        <w:t xml:space="preserve">uggested 6pm </w:t>
      </w:r>
      <w:r w:rsidR="00182F39">
        <w:rPr>
          <w:rFonts w:ascii="Arial" w:hAnsi="Arial" w:cs="Arial"/>
          <w:b w:val="0"/>
          <w:bCs w:val="0"/>
          <w:color w:val="000000"/>
          <w:sz w:val="18"/>
          <w:szCs w:val="18"/>
        </w:rPr>
        <w:t>C</w:t>
      </w:r>
      <w:r w:rsidRPr="009109BF">
        <w:rPr>
          <w:rFonts w:ascii="Arial" w:hAnsi="Arial" w:cs="Arial"/>
          <w:b w:val="0"/>
          <w:bCs w:val="0"/>
          <w:color w:val="000000"/>
          <w:sz w:val="18"/>
          <w:szCs w:val="18"/>
        </w:rPr>
        <w:t xml:space="preserve">urfew for </w:t>
      </w:r>
      <w:r w:rsidR="00182F39">
        <w:rPr>
          <w:rFonts w:ascii="Arial" w:hAnsi="Arial" w:cs="Arial"/>
          <w:b w:val="0"/>
          <w:bCs w:val="0"/>
          <w:color w:val="000000"/>
          <w:sz w:val="18"/>
          <w:szCs w:val="18"/>
        </w:rPr>
        <w:t>M</w:t>
      </w:r>
      <w:r w:rsidRPr="009109BF">
        <w:rPr>
          <w:rFonts w:ascii="Arial" w:hAnsi="Arial" w:cs="Arial"/>
          <w:b w:val="0"/>
          <w:bCs w:val="0"/>
          <w:color w:val="000000"/>
          <w:sz w:val="18"/>
          <w:szCs w:val="18"/>
        </w:rPr>
        <w:t xml:space="preserve">en </w:t>
      </w:r>
      <w:r w:rsidR="00182F39">
        <w:rPr>
          <w:rFonts w:ascii="Arial" w:hAnsi="Arial" w:cs="Arial"/>
          <w:b w:val="0"/>
          <w:bCs w:val="0"/>
          <w:color w:val="000000"/>
          <w:sz w:val="18"/>
          <w:szCs w:val="18"/>
        </w:rPr>
        <w:t>S</w:t>
      </w:r>
      <w:r w:rsidRPr="009109BF">
        <w:rPr>
          <w:rFonts w:ascii="Arial" w:hAnsi="Arial" w:cs="Arial"/>
          <w:b w:val="0"/>
          <w:bCs w:val="0"/>
          <w:color w:val="000000"/>
          <w:sz w:val="18"/>
          <w:szCs w:val="18"/>
        </w:rPr>
        <w:t>taggered by '</w:t>
      </w:r>
      <w:r w:rsidR="00182F39">
        <w:rPr>
          <w:rFonts w:ascii="Arial" w:hAnsi="Arial" w:cs="Arial"/>
          <w:b w:val="0"/>
          <w:bCs w:val="0"/>
          <w:color w:val="000000"/>
          <w:sz w:val="18"/>
          <w:szCs w:val="18"/>
        </w:rPr>
        <w:t>M</w:t>
      </w:r>
      <w:r w:rsidRPr="009109BF">
        <w:rPr>
          <w:rFonts w:ascii="Arial" w:hAnsi="Arial" w:cs="Arial"/>
          <w:b w:val="0"/>
          <w:bCs w:val="0"/>
          <w:color w:val="000000"/>
          <w:sz w:val="18"/>
          <w:szCs w:val="18"/>
        </w:rPr>
        <w:t xml:space="preserve">isogynistic </w:t>
      </w:r>
      <w:r w:rsidR="00182F39">
        <w:rPr>
          <w:rFonts w:ascii="Arial" w:hAnsi="Arial" w:cs="Arial"/>
          <w:b w:val="0"/>
          <w:bCs w:val="0"/>
          <w:color w:val="000000"/>
          <w:sz w:val="18"/>
          <w:szCs w:val="18"/>
        </w:rPr>
        <w:t>H</w:t>
      </w:r>
      <w:r w:rsidRPr="009109BF">
        <w:rPr>
          <w:rFonts w:ascii="Arial" w:hAnsi="Arial" w:cs="Arial"/>
          <w:b w:val="0"/>
          <w:bCs w:val="0"/>
          <w:color w:val="000000"/>
          <w:sz w:val="18"/>
          <w:szCs w:val="18"/>
        </w:rPr>
        <w:t xml:space="preserve">issy </w:t>
      </w:r>
      <w:r w:rsidR="00182F39">
        <w:rPr>
          <w:rFonts w:ascii="Arial" w:hAnsi="Arial" w:cs="Arial"/>
          <w:b w:val="0"/>
          <w:bCs w:val="0"/>
          <w:color w:val="000000"/>
          <w:sz w:val="18"/>
          <w:szCs w:val="18"/>
        </w:rPr>
        <w:t>F</w:t>
      </w:r>
      <w:r w:rsidRPr="009109BF">
        <w:rPr>
          <w:rFonts w:ascii="Arial" w:hAnsi="Arial" w:cs="Arial"/>
          <w:b w:val="0"/>
          <w:bCs w:val="0"/>
          <w:color w:val="000000"/>
          <w:sz w:val="18"/>
          <w:szCs w:val="18"/>
        </w:rPr>
        <w:t xml:space="preserve">it' </w:t>
      </w:r>
      <w:r w:rsidR="00182F39">
        <w:rPr>
          <w:rFonts w:ascii="Arial" w:hAnsi="Arial" w:cs="Arial"/>
          <w:b w:val="0"/>
          <w:bCs w:val="0"/>
          <w:color w:val="000000"/>
          <w:sz w:val="18"/>
          <w:szCs w:val="18"/>
        </w:rPr>
        <w:t>R</w:t>
      </w:r>
      <w:r w:rsidRPr="009109BF">
        <w:rPr>
          <w:rFonts w:ascii="Arial" w:hAnsi="Arial" w:cs="Arial"/>
          <w:b w:val="0"/>
          <w:bCs w:val="0"/>
          <w:color w:val="000000"/>
          <w:sz w:val="18"/>
          <w:szCs w:val="18"/>
        </w:rPr>
        <w:t>eaction</w:t>
      </w:r>
      <w:r w:rsidR="00363B6D" w:rsidRPr="009109BF">
        <w:rPr>
          <w:rFonts w:ascii="Arial" w:hAnsi="Arial" w:cs="Arial"/>
          <w:b w:val="0"/>
          <w:bCs w:val="0"/>
          <w:color w:val="000000"/>
          <w:sz w:val="18"/>
          <w:szCs w:val="18"/>
        </w:rPr>
        <w:t>’</w:t>
      </w:r>
      <w:r w:rsidRPr="009109BF">
        <w:rPr>
          <w:rFonts w:ascii="Arial" w:hAnsi="Arial" w:cs="Arial"/>
          <w:b w:val="0"/>
          <w:bCs w:val="0"/>
          <w:color w:val="000000"/>
          <w:sz w:val="18"/>
          <w:szCs w:val="18"/>
        </w:rPr>
        <w:t xml:space="preserve"> </w:t>
      </w:r>
      <w:r w:rsidR="0062387E" w:rsidRPr="009109BF">
        <w:rPr>
          <w:rFonts w:ascii="Arial" w:hAnsi="Arial" w:cs="Arial"/>
          <w:b w:val="0"/>
          <w:bCs w:val="0"/>
          <w:sz w:val="18"/>
          <w:szCs w:val="18"/>
        </w:rPr>
        <w:t xml:space="preserve">LBC, </w:t>
      </w:r>
      <w:r w:rsidRPr="009109BF">
        <w:rPr>
          <w:rFonts w:ascii="Arial" w:hAnsi="Arial" w:cs="Arial"/>
          <w:b w:val="0"/>
          <w:bCs w:val="0"/>
          <w:color w:val="000000"/>
          <w:sz w:val="18"/>
          <w:szCs w:val="18"/>
        </w:rPr>
        <w:t xml:space="preserve"> 12</w:t>
      </w:r>
      <w:r w:rsidRPr="009109BF">
        <w:rPr>
          <w:rFonts w:ascii="Arial" w:hAnsi="Arial" w:cs="Arial"/>
          <w:b w:val="0"/>
          <w:bCs w:val="0"/>
          <w:color w:val="000000"/>
          <w:sz w:val="18"/>
          <w:szCs w:val="18"/>
          <w:vertAlign w:val="superscript"/>
        </w:rPr>
        <w:t>th</w:t>
      </w:r>
      <w:r w:rsidRPr="009109BF">
        <w:rPr>
          <w:rFonts w:ascii="Arial" w:hAnsi="Arial" w:cs="Arial"/>
          <w:b w:val="0"/>
          <w:bCs w:val="0"/>
          <w:color w:val="000000"/>
          <w:sz w:val="18"/>
          <w:szCs w:val="18"/>
        </w:rPr>
        <w:t xml:space="preserve"> March 2021</w:t>
      </w:r>
      <w:r w:rsidR="0062387E" w:rsidRPr="009109BF">
        <w:rPr>
          <w:rFonts w:ascii="Arial" w:hAnsi="Arial" w:cs="Arial"/>
          <w:b w:val="0"/>
          <w:bCs w:val="0"/>
          <w:color w:val="000000"/>
          <w:sz w:val="18"/>
          <w:szCs w:val="18"/>
        </w:rPr>
        <w:t>. Available at:</w:t>
      </w:r>
      <w:r w:rsidRPr="009109BF">
        <w:rPr>
          <w:rFonts w:ascii="Arial" w:hAnsi="Arial" w:cs="Arial"/>
          <w:b w:val="0"/>
          <w:bCs w:val="0"/>
          <w:color w:val="000000"/>
          <w:sz w:val="18"/>
          <w:szCs w:val="18"/>
        </w:rPr>
        <w:t xml:space="preserve"> (</w:t>
      </w:r>
      <w:hyperlink r:id="rId6" w:history="1">
        <w:r w:rsidRPr="009109BF">
          <w:rPr>
            <w:rStyle w:val="Hyperlink"/>
            <w:rFonts w:ascii="Arial" w:hAnsi="Arial" w:cs="Arial"/>
            <w:b w:val="0"/>
            <w:bCs w:val="0"/>
            <w:sz w:val="18"/>
            <w:szCs w:val="18"/>
          </w:rPr>
          <w:t>https://www.lbc.co.uk/radio/presenters/andrew-pierce/peer-curfew-men-staggered-misogynistic-hissy-fit-reaction/</w:t>
        </w:r>
      </w:hyperlink>
      <w:r w:rsidRPr="009109BF">
        <w:rPr>
          <w:rStyle w:val="Hyperlink"/>
          <w:rFonts w:ascii="Arial" w:hAnsi="Arial" w:cs="Arial"/>
          <w:b w:val="0"/>
          <w:bCs w:val="0"/>
          <w:sz w:val="18"/>
          <w:szCs w:val="18"/>
        </w:rPr>
        <w:t xml:space="preserve"> </w:t>
      </w:r>
      <w:r w:rsidRPr="009109BF">
        <w:rPr>
          <w:rFonts w:ascii="Arial" w:hAnsi="Arial" w:cs="Arial"/>
          <w:b w:val="0"/>
          <w:bCs w:val="0"/>
          <w:sz w:val="18"/>
          <w:szCs w:val="18"/>
        </w:rPr>
        <w:t xml:space="preserve">(last accessed </w:t>
      </w:r>
      <w:r w:rsidR="00651B4D">
        <w:rPr>
          <w:rFonts w:ascii="Arial" w:hAnsi="Arial" w:cs="Arial"/>
          <w:b w:val="0"/>
          <w:bCs w:val="0"/>
          <w:sz w:val="18"/>
          <w:szCs w:val="18"/>
        </w:rPr>
        <w:t>14</w:t>
      </w:r>
      <w:r w:rsidR="00182F39">
        <w:rPr>
          <w:rFonts w:ascii="Arial" w:hAnsi="Arial" w:cs="Arial"/>
          <w:b w:val="0"/>
          <w:bCs w:val="0"/>
          <w:sz w:val="18"/>
          <w:szCs w:val="18"/>
          <w:vertAlign w:val="superscript"/>
        </w:rPr>
        <w:t xml:space="preserve"> </w:t>
      </w:r>
      <w:r w:rsidR="00651B4D">
        <w:rPr>
          <w:rFonts w:ascii="Arial" w:hAnsi="Arial" w:cs="Arial"/>
          <w:b w:val="0"/>
          <w:bCs w:val="0"/>
          <w:sz w:val="18"/>
          <w:szCs w:val="18"/>
        </w:rPr>
        <w:t>June 2024</w:t>
      </w:r>
      <w:r w:rsidRPr="009109BF">
        <w:rPr>
          <w:rFonts w:ascii="Arial" w:hAnsi="Arial" w:cs="Arial"/>
          <w:b w:val="0"/>
          <w:bCs w:val="0"/>
          <w:sz w:val="18"/>
          <w:szCs w:val="18"/>
        </w:rPr>
        <w:t>)</w:t>
      </w:r>
      <w:r w:rsidR="0062387E" w:rsidRPr="009109BF">
        <w:rPr>
          <w:rFonts w:ascii="Arial" w:hAnsi="Arial" w:cs="Arial"/>
          <w:b w:val="0"/>
          <w:bCs w:val="0"/>
          <w:sz w:val="18"/>
          <w:szCs w:val="18"/>
        </w:rPr>
        <w:t>.</w:t>
      </w:r>
    </w:p>
  </w:footnote>
  <w:footnote w:id="44">
    <w:p w14:paraId="5E8EC71F" w14:textId="523A530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J </w:t>
      </w:r>
      <w:r w:rsidRPr="009109BF">
        <w:rPr>
          <w:rFonts w:ascii="Arial" w:hAnsi="Arial" w:cs="Arial"/>
          <w:sz w:val="18"/>
          <w:szCs w:val="18"/>
        </w:rPr>
        <w:t>Herring,</w:t>
      </w:r>
      <w:r w:rsidR="0062387E"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 xml:space="preserve">The </w:t>
      </w:r>
      <w:r w:rsidR="0062387E" w:rsidRPr="009109BF">
        <w:rPr>
          <w:rFonts w:ascii="Arial" w:hAnsi="Arial" w:cs="Arial"/>
          <w:sz w:val="18"/>
          <w:szCs w:val="18"/>
        </w:rPr>
        <w:t>R</w:t>
      </w:r>
      <w:r w:rsidRPr="009109BF">
        <w:rPr>
          <w:rFonts w:ascii="Arial" w:hAnsi="Arial" w:cs="Arial"/>
          <w:sz w:val="18"/>
          <w:szCs w:val="18"/>
        </w:rPr>
        <w:t xml:space="preserve">ight to a </w:t>
      </w:r>
      <w:r w:rsidR="0062387E" w:rsidRPr="009109BF">
        <w:rPr>
          <w:rFonts w:ascii="Arial" w:hAnsi="Arial" w:cs="Arial"/>
          <w:sz w:val="18"/>
          <w:szCs w:val="18"/>
        </w:rPr>
        <w:t>M</w:t>
      </w:r>
      <w:r w:rsidRPr="009109BF">
        <w:rPr>
          <w:rFonts w:ascii="Arial" w:hAnsi="Arial" w:cs="Arial"/>
          <w:sz w:val="18"/>
          <w:szCs w:val="18"/>
        </w:rPr>
        <w:t xml:space="preserve">ale </w:t>
      </w:r>
      <w:r w:rsidR="0062387E" w:rsidRPr="009109BF">
        <w:rPr>
          <w:rFonts w:ascii="Arial" w:hAnsi="Arial" w:cs="Arial"/>
          <w:sz w:val="18"/>
          <w:szCs w:val="18"/>
        </w:rPr>
        <w:t>C</w:t>
      </w:r>
      <w:r w:rsidRPr="009109BF">
        <w:rPr>
          <w:rFonts w:ascii="Arial" w:hAnsi="Arial" w:cs="Arial"/>
          <w:sz w:val="18"/>
          <w:szCs w:val="18"/>
        </w:rPr>
        <w:t>urfew</w:t>
      </w:r>
      <w:r w:rsidR="00363B6D" w:rsidRPr="009109BF">
        <w:rPr>
          <w:rFonts w:ascii="Arial" w:hAnsi="Arial" w:cs="Arial"/>
          <w:sz w:val="18"/>
          <w:szCs w:val="18"/>
        </w:rPr>
        <w:t>’</w:t>
      </w:r>
      <w:r w:rsidR="0062387E" w:rsidRPr="009109BF">
        <w:rPr>
          <w:rFonts w:ascii="Arial" w:hAnsi="Arial" w:cs="Arial"/>
          <w:sz w:val="18"/>
          <w:szCs w:val="18"/>
        </w:rPr>
        <w:t xml:space="preserve"> (2024) 3 </w:t>
      </w:r>
      <w:r w:rsidR="0062387E" w:rsidRPr="009109BF">
        <w:rPr>
          <w:rFonts w:ascii="Arial" w:hAnsi="Arial" w:cs="Arial"/>
          <w:i/>
          <w:iCs/>
          <w:sz w:val="18"/>
          <w:szCs w:val="18"/>
        </w:rPr>
        <w:t xml:space="preserve">International Journal of Gender, Sexuality and Law </w:t>
      </w:r>
      <w:r w:rsidR="00182F39">
        <w:rPr>
          <w:rFonts w:ascii="Arial" w:hAnsi="Arial" w:cs="Arial"/>
          <w:sz w:val="18"/>
          <w:szCs w:val="18"/>
        </w:rPr>
        <w:t>10</w:t>
      </w:r>
      <w:r w:rsidR="0062387E" w:rsidRPr="009109BF">
        <w:rPr>
          <w:rFonts w:ascii="Arial" w:hAnsi="Arial" w:cs="Arial"/>
          <w:sz w:val="18"/>
          <w:szCs w:val="18"/>
        </w:rPr>
        <w:t>.</w:t>
      </w:r>
    </w:p>
  </w:footnote>
  <w:footnote w:id="45">
    <w:p w14:paraId="2679CC93" w14:textId="2E5B274C" w:rsidR="00311631"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D </w:t>
      </w:r>
      <w:r w:rsidRPr="009109BF">
        <w:rPr>
          <w:rFonts w:ascii="Arial" w:hAnsi="Arial" w:cs="Arial"/>
          <w:sz w:val="18"/>
          <w:szCs w:val="18"/>
        </w:rPr>
        <w:t xml:space="preserve">Hughes, </w:t>
      </w:r>
      <w:r w:rsidR="00363B6D" w:rsidRPr="009109BF">
        <w:rPr>
          <w:rFonts w:ascii="Arial" w:hAnsi="Arial" w:cs="Arial"/>
          <w:sz w:val="18"/>
          <w:szCs w:val="18"/>
        </w:rPr>
        <w:t>‘</w:t>
      </w:r>
      <w:r w:rsidRPr="009109BF">
        <w:rPr>
          <w:rFonts w:ascii="Arial" w:hAnsi="Arial" w:cs="Arial"/>
          <w:sz w:val="18"/>
          <w:szCs w:val="18"/>
        </w:rPr>
        <w:t>Braverman says UK should leave European Convention on Human Rights</w:t>
      </w:r>
      <w:r w:rsidR="00363B6D" w:rsidRPr="009109BF">
        <w:rPr>
          <w:rFonts w:ascii="Arial" w:hAnsi="Arial" w:cs="Arial"/>
          <w:sz w:val="18"/>
          <w:szCs w:val="18"/>
        </w:rPr>
        <w:t>’</w:t>
      </w:r>
      <w:r w:rsidRPr="009109BF">
        <w:rPr>
          <w:rFonts w:ascii="Arial" w:hAnsi="Arial" w:cs="Arial"/>
          <w:sz w:val="18"/>
          <w:szCs w:val="18"/>
        </w:rPr>
        <w:t xml:space="preserve"> The Independent, October 4</w:t>
      </w:r>
      <w:r w:rsidRPr="009109BF">
        <w:rPr>
          <w:rFonts w:ascii="Arial" w:hAnsi="Arial" w:cs="Arial"/>
          <w:sz w:val="18"/>
          <w:szCs w:val="18"/>
          <w:vertAlign w:val="superscript"/>
        </w:rPr>
        <w:t>th</w:t>
      </w:r>
      <w:r w:rsidRPr="009109BF">
        <w:rPr>
          <w:rFonts w:ascii="Arial" w:hAnsi="Arial" w:cs="Arial"/>
          <w:sz w:val="18"/>
          <w:szCs w:val="18"/>
        </w:rPr>
        <w:t xml:space="preserve"> 2022.</w:t>
      </w:r>
      <w:r w:rsidR="0062387E" w:rsidRPr="009109BF">
        <w:rPr>
          <w:rFonts w:ascii="Arial" w:hAnsi="Arial" w:cs="Arial"/>
          <w:sz w:val="18"/>
          <w:szCs w:val="18"/>
        </w:rPr>
        <w:t xml:space="preserve"> Available at: </w:t>
      </w:r>
      <w:hyperlink r:id="rId7" w:history="1">
        <w:r w:rsidR="00F7614D" w:rsidRPr="00A37516">
          <w:rPr>
            <w:rStyle w:val="Hyperlink"/>
            <w:rFonts w:ascii="Arial" w:hAnsi="Arial" w:cs="Arial"/>
            <w:sz w:val="18"/>
            <w:szCs w:val="18"/>
          </w:rPr>
          <w:t>https://www.independent.co.uk/news/uk/suella-braverman-home-secretary-government-policy-government-channel-b2195625.html</w:t>
        </w:r>
      </w:hyperlink>
      <w:r w:rsidR="004C10E9">
        <w:rPr>
          <w:rFonts w:ascii="Arial" w:hAnsi="Arial" w:cs="Arial"/>
          <w:sz w:val="18"/>
          <w:szCs w:val="18"/>
        </w:rPr>
        <w:t xml:space="preserve"> (last accessed 14 June 2024)</w:t>
      </w:r>
    </w:p>
    <w:p w14:paraId="5E5FB454" w14:textId="77777777" w:rsidR="00F7614D" w:rsidRDefault="00F7614D" w:rsidP="00A6138D">
      <w:pPr>
        <w:pStyle w:val="FootnoteText"/>
        <w:rPr>
          <w:rFonts w:ascii="Arial" w:hAnsi="Arial" w:cs="Arial"/>
          <w:sz w:val="18"/>
          <w:szCs w:val="18"/>
        </w:rPr>
      </w:pPr>
    </w:p>
    <w:p w14:paraId="5B055BEC" w14:textId="77777777" w:rsidR="00F7614D" w:rsidRPr="009109BF" w:rsidRDefault="00F7614D" w:rsidP="00A6138D">
      <w:pPr>
        <w:pStyle w:val="FootnoteText"/>
        <w:rPr>
          <w:rFonts w:ascii="Arial" w:hAnsi="Arial" w:cs="Arial"/>
          <w:sz w:val="18"/>
          <w:szCs w:val="18"/>
        </w:rPr>
      </w:pPr>
    </w:p>
    <w:p w14:paraId="29A9F4DA" w14:textId="77777777" w:rsidR="00311631" w:rsidRPr="009109BF" w:rsidRDefault="00311631" w:rsidP="00A6138D">
      <w:pPr>
        <w:pStyle w:val="FootnoteText"/>
        <w:rPr>
          <w:rFonts w:ascii="Arial" w:hAnsi="Arial" w:cs="Arial"/>
          <w:sz w:val="18"/>
          <w:szCs w:val="18"/>
        </w:rPr>
      </w:pPr>
    </w:p>
  </w:footnote>
  <w:footnote w:id="46">
    <w:p w14:paraId="782313AD" w14:textId="761DA9A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Cowie, </w:t>
      </w:r>
      <w:r w:rsidRPr="009109BF">
        <w:rPr>
          <w:rFonts w:ascii="Arial" w:hAnsi="Arial" w:cs="Arial"/>
          <w:i/>
          <w:iCs/>
          <w:sz w:val="18"/>
          <w:szCs w:val="18"/>
        </w:rPr>
        <w:t>After Dark</w:t>
      </w:r>
      <w:r w:rsidR="0062387E" w:rsidRPr="009109BF">
        <w:rPr>
          <w:rFonts w:ascii="Arial" w:hAnsi="Arial" w:cs="Arial"/>
          <w:i/>
          <w:iCs/>
          <w:sz w:val="18"/>
          <w:szCs w:val="18"/>
        </w:rPr>
        <w:t xml:space="preserve">, </w:t>
      </w:r>
      <w:r w:rsidR="0062387E" w:rsidRPr="009109BF">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336-7</w:t>
      </w:r>
      <w:r w:rsidR="0062387E" w:rsidRPr="009109BF">
        <w:rPr>
          <w:rFonts w:ascii="Arial" w:hAnsi="Arial" w:cs="Arial"/>
          <w:sz w:val="18"/>
          <w:szCs w:val="18"/>
        </w:rPr>
        <w:t>.</w:t>
      </w:r>
    </w:p>
  </w:footnote>
  <w:footnote w:id="47">
    <w:p w14:paraId="74B6D4CC" w14:textId="63FD992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w:t>
      </w:r>
      <w:r w:rsidR="00DC4E30" w:rsidRPr="009109BF">
        <w:rPr>
          <w:rFonts w:ascii="Arial" w:hAnsi="Arial" w:cs="Arial"/>
          <w:sz w:val="18"/>
          <w:szCs w:val="18"/>
        </w:rPr>
        <w:t>bid</w:t>
      </w:r>
      <w:r w:rsidR="0062387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138.</w:t>
      </w:r>
    </w:p>
  </w:footnote>
  <w:footnote w:id="48">
    <w:p w14:paraId="250E872E" w14:textId="32F8FCE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w:t>
      </w:r>
      <w:r w:rsidR="00DC4E30" w:rsidRPr="009109BF">
        <w:rPr>
          <w:rFonts w:ascii="Arial" w:hAnsi="Arial" w:cs="Arial"/>
          <w:sz w:val="18"/>
          <w:szCs w:val="18"/>
        </w:rPr>
        <w:t>bid</w:t>
      </w:r>
      <w:r w:rsidR="0062387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21-2</w:t>
      </w:r>
      <w:r w:rsidR="0062387E" w:rsidRPr="009109BF">
        <w:rPr>
          <w:rFonts w:ascii="Arial" w:hAnsi="Arial" w:cs="Arial"/>
          <w:sz w:val="18"/>
          <w:szCs w:val="18"/>
        </w:rPr>
        <w:t>.</w:t>
      </w:r>
    </w:p>
  </w:footnote>
  <w:footnote w:id="49">
    <w:p w14:paraId="3964A6EF" w14:textId="549D5AF3"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w:t>
      </w:r>
      <w:r w:rsidR="00DC4E30" w:rsidRPr="009109BF">
        <w:rPr>
          <w:rFonts w:ascii="Arial" w:hAnsi="Arial" w:cs="Arial"/>
          <w:sz w:val="18"/>
          <w:szCs w:val="18"/>
        </w:rPr>
        <w:t>bid</w:t>
      </w:r>
      <w:r w:rsidR="0062387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269</w:t>
      </w:r>
      <w:r w:rsidR="0062387E" w:rsidRPr="009109BF">
        <w:rPr>
          <w:rFonts w:ascii="Arial" w:hAnsi="Arial" w:cs="Arial"/>
          <w:sz w:val="18"/>
          <w:szCs w:val="18"/>
        </w:rPr>
        <w:t>.</w:t>
      </w:r>
    </w:p>
  </w:footnote>
  <w:footnote w:id="50">
    <w:p w14:paraId="6564F3A4" w14:textId="303F374A" w:rsidR="00311631" w:rsidRPr="009109BF" w:rsidRDefault="00311631" w:rsidP="00A6138D">
      <w:pPr>
        <w:pStyle w:val="FootnoteText"/>
        <w:rPr>
          <w:rFonts w:ascii="Arial" w:hAnsi="Arial" w:cs="Arial"/>
          <w:i/>
          <w:iCs/>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ibid</w:t>
      </w:r>
      <w:r w:rsidR="0062387E" w:rsidRPr="009109BF">
        <w:rPr>
          <w:rFonts w:ascii="Arial" w:hAnsi="Arial" w:cs="Arial"/>
          <w:i/>
          <w:iCs/>
          <w:sz w:val="18"/>
          <w:szCs w:val="18"/>
        </w:rPr>
        <w:t>.</w:t>
      </w:r>
    </w:p>
  </w:footnote>
  <w:footnote w:id="51">
    <w:p w14:paraId="6CE3CC18" w14:textId="33017AA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w:t>
      </w:r>
      <w:r w:rsidR="00DC4E30" w:rsidRPr="009109BF">
        <w:rPr>
          <w:rFonts w:ascii="Arial" w:hAnsi="Arial" w:cs="Arial"/>
          <w:sz w:val="18"/>
          <w:szCs w:val="18"/>
        </w:rPr>
        <w:t>bid</w:t>
      </w:r>
      <w:r w:rsidR="0062387E" w:rsidRPr="009109BF">
        <w:rPr>
          <w:rFonts w:ascii="Arial" w:hAnsi="Arial" w:cs="Arial"/>
          <w:sz w:val="18"/>
          <w:szCs w:val="18"/>
        </w:rPr>
        <w:t>,</w:t>
      </w:r>
      <w:r w:rsidRPr="009109BF">
        <w:rPr>
          <w:rFonts w:ascii="Arial" w:hAnsi="Arial" w:cs="Arial"/>
          <w:sz w:val="18"/>
          <w:szCs w:val="18"/>
        </w:rPr>
        <w:t>144-5</w:t>
      </w:r>
      <w:r w:rsidR="0062387E" w:rsidRPr="009109BF">
        <w:rPr>
          <w:rFonts w:ascii="Arial" w:hAnsi="Arial" w:cs="Arial"/>
          <w:sz w:val="18"/>
          <w:szCs w:val="18"/>
        </w:rPr>
        <w:t>.</w:t>
      </w:r>
    </w:p>
  </w:footnote>
  <w:footnote w:id="52">
    <w:p w14:paraId="7A1995AC" w14:textId="44860E4B"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ib</w:t>
      </w:r>
      <w:r w:rsidR="00DC4E30" w:rsidRPr="009109BF">
        <w:rPr>
          <w:rFonts w:ascii="Arial" w:hAnsi="Arial" w:cs="Arial"/>
          <w:sz w:val="18"/>
          <w:szCs w:val="18"/>
        </w:rPr>
        <w:t>id</w:t>
      </w:r>
      <w:r w:rsidR="0062387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76</w:t>
      </w:r>
      <w:r w:rsidR="0062387E" w:rsidRPr="009109BF">
        <w:rPr>
          <w:rFonts w:ascii="Arial" w:hAnsi="Arial" w:cs="Arial"/>
          <w:sz w:val="18"/>
          <w:szCs w:val="18"/>
        </w:rPr>
        <w:t>.</w:t>
      </w:r>
    </w:p>
  </w:footnote>
  <w:footnote w:id="53">
    <w:p w14:paraId="428FE97C" w14:textId="65DF231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This attribute of Tom’s is referenced multiple times throughout the novel</w:t>
      </w:r>
      <w:r w:rsidR="0062387E" w:rsidRPr="009109BF">
        <w:rPr>
          <w:rFonts w:ascii="Arial" w:hAnsi="Arial" w:cs="Arial"/>
          <w:sz w:val="18"/>
          <w:szCs w:val="18"/>
        </w:rPr>
        <w:t>.</w:t>
      </w:r>
    </w:p>
  </w:footnote>
  <w:footnote w:id="54">
    <w:p w14:paraId="25FD1995" w14:textId="6992AE0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A M </w:t>
      </w:r>
      <w:r w:rsidRPr="009109BF">
        <w:rPr>
          <w:rFonts w:ascii="Arial" w:hAnsi="Arial" w:cs="Arial"/>
          <w:sz w:val="18"/>
          <w:szCs w:val="18"/>
        </w:rPr>
        <w:t xml:space="preserve">Kaufman-Parks, </w:t>
      </w:r>
      <w:r w:rsidR="0062387E" w:rsidRPr="009109BF">
        <w:rPr>
          <w:rFonts w:ascii="Arial" w:hAnsi="Arial" w:cs="Arial"/>
          <w:sz w:val="18"/>
          <w:szCs w:val="18"/>
        </w:rPr>
        <w:t>M A</w:t>
      </w:r>
      <w:r w:rsidRPr="009109BF">
        <w:rPr>
          <w:rFonts w:ascii="Arial" w:hAnsi="Arial" w:cs="Arial"/>
          <w:sz w:val="18"/>
          <w:szCs w:val="18"/>
        </w:rPr>
        <w:t xml:space="preserve"> Longmore, </w:t>
      </w:r>
      <w:r w:rsidR="0062387E" w:rsidRPr="009109BF">
        <w:rPr>
          <w:rFonts w:ascii="Arial" w:hAnsi="Arial" w:cs="Arial"/>
          <w:sz w:val="18"/>
          <w:szCs w:val="18"/>
        </w:rPr>
        <w:t>P</w:t>
      </w:r>
      <w:r w:rsidRPr="009109BF">
        <w:rPr>
          <w:rFonts w:ascii="Arial" w:hAnsi="Arial" w:cs="Arial"/>
          <w:sz w:val="18"/>
          <w:szCs w:val="18"/>
        </w:rPr>
        <w:t xml:space="preserve"> Giordano</w:t>
      </w:r>
      <w:r w:rsidR="0062387E" w:rsidRPr="009109BF">
        <w:rPr>
          <w:rFonts w:ascii="Arial" w:hAnsi="Arial" w:cs="Arial"/>
          <w:sz w:val="18"/>
          <w:szCs w:val="18"/>
        </w:rPr>
        <w:t xml:space="preserve"> and W D</w:t>
      </w:r>
      <w:r w:rsidRPr="009109BF">
        <w:rPr>
          <w:rFonts w:ascii="Arial" w:hAnsi="Arial" w:cs="Arial"/>
          <w:sz w:val="18"/>
          <w:szCs w:val="18"/>
        </w:rPr>
        <w:t xml:space="preserve"> Manning, </w:t>
      </w:r>
      <w:r w:rsidR="00363B6D" w:rsidRPr="009109BF">
        <w:rPr>
          <w:rFonts w:ascii="Arial" w:hAnsi="Arial" w:cs="Arial"/>
          <w:sz w:val="18"/>
          <w:szCs w:val="18"/>
        </w:rPr>
        <w:t>‘</w:t>
      </w:r>
      <w:r w:rsidRPr="009109BF">
        <w:rPr>
          <w:rFonts w:ascii="Arial" w:hAnsi="Arial" w:cs="Arial"/>
          <w:sz w:val="18"/>
          <w:szCs w:val="18"/>
        </w:rPr>
        <w:t xml:space="preserve">Inducing </w:t>
      </w:r>
      <w:r w:rsidR="0062387E" w:rsidRPr="009109BF">
        <w:rPr>
          <w:rFonts w:ascii="Arial" w:hAnsi="Arial" w:cs="Arial"/>
          <w:sz w:val="18"/>
          <w:szCs w:val="18"/>
        </w:rPr>
        <w:t xml:space="preserve">Jealousy and Intimate Partner Violence Among Young Adults’ </w:t>
      </w:r>
      <w:r w:rsidRPr="009109BF">
        <w:rPr>
          <w:rFonts w:ascii="Arial" w:hAnsi="Arial" w:cs="Arial"/>
          <w:sz w:val="18"/>
          <w:szCs w:val="18"/>
        </w:rPr>
        <w:t>3</w:t>
      </w:r>
      <w:r w:rsidR="0062387E" w:rsidRPr="009109BF">
        <w:rPr>
          <w:rFonts w:ascii="Arial" w:hAnsi="Arial" w:cs="Arial"/>
          <w:sz w:val="18"/>
          <w:szCs w:val="18"/>
        </w:rPr>
        <w:t xml:space="preserve"> (2019) </w:t>
      </w:r>
      <w:r w:rsidRPr="009109BF">
        <w:rPr>
          <w:rFonts w:ascii="Arial" w:hAnsi="Arial" w:cs="Arial"/>
          <w:sz w:val="18"/>
          <w:szCs w:val="18"/>
        </w:rPr>
        <w:t>6(9) Journal of Social and Personal Relationships 2802-2823.</w:t>
      </w:r>
    </w:p>
  </w:footnote>
  <w:footnote w:id="55">
    <w:p w14:paraId="79CB334E" w14:textId="1DCE124A"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Pr="009109BF">
        <w:rPr>
          <w:rFonts w:ascii="Arial" w:hAnsi="Arial" w:cs="Arial"/>
          <w:i/>
          <w:iCs/>
          <w:sz w:val="18"/>
          <w:szCs w:val="18"/>
        </w:rPr>
        <w:t>R v Stewart</w:t>
      </w:r>
      <w:r w:rsidR="0062387E" w:rsidRPr="009109BF">
        <w:rPr>
          <w:rFonts w:ascii="Arial" w:hAnsi="Arial" w:cs="Arial"/>
          <w:i/>
          <w:iCs/>
          <w:sz w:val="18"/>
          <w:szCs w:val="18"/>
        </w:rPr>
        <w:t xml:space="preserve">, </w:t>
      </w:r>
      <w:r w:rsidR="0062387E" w:rsidRPr="009109BF">
        <w:rPr>
          <w:rFonts w:ascii="Arial" w:hAnsi="Arial" w:cs="Arial"/>
          <w:sz w:val="18"/>
          <w:szCs w:val="18"/>
        </w:rPr>
        <w:t>n 34 above,</w:t>
      </w:r>
      <w:r w:rsidRPr="009109BF">
        <w:rPr>
          <w:rFonts w:ascii="Arial" w:hAnsi="Arial" w:cs="Arial"/>
          <w:sz w:val="18"/>
          <w:szCs w:val="18"/>
        </w:rPr>
        <w:t xml:space="preserve"> </w:t>
      </w:r>
      <w:r w:rsidR="0062387E" w:rsidRPr="009109BF">
        <w:rPr>
          <w:rFonts w:ascii="Arial" w:hAnsi="Arial" w:cs="Arial"/>
          <w:sz w:val="18"/>
          <w:szCs w:val="18"/>
        </w:rPr>
        <w:t>[</w:t>
      </w:r>
      <w:r w:rsidRPr="009109BF">
        <w:rPr>
          <w:rFonts w:ascii="Arial" w:hAnsi="Arial" w:cs="Arial"/>
          <w:sz w:val="18"/>
          <w:szCs w:val="18"/>
        </w:rPr>
        <w:t>53</w:t>
      </w:r>
      <w:r w:rsidR="0062387E" w:rsidRPr="009109BF">
        <w:rPr>
          <w:rFonts w:ascii="Arial" w:hAnsi="Arial" w:cs="Arial"/>
          <w:sz w:val="18"/>
          <w:szCs w:val="18"/>
        </w:rPr>
        <w:t>]</w:t>
      </w:r>
      <w:r w:rsidRPr="009109BF">
        <w:rPr>
          <w:rFonts w:ascii="Arial" w:hAnsi="Arial" w:cs="Arial"/>
          <w:sz w:val="18"/>
          <w:szCs w:val="18"/>
        </w:rPr>
        <w:t xml:space="preserve">, </w:t>
      </w:r>
      <w:r w:rsidR="0062387E" w:rsidRPr="009109BF">
        <w:rPr>
          <w:rFonts w:ascii="Arial" w:hAnsi="Arial" w:cs="Arial"/>
          <w:sz w:val="18"/>
          <w:szCs w:val="18"/>
        </w:rPr>
        <w:t>[</w:t>
      </w:r>
      <w:r w:rsidRPr="009109BF">
        <w:rPr>
          <w:rFonts w:ascii="Arial" w:hAnsi="Arial" w:cs="Arial"/>
          <w:sz w:val="18"/>
          <w:szCs w:val="18"/>
        </w:rPr>
        <w:t>55</w:t>
      </w:r>
      <w:r w:rsidR="0062387E" w:rsidRPr="009109BF">
        <w:rPr>
          <w:rFonts w:ascii="Arial" w:hAnsi="Arial" w:cs="Arial"/>
          <w:sz w:val="18"/>
          <w:szCs w:val="18"/>
        </w:rPr>
        <w:t>],</w:t>
      </w:r>
      <w:r w:rsidRPr="009109BF">
        <w:rPr>
          <w:rFonts w:ascii="Arial" w:hAnsi="Arial" w:cs="Arial"/>
          <w:sz w:val="18"/>
          <w:szCs w:val="18"/>
        </w:rPr>
        <w:t xml:space="preserve"> per Lord Burnett CJ.</w:t>
      </w:r>
    </w:p>
  </w:footnote>
  <w:footnote w:id="56">
    <w:p w14:paraId="037C30CC" w14:textId="222D0509"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O W </w:t>
      </w:r>
      <w:r w:rsidRPr="009109BF">
        <w:rPr>
          <w:rFonts w:ascii="Arial" w:hAnsi="Arial" w:cs="Arial"/>
          <w:sz w:val="18"/>
          <w:szCs w:val="18"/>
        </w:rPr>
        <w:t xml:space="preserve">Holmes, </w:t>
      </w:r>
      <w:r w:rsidR="00363B6D" w:rsidRPr="009109BF">
        <w:rPr>
          <w:rFonts w:ascii="Arial" w:hAnsi="Arial" w:cs="Arial"/>
          <w:sz w:val="18"/>
          <w:szCs w:val="18"/>
        </w:rPr>
        <w:t>‘</w:t>
      </w:r>
      <w:r w:rsidRPr="009109BF">
        <w:rPr>
          <w:rFonts w:ascii="Arial" w:hAnsi="Arial" w:cs="Arial"/>
          <w:sz w:val="18"/>
          <w:szCs w:val="18"/>
        </w:rPr>
        <w:t>The Path of the Law</w:t>
      </w:r>
      <w:r w:rsidR="00363B6D" w:rsidRPr="009109BF">
        <w:rPr>
          <w:rFonts w:ascii="Arial" w:hAnsi="Arial" w:cs="Arial"/>
          <w:sz w:val="18"/>
          <w:szCs w:val="18"/>
        </w:rPr>
        <w:t>’</w:t>
      </w:r>
      <w:r w:rsidR="0062387E" w:rsidRPr="009109BF">
        <w:rPr>
          <w:rFonts w:ascii="Arial" w:hAnsi="Arial" w:cs="Arial"/>
          <w:sz w:val="18"/>
          <w:szCs w:val="18"/>
        </w:rPr>
        <w:t xml:space="preserve"> (1897) </w:t>
      </w:r>
      <w:r w:rsidRPr="009109BF">
        <w:rPr>
          <w:rFonts w:ascii="Arial" w:hAnsi="Arial" w:cs="Arial"/>
          <w:sz w:val="18"/>
          <w:szCs w:val="18"/>
        </w:rPr>
        <w:t>10 Harvard Law Review 457, 459</w:t>
      </w:r>
    </w:p>
  </w:footnote>
  <w:footnote w:id="57">
    <w:p w14:paraId="4E68C685" w14:textId="0DD9B62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Pr="009109BF">
        <w:rPr>
          <w:rFonts w:ascii="Arial" w:hAnsi="Arial" w:cs="Arial"/>
          <w:i/>
          <w:iCs/>
          <w:sz w:val="18"/>
          <w:szCs w:val="18"/>
        </w:rPr>
        <w:t xml:space="preserve">Exxon Shipping Co. V Baker </w:t>
      </w:r>
      <w:r w:rsidRPr="009109BF">
        <w:rPr>
          <w:rFonts w:ascii="Arial" w:hAnsi="Arial" w:cs="Arial"/>
          <w:sz w:val="18"/>
          <w:szCs w:val="18"/>
        </w:rPr>
        <w:t xml:space="preserve">(2008) 128 S.Ct. 2605, 2627 (citing </w:t>
      </w:r>
      <w:r w:rsidR="00DC4E30" w:rsidRPr="009109BF">
        <w:rPr>
          <w:rFonts w:ascii="Arial" w:hAnsi="Arial" w:cs="Arial"/>
          <w:sz w:val="18"/>
          <w:szCs w:val="18"/>
        </w:rPr>
        <w:t>ibid</w:t>
      </w:r>
      <w:r w:rsidRPr="009109BF">
        <w:rPr>
          <w:rFonts w:ascii="Arial" w:hAnsi="Arial" w:cs="Arial"/>
          <w:sz w:val="18"/>
          <w:szCs w:val="18"/>
        </w:rPr>
        <w:t>)</w:t>
      </w:r>
    </w:p>
  </w:footnote>
  <w:footnote w:id="58">
    <w:p w14:paraId="2494AFF0" w14:textId="3E9668A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M </w:t>
      </w:r>
      <w:r w:rsidRPr="009109BF">
        <w:rPr>
          <w:rFonts w:ascii="Arial" w:hAnsi="Arial" w:cs="Arial"/>
          <w:sz w:val="18"/>
          <w:szCs w:val="18"/>
        </w:rPr>
        <w:t xml:space="preserve">Jimenez, </w:t>
      </w:r>
      <w:r w:rsidR="00363B6D" w:rsidRPr="009109BF">
        <w:rPr>
          <w:rFonts w:ascii="Arial" w:hAnsi="Arial" w:cs="Arial"/>
          <w:sz w:val="18"/>
          <w:szCs w:val="18"/>
        </w:rPr>
        <w:t>‘</w:t>
      </w:r>
      <w:r w:rsidRPr="009109BF">
        <w:rPr>
          <w:rFonts w:ascii="Arial" w:hAnsi="Arial" w:cs="Arial"/>
          <w:sz w:val="18"/>
          <w:szCs w:val="18"/>
        </w:rPr>
        <w:t>Finding the Good in Holmes’ Bad Man</w:t>
      </w:r>
      <w:r w:rsidR="0062387E" w:rsidRPr="009109BF">
        <w:rPr>
          <w:rFonts w:ascii="Arial" w:hAnsi="Arial" w:cs="Arial"/>
          <w:sz w:val="18"/>
          <w:szCs w:val="18"/>
        </w:rPr>
        <w:t>’</w:t>
      </w:r>
      <w:r w:rsidRPr="009109BF">
        <w:rPr>
          <w:rFonts w:ascii="Arial" w:hAnsi="Arial" w:cs="Arial"/>
          <w:sz w:val="18"/>
          <w:szCs w:val="18"/>
        </w:rPr>
        <w:t xml:space="preserve"> </w:t>
      </w:r>
      <w:r w:rsidR="0062387E" w:rsidRPr="009109BF">
        <w:rPr>
          <w:rFonts w:ascii="Arial" w:hAnsi="Arial" w:cs="Arial"/>
          <w:sz w:val="18"/>
          <w:szCs w:val="18"/>
        </w:rPr>
        <w:t xml:space="preserve">(2011) </w:t>
      </w:r>
      <w:r w:rsidRPr="009109BF">
        <w:rPr>
          <w:rFonts w:ascii="Arial" w:hAnsi="Arial" w:cs="Arial"/>
          <w:sz w:val="18"/>
          <w:szCs w:val="18"/>
        </w:rPr>
        <w:t>79(5) Fordham Law Review 2069, 2127</w:t>
      </w:r>
      <w:r w:rsidR="0062387E" w:rsidRPr="009109BF">
        <w:rPr>
          <w:rFonts w:ascii="Arial" w:hAnsi="Arial" w:cs="Arial"/>
          <w:sz w:val="18"/>
          <w:szCs w:val="18"/>
        </w:rPr>
        <w:t>.</w:t>
      </w:r>
    </w:p>
  </w:footnote>
  <w:footnote w:id="59">
    <w:p w14:paraId="772E58EF" w14:textId="0BF9DB8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i</w:t>
      </w:r>
      <w:r w:rsidR="00DC4E30" w:rsidRPr="009109BF">
        <w:rPr>
          <w:rFonts w:ascii="Arial" w:hAnsi="Arial" w:cs="Arial"/>
          <w:sz w:val="18"/>
          <w:szCs w:val="18"/>
        </w:rPr>
        <w:t>bid</w:t>
      </w:r>
      <w:r w:rsidR="0062387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2102</w:t>
      </w:r>
      <w:r w:rsidR="0062387E" w:rsidRPr="009109BF">
        <w:rPr>
          <w:rFonts w:ascii="Arial" w:hAnsi="Arial" w:cs="Arial"/>
          <w:sz w:val="18"/>
          <w:szCs w:val="18"/>
        </w:rPr>
        <w:t>.</w:t>
      </w:r>
    </w:p>
  </w:footnote>
  <w:footnote w:id="60">
    <w:p w14:paraId="4816C55B" w14:textId="188E9F2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Cowie, </w:t>
      </w:r>
      <w:r w:rsidRPr="009109BF">
        <w:rPr>
          <w:rFonts w:ascii="Arial" w:hAnsi="Arial" w:cs="Arial"/>
          <w:i/>
          <w:iCs/>
          <w:sz w:val="18"/>
          <w:szCs w:val="18"/>
        </w:rPr>
        <w:t>After Dark</w:t>
      </w:r>
      <w:r w:rsidR="0062387E" w:rsidRPr="009109BF">
        <w:rPr>
          <w:rFonts w:ascii="Arial" w:hAnsi="Arial" w:cs="Arial"/>
          <w:i/>
          <w:iCs/>
          <w:sz w:val="18"/>
          <w:szCs w:val="18"/>
        </w:rPr>
        <w:t xml:space="preserve">, </w:t>
      </w:r>
      <w:r w:rsidR="0062387E" w:rsidRPr="009109BF">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20</w:t>
      </w:r>
      <w:r w:rsidR="0062387E" w:rsidRPr="009109BF">
        <w:rPr>
          <w:rFonts w:ascii="Arial" w:hAnsi="Arial" w:cs="Arial"/>
          <w:sz w:val="18"/>
          <w:szCs w:val="18"/>
        </w:rPr>
        <w:t>.</w:t>
      </w:r>
    </w:p>
  </w:footnote>
  <w:footnote w:id="61">
    <w:p w14:paraId="2C9E09B4" w14:textId="027295E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A </w:t>
      </w:r>
      <w:r w:rsidRPr="009109BF">
        <w:rPr>
          <w:rFonts w:ascii="Arial" w:hAnsi="Arial" w:cs="Arial"/>
          <w:sz w:val="18"/>
          <w:szCs w:val="18"/>
        </w:rPr>
        <w:t>Sharma</w:t>
      </w:r>
      <w:r w:rsidR="0062387E" w:rsidRPr="009109BF">
        <w:rPr>
          <w:rFonts w:ascii="Arial" w:hAnsi="Arial" w:cs="Arial"/>
          <w:sz w:val="18"/>
          <w:szCs w:val="18"/>
        </w:rPr>
        <w:t xml:space="preserve"> </w:t>
      </w:r>
      <w:r w:rsidRPr="009109BF">
        <w:rPr>
          <w:rFonts w:ascii="Arial" w:hAnsi="Arial" w:cs="Arial"/>
          <w:sz w:val="18"/>
          <w:szCs w:val="18"/>
        </w:rPr>
        <w:t xml:space="preserve">and </w:t>
      </w:r>
      <w:r w:rsidR="0062387E" w:rsidRPr="009109BF">
        <w:rPr>
          <w:rFonts w:ascii="Arial" w:hAnsi="Arial" w:cs="Arial"/>
          <w:sz w:val="18"/>
          <w:szCs w:val="18"/>
        </w:rPr>
        <w:t xml:space="preserve">S B </w:t>
      </w:r>
      <w:r w:rsidRPr="009109BF">
        <w:rPr>
          <w:rFonts w:ascii="Arial" w:hAnsi="Arial" w:cs="Arial"/>
          <w:sz w:val="18"/>
          <w:szCs w:val="18"/>
        </w:rPr>
        <w:t xml:space="preserve">Borah, </w:t>
      </w:r>
      <w:r w:rsidR="00363B6D" w:rsidRPr="009109BF">
        <w:rPr>
          <w:rFonts w:ascii="Arial" w:hAnsi="Arial" w:cs="Arial"/>
          <w:sz w:val="18"/>
          <w:szCs w:val="18"/>
        </w:rPr>
        <w:t>‘</w:t>
      </w:r>
      <w:r w:rsidRPr="009109BF">
        <w:rPr>
          <w:rFonts w:ascii="Arial" w:hAnsi="Arial" w:cs="Arial"/>
          <w:sz w:val="18"/>
          <w:szCs w:val="18"/>
        </w:rPr>
        <w:t>Covid-19 and Domestic Violence: an Indirect Path to Social and Economic Crisis</w:t>
      </w:r>
      <w:r w:rsidR="00363B6D" w:rsidRPr="009109BF">
        <w:rPr>
          <w:rFonts w:ascii="Arial" w:hAnsi="Arial" w:cs="Arial"/>
          <w:sz w:val="18"/>
          <w:szCs w:val="18"/>
        </w:rPr>
        <w:t>’</w:t>
      </w:r>
      <w:r w:rsidRPr="009109BF">
        <w:rPr>
          <w:rFonts w:ascii="Arial" w:hAnsi="Arial" w:cs="Arial"/>
          <w:sz w:val="18"/>
          <w:szCs w:val="18"/>
        </w:rPr>
        <w:t xml:space="preserve"> </w:t>
      </w:r>
      <w:r w:rsidR="0062387E" w:rsidRPr="009109BF">
        <w:rPr>
          <w:rFonts w:ascii="Arial" w:hAnsi="Arial" w:cs="Arial"/>
          <w:sz w:val="18"/>
          <w:szCs w:val="18"/>
        </w:rPr>
        <w:t xml:space="preserve">(2022) </w:t>
      </w:r>
      <w:r w:rsidRPr="009109BF">
        <w:rPr>
          <w:rFonts w:ascii="Arial" w:hAnsi="Arial" w:cs="Arial"/>
          <w:sz w:val="18"/>
          <w:szCs w:val="18"/>
        </w:rPr>
        <w:t>37 Journal of Family Violence 759, 761</w:t>
      </w:r>
      <w:r w:rsidR="0062387E" w:rsidRPr="009109BF">
        <w:rPr>
          <w:rFonts w:ascii="Arial" w:hAnsi="Arial" w:cs="Arial"/>
          <w:sz w:val="18"/>
          <w:szCs w:val="18"/>
        </w:rPr>
        <w:t>.</w:t>
      </w:r>
    </w:p>
  </w:footnote>
  <w:footnote w:id="62">
    <w:p w14:paraId="45E70978" w14:textId="4757246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Cowie, </w:t>
      </w:r>
      <w:r w:rsidRPr="009109BF">
        <w:rPr>
          <w:rFonts w:ascii="Arial" w:hAnsi="Arial" w:cs="Arial"/>
          <w:i/>
          <w:iCs/>
          <w:sz w:val="18"/>
          <w:szCs w:val="18"/>
        </w:rPr>
        <w:t>After Dark</w:t>
      </w:r>
      <w:r w:rsidRPr="009109BF">
        <w:rPr>
          <w:rFonts w:ascii="Arial" w:hAnsi="Arial" w:cs="Arial"/>
          <w:sz w:val="18"/>
          <w:szCs w:val="18"/>
        </w:rPr>
        <w:t xml:space="preserve">, </w:t>
      </w:r>
      <w:r w:rsidR="0062387E" w:rsidRPr="009109BF">
        <w:rPr>
          <w:rFonts w:ascii="Arial" w:hAnsi="Arial" w:cs="Arial"/>
          <w:sz w:val="18"/>
          <w:szCs w:val="18"/>
        </w:rPr>
        <w:t xml:space="preserve">n 2 above, </w:t>
      </w:r>
      <w:r w:rsidRPr="009109BF">
        <w:rPr>
          <w:rFonts w:ascii="Arial" w:hAnsi="Arial" w:cs="Arial"/>
          <w:sz w:val="18"/>
          <w:szCs w:val="18"/>
        </w:rPr>
        <w:t>393</w:t>
      </w:r>
      <w:r w:rsidR="0062387E" w:rsidRPr="009109BF">
        <w:rPr>
          <w:rFonts w:ascii="Arial" w:hAnsi="Arial" w:cs="Arial"/>
          <w:sz w:val="18"/>
          <w:szCs w:val="18"/>
        </w:rPr>
        <w:t>.</w:t>
      </w:r>
    </w:p>
  </w:footnote>
  <w:footnote w:id="63">
    <w:p w14:paraId="4B631A95" w14:textId="162D44A8" w:rsidR="00311631" w:rsidRPr="009109BF" w:rsidRDefault="00311631" w:rsidP="00A6138D">
      <w:pPr>
        <w:autoSpaceDE w:val="0"/>
        <w:autoSpaceDN w:val="0"/>
        <w:adjustRightInd w:val="0"/>
        <w:spacing w:after="0" w:line="240" w:lineRule="auto"/>
        <w:rPr>
          <w:rFonts w:ascii="Arial" w:hAnsi="Arial" w:cs="Arial"/>
          <w:color w:val="131413"/>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62387E" w:rsidRPr="009109BF">
        <w:rPr>
          <w:rFonts w:ascii="Arial" w:hAnsi="Arial" w:cs="Arial"/>
          <w:sz w:val="18"/>
          <w:szCs w:val="18"/>
        </w:rPr>
        <w:t xml:space="preserve">J </w:t>
      </w:r>
      <w:r w:rsidRPr="009109BF">
        <w:rPr>
          <w:rFonts w:ascii="Arial" w:hAnsi="Arial" w:cs="Arial"/>
          <w:sz w:val="18"/>
          <w:szCs w:val="18"/>
        </w:rPr>
        <w:t xml:space="preserve">Kelly and </w:t>
      </w:r>
      <w:r w:rsidR="0062387E" w:rsidRPr="009109BF">
        <w:rPr>
          <w:rFonts w:ascii="Arial" w:hAnsi="Arial" w:cs="Arial"/>
          <w:sz w:val="18"/>
          <w:szCs w:val="18"/>
        </w:rPr>
        <w:t xml:space="preserve">T </w:t>
      </w:r>
      <w:r w:rsidRPr="009109BF">
        <w:rPr>
          <w:rFonts w:ascii="Arial" w:hAnsi="Arial" w:cs="Arial"/>
          <w:sz w:val="18"/>
          <w:szCs w:val="18"/>
        </w:rPr>
        <w:t>Morga</w:t>
      </w:r>
      <w:r w:rsidR="00387208" w:rsidRPr="009109BF">
        <w:rPr>
          <w:rFonts w:ascii="Arial" w:hAnsi="Arial" w:cs="Arial"/>
          <w:sz w:val="18"/>
          <w:szCs w:val="18"/>
        </w:rPr>
        <w:t xml:space="preserve">n, </w:t>
      </w:r>
      <w:r w:rsidR="00363B6D" w:rsidRPr="009109BF">
        <w:rPr>
          <w:rFonts w:ascii="Arial" w:hAnsi="Arial" w:cs="Arial"/>
          <w:sz w:val="18"/>
          <w:szCs w:val="18"/>
        </w:rPr>
        <w:t>‘</w:t>
      </w:r>
      <w:r w:rsidRPr="009109BF">
        <w:rPr>
          <w:rFonts w:ascii="Arial" w:hAnsi="Arial" w:cs="Arial"/>
          <w:color w:val="131413"/>
          <w:sz w:val="18"/>
          <w:szCs w:val="18"/>
        </w:rPr>
        <w:t>Coronavirus: Domestic Abuse Calls up 25% Since Lockdown,</w:t>
      </w:r>
    </w:p>
    <w:p w14:paraId="33FFA5BD" w14:textId="52184655" w:rsidR="00311631" w:rsidRPr="009109BF" w:rsidRDefault="00311631" w:rsidP="00A6138D">
      <w:pPr>
        <w:pStyle w:val="FootnoteText"/>
        <w:rPr>
          <w:rFonts w:ascii="Arial" w:hAnsi="Arial" w:cs="Arial"/>
          <w:sz w:val="18"/>
          <w:szCs w:val="18"/>
        </w:rPr>
      </w:pPr>
      <w:r w:rsidRPr="009109BF">
        <w:rPr>
          <w:rFonts w:ascii="Arial" w:hAnsi="Arial" w:cs="Arial"/>
          <w:color w:val="131413"/>
          <w:sz w:val="18"/>
          <w:szCs w:val="18"/>
        </w:rPr>
        <w:t>Charity Says</w:t>
      </w:r>
      <w:r w:rsidR="00387208" w:rsidRPr="009109BF">
        <w:rPr>
          <w:rFonts w:ascii="Arial" w:hAnsi="Arial" w:cs="Arial"/>
          <w:color w:val="131413"/>
          <w:sz w:val="18"/>
          <w:szCs w:val="18"/>
        </w:rPr>
        <w:t xml:space="preserve">’ BBC News, </w:t>
      </w:r>
      <w:r w:rsidR="00AF4B0B">
        <w:rPr>
          <w:rFonts w:ascii="Arial" w:hAnsi="Arial" w:cs="Arial"/>
          <w:color w:val="131413"/>
          <w:sz w:val="18"/>
          <w:szCs w:val="18"/>
        </w:rPr>
        <w:t>6</w:t>
      </w:r>
      <w:r w:rsidR="00AF4B0B" w:rsidRPr="00AF4B0B">
        <w:rPr>
          <w:rFonts w:ascii="Arial" w:hAnsi="Arial" w:cs="Arial"/>
          <w:color w:val="131413"/>
          <w:sz w:val="18"/>
          <w:szCs w:val="18"/>
          <w:vertAlign w:val="superscript"/>
        </w:rPr>
        <w:t>th</w:t>
      </w:r>
      <w:r w:rsidR="00AF4B0B">
        <w:rPr>
          <w:rFonts w:ascii="Arial" w:hAnsi="Arial" w:cs="Arial"/>
          <w:color w:val="131413"/>
          <w:sz w:val="18"/>
          <w:szCs w:val="18"/>
        </w:rPr>
        <w:t xml:space="preserve"> April</w:t>
      </w:r>
      <w:r w:rsidR="00387208" w:rsidRPr="009109BF">
        <w:rPr>
          <w:rFonts w:ascii="Arial" w:hAnsi="Arial" w:cs="Arial"/>
          <w:color w:val="131413"/>
          <w:sz w:val="18"/>
          <w:szCs w:val="18"/>
        </w:rPr>
        <w:t xml:space="preserve"> 2020. Available at: </w:t>
      </w:r>
      <w:hyperlink r:id="rId8" w:history="1">
        <w:r w:rsidR="00387208" w:rsidRPr="009109BF">
          <w:rPr>
            <w:rStyle w:val="Hyperlink"/>
            <w:rFonts w:ascii="Arial" w:hAnsi="Arial" w:cs="Arial"/>
            <w:sz w:val="18"/>
            <w:szCs w:val="18"/>
          </w:rPr>
          <w:t>https://www.bbc.co.uk/news/uk-52157620</w:t>
        </w:r>
      </w:hyperlink>
      <w:r w:rsidR="00AE53CD" w:rsidRPr="009109BF">
        <w:rPr>
          <w:rFonts w:ascii="Arial" w:hAnsi="Arial" w:cs="Arial"/>
          <w:sz w:val="18"/>
          <w:szCs w:val="18"/>
        </w:rPr>
        <w:t xml:space="preserve"> (last accessed </w:t>
      </w:r>
      <w:r w:rsidR="00AF4B0B">
        <w:rPr>
          <w:rFonts w:ascii="Arial" w:hAnsi="Arial" w:cs="Arial"/>
          <w:sz w:val="18"/>
          <w:szCs w:val="18"/>
        </w:rPr>
        <w:t>14 June 2024</w:t>
      </w:r>
      <w:r w:rsidR="00AE53CD" w:rsidRPr="009109BF">
        <w:rPr>
          <w:rFonts w:ascii="Arial" w:hAnsi="Arial" w:cs="Arial"/>
          <w:sz w:val="18"/>
          <w:szCs w:val="18"/>
        </w:rPr>
        <w:t>)</w:t>
      </w:r>
      <w:r w:rsidRPr="009109BF">
        <w:rPr>
          <w:rFonts w:ascii="Arial" w:hAnsi="Arial" w:cs="Arial"/>
          <w:color w:val="0000FF"/>
          <w:sz w:val="18"/>
          <w:szCs w:val="18"/>
        </w:rPr>
        <w:t xml:space="preserve"> </w:t>
      </w:r>
      <w:r w:rsidRPr="009109BF">
        <w:rPr>
          <w:rFonts w:ascii="Arial" w:hAnsi="Arial" w:cs="Arial"/>
          <w:color w:val="131413"/>
          <w:sz w:val="18"/>
          <w:szCs w:val="18"/>
        </w:rPr>
        <w:t xml:space="preserve">(cited </w:t>
      </w:r>
      <w:r w:rsidR="00AE53CD" w:rsidRPr="009109BF">
        <w:rPr>
          <w:rFonts w:ascii="Arial" w:hAnsi="Arial" w:cs="Arial"/>
          <w:color w:val="131413"/>
          <w:sz w:val="18"/>
          <w:szCs w:val="18"/>
        </w:rPr>
        <w:t xml:space="preserve">in </w:t>
      </w:r>
      <w:r w:rsidRPr="009109BF">
        <w:rPr>
          <w:rFonts w:ascii="Arial" w:hAnsi="Arial" w:cs="Arial"/>
          <w:color w:val="131413"/>
          <w:sz w:val="18"/>
          <w:szCs w:val="18"/>
        </w:rPr>
        <w:t xml:space="preserve">Sharma </w:t>
      </w:r>
      <w:r w:rsidR="00AE53CD" w:rsidRPr="009109BF">
        <w:rPr>
          <w:rFonts w:ascii="Arial" w:hAnsi="Arial" w:cs="Arial"/>
          <w:color w:val="131413"/>
          <w:sz w:val="18"/>
          <w:szCs w:val="18"/>
        </w:rPr>
        <w:t>and</w:t>
      </w:r>
      <w:r w:rsidRPr="009109BF">
        <w:rPr>
          <w:rFonts w:ascii="Arial" w:hAnsi="Arial" w:cs="Arial"/>
          <w:color w:val="131413"/>
          <w:sz w:val="18"/>
          <w:szCs w:val="18"/>
        </w:rPr>
        <w:t xml:space="preserve"> Borah</w:t>
      </w:r>
      <w:r w:rsidR="00AE53CD" w:rsidRPr="009109BF">
        <w:rPr>
          <w:rFonts w:ascii="Arial" w:hAnsi="Arial" w:cs="Arial"/>
          <w:color w:val="131413"/>
          <w:sz w:val="18"/>
          <w:szCs w:val="18"/>
        </w:rPr>
        <w:t>, n 61 above,</w:t>
      </w:r>
      <w:r w:rsidRPr="009109BF">
        <w:rPr>
          <w:rFonts w:ascii="Arial" w:hAnsi="Arial" w:cs="Arial"/>
          <w:i/>
          <w:iCs/>
          <w:color w:val="131413"/>
          <w:sz w:val="18"/>
          <w:szCs w:val="18"/>
        </w:rPr>
        <w:t xml:space="preserve"> </w:t>
      </w:r>
      <w:r w:rsidRPr="009109BF">
        <w:rPr>
          <w:rFonts w:ascii="Arial" w:hAnsi="Arial" w:cs="Arial"/>
          <w:color w:val="131413"/>
          <w:sz w:val="18"/>
          <w:szCs w:val="18"/>
        </w:rPr>
        <w:t>fn 8)</w:t>
      </w:r>
      <w:r w:rsidR="00AE53CD" w:rsidRPr="009109BF">
        <w:rPr>
          <w:rFonts w:ascii="Arial" w:hAnsi="Arial" w:cs="Arial"/>
          <w:color w:val="131413"/>
          <w:sz w:val="18"/>
          <w:szCs w:val="18"/>
        </w:rPr>
        <w:t>.</w:t>
      </w:r>
    </w:p>
  </w:footnote>
  <w:footnote w:id="64">
    <w:p w14:paraId="718614CE" w14:textId="22D2915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E53CD" w:rsidRPr="009109BF">
        <w:rPr>
          <w:rFonts w:ascii="Arial" w:hAnsi="Arial" w:cs="Arial"/>
          <w:sz w:val="18"/>
          <w:szCs w:val="18"/>
        </w:rPr>
        <w:t xml:space="preserve">Cowie, </w:t>
      </w:r>
      <w:r w:rsidRPr="009109BF">
        <w:rPr>
          <w:rFonts w:ascii="Arial" w:hAnsi="Arial" w:cs="Arial"/>
          <w:i/>
          <w:iCs/>
          <w:sz w:val="18"/>
          <w:szCs w:val="18"/>
        </w:rPr>
        <w:t>After Dark</w:t>
      </w:r>
      <w:r w:rsidR="00AE53CD" w:rsidRPr="009109BF">
        <w:rPr>
          <w:rFonts w:ascii="Arial" w:hAnsi="Arial" w:cs="Arial"/>
          <w:i/>
          <w:iCs/>
          <w:sz w:val="18"/>
          <w:szCs w:val="18"/>
        </w:rPr>
        <w:t>,</w:t>
      </w:r>
      <w:r w:rsidRPr="009109BF">
        <w:rPr>
          <w:rFonts w:ascii="Arial" w:hAnsi="Arial" w:cs="Arial"/>
          <w:i/>
          <w:iCs/>
          <w:sz w:val="18"/>
          <w:szCs w:val="18"/>
        </w:rPr>
        <w:t xml:space="preserve"> </w:t>
      </w:r>
      <w:r w:rsidR="00B859D6" w:rsidRPr="009109BF">
        <w:rPr>
          <w:rFonts w:ascii="Arial" w:hAnsi="Arial" w:cs="Arial"/>
          <w:sz w:val="18"/>
          <w:szCs w:val="18"/>
        </w:rPr>
        <w:t xml:space="preserve">n 2 above, </w:t>
      </w:r>
      <w:r w:rsidRPr="009109BF">
        <w:rPr>
          <w:rFonts w:ascii="Arial" w:hAnsi="Arial" w:cs="Arial"/>
          <w:sz w:val="18"/>
          <w:szCs w:val="18"/>
        </w:rPr>
        <w:t>25</w:t>
      </w:r>
      <w:r w:rsidR="00B859D6" w:rsidRPr="009109BF">
        <w:rPr>
          <w:rFonts w:ascii="Arial" w:hAnsi="Arial" w:cs="Arial"/>
          <w:sz w:val="18"/>
          <w:szCs w:val="18"/>
        </w:rPr>
        <w:t>.</w:t>
      </w:r>
    </w:p>
  </w:footnote>
  <w:footnote w:id="65">
    <w:p w14:paraId="3FD9182D" w14:textId="3E5F2D9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B859D6" w:rsidRPr="009109BF">
        <w:rPr>
          <w:rFonts w:ascii="Arial" w:hAnsi="Arial" w:cs="Arial"/>
          <w:sz w:val="18"/>
          <w:szCs w:val="18"/>
        </w:rPr>
        <w:t xml:space="preserve">H </w:t>
      </w:r>
      <w:r w:rsidRPr="009109BF">
        <w:rPr>
          <w:rFonts w:ascii="Arial" w:hAnsi="Arial" w:cs="Arial"/>
          <w:sz w:val="18"/>
          <w:szCs w:val="18"/>
        </w:rPr>
        <w:t xml:space="preserve">McCarthy, ‘I </w:t>
      </w:r>
      <w:r w:rsidR="00B859D6" w:rsidRPr="009109BF">
        <w:rPr>
          <w:rFonts w:ascii="Arial" w:hAnsi="Arial" w:cs="Arial"/>
          <w:sz w:val="18"/>
          <w:szCs w:val="18"/>
        </w:rPr>
        <w:t>D</w:t>
      </w:r>
      <w:r w:rsidRPr="009109BF">
        <w:rPr>
          <w:rFonts w:ascii="Arial" w:hAnsi="Arial" w:cs="Arial"/>
          <w:sz w:val="18"/>
          <w:szCs w:val="18"/>
        </w:rPr>
        <w:t xml:space="preserve">on’t </w:t>
      </w:r>
      <w:r w:rsidR="00B859D6" w:rsidRPr="009109BF">
        <w:rPr>
          <w:rFonts w:ascii="Arial" w:hAnsi="Arial" w:cs="Arial"/>
          <w:sz w:val="18"/>
          <w:szCs w:val="18"/>
        </w:rPr>
        <w:t>K</w:t>
      </w:r>
      <w:r w:rsidRPr="009109BF">
        <w:rPr>
          <w:rFonts w:ascii="Arial" w:hAnsi="Arial" w:cs="Arial"/>
          <w:sz w:val="18"/>
          <w:szCs w:val="18"/>
        </w:rPr>
        <w:t xml:space="preserve">now </w:t>
      </w:r>
      <w:r w:rsidR="00B859D6" w:rsidRPr="009109BF">
        <w:rPr>
          <w:rFonts w:ascii="Arial" w:hAnsi="Arial" w:cs="Arial"/>
          <w:sz w:val="18"/>
          <w:szCs w:val="18"/>
        </w:rPr>
        <w:t>H</w:t>
      </w:r>
      <w:r w:rsidRPr="009109BF">
        <w:rPr>
          <w:rFonts w:ascii="Arial" w:hAnsi="Arial" w:cs="Arial"/>
          <w:sz w:val="18"/>
          <w:szCs w:val="18"/>
        </w:rPr>
        <w:t xml:space="preserve">ow </w:t>
      </w:r>
      <w:r w:rsidR="00B859D6" w:rsidRPr="009109BF">
        <w:rPr>
          <w:rFonts w:ascii="Arial" w:hAnsi="Arial" w:cs="Arial"/>
          <w:sz w:val="18"/>
          <w:szCs w:val="18"/>
        </w:rPr>
        <w:t>S</w:t>
      </w:r>
      <w:r w:rsidRPr="009109BF">
        <w:rPr>
          <w:rFonts w:ascii="Arial" w:hAnsi="Arial" w:cs="Arial"/>
          <w:sz w:val="18"/>
          <w:szCs w:val="18"/>
        </w:rPr>
        <w:t xml:space="preserve">he </w:t>
      </w:r>
      <w:r w:rsidR="00B859D6" w:rsidRPr="009109BF">
        <w:rPr>
          <w:rFonts w:ascii="Arial" w:hAnsi="Arial" w:cs="Arial"/>
          <w:sz w:val="18"/>
          <w:szCs w:val="18"/>
        </w:rPr>
        <w:t>D</w:t>
      </w:r>
      <w:r w:rsidRPr="009109BF">
        <w:rPr>
          <w:rFonts w:ascii="Arial" w:hAnsi="Arial" w:cs="Arial"/>
          <w:sz w:val="18"/>
          <w:szCs w:val="18"/>
        </w:rPr>
        <w:t xml:space="preserve">oes </w:t>
      </w:r>
      <w:r w:rsidR="00B859D6" w:rsidRPr="009109BF">
        <w:rPr>
          <w:rFonts w:ascii="Arial" w:hAnsi="Arial" w:cs="Arial"/>
          <w:sz w:val="18"/>
          <w:szCs w:val="18"/>
        </w:rPr>
        <w:t>I</w:t>
      </w:r>
      <w:r w:rsidRPr="009109BF">
        <w:rPr>
          <w:rFonts w:ascii="Arial" w:hAnsi="Arial" w:cs="Arial"/>
          <w:sz w:val="18"/>
          <w:szCs w:val="18"/>
        </w:rPr>
        <w:t xml:space="preserve">t!’ Feminism, </w:t>
      </w:r>
      <w:r w:rsidR="00B859D6" w:rsidRPr="009109BF">
        <w:rPr>
          <w:rFonts w:ascii="Arial" w:hAnsi="Arial" w:cs="Arial"/>
          <w:sz w:val="18"/>
          <w:szCs w:val="18"/>
        </w:rPr>
        <w:t>Fa</w:t>
      </w:r>
      <w:r w:rsidRPr="009109BF">
        <w:rPr>
          <w:rFonts w:ascii="Arial" w:hAnsi="Arial" w:cs="Arial"/>
          <w:sz w:val="18"/>
          <w:szCs w:val="18"/>
        </w:rPr>
        <w:t xml:space="preserve">mily and </w:t>
      </w:r>
      <w:r w:rsidR="00B859D6" w:rsidRPr="009109BF">
        <w:rPr>
          <w:rFonts w:ascii="Arial" w:hAnsi="Arial" w:cs="Arial"/>
          <w:sz w:val="18"/>
          <w:szCs w:val="18"/>
        </w:rPr>
        <w:t>W</w:t>
      </w:r>
      <w:r w:rsidRPr="009109BF">
        <w:rPr>
          <w:rFonts w:ascii="Arial" w:hAnsi="Arial" w:cs="Arial"/>
          <w:sz w:val="18"/>
          <w:szCs w:val="18"/>
        </w:rPr>
        <w:t>ork in ‘</w:t>
      </w:r>
      <w:r w:rsidR="00B859D6" w:rsidRPr="009109BF">
        <w:rPr>
          <w:rFonts w:ascii="Arial" w:hAnsi="Arial" w:cs="Arial"/>
          <w:sz w:val="18"/>
          <w:szCs w:val="18"/>
        </w:rPr>
        <w:t>N</w:t>
      </w:r>
      <w:r w:rsidRPr="009109BF">
        <w:rPr>
          <w:rFonts w:ascii="Arial" w:hAnsi="Arial" w:cs="Arial"/>
          <w:sz w:val="18"/>
          <w:szCs w:val="18"/>
        </w:rPr>
        <w:t>eoliberal’ Britain</w:t>
      </w:r>
      <w:r w:rsidR="00363B6D" w:rsidRPr="009109BF">
        <w:rPr>
          <w:rFonts w:ascii="Arial" w:hAnsi="Arial" w:cs="Arial"/>
          <w:sz w:val="18"/>
          <w:szCs w:val="18"/>
        </w:rPr>
        <w:t>’</w:t>
      </w:r>
      <w:r w:rsidRPr="009109BF">
        <w:rPr>
          <w:rFonts w:ascii="Arial" w:hAnsi="Arial" w:cs="Arial"/>
          <w:sz w:val="18"/>
          <w:szCs w:val="18"/>
        </w:rPr>
        <w:t xml:space="preserve"> </w:t>
      </w:r>
      <w:r w:rsidR="00B859D6" w:rsidRPr="009109BF">
        <w:rPr>
          <w:rFonts w:ascii="Arial" w:hAnsi="Arial" w:cs="Arial"/>
          <w:sz w:val="18"/>
          <w:szCs w:val="18"/>
        </w:rPr>
        <w:t>i</w:t>
      </w:r>
      <w:r w:rsidRPr="009109BF">
        <w:rPr>
          <w:rFonts w:ascii="Arial" w:hAnsi="Arial" w:cs="Arial"/>
          <w:sz w:val="18"/>
          <w:szCs w:val="18"/>
        </w:rPr>
        <w:t xml:space="preserve">n </w:t>
      </w:r>
      <w:r w:rsidR="00B859D6" w:rsidRPr="009109BF">
        <w:rPr>
          <w:rFonts w:ascii="Arial" w:hAnsi="Arial" w:cs="Arial"/>
          <w:sz w:val="18"/>
          <w:szCs w:val="18"/>
        </w:rPr>
        <w:t xml:space="preserve">A Davies, B Jackson and F Sutcliffe-Braithwaite (eds), </w:t>
      </w:r>
      <w:r w:rsidRPr="009109BF">
        <w:rPr>
          <w:rFonts w:ascii="Arial" w:hAnsi="Arial" w:cs="Arial"/>
          <w:i/>
          <w:iCs/>
          <w:sz w:val="18"/>
          <w:szCs w:val="18"/>
        </w:rPr>
        <w:t>The Neoliberal Age: Britain since the 1970s</w:t>
      </w:r>
      <w:r w:rsidRPr="009109BF">
        <w:rPr>
          <w:rFonts w:ascii="Arial" w:hAnsi="Arial" w:cs="Arial"/>
          <w:sz w:val="18"/>
          <w:szCs w:val="18"/>
        </w:rPr>
        <w:t xml:space="preserve"> </w:t>
      </w:r>
      <w:r w:rsidR="00B859D6" w:rsidRPr="009109BF">
        <w:rPr>
          <w:rFonts w:ascii="Arial" w:hAnsi="Arial" w:cs="Arial"/>
          <w:sz w:val="18"/>
          <w:szCs w:val="18"/>
        </w:rPr>
        <w:t>(</w:t>
      </w:r>
      <w:r w:rsidRPr="009109BF">
        <w:rPr>
          <w:rFonts w:ascii="Arial" w:hAnsi="Arial" w:cs="Arial"/>
          <w:sz w:val="18"/>
          <w:szCs w:val="18"/>
        </w:rPr>
        <w:t>UCL Press</w:t>
      </w:r>
      <w:r w:rsidR="00B859D6" w:rsidRPr="009109BF">
        <w:rPr>
          <w:rFonts w:ascii="Arial" w:hAnsi="Arial" w:cs="Arial"/>
          <w:sz w:val="18"/>
          <w:szCs w:val="18"/>
        </w:rPr>
        <w:t>, 2020),</w:t>
      </w:r>
      <w:r w:rsidRPr="009109BF">
        <w:rPr>
          <w:rFonts w:ascii="Arial" w:hAnsi="Arial" w:cs="Arial"/>
          <w:sz w:val="18"/>
          <w:szCs w:val="18"/>
        </w:rPr>
        <w:t>135-154, 151.</w:t>
      </w:r>
    </w:p>
  </w:footnote>
  <w:footnote w:id="66">
    <w:p w14:paraId="06813B36" w14:textId="50DC6F9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 xml:space="preserve">Cowie, </w:t>
      </w:r>
      <w:r w:rsidR="000D5F07" w:rsidRPr="009109BF">
        <w:rPr>
          <w:rFonts w:ascii="Arial" w:hAnsi="Arial" w:cs="Arial"/>
          <w:i/>
          <w:iCs/>
          <w:sz w:val="18"/>
          <w:szCs w:val="18"/>
        </w:rPr>
        <w:t>After Dark</w:t>
      </w:r>
      <w:r w:rsidR="00B859D6" w:rsidRPr="009109BF">
        <w:rPr>
          <w:rFonts w:ascii="Arial" w:hAnsi="Arial" w:cs="Arial"/>
          <w:i/>
          <w:iCs/>
          <w:sz w:val="18"/>
          <w:szCs w:val="18"/>
        </w:rPr>
        <w:t>,</w:t>
      </w:r>
      <w:r w:rsidRPr="009109BF">
        <w:rPr>
          <w:rFonts w:ascii="Arial" w:hAnsi="Arial" w:cs="Arial"/>
          <w:i/>
          <w:iCs/>
          <w:sz w:val="18"/>
          <w:szCs w:val="18"/>
        </w:rPr>
        <w:t xml:space="preserve"> </w:t>
      </w:r>
      <w:r w:rsidR="000D5F07" w:rsidRPr="009109BF">
        <w:rPr>
          <w:rFonts w:ascii="Arial" w:hAnsi="Arial" w:cs="Arial"/>
          <w:sz w:val="18"/>
          <w:szCs w:val="18"/>
        </w:rPr>
        <w:t>n 2 above,</w:t>
      </w:r>
      <w:r w:rsidRPr="009109BF">
        <w:rPr>
          <w:rFonts w:ascii="Arial" w:hAnsi="Arial" w:cs="Arial"/>
          <w:sz w:val="18"/>
          <w:szCs w:val="18"/>
        </w:rPr>
        <w:t>14</w:t>
      </w:r>
      <w:r w:rsidR="000D5F07" w:rsidRPr="009109BF">
        <w:rPr>
          <w:rFonts w:ascii="Arial" w:hAnsi="Arial" w:cs="Arial"/>
          <w:sz w:val="18"/>
          <w:szCs w:val="18"/>
        </w:rPr>
        <w:t>.</w:t>
      </w:r>
    </w:p>
  </w:footnote>
  <w:footnote w:id="67">
    <w:p w14:paraId="5D38B021" w14:textId="61A2D200" w:rsidR="00E00EDE" w:rsidRPr="00E00EDE" w:rsidRDefault="00311631" w:rsidP="00A6138D">
      <w:pPr>
        <w:pStyle w:val="FootnoteText"/>
        <w:rPr>
          <w:rFonts w:ascii="Arial" w:hAnsi="Arial" w:cs="Arial"/>
          <w:color w:val="0563C1" w:themeColor="hyperlink"/>
          <w:sz w:val="18"/>
          <w:szCs w:val="18"/>
          <w:u w:val="single"/>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Emotional abuse</w:t>
      </w:r>
      <w:r w:rsidR="00363B6D" w:rsidRPr="009109BF">
        <w:rPr>
          <w:rFonts w:ascii="Arial" w:hAnsi="Arial" w:cs="Arial"/>
          <w:sz w:val="18"/>
          <w:szCs w:val="18"/>
        </w:rPr>
        <w:t>’</w:t>
      </w:r>
      <w:r w:rsidRPr="009109BF">
        <w:rPr>
          <w:rFonts w:ascii="Arial" w:hAnsi="Arial" w:cs="Arial"/>
          <w:sz w:val="18"/>
          <w:szCs w:val="18"/>
        </w:rPr>
        <w:t xml:space="preserve"> </w:t>
      </w:r>
      <w:r w:rsidR="007A1A94">
        <w:rPr>
          <w:rFonts w:ascii="Arial" w:hAnsi="Arial" w:cs="Arial"/>
          <w:sz w:val="18"/>
          <w:szCs w:val="18"/>
        </w:rPr>
        <w:t xml:space="preserve">in </w:t>
      </w:r>
      <w:r w:rsidR="00875E80">
        <w:rPr>
          <w:rFonts w:ascii="Arial" w:hAnsi="Arial" w:cs="Arial"/>
          <w:sz w:val="18"/>
          <w:szCs w:val="18"/>
        </w:rPr>
        <w:t xml:space="preserve">“Domestic </w:t>
      </w:r>
      <w:r w:rsidR="00E00EDE">
        <w:rPr>
          <w:rFonts w:ascii="Arial" w:hAnsi="Arial" w:cs="Arial"/>
          <w:sz w:val="18"/>
          <w:szCs w:val="18"/>
        </w:rPr>
        <w:t xml:space="preserve">violence and abuse” </w:t>
      </w:r>
      <w:r w:rsidR="007A1A94">
        <w:rPr>
          <w:rFonts w:ascii="Arial" w:hAnsi="Arial" w:cs="Arial"/>
          <w:sz w:val="18"/>
          <w:szCs w:val="18"/>
        </w:rPr>
        <w:t>National Health Service, 30</w:t>
      </w:r>
      <w:r w:rsidR="007A1A94" w:rsidRPr="007A1A94">
        <w:rPr>
          <w:rFonts w:ascii="Arial" w:hAnsi="Arial" w:cs="Arial"/>
          <w:sz w:val="18"/>
          <w:szCs w:val="18"/>
          <w:vertAlign w:val="superscript"/>
        </w:rPr>
        <w:t>th</w:t>
      </w:r>
      <w:r w:rsidR="007A1A94">
        <w:rPr>
          <w:rFonts w:ascii="Arial" w:hAnsi="Arial" w:cs="Arial"/>
          <w:sz w:val="18"/>
          <w:szCs w:val="18"/>
        </w:rPr>
        <w:t xml:space="preserve"> </w:t>
      </w:r>
      <w:r w:rsidR="001D5E4F">
        <w:rPr>
          <w:rFonts w:ascii="Arial" w:hAnsi="Arial" w:cs="Arial"/>
          <w:sz w:val="18"/>
          <w:szCs w:val="18"/>
        </w:rPr>
        <w:t>December 2022</w:t>
      </w:r>
      <w:r w:rsidR="00182F39">
        <w:rPr>
          <w:rFonts w:ascii="Arial" w:hAnsi="Arial" w:cs="Arial"/>
          <w:sz w:val="18"/>
          <w:szCs w:val="18"/>
        </w:rPr>
        <w:t>. Available at:</w:t>
      </w:r>
      <w:r w:rsidR="001D5E4F">
        <w:rPr>
          <w:rFonts w:ascii="Arial" w:hAnsi="Arial" w:cs="Arial"/>
          <w:sz w:val="18"/>
          <w:szCs w:val="18"/>
        </w:rPr>
        <w:t xml:space="preserve"> </w:t>
      </w:r>
      <w:r w:rsidRPr="009109BF">
        <w:rPr>
          <w:rFonts w:ascii="Arial" w:hAnsi="Arial" w:cs="Arial"/>
          <w:sz w:val="18"/>
          <w:szCs w:val="18"/>
        </w:rPr>
        <w:t xml:space="preserve"> </w:t>
      </w:r>
      <w:hyperlink r:id="rId9" w:history="1">
        <w:r w:rsidRPr="009109BF">
          <w:rPr>
            <w:rStyle w:val="Hyperlink"/>
            <w:rFonts w:ascii="Arial" w:hAnsi="Arial" w:cs="Arial"/>
            <w:sz w:val="18"/>
            <w:szCs w:val="18"/>
          </w:rPr>
          <w:t>https://www.nhs.uk/live-well/getting-help-for-domestic-violence/</w:t>
        </w:r>
      </w:hyperlink>
      <w:r w:rsidR="00E00EDE" w:rsidRPr="00E00EDE">
        <w:rPr>
          <w:rFonts w:ascii="Arial" w:hAnsi="Arial" w:cs="Arial"/>
          <w:sz w:val="18"/>
          <w:szCs w:val="18"/>
        </w:rPr>
        <w:t xml:space="preserve"> </w:t>
      </w:r>
      <w:r w:rsidR="001D5E4F">
        <w:rPr>
          <w:rFonts w:ascii="Arial" w:hAnsi="Arial" w:cs="Arial"/>
          <w:sz w:val="18"/>
          <w:szCs w:val="18"/>
        </w:rPr>
        <w:t>(last accessed 14 June 2024)</w:t>
      </w:r>
    </w:p>
  </w:footnote>
  <w:footnote w:id="68">
    <w:p w14:paraId="105C212E" w14:textId="1BB9066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 xml:space="preserve">Cowie, </w:t>
      </w:r>
      <w:r w:rsidRPr="009109BF">
        <w:rPr>
          <w:rFonts w:ascii="Arial" w:hAnsi="Arial" w:cs="Arial"/>
          <w:i/>
          <w:iCs/>
          <w:sz w:val="18"/>
          <w:szCs w:val="18"/>
        </w:rPr>
        <w:t>After Dark</w:t>
      </w:r>
      <w:r w:rsidR="000D5F07" w:rsidRPr="009109BF">
        <w:rPr>
          <w:rFonts w:ascii="Arial" w:hAnsi="Arial" w:cs="Arial"/>
          <w:i/>
          <w:iCs/>
          <w:sz w:val="18"/>
          <w:szCs w:val="18"/>
        </w:rPr>
        <w:t xml:space="preserve">, </w:t>
      </w:r>
      <w:r w:rsidR="000D5F07" w:rsidRPr="009109BF">
        <w:rPr>
          <w:rFonts w:ascii="Arial" w:hAnsi="Arial" w:cs="Arial"/>
          <w:sz w:val="18"/>
          <w:szCs w:val="18"/>
        </w:rPr>
        <w:t>n 2 above,</w:t>
      </w:r>
      <w:r w:rsidRPr="009109BF">
        <w:rPr>
          <w:rFonts w:ascii="Arial" w:hAnsi="Arial" w:cs="Arial"/>
          <w:sz w:val="18"/>
          <w:szCs w:val="18"/>
        </w:rPr>
        <w:t>176</w:t>
      </w:r>
      <w:r w:rsidR="000D5F07" w:rsidRPr="009109BF">
        <w:rPr>
          <w:rFonts w:ascii="Arial" w:hAnsi="Arial" w:cs="Arial"/>
          <w:sz w:val="18"/>
          <w:szCs w:val="18"/>
        </w:rPr>
        <w:t>.</w:t>
      </w:r>
    </w:p>
  </w:footnote>
  <w:footnote w:id="69">
    <w:p w14:paraId="397193C4" w14:textId="74119B8A"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i</w:t>
      </w:r>
      <w:r w:rsidR="00DC4E30" w:rsidRPr="009109BF">
        <w:rPr>
          <w:rFonts w:ascii="Arial" w:hAnsi="Arial" w:cs="Arial"/>
          <w:sz w:val="18"/>
          <w:szCs w:val="18"/>
        </w:rPr>
        <w:t>bid</w:t>
      </w:r>
      <w:r w:rsidR="000D5F07"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321</w:t>
      </w:r>
      <w:r w:rsidR="000D5F07" w:rsidRPr="009109BF">
        <w:rPr>
          <w:rFonts w:ascii="Arial" w:hAnsi="Arial" w:cs="Arial"/>
          <w:sz w:val="18"/>
          <w:szCs w:val="18"/>
        </w:rPr>
        <w:t>.</w:t>
      </w:r>
    </w:p>
  </w:footnote>
  <w:footnote w:id="70">
    <w:p w14:paraId="553E8691" w14:textId="0CC0FCBA"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 xml:space="preserve">L </w:t>
      </w:r>
      <w:r w:rsidRPr="009109BF">
        <w:rPr>
          <w:rFonts w:ascii="Arial" w:hAnsi="Arial" w:cs="Arial"/>
          <w:sz w:val="18"/>
          <w:szCs w:val="18"/>
        </w:rPr>
        <w:t xml:space="preserve">Vargas, </w:t>
      </w:r>
      <w:r w:rsidR="000D5F07" w:rsidRPr="009109BF">
        <w:rPr>
          <w:rFonts w:ascii="Arial" w:hAnsi="Arial" w:cs="Arial"/>
          <w:sz w:val="18"/>
          <w:szCs w:val="18"/>
        </w:rPr>
        <w:t>J</w:t>
      </w:r>
      <w:r w:rsidRPr="009109BF">
        <w:rPr>
          <w:rFonts w:ascii="Arial" w:hAnsi="Arial" w:cs="Arial"/>
          <w:sz w:val="18"/>
          <w:szCs w:val="18"/>
        </w:rPr>
        <w:t xml:space="preserve"> Cataldo</w:t>
      </w:r>
      <w:r w:rsidR="000D5F07" w:rsidRPr="009109BF">
        <w:rPr>
          <w:rFonts w:ascii="Arial" w:hAnsi="Arial" w:cs="Arial"/>
          <w:sz w:val="18"/>
          <w:szCs w:val="18"/>
        </w:rPr>
        <w:t xml:space="preserve"> </w:t>
      </w:r>
      <w:r w:rsidRPr="009109BF">
        <w:rPr>
          <w:rFonts w:ascii="Arial" w:hAnsi="Arial" w:cs="Arial"/>
          <w:sz w:val="18"/>
          <w:szCs w:val="18"/>
        </w:rPr>
        <w:t xml:space="preserve">and </w:t>
      </w:r>
      <w:r w:rsidR="000D5F07" w:rsidRPr="009109BF">
        <w:rPr>
          <w:rFonts w:ascii="Arial" w:hAnsi="Arial" w:cs="Arial"/>
          <w:sz w:val="18"/>
          <w:szCs w:val="18"/>
        </w:rPr>
        <w:t xml:space="preserve">S </w:t>
      </w:r>
      <w:r w:rsidRPr="009109BF">
        <w:rPr>
          <w:rFonts w:ascii="Arial" w:hAnsi="Arial" w:cs="Arial"/>
          <w:sz w:val="18"/>
          <w:szCs w:val="18"/>
        </w:rPr>
        <w:t xml:space="preserve">Dickson, </w:t>
      </w:r>
      <w:r w:rsidR="00363B6D" w:rsidRPr="009109BF">
        <w:rPr>
          <w:rFonts w:ascii="Arial" w:hAnsi="Arial" w:cs="Arial"/>
          <w:sz w:val="18"/>
          <w:szCs w:val="18"/>
        </w:rPr>
        <w:t>‘</w:t>
      </w:r>
      <w:r w:rsidRPr="009109BF">
        <w:rPr>
          <w:rFonts w:ascii="Arial" w:hAnsi="Arial" w:cs="Arial"/>
          <w:sz w:val="18"/>
          <w:szCs w:val="18"/>
        </w:rPr>
        <w:t xml:space="preserve">Domestic </w:t>
      </w:r>
      <w:r w:rsidR="000D5F07" w:rsidRPr="009109BF">
        <w:rPr>
          <w:rFonts w:ascii="Arial" w:hAnsi="Arial" w:cs="Arial"/>
          <w:sz w:val="18"/>
          <w:szCs w:val="18"/>
        </w:rPr>
        <w:t>V</w:t>
      </w:r>
      <w:r w:rsidRPr="009109BF">
        <w:rPr>
          <w:rFonts w:ascii="Arial" w:hAnsi="Arial" w:cs="Arial"/>
          <w:sz w:val="18"/>
          <w:szCs w:val="18"/>
        </w:rPr>
        <w:t xml:space="preserve">iolence and </w:t>
      </w:r>
      <w:r w:rsidR="000D5F07" w:rsidRPr="009109BF">
        <w:rPr>
          <w:rFonts w:ascii="Arial" w:hAnsi="Arial" w:cs="Arial"/>
          <w:sz w:val="18"/>
          <w:szCs w:val="18"/>
        </w:rPr>
        <w:t>C</w:t>
      </w:r>
      <w:r w:rsidRPr="009109BF">
        <w:rPr>
          <w:rFonts w:ascii="Arial" w:hAnsi="Arial" w:cs="Arial"/>
          <w:sz w:val="18"/>
          <w:szCs w:val="18"/>
        </w:rPr>
        <w:t>hildren</w:t>
      </w:r>
      <w:r w:rsidR="00363B6D" w:rsidRPr="009109BF">
        <w:rPr>
          <w:rFonts w:ascii="Arial" w:hAnsi="Arial" w:cs="Arial"/>
          <w:sz w:val="18"/>
          <w:szCs w:val="18"/>
        </w:rPr>
        <w:t>’</w:t>
      </w:r>
      <w:r w:rsidRPr="009109BF">
        <w:rPr>
          <w:rFonts w:ascii="Arial" w:hAnsi="Arial" w:cs="Arial"/>
          <w:sz w:val="18"/>
          <w:szCs w:val="18"/>
        </w:rPr>
        <w:t xml:space="preserve"> in </w:t>
      </w:r>
      <w:r w:rsidR="000D5F07" w:rsidRPr="009109BF">
        <w:rPr>
          <w:rFonts w:ascii="Arial" w:hAnsi="Arial" w:cs="Arial"/>
          <w:sz w:val="18"/>
          <w:szCs w:val="18"/>
        </w:rPr>
        <w:t xml:space="preserve">G R </w:t>
      </w:r>
      <w:r w:rsidRPr="009109BF">
        <w:rPr>
          <w:rFonts w:ascii="Arial" w:hAnsi="Arial" w:cs="Arial"/>
          <w:sz w:val="18"/>
          <w:szCs w:val="18"/>
        </w:rPr>
        <w:t>Walz</w:t>
      </w:r>
      <w:r w:rsidR="000D5F07" w:rsidRPr="009109BF">
        <w:rPr>
          <w:rFonts w:ascii="Arial" w:hAnsi="Arial" w:cs="Arial"/>
          <w:sz w:val="18"/>
          <w:szCs w:val="18"/>
        </w:rPr>
        <w:t xml:space="preserve"> and R K</w:t>
      </w:r>
      <w:r w:rsidRPr="009109BF">
        <w:rPr>
          <w:rFonts w:ascii="Arial" w:hAnsi="Arial" w:cs="Arial"/>
          <w:sz w:val="18"/>
          <w:szCs w:val="18"/>
        </w:rPr>
        <w:t xml:space="preserve"> Yep (</w:t>
      </w:r>
      <w:r w:rsidR="000D5F07" w:rsidRPr="009109BF">
        <w:rPr>
          <w:rFonts w:ascii="Arial" w:hAnsi="Arial" w:cs="Arial"/>
          <w:sz w:val="18"/>
          <w:szCs w:val="18"/>
        </w:rPr>
        <w:t>e</w:t>
      </w:r>
      <w:r w:rsidRPr="009109BF">
        <w:rPr>
          <w:rFonts w:ascii="Arial" w:hAnsi="Arial" w:cs="Arial"/>
          <w:sz w:val="18"/>
          <w:szCs w:val="18"/>
        </w:rPr>
        <w:t>ds)</w:t>
      </w:r>
      <w:r w:rsidR="000D5F07" w:rsidRPr="009109BF">
        <w:rPr>
          <w:rFonts w:ascii="Arial" w:hAnsi="Arial" w:cs="Arial"/>
          <w:sz w:val="18"/>
          <w:szCs w:val="18"/>
        </w:rPr>
        <w:t>,</w:t>
      </w:r>
      <w:r w:rsidRPr="009109BF">
        <w:rPr>
          <w:rFonts w:ascii="Arial" w:hAnsi="Arial" w:cs="Arial"/>
          <w:sz w:val="18"/>
          <w:szCs w:val="18"/>
        </w:rPr>
        <w:t xml:space="preserve"> </w:t>
      </w:r>
      <w:r w:rsidRPr="009109BF">
        <w:rPr>
          <w:rFonts w:ascii="Arial" w:hAnsi="Arial" w:cs="Arial"/>
          <w:i/>
          <w:iCs/>
          <w:sz w:val="18"/>
          <w:szCs w:val="18"/>
        </w:rPr>
        <w:t xml:space="preserve">VISTAS: Compelling </w:t>
      </w:r>
      <w:r w:rsidR="000D5F07" w:rsidRPr="009109BF">
        <w:rPr>
          <w:rFonts w:ascii="Arial" w:hAnsi="Arial" w:cs="Arial"/>
          <w:i/>
          <w:iCs/>
          <w:sz w:val="18"/>
          <w:szCs w:val="18"/>
        </w:rPr>
        <w:t>P</w:t>
      </w:r>
      <w:r w:rsidRPr="009109BF">
        <w:rPr>
          <w:rFonts w:ascii="Arial" w:hAnsi="Arial" w:cs="Arial"/>
          <w:i/>
          <w:iCs/>
          <w:sz w:val="18"/>
          <w:szCs w:val="18"/>
        </w:rPr>
        <w:t xml:space="preserve">erspectives on </w:t>
      </w:r>
      <w:r w:rsidR="000D5F07" w:rsidRPr="009109BF">
        <w:rPr>
          <w:rFonts w:ascii="Arial" w:hAnsi="Arial" w:cs="Arial"/>
          <w:i/>
          <w:iCs/>
          <w:sz w:val="18"/>
          <w:szCs w:val="18"/>
        </w:rPr>
        <w:t>C</w:t>
      </w:r>
      <w:r w:rsidRPr="009109BF">
        <w:rPr>
          <w:rFonts w:ascii="Arial" w:hAnsi="Arial" w:cs="Arial"/>
          <w:i/>
          <w:iCs/>
          <w:sz w:val="18"/>
          <w:szCs w:val="18"/>
        </w:rPr>
        <w:t xml:space="preserve">ounselling </w:t>
      </w:r>
      <w:r w:rsidR="000D5F07" w:rsidRPr="009109BF">
        <w:rPr>
          <w:rFonts w:ascii="Arial" w:hAnsi="Arial" w:cs="Arial"/>
          <w:sz w:val="18"/>
          <w:szCs w:val="18"/>
        </w:rPr>
        <w:t>(</w:t>
      </w:r>
      <w:r w:rsidRPr="009109BF">
        <w:rPr>
          <w:rFonts w:ascii="Arial" w:hAnsi="Arial" w:cs="Arial"/>
          <w:sz w:val="18"/>
          <w:szCs w:val="18"/>
        </w:rPr>
        <w:t>American Counse</w:t>
      </w:r>
      <w:r w:rsidR="000D5F07" w:rsidRPr="009109BF">
        <w:rPr>
          <w:rFonts w:ascii="Arial" w:hAnsi="Arial" w:cs="Arial"/>
          <w:sz w:val="18"/>
          <w:szCs w:val="18"/>
        </w:rPr>
        <w:t>l</w:t>
      </w:r>
      <w:r w:rsidRPr="009109BF">
        <w:rPr>
          <w:rFonts w:ascii="Arial" w:hAnsi="Arial" w:cs="Arial"/>
          <w:sz w:val="18"/>
          <w:szCs w:val="18"/>
        </w:rPr>
        <w:t>ling Association</w:t>
      </w:r>
      <w:r w:rsidR="000D5F07" w:rsidRPr="009109BF">
        <w:rPr>
          <w:rFonts w:ascii="Arial" w:hAnsi="Arial" w:cs="Arial"/>
          <w:sz w:val="18"/>
          <w:szCs w:val="18"/>
        </w:rPr>
        <w:t>, 2005),</w:t>
      </w:r>
      <w:r w:rsidRPr="009109BF">
        <w:rPr>
          <w:rFonts w:ascii="Arial" w:hAnsi="Arial" w:cs="Arial"/>
          <w:sz w:val="18"/>
          <w:szCs w:val="18"/>
        </w:rPr>
        <w:t xml:space="preserve"> 67-69, 67.</w:t>
      </w:r>
    </w:p>
  </w:footnote>
  <w:footnote w:id="71">
    <w:p w14:paraId="5ABD43A3" w14:textId="5A4992E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 xml:space="preserve">A </w:t>
      </w:r>
      <w:r w:rsidRPr="009109BF">
        <w:rPr>
          <w:rFonts w:ascii="Arial" w:hAnsi="Arial" w:cs="Arial"/>
          <w:sz w:val="18"/>
          <w:szCs w:val="18"/>
        </w:rPr>
        <w:t xml:space="preserve">Barbier, </w:t>
      </w:r>
      <w:r w:rsidR="000D5F07" w:rsidRPr="009109BF">
        <w:rPr>
          <w:rFonts w:ascii="Arial" w:hAnsi="Arial" w:cs="Arial"/>
          <w:sz w:val="18"/>
          <w:szCs w:val="18"/>
        </w:rPr>
        <w:t>P</w:t>
      </w:r>
      <w:r w:rsidRPr="009109BF">
        <w:rPr>
          <w:rFonts w:ascii="Arial" w:hAnsi="Arial" w:cs="Arial"/>
          <w:sz w:val="18"/>
          <w:szCs w:val="18"/>
        </w:rPr>
        <w:t xml:space="preserve"> Chariot</w:t>
      </w:r>
      <w:r w:rsidR="000D5F07" w:rsidRPr="009109BF">
        <w:rPr>
          <w:rFonts w:ascii="Arial" w:hAnsi="Arial" w:cs="Arial"/>
          <w:sz w:val="18"/>
          <w:szCs w:val="18"/>
        </w:rPr>
        <w:t xml:space="preserve"> </w:t>
      </w:r>
      <w:r w:rsidRPr="009109BF">
        <w:rPr>
          <w:rFonts w:ascii="Arial" w:hAnsi="Arial" w:cs="Arial"/>
          <w:sz w:val="18"/>
          <w:szCs w:val="18"/>
        </w:rPr>
        <w:t xml:space="preserve">and </w:t>
      </w:r>
      <w:r w:rsidR="000D5F07" w:rsidRPr="009109BF">
        <w:rPr>
          <w:rFonts w:ascii="Arial" w:hAnsi="Arial" w:cs="Arial"/>
          <w:sz w:val="18"/>
          <w:szCs w:val="18"/>
        </w:rPr>
        <w:t xml:space="preserve">T </w:t>
      </w:r>
      <w:r w:rsidRPr="009109BF">
        <w:rPr>
          <w:rFonts w:ascii="Arial" w:hAnsi="Arial" w:cs="Arial"/>
          <w:sz w:val="18"/>
          <w:szCs w:val="18"/>
        </w:rPr>
        <w:t xml:space="preserve">Lefévre, </w:t>
      </w:r>
      <w:r w:rsidR="00363B6D" w:rsidRPr="009109BF">
        <w:rPr>
          <w:rFonts w:ascii="Arial" w:hAnsi="Arial" w:cs="Arial"/>
          <w:sz w:val="18"/>
          <w:szCs w:val="18"/>
        </w:rPr>
        <w:t>‘</w:t>
      </w:r>
      <w:r w:rsidRPr="009109BF">
        <w:rPr>
          <w:rFonts w:ascii="Arial" w:hAnsi="Arial" w:cs="Arial"/>
          <w:sz w:val="18"/>
          <w:szCs w:val="18"/>
        </w:rPr>
        <w:t xml:space="preserve">Intimate </w:t>
      </w:r>
      <w:r w:rsidR="000D5F07" w:rsidRPr="009109BF">
        <w:rPr>
          <w:rFonts w:ascii="Arial" w:hAnsi="Arial" w:cs="Arial"/>
          <w:sz w:val="18"/>
          <w:szCs w:val="18"/>
        </w:rPr>
        <w:t xml:space="preserve">Partner Violence Against Ever-Partnered Women in </w:t>
      </w:r>
      <w:r w:rsidRPr="009109BF">
        <w:rPr>
          <w:rFonts w:ascii="Arial" w:hAnsi="Arial" w:cs="Arial"/>
          <w:sz w:val="18"/>
          <w:szCs w:val="18"/>
        </w:rPr>
        <w:t>Europe</w:t>
      </w:r>
      <w:r w:rsidR="000D5F07" w:rsidRPr="009109BF">
        <w:rPr>
          <w:rFonts w:ascii="Arial" w:hAnsi="Arial" w:cs="Arial"/>
          <w:sz w:val="18"/>
          <w:szCs w:val="18"/>
        </w:rPr>
        <w:t xml:space="preserve">: </w:t>
      </w:r>
      <w:r w:rsidRPr="009109BF">
        <w:rPr>
          <w:rFonts w:ascii="Arial" w:hAnsi="Arial" w:cs="Arial"/>
          <w:sz w:val="18"/>
          <w:szCs w:val="18"/>
        </w:rPr>
        <w:t xml:space="preserve">Prevalence </w:t>
      </w:r>
      <w:r w:rsidR="000D5F07" w:rsidRPr="009109BF">
        <w:rPr>
          <w:rFonts w:ascii="Arial" w:hAnsi="Arial" w:cs="Arial"/>
          <w:sz w:val="18"/>
          <w:szCs w:val="18"/>
        </w:rPr>
        <w:t xml:space="preserve">and Associated Factors – </w:t>
      </w:r>
      <w:r w:rsidRPr="009109BF">
        <w:rPr>
          <w:rFonts w:ascii="Arial" w:hAnsi="Arial" w:cs="Arial"/>
          <w:sz w:val="18"/>
          <w:szCs w:val="18"/>
        </w:rPr>
        <w:t xml:space="preserve">Results </w:t>
      </w:r>
      <w:r w:rsidR="000D5F07" w:rsidRPr="009109BF">
        <w:rPr>
          <w:rFonts w:ascii="Arial" w:hAnsi="Arial" w:cs="Arial"/>
          <w:sz w:val="18"/>
          <w:szCs w:val="18"/>
        </w:rPr>
        <w:t xml:space="preserve">from the Violence Against Women </w:t>
      </w:r>
      <w:r w:rsidRPr="009109BF">
        <w:rPr>
          <w:rFonts w:ascii="Arial" w:hAnsi="Arial" w:cs="Arial"/>
          <w:sz w:val="18"/>
          <w:szCs w:val="18"/>
        </w:rPr>
        <w:t>EU</w:t>
      </w:r>
      <w:r w:rsidR="000D5F07" w:rsidRPr="009109BF">
        <w:rPr>
          <w:rFonts w:ascii="Arial" w:hAnsi="Arial" w:cs="Arial"/>
          <w:sz w:val="18"/>
          <w:szCs w:val="18"/>
        </w:rPr>
        <w:t xml:space="preserve">-Wide Survey’ (2022) 10 </w:t>
      </w:r>
      <w:r w:rsidRPr="009109BF">
        <w:rPr>
          <w:rFonts w:ascii="Arial" w:hAnsi="Arial" w:cs="Arial"/>
          <w:sz w:val="18"/>
          <w:szCs w:val="18"/>
        </w:rPr>
        <w:t>Frontiers In Public Health</w:t>
      </w:r>
      <w:r w:rsidR="000D5F07" w:rsidRPr="009109BF">
        <w:rPr>
          <w:rFonts w:ascii="Arial" w:hAnsi="Arial" w:cs="Arial"/>
          <w:sz w:val="18"/>
          <w:szCs w:val="18"/>
        </w:rPr>
        <w:t xml:space="preserve"> </w:t>
      </w:r>
      <w:r w:rsidRPr="009109BF">
        <w:rPr>
          <w:rFonts w:ascii="Arial" w:hAnsi="Arial" w:cs="Arial"/>
          <w:sz w:val="18"/>
          <w:szCs w:val="18"/>
        </w:rPr>
        <w:t>1033465, 01.</w:t>
      </w:r>
    </w:p>
  </w:footnote>
  <w:footnote w:id="72">
    <w:p w14:paraId="29D8B1B0" w14:textId="68B96A8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D5F07" w:rsidRPr="009109BF">
        <w:rPr>
          <w:rFonts w:ascii="Arial" w:hAnsi="Arial" w:cs="Arial"/>
          <w:sz w:val="18"/>
          <w:szCs w:val="18"/>
        </w:rPr>
        <w:t xml:space="preserve">D </w:t>
      </w:r>
      <w:r w:rsidRPr="009109BF">
        <w:rPr>
          <w:rFonts w:ascii="Arial" w:hAnsi="Arial" w:cs="Arial"/>
          <w:sz w:val="18"/>
          <w:szCs w:val="18"/>
        </w:rPr>
        <w:t xml:space="preserve">Reichel, </w:t>
      </w:r>
      <w:r w:rsidR="00363B6D" w:rsidRPr="009109BF">
        <w:rPr>
          <w:rFonts w:ascii="Arial" w:hAnsi="Arial" w:cs="Arial"/>
          <w:sz w:val="18"/>
          <w:szCs w:val="18"/>
        </w:rPr>
        <w:t>‘</w:t>
      </w:r>
      <w:r w:rsidRPr="009109BF">
        <w:rPr>
          <w:rFonts w:ascii="Arial" w:hAnsi="Arial" w:cs="Arial"/>
          <w:sz w:val="18"/>
          <w:szCs w:val="18"/>
        </w:rPr>
        <w:t>Determinants of Intimate Partner Violence in Europe: The Role of Socioeconomic Status, Inequality, and Partner Behaviour</w:t>
      </w:r>
      <w:r w:rsidR="00363B6D" w:rsidRPr="009109BF">
        <w:rPr>
          <w:rFonts w:ascii="Arial" w:hAnsi="Arial" w:cs="Arial"/>
          <w:sz w:val="18"/>
          <w:szCs w:val="18"/>
        </w:rPr>
        <w:t>’</w:t>
      </w:r>
      <w:r w:rsidRPr="009109BF">
        <w:rPr>
          <w:rFonts w:ascii="Arial" w:hAnsi="Arial" w:cs="Arial"/>
          <w:sz w:val="18"/>
          <w:szCs w:val="18"/>
        </w:rPr>
        <w:t xml:space="preserve"> </w:t>
      </w:r>
      <w:r w:rsidR="005528FA" w:rsidRPr="009109BF">
        <w:rPr>
          <w:rFonts w:ascii="Arial" w:hAnsi="Arial" w:cs="Arial"/>
          <w:sz w:val="18"/>
          <w:szCs w:val="18"/>
        </w:rPr>
        <w:t xml:space="preserve">(2017) </w:t>
      </w:r>
      <w:r w:rsidRPr="009109BF">
        <w:rPr>
          <w:rFonts w:ascii="Arial" w:hAnsi="Arial" w:cs="Arial"/>
          <w:sz w:val="18"/>
          <w:szCs w:val="18"/>
        </w:rPr>
        <w:t xml:space="preserve">32(12) Journal of Interpersonal Violence 1853, 1864 (cited </w:t>
      </w:r>
      <w:r w:rsidR="00DC4E30" w:rsidRPr="009109BF">
        <w:rPr>
          <w:rFonts w:ascii="Arial" w:hAnsi="Arial" w:cs="Arial"/>
          <w:sz w:val="18"/>
          <w:szCs w:val="18"/>
        </w:rPr>
        <w:t>ibid</w:t>
      </w:r>
      <w:r w:rsidR="005528FA"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12)</w:t>
      </w:r>
      <w:r w:rsidR="005528FA" w:rsidRPr="009109BF">
        <w:rPr>
          <w:rFonts w:ascii="Arial" w:hAnsi="Arial" w:cs="Arial"/>
          <w:sz w:val="18"/>
          <w:szCs w:val="18"/>
        </w:rPr>
        <w:t>.</w:t>
      </w:r>
    </w:p>
  </w:footnote>
  <w:footnote w:id="73">
    <w:p w14:paraId="79256EDF" w14:textId="2CAE288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5528FA" w:rsidRPr="009109BF">
        <w:rPr>
          <w:rFonts w:ascii="Arial" w:hAnsi="Arial" w:cs="Arial"/>
          <w:sz w:val="18"/>
          <w:szCs w:val="18"/>
        </w:rPr>
        <w:t xml:space="preserve">A E </w:t>
      </w:r>
      <w:r w:rsidRPr="009109BF">
        <w:rPr>
          <w:rFonts w:ascii="Arial" w:hAnsi="Arial" w:cs="Arial"/>
          <w:sz w:val="18"/>
          <w:szCs w:val="18"/>
        </w:rPr>
        <w:t xml:space="preserve">Bonomi, </w:t>
      </w:r>
      <w:r w:rsidR="005528FA" w:rsidRPr="009109BF">
        <w:rPr>
          <w:rFonts w:ascii="Arial" w:hAnsi="Arial" w:cs="Arial"/>
          <w:sz w:val="18"/>
          <w:szCs w:val="18"/>
        </w:rPr>
        <w:t>B</w:t>
      </w:r>
      <w:r w:rsidRPr="009109BF">
        <w:rPr>
          <w:rFonts w:ascii="Arial" w:hAnsi="Arial" w:cs="Arial"/>
          <w:sz w:val="18"/>
          <w:szCs w:val="18"/>
        </w:rPr>
        <w:t xml:space="preserve"> Trabert, </w:t>
      </w:r>
      <w:r w:rsidR="005528FA" w:rsidRPr="009109BF">
        <w:rPr>
          <w:rFonts w:ascii="Arial" w:hAnsi="Arial" w:cs="Arial"/>
          <w:sz w:val="18"/>
          <w:szCs w:val="18"/>
        </w:rPr>
        <w:t>M L</w:t>
      </w:r>
      <w:r w:rsidRPr="009109BF">
        <w:rPr>
          <w:rFonts w:ascii="Arial" w:hAnsi="Arial" w:cs="Arial"/>
          <w:sz w:val="18"/>
          <w:szCs w:val="18"/>
        </w:rPr>
        <w:t xml:space="preserve"> Anderson, </w:t>
      </w:r>
      <w:r w:rsidR="005528FA" w:rsidRPr="009109BF">
        <w:rPr>
          <w:rFonts w:ascii="Arial" w:hAnsi="Arial" w:cs="Arial"/>
          <w:sz w:val="18"/>
          <w:szCs w:val="18"/>
        </w:rPr>
        <w:t>M A</w:t>
      </w:r>
      <w:r w:rsidRPr="009109BF">
        <w:rPr>
          <w:rFonts w:ascii="Arial" w:hAnsi="Arial" w:cs="Arial"/>
          <w:sz w:val="18"/>
          <w:szCs w:val="18"/>
        </w:rPr>
        <w:t xml:space="preserve"> Kernic</w:t>
      </w:r>
      <w:r w:rsidR="005528FA" w:rsidRPr="009109BF">
        <w:rPr>
          <w:rFonts w:ascii="Arial" w:hAnsi="Arial" w:cs="Arial"/>
          <w:sz w:val="18"/>
          <w:szCs w:val="18"/>
        </w:rPr>
        <w:t xml:space="preserve"> </w:t>
      </w:r>
      <w:r w:rsidRPr="009109BF">
        <w:rPr>
          <w:rFonts w:ascii="Arial" w:hAnsi="Arial" w:cs="Arial"/>
          <w:sz w:val="18"/>
          <w:szCs w:val="18"/>
        </w:rPr>
        <w:t xml:space="preserve">and </w:t>
      </w:r>
      <w:r w:rsidR="005528FA" w:rsidRPr="009109BF">
        <w:rPr>
          <w:rFonts w:ascii="Arial" w:hAnsi="Arial" w:cs="Arial"/>
          <w:sz w:val="18"/>
          <w:szCs w:val="18"/>
        </w:rPr>
        <w:t xml:space="preserve">V </w:t>
      </w:r>
      <w:r w:rsidRPr="009109BF">
        <w:rPr>
          <w:rFonts w:ascii="Arial" w:hAnsi="Arial" w:cs="Arial"/>
          <w:sz w:val="18"/>
          <w:szCs w:val="18"/>
        </w:rPr>
        <w:t xml:space="preserve">Holt, </w:t>
      </w:r>
      <w:r w:rsidR="00363B6D" w:rsidRPr="009109BF">
        <w:rPr>
          <w:rFonts w:ascii="Arial" w:hAnsi="Arial" w:cs="Arial"/>
          <w:sz w:val="18"/>
          <w:szCs w:val="18"/>
        </w:rPr>
        <w:t>‘</w:t>
      </w:r>
      <w:r w:rsidRPr="009109BF">
        <w:rPr>
          <w:rFonts w:ascii="Arial" w:hAnsi="Arial" w:cs="Arial"/>
          <w:sz w:val="18"/>
          <w:szCs w:val="18"/>
        </w:rPr>
        <w:t>Intimate Partner Violence and Neighbourhood Income: A Longitudinal Analysis</w:t>
      </w:r>
      <w:r w:rsidR="00363B6D" w:rsidRPr="009109BF">
        <w:rPr>
          <w:rFonts w:ascii="Arial" w:hAnsi="Arial" w:cs="Arial"/>
          <w:sz w:val="18"/>
          <w:szCs w:val="18"/>
        </w:rPr>
        <w:t>’</w:t>
      </w:r>
      <w:r w:rsidRPr="009109BF">
        <w:rPr>
          <w:rFonts w:ascii="Arial" w:hAnsi="Arial" w:cs="Arial"/>
          <w:sz w:val="18"/>
          <w:szCs w:val="18"/>
        </w:rPr>
        <w:t xml:space="preserve"> </w:t>
      </w:r>
      <w:r w:rsidR="005528FA" w:rsidRPr="009109BF">
        <w:rPr>
          <w:rFonts w:ascii="Arial" w:hAnsi="Arial" w:cs="Arial"/>
          <w:sz w:val="18"/>
          <w:szCs w:val="18"/>
        </w:rPr>
        <w:t xml:space="preserve">(2014) </w:t>
      </w:r>
      <w:r w:rsidRPr="009109BF">
        <w:rPr>
          <w:rFonts w:ascii="Arial" w:hAnsi="Arial" w:cs="Arial"/>
          <w:sz w:val="18"/>
          <w:szCs w:val="18"/>
        </w:rPr>
        <w:t>20(1) Violence Against Women 42</w:t>
      </w:r>
      <w:r w:rsidR="005528FA" w:rsidRPr="009109BF">
        <w:rPr>
          <w:rFonts w:ascii="Arial" w:hAnsi="Arial" w:cs="Arial"/>
          <w:sz w:val="18"/>
          <w:szCs w:val="18"/>
        </w:rPr>
        <w:t>.</w:t>
      </w:r>
    </w:p>
  </w:footnote>
  <w:footnote w:id="74">
    <w:p w14:paraId="6116EBB6" w14:textId="08DB0AC8" w:rsidR="007E7C00" w:rsidRPr="009109BF" w:rsidRDefault="007E7C00" w:rsidP="007E7C00">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5528FA" w:rsidRPr="009109BF">
        <w:rPr>
          <w:rFonts w:ascii="Arial" w:hAnsi="Arial" w:cs="Arial"/>
          <w:sz w:val="18"/>
          <w:szCs w:val="18"/>
        </w:rPr>
        <w:t xml:space="preserve">H A </w:t>
      </w:r>
      <w:r w:rsidRPr="009109BF">
        <w:rPr>
          <w:rFonts w:ascii="Arial" w:hAnsi="Arial" w:cs="Arial"/>
          <w:sz w:val="18"/>
          <w:szCs w:val="18"/>
        </w:rPr>
        <w:t xml:space="preserve">Kelly, ‘’Rule of Thumb’ and the Folklaw of the Husband’s Stick’ </w:t>
      </w:r>
      <w:r w:rsidR="005528FA" w:rsidRPr="009109BF">
        <w:rPr>
          <w:rFonts w:ascii="Arial" w:hAnsi="Arial" w:cs="Arial"/>
          <w:sz w:val="18"/>
          <w:szCs w:val="18"/>
        </w:rPr>
        <w:t xml:space="preserve">(1994) </w:t>
      </w:r>
      <w:r w:rsidRPr="009109BF">
        <w:rPr>
          <w:rFonts w:ascii="Arial" w:hAnsi="Arial" w:cs="Arial"/>
          <w:sz w:val="18"/>
          <w:szCs w:val="18"/>
        </w:rPr>
        <w:t>44(3) Journal of Legal Education 341</w:t>
      </w:r>
      <w:r w:rsidR="005528FA" w:rsidRPr="009109BF">
        <w:rPr>
          <w:rFonts w:ascii="Arial" w:hAnsi="Arial" w:cs="Arial"/>
          <w:sz w:val="18"/>
          <w:szCs w:val="18"/>
        </w:rPr>
        <w:t>.</w:t>
      </w:r>
    </w:p>
  </w:footnote>
  <w:footnote w:id="75">
    <w:p w14:paraId="30875713" w14:textId="6D2421E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5528FA" w:rsidRPr="009109BF">
        <w:rPr>
          <w:rFonts w:ascii="Arial" w:hAnsi="Arial" w:cs="Arial"/>
          <w:sz w:val="18"/>
          <w:szCs w:val="18"/>
        </w:rPr>
        <w:t xml:space="preserve">L </w:t>
      </w:r>
      <w:r w:rsidRPr="009109BF">
        <w:rPr>
          <w:rFonts w:ascii="Arial" w:hAnsi="Arial" w:cs="Arial"/>
          <w:sz w:val="18"/>
          <w:szCs w:val="18"/>
        </w:rPr>
        <w:t xml:space="preserve">Kiss, </w:t>
      </w:r>
      <w:r w:rsidR="005528FA" w:rsidRPr="009109BF">
        <w:rPr>
          <w:rFonts w:ascii="Arial" w:hAnsi="Arial" w:cs="Arial"/>
          <w:sz w:val="18"/>
          <w:szCs w:val="18"/>
        </w:rPr>
        <w:t>L B</w:t>
      </w:r>
      <w:r w:rsidRPr="009109BF">
        <w:rPr>
          <w:rFonts w:ascii="Arial" w:hAnsi="Arial" w:cs="Arial"/>
          <w:sz w:val="18"/>
          <w:szCs w:val="18"/>
        </w:rPr>
        <w:t xml:space="preserve"> Schraiber, L</w:t>
      </w:r>
      <w:r w:rsidR="005528FA" w:rsidRPr="009109BF">
        <w:rPr>
          <w:rFonts w:ascii="Arial" w:hAnsi="Arial" w:cs="Arial"/>
          <w:sz w:val="18"/>
          <w:szCs w:val="18"/>
        </w:rPr>
        <w:t xml:space="preserve"> </w:t>
      </w:r>
      <w:r w:rsidRPr="009109BF">
        <w:rPr>
          <w:rFonts w:ascii="Arial" w:hAnsi="Arial" w:cs="Arial"/>
          <w:sz w:val="18"/>
          <w:szCs w:val="18"/>
        </w:rPr>
        <w:t>Heise</w:t>
      </w:r>
      <w:r w:rsidR="005528FA" w:rsidRPr="009109BF">
        <w:rPr>
          <w:rFonts w:ascii="Arial" w:hAnsi="Arial" w:cs="Arial"/>
          <w:sz w:val="18"/>
          <w:szCs w:val="18"/>
        </w:rPr>
        <w:t>, C</w:t>
      </w:r>
      <w:r w:rsidRPr="009109BF">
        <w:rPr>
          <w:rFonts w:ascii="Arial" w:hAnsi="Arial" w:cs="Arial"/>
          <w:sz w:val="18"/>
          <w:szCs w:val="18"/>
        </w:rPr>
        <w:t xml:space="preserve"> Zimmerman, </w:t>
      </w:r>
      <w:r w:rsidR="005528FA" w:rsidRPr="009109BF">
        <w:rPr>
          <w:rFonts w:ascii="Arial" w:hAnsi="Arial" w:cs="Arial"/>
          <w:sz w:val="18"/>
          <w:szCs w:val="18"/>
        </w:rPr>
        <w:t>N</w:t>
      </w:r>
      <w:r w:rsidRPr="009109BF">
        <w:rPr>
          <w:rFonts w:ascii="Arial" w:hAnsi="Arial" w:cs="Arial"/>
          <w:sz w:val="18"/>
          <w:szCs w:val="18"/>
        </w:rPr>
        <w:t xml:space="preserve"> Gouveia</w:t>
      </w:r>
      <w:r w:rsidR="005528FA" w:rsidRPr="009109BF">
        <w:rPr>
          <w:rFonts w:ascii="Arial" w:hAnsi="Arial" w:cs="Arial"/>
          <w:sz w:val="18"/>
          <w:szCs w:val="18"/>
        </w:rPr>
        <w:t xml:space="preserve"> and C</w:t>
      </w:r>
      <w:r w:rsidRPr="009109BF">
        <w:rPr>
          <w:rFonts w:ascii="Arial" w:hAnsi="Arial" w:cs="Arial"/>
          <w:sz w:val="18"/>
          <w:szCs w:val="18"/>
        </w:rPr>
        <w:t xml:space="preserve"> Watts, </w:t>
      </w:r>
      <w:r w:rsidR="00363B6D" w:rsidRPr="009109BF">
        <w:rPr>
          <w:rFonts w:ascii="Arial" w:hAnsi="Arial" w:cs="Arial"/>
          <w:sz w:val="18"/>
          <w:szCs w:val="18"/>
        </w:rPr>
        <w:t>‘</w:t>
      </w:r>
      <w:r w:rsidRPr="009109BF">
        <w:rPr>
          <w:rFonts w:ascii="Arial" w:hAnsi="Arial" w:cs="Arial"/>
          <w:sz w:val="18"/>
          <w:szCs w:val="18"/>
        </w:rPr>
        <w:t>Gender</w:t>
      </w:r>
      <w:r w:rsidR="005528FA" w:rsidRPr="009109BF">
        <w:rPr>
          <w:rFonts w:ascii="Arial" w:hAnsi="Arial" w:cs="Arial"/>
          <w:sz w:val="18"/>
          <w:szCs w:val="18"/>
        </w:rPr>
        <w:t xml:space="preserve">-Based Violence and Socioeconomic Inequalities: </w:t>
      </w:r>
      <w:r w:rsidRPr="009109BF">
        <w:rPr>
          <w:rFonts w:ascii="Arial" w:hAnsi="Arial" w:cs="Arial"/>
          <w:sz w:val="18"/>
          <w:szCs w:val="18"/>
        </w:rPr>
        <w:t xml:space="preserve">Does </w:t>
      </w:r>
      <w:r w:rsidR="005528FA" w:rsidRPr="009109BF">
        <w:rPr>
          <w:rFonts w:ascii="Arial" w:hAnsi="Arial" w:cs="Arial"/>
          <w:sz w:val="18"/>
          <w:szCs w:val="18"/>
        </w:rPr>
        <w:t>Living in More Deprived Neighbourhoods Increase Women’s Risk of Intimate Partner Violence</w:t>
      </w:r>
      <w:r w:rsidRPr="009109BF">
        <w:rPr>
          <w:rFonts w:ascii="Arial" w:hAnsi="Arial" w:cs="Arial"/>
          <w:sz w:val="18"/>
          <w:szCs w:val="18"/>
        </w:rPr>
        <w:t>?</w:t>
      </w:r>
      <w:r w:rsidR="00363B6D" w:rsidRPr="009109BF">
        <w:rPr>
          <w:rFonts w:ascii="Arial" w:hAnsi="Arial" w:cs="Arial"/>
          <w:sz w:val="18"/>
          <w:szCs w:val="18"/>
        </w:rPr>
        <w:t>’</w:t>
      </w:r>
      <w:r w:rsidRPr="009109BF">
        <w:rPr>
          <w:rFonts w:ascii="Arial" w:hAnsi="Arial" w:cs="Arial"/>
          <w:sz w:val="18"/>
          <w:szCs w:val="18"/>
        </w:rPr>
        <w:t xml:space="preserve"> (2012) 74 Social Science &amp; Medicine 1172, 1178</w:t>
      </w:r>
      <w:r w:rsidR="005528FA" w:rsidRPr="009109BF">
        <w:rPr>
          <w:rFonts w:ascii="Arial" w:hAnsi="Arial" w:cs="Arial"/>
          <w:sz w:val="18"/>
          <w:szCs w:val="18"/>
        </w:rPr>
        <w:t>.</w:t>
      </w:r>
    </w:p>
  </w:footnote>
  <w:footnote w:id="76">
    <w:p w14:paraId="532444AD" w14:textId="0DDF4198"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5528FA" w:rsidRPr="009109BF">
        <w:rPr>
          <w:rFonts w:ascii="Arial" w:hAnsi="Arial" w:cs="Arial"/>
          <w:sz w:val="18"/>
          <w:szCs w:val="18"/>
        </w:rPr>
        <w:t xml:space="preserve">R A </w:t>
      </w:r>
      <w:r w:rsidRPr="009109BF">
        <w:rPr>
          <w:rFonts w:ascii="Arial" w:hAnsi="Arial" w:cs="Arial"/>
          <w:sz w:val="18"/>
          <w:szCs w:val="18"/>
        </w:rPr>
        <w:t>Owen</w:t>
      </w:r>
      <w:r w:rsidR="005528FA" w:rsidRPr="009109BF">
        <w:rPr>
          <w:rFonts w:ascii="Arial" w:hAnsi="Arial" w:cs="Arial"/>
          <w:sz w:val="18"/>
          <w:szCs w:val="18"/>
        </w:rPr>
        <w:t>,</w:t>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A World without Men: Valerie Solanas and the Feminist Uses of Violence</w:t>
      </w:r>
      <w:r w:rsidR="00363B6D" w:rsidRPr="009109BF">
        <w:rPr>
          <w:rFonts w:ascii="Arial" w:hAnsi="Arial" w:cs="Arial"/>
          <w:sz w:val="18"/>
          <w:szCs w:val="18"/>
        </w:rPr>
        <w:t>’</w:t>
      </w:r>
      <w:r w:rsidRPr="009109BF">
        <w:rPr>
          <w:rFonts w:ascii="Arial" w:hAnsi="Arial" w:cs="Arial"/>
          <w:sz w:val="18"/>
          <w:szCs w:val="18"/>
        </w:rPr>
        <w:t xml:space="preserve"> </w:t>
      </w:r>
      <w:r w:rsidR="005528FA" w:rsidRPr="009109BF">
        <w:rPr>
          <w:rFonts w:ascii="Arial" w:hAnsi="Arial" w:cs="Arial"/>
          <w:sz w:val="18"/>
          <w:szCs w:val="18"/>
        </w:rPr>
        <w:t xml:space="preserve">(2022) </w:t>
      </w:r>
      <w:r w:rsidRPr="009109BF">
        <w:rPr>
          <w:rFonts w:ascii="Arial" w:hAnsi="Arial" w:cs="Arial"/>
          <w:sz w:val="18"/>
          <w:szCs w:val="18"/>
        </w:rPr>
        <w:t>44(1) New Political Science 105, 114</w:t>
      </w:r>
      <w:r w:rsidR="005528FA" w:rsidRPr="009109BF">
        <w:rPr>
          <w:rFonts w:ascii="Arial" w:hAnsi="Arial" w:cs="Arial"/>
          <w:sz w:val="18"/>
          <w:szCs w:val="18"/>
        </w:rPr>
        <w:t>.</w:t>
      </w:r>
    </w:p>
  </w:footnote>
  <w:footnote w:id="77">
    <w:p w14:paraId="316B7358" w14:textId="61073ECB"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5528FA" w:rsidRPr="009109BF">
        <w:rPr>
          <w:rFonts w:ascii="Arial" w:hAnsi="Arial" w:cs="Arial"/>
          <w:sz w:val="18"/>
          <w:szCs w:val="18"/>
        </w:rPr>
        <w:t xml:space="preserve">M </w:t>
      </w:r>
      <w:r w:rsidRPr="009109BF">
        <w:rPr>
          <w:rFonts w:ascii="Arial" w:hAnsi="Arial" w:cs="Arial"/>
          <w:sz w:val="18"/>
          <w:szCs w:val="18"/>
        </w:rPr>
        <w:t xml:space="preserve">Haut, </w:t>
      </w:r>
      <w:r w:rsidR="00363B6D" w:rsidRPr="009109BF">
        <w:rPr>
          <w:rFonts w:ascii="Arial" w:hAnsi="Arial" w:cs="Arial"/>
          <w:sz w:val="18"/>
          <w:szCs w:val="18"/>
        </w:rPr>
        <w:t>‘</w:t>
      </w:r>
      <w:r w:rsidRPr="009109BF">
        <w:rPr>
          <w:rFonts w:ascii="Arial" w:hAnsi="Arial" w:cs="Arial"/>
          <w:sz w:val="18"/>
          <w:szCs w:val="18"/>
        </w:rPr>
        <w:t>A Salty Tongue: At the Margins of Satire, Comedy and Polemic in the Writing of Valerie Solanas</w:t>
      </w:r>
      <w:r w:rsidR="00363B6D" w:rsidRPr="009109BF">
        <w:rPr>
          <w:rFonts w:ascii="Arial" w:hAnsi="Arial" w:cs="Arial"/>
          <w:sz w:val="18"/>
          <w:szCs w:val="18"/>
        </w:rPr>
        <w:t>’</w:t>
      </w:r>
      <w:r w:rsidRPr="009109BF">
        <w:rPr>
          <w:rFonts w:ascii="Arial" w:hAnsi="Arial" w:cs="Arial"/>
          <w:sz w:val="18"/>
          <w:szCs w:val="18"/>
        </w:rPr>
        <w:t xml:space="preserve"> </w:t>
      </w:r>
      <w:r w:rsidR="005528FA" w:rsidRPr="009109BF">
        <w:rPr>
          <w:rFonts w:ascii="Arial" w:hAnsi="Arial" w:cs="Arial"/>
          <w:sz w:val="18"/>
          <w:szCs w:val="18"/>
        </w:rPr>
        <w:t xml:space="preserve">(2007) </w:t>
      </w:r>
      <w:r w:rsidRPr="009109BF">
        <w:rPr>
          <w:rFonts w:ascii="Arial" w:hAnsi="Arial" w:cs="Arial"/>
          <w:sz w:val="18"/>
          <w:szCs w:val="18"/>
        </w:rPr>
        <w:t xml:space="preserve">8(1) Feminist Theory 27, 39 (cited </w:t>
      </w:r>
      <w:r w:rsidR="00DC4E30" w:rsidRPr="009109BF">
        <w:rPr>
          <w:rFonts w:ascii="Arial" w:hAnsi="Arial" w:cs="Arial"/>
          <w:sz w:val="18"/>
          <w:szCs w:val="18"/>
        </w:rPr>
        <w:t>ibid</w:t>
      </w:r>
      <w:r w:rsidR="00823073" w:rsidRPr="009109BF">
        <w:rPr>
          <w:rFonts w:ascii="Arial" w:hAnsi="Arial" w:cs="Arial"/>
          <w:i/>
          <w:iCs/>
          <w:sz w:val="18"/>
          <w:szCs w:val="18"/>
        </w:rPr>
        <w:t>,</w:t>
      </w:r>
      <w:r w:rsidRPr="009109BF">
        <w:rPr>
          <w:rFonts w:ascii="Arial" w:hAnsi="Arial" w:cs="Arial"/>
          <w:i/>
          <w:iCs/>
          <w:sz w:val="18"/>
          <w:szCs w:val="18"/>
        </w:rPr>
        <w:t xml:space="preserve"> </w:t>
      </w:r>
      <w:r w:rsidRPr="009109BF">
        <w:rPr>
          <w:rFonts w:ascii="Arial" w:hAnsi="Arial" w:cs="Arial"/>
          <w:sz w:val="18"/>
          <w:szCs w:val="18"/>
        </w:rPr>
        <w:t>n18)</w:t>
      </w:r>
      <w:r w:rsidR="00823073" w:rsidRPr="009109BF">
        <w:rPr>
          <w:rFonts w:ascii="Arial" w:hAnsi="Arial" w:cs="Arial"/>
          <w:sz w:val="18"/>
          <w:szCs w:val="18"/>
        </w:rPr>
        <w:t>.</w:t>
      </w:r>
    </w:p>
  </w:footnote>
  <w:footnote w:id="78">
    <w:p w14:paraId="0234D04A" w14:textId="61D03CA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823073" w:rsidRPr="009109BF">
        <w:rPr>
          <w:rFonts w:ascii="Arial" w:hAnsi="Arial" w:cs="Arial"/>
          <w:sz w:val="18"/>
          <w:szCs w:val="18"/>
        </w:rPr>
        <w:t xml:space="preserve">D D </w:t>
      </w:r>
      <w:r w:rsidRPr="009109BF">
        <w:rPr>
          <w:rFonts w:ascii="Arial" w:hAnsi="Arial" w:cs="Arial"/>
          <w:sz w:val="18"/>
          <w:szCs w:val="18"/>
        </w:rPr>
        <w:t>Rowe</w:t>
      </w:r>
      <w:r w:rsidR="00823073" w:rsidRPr="009109BF">
        <w:rPr>
          <w:rFonts w:ascii="Arial" w:hAnsi="Arial" w:cs="Arial"/>
          <w:sz w:val="18"/>
          <w:szCs w:val="18"/>
        </w:rPr>
        <w:t xml:space="preserve"> </w:t>
      </w:r>
      <w:r w:rsidRPr="009109BF">
        <w:rPr>
          <w:rFonts w:ascii="Arial" w:hAnsi="Arial" w:cs="Arial"/>
          <w:sz w:val="18"/>
          <w:szCs w:val="18"/>
        </w:rPr>
        <w:t xml:space="preserve">and </w:t>
      </w:r>
      <w:r w:rsidR="00823073" w:rsidRPr="009109BF">
        <w:rPr>
          <w:rFonts w:ascii="Arial" w:hAnsi="Arial" w:cs="Arial"/>
          <w:sz w:val="18"/>
          <w:szCs w:val="18"/>
        </w:rPr>
        <w:t>K R</w:t>
      </w:r>
      <w:r w:rsidR="007E355E" w:rsidRPr="009109BF">
        <w:rPr>
          <w:rFonts w:ascii="Arial" w:hAnsi="Arial" w:cs="Arial"/>
          <w:sz w:val="18"/>
          <w:szCs w:val="18"/>
        </w:rPr>
        <w:t xml:space="preserve"> </w:t>
      </w:r>
      <w:r w:rsidRPr="009109BF">
        <w:rPr>
          <w:rFonts w:ascii="Arial" w:hAnsi="Arial" w:cs="Arial"/>
          <w:sz w:val="18"/>
          <w:szCs w:val="18"/>
        </w:rPr>
        <w:t xml:space="preserve">Chávez, </w:t>
      </w:r>
      <w:r w:rsidR="00363B6D" w:rsidRPr="009109BF">
        <w:rPr>
          <w:rFonts w:ascii="Arial" w:hAnsi="Arial" w:cs="Arial"/>
          <w:sz w:val="18"/>
          <w:szCs w:val="18"/>
        </w:rPr>
        <w:t>‘</w:t>
      </w:r>
      <w:r w:rsidRPr="009109BF">
        <w:rPr>
          <w:rFonts w:ascii="Arial" w:hAnsi="Arial" w:cs="Arial"/>
          <w:sz w:val="18"/>
          <w:szCs w:val="18"/>
        </w:rPr>
        <w:t>Valerie Solanas and the Queer Performativity of Madness</w:t>
      </w:r>
      <w:r w:rsidR="00363B6D" w:rsidRPr="009109BF">
        <w:rPr>
          <w:rFonts w:ascii="Arial" w:hAnsi="Arial" w:cs="Arial"/>
          <w:sz w:val="18"/>
          <w:szCs w:val="18"/>
        </w:rPr>
        <w:t>’</w:t>
      </w:r>
      <w:r w:rsidRPr="009109BF">
        <w:rPr>
          <w:rFonts w:ascii="Arial" w:hAnsi="Arial" w:cs="Arial"/>
          <w:sz w:val="18"/>
          <w:szCs w:val="18"/>
        </w:rPr>
        <w:t xml:space="preserve"> </w:t>
      </w:r>
      <w:r w:rsidR="00823073" w:rsidRPr="009109BF">
        <w:rPr>
          <w:rFonts w:ascii="Arial" w:hAnsi="Arial" w:cs="Arial"/>
          <w:sz w:val="18"/>
          <w:szCs w:val="18"/>
        </w:rPr>
        <w:t xml:space="preserve">(2011) </w:t>
      </w:r>
      <w:r w:rsidRPr="009109BF">
        <w:rPr>
          <w:rFonts w:ascii="Arial" w:hAnsi="Arial" w:cs="Arial"/>
          <w:sz w:val="18"/>
          <w:szCs w:val="18"/>
        </w:rPr>
        <w:t>11(3) Cultural Studies↔Critical Methodologies 274, 274</w:t>
      </w:r>
      <w:r w:rsidR="007E355E" w:rsidRPr="009109BF">
        <w:rPr>
          <w:rFonts w:ascii="Arial" w:hAnsi="Arial" w:cs="Arial"/>
          <w:sz w:val="18"/>
          <w:szCs w:val="18"/>
        </w:rPr>
        <w:t>.</w:t>
      </w:r>
    </w:p>
  </w:footnote>
  <w:footnote w:id="79">
    <w:p w14:paraId="3F2747C7" w14:textId="201AA5FB"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7E355E" w:rsidRPr="009109BF">
        <w:rPr>
          <w:rFonts w:ascii="Arial" w:hAnsi="Arial" w:cs="Arial"/>
          <w:sz w:val="18"/>
          <w:szCs w:val="18"/>
        </w:rPr>
        <w:t xml:space="preserve">, n </w:t>
      </w:r>
      <w:r w:rsidR="00FD7D6A" w:rsidRPr="009109BF">
        <w:rPr>
          <w:rFonts w:ascii="Arial" w:hAnsi="Arial" w:cs="Arial"/>
          <w:sz w:val="18"/>
          <w:szCs w:val="18"/>
        </w:rPr>
        <w:t>76 above,</w:t>
      </w:r>
      <w:r w:rsidRPr="009109BF">
        <w:rPr>
          <w:rFonts w:ascii="Arial" w:hAnsi="Arial" w:cs="Arial"/>
          <w:sz w:val="18"/>
          <w:szCs w:val="18"/>
        </w:rPr>
        <w:t>120-1</w:t>
      </w:r>
      <w:r w:rsidR="00FD7D6A" w:rsidRPr="009109BF">
        <w:rPr>
          <w:rFonts w:ascii="Arial" w:hAnsi="Arial" w:cs="Arial"/>
          <w:sz w:val="18"/>
          <w:szCs w:val="18"/>
        </w:rPr>
        <w:t>.</w:t>
      </w:r>
    </w:p>
  </w:footnote>
  <w:footnote w:id="80">
    <w:p w14:paraId="60F96D2B" w14:textId="7A3C58E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i</w:t>
      </w:r>
      <w:r w:rsidR="00DC4E30" w:rsidRPr="009109BF">
        <w:rPr>
          <w:rFonts w:ascii="Arial" w:hAnsi="Arial" w:cs="Arial"/>
          <w:sz w:val="18"/>
          <w:szCs w:val="18"/>
        </w:rPr>
        <w:t>bid</w:t>
      </w:r>
      <w:r w:rsidR="00FD7D6A"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106</w:t>
      </w:r>
      <w:r w:rsidR="00FD7D6A" w:rsidRPr="009109BF">
        <w:rPr>
          <w:rFonts w:ascii="Arial" w:hAnsi="Arial" w:cs="Arial"/>
          <w:sz w:val="18"/>
          <w:szCs w:val="18"/>
        </w:rPr>
        <w:t>.</w:t>
      </w:r>
    </w:p>
  </w:footnote>
  <w:footnote w:id="81">
    <w:p w14:paraId="5BDDED3A" w14:textId="1EFB914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 xml:space="preserve">Cowie, </w:t>
      </w:r>
      <w:r w:rsidRPr="009109BF">
        <w:rPr>
          <w:rFonts w:ascii="Arial" w:hAnsi="Arial" w:cs="Arial"/>
          <w:i/>
          <w:iCs/>
          <w:sz w:val="18"/>
          <w:szCs w:val="18"/>
        </w:rPr>
        <w:t>After Dark</w:t>
      </w:r>
      <w:r w:rsidR="00FD7D6A" w:rsidRPr="009109BF">
        <w:rPr>
          <w:rFonts w:ascii="Arial" w:hAnsi="Arial" w:cs="Arial"/>
          <w:i/>
          <w:iCs/>
          <w:sz w:val="18"/>
          <w:szCs w:val="18"/>
        </w:rPr>
        <w:t>,</w:t>
      </w:r>
      <w:r w:rsidRPr="009109BF">
        <w:rPr>
          <w:rFonts w:ascii="Arial" w:hAnsi="Arial" w:cs="Arial"/>
          <w:i/>
          <w:iCs/>
          <w:sz w:val="18"/>
          <w:szCs w:val="18"/>
        </w:rPr>
        <w:t xml:space="preserve"> </w:t>
      </w:r>
      <w:r w:rsidR="00FD7D6A" w:rsidRPr="009109BF">
        <w:rPr>
          <w:rFonts w:ascii="Arial" w:hAnsi="Arial" w:cs="Arial"/>
          <w:sz w:val="18"/>
          <w:szCs w:val="18"/>
        </w:rPr>
        <w:t xml:space="preserve">n 2 above, </w:t>
      </w:r>
      <w:r w:rsidRPr="009109BF">
        <w:rPr>
          <w:rFonts w:ascii="Arial" w:hAnsi="Arial" w:cs="Arial"/>
          <w:sz w:val="18"/>
          <w:szCs w:val="18"/>
        </w:rPr>
        <w:t>46</w:t>
      </w:r>
      <w:r w:rsidR="00FD7D6A" w:rsidRPr="009109BF">
        <w:rPr>
          <w:rFonts w:ascii="Arial" w:hAnsi="Arial" w:cs="Arial"/>
          <w:sz w:val="18"/>
          <w:szCs w:val="18"/>
        </w:rPr>
        <w:t>.</w:t>
      </w:r>
    </w:p>
  </w:footnote>
  <w:footnote w:id="82">
    <w:p w14:paraId="6BE2A568" w14:textId="6203A3B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i</w:t>
      </w:r>
      <w:r w:rsidR="00DC4E30" w:rsidRPr="009109BF">
        <w:rPr>
          <w:rFonts w:ascii="Arial" w:hAnsi="Arial" w:cs="Arial"/>
          <w:sz w:val="18"/>
          <w:szCs w:val="18"/>
        </w:rPr>
        <w:t>bid</w:t>
      </w:r>
      <w:r w:rsidR="00FD7D6A"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117, 341</w:t>
      </w:r>
      <w:r w:rsidR="00FD7D6A" w:rsidRPr="009109BF">
        <w:rPr>
          <w:rFonts w:ascii="Arial" w:hAnsi="Arial" w:cs="Arial"/>
          <w:sz w:val="18"/>
          <w:szCs w:val="18"/>
        </w:rPr>
        <w:t>.</w:t>
      </w:r>
    </w:p>
  </w:footnote>
  <w:footnote w:id="83">
    <w:p w14:paraId="70F070BA" w14:textId="34125A9A"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i</w:t>
      </w:r>
      <w:r w:rsidR="00DC4E30" w:rsidRPr="009109BF">
        <w:rPr>
          <w:rFonts w:ascii="Arial" w:hAnsi="Arial" w:cs="Arial"/>
          <w:sz w:val="18"/>
          <w:szCs w:val="18"/>
        </w:rPr>
        <w:t>bid</w:t>
      </w:r>
      <w:r w:rsidR="00FD7D6A"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387</w:t>
      </w:r>
      <w:r w:rsidR="00FD7D6A" w:rsidRPr="009109BF">
        <w:rPr>
          <w:rFonts w:ascii="Arial" w:hAnsi="Arial" w:cs="Arial"/>
          <w:sz w:val="18"/>
          <w:szCs w:val="18"/>
        </w:rPr>
        <w:t>.</w:t>
      </w:r>
    </w:p>
  </w:footnote>
  <w:footnote w:id="84">
    <w:p w14:paraId="532189C7" w14:textId="0E8619E9" w:rsidR="00311631" w:rsidRPr="009109BF" w:rsidRDefault="00311631" w:rsidP="00A6138D">
      <w:pPr>
        <w:pStyle w:val="FootnoteText"/>
        <w:rPr>
          <w:rFonts w:ascii="Arial" w:hAnsi="Arial" w:cs="Arial"/>
          <w:i/>
          <w:iCs/>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ibid</w:t>
      </w:r>
      <w:r w:rsidR="00FD7D6A" w:rsidRPr="009109BF">
        <w:rPr>
          <w:rFonts w:ascii="Arial" w:hAnsi="Arial" w:cs="Arial"/>
          <w:i/>
          <w:iCs/>
          <w:sz w:val="18"/>
          <w:szCs w:val="18"/>
        </w:rPr>
        <w:t>.</w:t>
      </w:r>
    </w:p>
  </w:footnote>
  <w:footnote w:id="85">
    <w:p w14:paraId="48AF7B06" w14:textId="525F4F5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 xml:space="preserve">R J </w:t>
      </w:r>
      <w:r w:rsidRPr="009109BF">
        <w:rPr>
          <w:rFonts w:ascii="Arial" w:hAnsi="Arial" w:cs="Arial"/>
          <w:sz w:val="18"/>
          <w:szCs w:val="18"/>
        </w:rPr>
        <w:t xml:space="preserve">Gelles, </w:t>
      </w:r>
      <w:r w:rsidR="00363B6D" w:rsidRPr="009109BF">
        <w:rPr>
          <w:rFonts w:ascii="Arial" w:hAnsi="Arial" w:cs="Arial"/>
          <w:sz w:val="18"/>
          <w:szCs w:val="18"/>
        </w:rPr>
        <w:t>‘</w:t>
      </w:r>
      <w:r w:rsidRPr="009109BF">
        <w:rPr>
          <w:rFonts w:ascii="Arial" w:hAnsi="Arial" w:cs="Arial"/>
          <w:sz w:val="18"/>
          <w:szCs w:val="18"/>
        </w:rPr>
        <w:t>Child Abuse and Violence In Single-Parent Families: Parent Absence and Economic Deprivation</w:t>
      </w:r>
      <w:r w:rsidR="00363B6D" w:rsidRPr="009109BF">
        <w:rPr>
          <w:rFonts w:ascii="Arial" w:hAnsi="Arial" w:cs="Arial"/>
          <w:sz w:val="18"/>
          <w:szCs w:val="18"/>
        </w:rPr>
        <w:t>’</w:t>
      </w:r>
      <w:r w:rsidRPr="009109BF">
        <w:rPr>
          <w:rFonts w:ascii="Arial" w:hAnsi="Arial" w:cs="Arial"/>
          <w:sz w:val="18"/>
          <w:szCs w:val="18"/>
        </w:rPr>
        <w:t xml:space="preserve"> </w:t>
      </w:r>
      <w:r w:rsidR="00FD7D6A" w:rsidRPr="009109BF">
        <w:rPr>
          <w:rFonts w:ascii="Arial" w:hAnsi="Arial" w:cs="Arial"/>
          <w:sz w:val="18"/>
          <w:szCs w:val="18"/>
        </w:rPr>
        <w:t xml:space="preserve">(1989) </w:t>
      </w:r>
      <w:r w:rsidRPr="009109BF">
        <w:rPr>
          <w:rFonts w:ascii="Arial" w:hAnsi="Arial" w:cs="Arial"/>
          <w:sz w:val="18"/>
          <w:szCs w:val="18"/>
        </w:rPr>
        <w:t>59 (4) American Journal of Orthopsychiatry 492, 500</w:t>
      </w:r>
      <w:r w:rsidR="00FD7D6A" w:rsidRPr="009109BF">
        <w:rPr>
          <w:rFonts w:ascii="Arial" w:hAnsi="Arial" w:cs="Arial"/>
          <w:sz w:val="18"/>
          <w:szCs w:val="18"/>
        </w:rPr>
        <w:t>.</w:t>
      </w:r>
    </w:p>
  </w:footnote>
  <w:footnote w:id="86">
    <w:p w14:paraId="0F0F65F5" w14:textId="765D10D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i</w:t>
      </w:r>
      <w:r w:rsidR="00DC4E30" w:rsidRPr="009109BF">
        <w:rPr>
          <w:rFonts w:ascii="Arial" w:hAnsi="Arial" w:cs="Arial"/>
          <w:sz w:val="18"/>
          <w:szCs w:val="18"/>
        </w:rPr>
        <w:t>bid</w:t>
      </w:r>
      <w:r w:rsidR="00FD7D6A"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497</w:t>
      </w:r>
      <w:r w:rsidR="00FD7D6A" w:rsidRPr="009109BF">
        <w:rPr>
          <w:rFonts w:ascii="Arial" w:hAnsi="Arial" w:cs="Arial"/>
          <w:sz w:val="18"/>
          <w:szCs w:val="18"/>
        </w:rPr>
        <w:t>.</w:t>
      </w:r>
    </w:p>
  </w:footnote>
  <w:footnote w:id="87">
    <w:p w14:paraId="5CC71423" w14:textId="27A8303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 xml:space="preserve">N </w:t>
      </w:r>
      <w:r w:rsidRPr="009109BF">
        <w:rPr>
          <w:rFonts w:ascii="Arial" w:hAnsi="Arial" w:cs="Arial"/>
          <w:sz w:val="18"/>
          <w:szCs w:val="18"/>
        </w:rPr>
        <w:t xml:space="preserve">Godbout, </w:t>
      </w:r>
      <w:r w:rsidR="00FD7D6A" w:rsidRPr="009109BF">
        <w:rPr>
          <w:rFonts w:ascii="Arial" w:hAnsi="Arial" w:cs="Arial"/>
          <w:sz w:val="18"/>
          <w:szCs w:val="18"/>
        </w:rPr>
        <w:t>M</w:t>
      </w:r>
      <w:r w:rsidRPr="009109BF">
        <w:rPr>
          <w:rFonts w:ascii="Arial" w:hAnsi="Arial" w:cs="Arial"/>
          <w:sz w:val="18"/>
          <w:szCs w:val="18"/>
        </w:rPr>
        <w:t xml:space="preserve"> Vaillancourt-Morel, </w:t>
      </w:r>
      <w:r w:rsidR="00FD7D6A" w:rsidRPr="009109BF">
        <w:rPr>
          <w:rFonts w:ascii="Arial" w:hAnsi="Arial" w:cs="Arial"/>
          <w:sz w:val="18"/>
          <w:szCs w:val="18"/>
        </w:rPr>
        <w:t>N</w:t>
      </w:r>
      <w:r w:rsidRPr="009109BF">
        <w:rPr>
          <w:rFonts w:ascii="Arial" w:hAnsi="Arial" w:cs="Arial"/>
          <w:sz w:val="18"/>
          <w:szCs w:val="18"/>
        </w:rPr>
        <w:t xml:space="preserve"> Bigras, </w:t>
      </w:r>
      <w:r w:rsidR="00FD7D6A" w:rsidRPr="009109BF">
        <w:rPr>
          <w:rFonts w:ascii="Arial" w:hAnsi="Arial" w:cs="Arial"/>
          <w:sz w:val="18"/>
          <w:szCs w:val="18"/>
        </w:rPr>
        <w:t>J</w:t>
      </w:r>
      <w:r w:rsidRPr="009109BF">
        <w:rPr>
          <w:rFonts w:ascii="Arial" w:hAnsi="Arial" w:cs="Arial"/>
          <w:sz w:val="18"/>
          <w:szCs w:val="18"/>
        </w:rPr>
        <w:t xml:space="preserve"> Briere, </w:t>
      </w:r>
      <w:r w:rsidR="00FD7D6A" w:rsidRPr="009109BF">
        <w:rPr>
          <w:rFonts w:ascii="Arial" w:hAnsi="Arial" w:cs="Arial"/>
          <w:sz w:val="18"/>
          <w:szCs w:val="18"/>
        </w:rPr>
        <w:t>M</w:t>
      </w:r>
      <w:r w:rsidRPr="009109BF">
        <w:rPr>
          <w:rFonts w:ascii="Arial" w:hAnsi="Arial" w:cs="Arial"/>
          <w:sz w:val="18"/>
          <w:szCs w:val="18"/>
        </w:rPr>
        <w:t xml:space="preserve"> Hébert, M</w:t>
      </w:r>
      <w:r w:rsidR="00FD7D6A" w:rsidRPr="009109BF">
        <w:rPr>
          <w:rFonts w:ascii="Arial" w:hAnsi="Arial" w:cs="Arial"/>
          <w:sz w:val="18"/>
          <w:szCs w:val="18"/>
        </w:rPr>
        <w:t xml:space="preserve"> </w:t>
      </w:r>
      <w:r w:rsidRPr="009109BF">
        <w:rPr>
          <w:rFonts w:ascii="Arial" w:hAnsi="Arial" w:cs="Arial"/>
          <w:sz w:val="18"/>
          <w:szCs w:val="18"/>
        </w:rPr>
        <w:t>Runtz</w:t>
      </w:r>
      <w:r w:rsidR="00FD7D6A" w:rsidRPr="009109BF">
        <w:rPr>
          <w:rFonts w:ascii="Arial" w:hAnsi="Arial" w:cs="Arial"/>
          <w:sz w:val="18"/>
          <w:szCs w:val="18"/>
        </w:rPr>
        <w:t xml:space="preserve"> and S</w:t>
      </w:r>
      <w:r w:rsidRPr="009109BF">
        <w:rPr>
          <w:rFonts w:ascii="Arial" w:hAnsi="Arial" w:cs="Arial"/>
          <w:sz w:val="18"/>
          <w:szCs w:val="18"/>
        </w:rPr>
        <w:t xml:space="preserve"> Sabourin, </w:t>
      </w:r>
      <w:r w:rsidR="00363B6D" w:rsidRPr="009109BF">
        <w:rPr>
          <w:rFonts w:ascii="Arial" w:hAnsi="Arial" w:cs="Arial"/>
          <w:sz w:val="18"/>
          <w:szCs w:val="18"/>
        </w:rPr>
        <w:t>‘</w:t>
      </w:r>
      <w:r w:rsidRPr="009109BF">
        <w:rPr>
          <w:rFonts w:ascii="Arial" w:hAnsi="Arial" w:cs="Arial"/>
          <w:sz w:val="18"/>
          <w:szCs w:val="18"/>
        </w:rPr>
        <w:t>Intimate Partner Violence in Male Survivors of Child Maltreatment: A Meta-Analysis</w:t>
      </w:r>
      <w:r w:rsidR="00363B6D" w:rsidRPr="009109BF">
        <w:rPr>
          <w:rFonts w:ascii="Arial" w:hAnsi="Arial" w:cs="Arial"/>
          <w:sz w:val="18"/>
          <w:szCs w:val="18"/>
        </w:rPr>
        <w:t>’</w:t>
      </w:r>
      <w:r w:rsidRPr="009109BF">
        <w:rPr>
          <w:rFonts w:ascii="Arial" w:hAnsi="Arial" w:cs="Arial"/>
          <w:sz w:val="18"/>
          <w:szCs w:val="18"/>
        </w:rPr>
        <w:t xml:space="preserve"> </w:t>
      </w:r>
      <w:r w:rsidR="00FD7D6A" w:rsidRPr="009109BF">
        <w:rPr>
          <w:rFonts w:ascii="Arial" w:hAnsi="Arial" w:cs="Arial"/>
          <w:sz w:val="18"/>
          <w:szCs w:val="18"/>
        </w:rPr>
        <w:t xml:space="preserve">(2019) </w:t>
      </w:r>
      <w:r w:rsidRPr="009109BF">
        <w:rPr>
          <w:rFonts w:ascii="Arial" w:hAnsi="Arial" w:cs="Arial"/>
          <w:sz w:val="18"/>
          <w:szCs w:val="18"/>
        </w:rPr>
        <w:t>20 (1) Trauma Violence &amp; Abuse 99, 99.</w:t>
      </w:r>
    </w:p>
  </w:footnote>
  <w:footnote w:id="88">
    <w:p w14:paraId="5C5C5C07" w14:textId="32FAD237" w:rsidR="00311631" w:rsidRPr="000A5CB5" w:rsidRDefault="00311631" w:rsidP="00A6138D">
      <w:pPr>
        <w:pStyle w:val="FootnoteText"/>
        <w:rPr>
          <w:rFonts w:ascii="Arial" w:hAnsi="Arial" w:cs="Arial"/>
          <w:sz w:val="18"/>
          <w:szCs w:val="18"/>
        </w:rPr>
      </w:pPr>
      <w:r w:rsidRPr="000A5CB5">
        <w:rPr>
          <w:rStyle w:val="FootnoteReference"/>
          <w:rFonts w:ascii="Arial" w:hAnsi="Arial" w:cs="Arial"/>
          <w:sz w:val="18"/>
          <w:szCs w:val="18"/>
        </w:rPr>
        <w:footnoteRef/>
      </w:r>
      <w:r w:rsidRPr="000A5CB5">
        <w:rPr>
          <w:rFonts w:ascii="Arial" w:hAnsi="Arial" w:cs="Arial"/>
          <w:sz w:val="18"/>
          <w:szCs w:val="18"/>
        </w:rPr>
        <w:t xml:space="preserve"> </w:t>
      </w:r>
      <w:r w:rsidR="00FD7D6A" w:rsidRPr="000A5CB5">
        <w:rPr>
          <w:rFonts w:ascii="Arial" w:hAnsi="Arial" w:cs="Arial"/>
          <w:sz w:val="18"/>
          <w:szCs w:val="18"/>
        </w:rPr>
        <w:t xml:space="preserve">M </w:t>
      </w:r>
      <w:r w:rsidRPr="000A5CB5">
        <w:rPr>
          <w:rFonts w:ascii="Arial" w:hAnsi="Arial" w:cs="Arial"/>
          <w:sz w:val="18"/>
          <w:szCs w:val="18"/>
        </w:rPr>
        <w:t xml:space="preserve">Goldberg, (2014) </w:t>
      </w:r>
      <w:r w:rsidR="00363B6D" w:rsidRPr="000A5CB5">
        <w:rPr>
          <w:rFonts w:ascii="Arial" w:hAnsi="Arial" w:cs="Arial"/>
          <w:sz w:val="18"/>
          <w:szCs w:val="18"/>
        </w:rPr>
        <w:t>‘</w:t>
      </w:r>
      <w:r w:rsidRPr="000A5CB5">
        <w:rPr>
          <w:rFonts w:ascii="Arial" w:hAnsi="Arial" w:cs="Arial"/>
          <w:sz w:val="18"/>
          <w:szCs w:val="18"/>
        </w:rPr>
        <w:t>What Is A Woman?</w:t>
      </w:r>
      <w:r w:rsidR="00363B6D" w:rsidRPr="000A5CB5">
        <w:rPr>
          <w:rFonts w:ascii="Arial" w:hAnsi="Arial" w:cs="Arial"/>
          <w:sz w:val="18"/>
          <w:szCs w:val="18"/>
        </w:rPr>
        <w:t>’</w:t>
      </w:r>
      <w:r w:rsidRPr="000A5CB5">
        <w:rPr>
          <w:rFonts w:ascii="Arial" w:hAnsi="Arial" w:cs="Arial"/>
          <w:sz w:val="18"/>
          <w:szCs w:val="18"/>
        </w:rPr>
        <w:t xml:space="preserve"> 90(22) </w:t>
      </w:r>
      <w:r w:rsidRPr="000A5CB5">
        <w:rPr>
          <w:rFonts w:ascii="Arial" w:hAnsi="Arial" w:cs="Arial"/>
          <w:i/>
          <w:iCs/>
          <w:sz w:val="18"/>
          <w:szCs w:val="18"/>
        </w:rPr>
        <w:t>The New Yorker</w:t>
      </w:r>
      <w:r w:rsidR="00182F39">
        <w:rPr>
          <w:rFonts w:ascii="Arial" w:hAnsi="Arial" w:cs="Arial"/>
          <w:i/>
          <w:iCs/>
          <w:sz w:val="18"/>
          <w:szCs w:val="18"/>
        </w:rPr>
        <w:t xml:space="preserve">. </w:t>
      </w:r>
      <w:r w:rsidR="00182F39">
        <w:rPr>
          <w:rFonts w:ascii="Arial" w:hAnsi="Arial" w:cs="Arial"/>
          <w:sz w:val="18"/>
          <w:szCs w:val="18"/>
        </w:rPr>
        <w:t xml:space="preserve">Available at: </w:t>
      </w:r>
      <w:hyperlink r:id="rId10" w:history="1">
        <w:r w:rsidR="000A5CB5" w:rsidRPr="000A5CB5">
          <w:rPr>
            <w:rStyle w:val="Hyperlink"/>
            <w:rFonts w:ascii="Arial" w:hAnsi="Arial" w:cs="Arial"/>
            <w:sz w:val="18"/>
            <w:szCs w:val="18"/>
          </w:rPr>
          <w:t>https://www.newyorker.com/magazine/2014/08/04/woman-2</w:t>
        </w:r>
      </w:hyperlink>
      <w:r w:rsidR="000A5CB5" w:rsidRPr="000A5CB5">
        <w:rPr>
          <w:rFonts w:ascii="Arial" w:hAnsi="Arial" w:cs="Arial"/>
          <w:sz w:val="18"/>
          <w:szCs w:val="18"/>
        </w:rPr>
        <w:t xml:space="preserve"> (last accessed 14 June 2024)</w:t>
      </w:r>
    </w:p>
  </w:footnote>
  <w:footnote w:id="89">
    <w:p w14:paraId="5E436629" w14:textId="565406D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FD7D6A" w:rsidRPr="009109BF">
        <w:rPr>
          <w:rFonts w:ascii="Arial" w:hAnsi="Arial" w:cs="Arial"/>
          <w:sz w:val="18"/>
          <w:szCs w:val="18"/>
        </w:rPr>
        <w:t>, n 76 above,</w:t>
      </w:r>
      <w:r w:rsidRPr="009109BF">
        <w:rPr>
          <w:rFonts w:ascii="Arial" w:hAnsi="Arial" w:cs="Arial"/>
          <w:sz w:val="18"/>
          <w:szCs w:val="18"/>
        </w:rPr>
        <w:t>107</w:t>
      </w:r>
      <w:r w:rsidR="00FD7D6A" w:rsidRPr="009109BF">
        <w:rPr>
          <w:rFonts w:ascii="Arial" w:hAnsi="Arial" w:cs="Arial"/>
          <w:sz w:val="18"/>
          <w:szCs w:val="18"/>
        </w:rPr>
        <w:t>.</w:t>
      </w:r>
    </w:p>
  </w:footnote>
  <w:footnote w:id="90">
    <w:p w14:paraId="5AB32921" w14:textId="4673E698"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 xml:space="preserve">S </w:t>
      </w:r>
      <w:r w:rsidRPr="009109BF">
        <w:rPr>
          <w:rFonts w:ascii="Arial" w:hAnsi="Arial" w:cs="Arial"/>
          <w:sz w:val="18"/>
          <w:szCs w:val="18"/>
        </w:rPr>
        <w:t>Bayrakdar</w:t>
      </w:r>
      <w:r w:rsidR="00FD7D6A" w:rsidRPr="009109BF">
        <w:rPr>
          <w:rFonts w:ascii="Arial" w:hAnsi="Arial" w:cs="Arial"/>
          <w:sz w:val="18"/>
          <w:szCs w:val="18"/>
        </w:rPr>
        <w:t xml:space="preserve"> and A</w:t>
      </w:r>
      <w:r w:rsidRPr="009109BF">
        <w:rPr>
          <w:rFonts w:ascii="Arial" w:hAnsi="Arial" w:cs="Arial"/>
          <w:sz w:val="18"/>
          <w:szCs w:val="18"/>
        </w:rPr>
        <w:t xml:space="preserve"> King, </w:t>
      </w:r>
      <w:r w:rsidR="00363B6D" w:rsidRPr="009109BF">
        <w:rPr>
          <w:rFonts w:ascii="Arial" w:hAnsi="Arial" w:cs="Arial"/>
          <w:sz w:val="18"/>
          <w:szCs w:val="18"/>
        </w:rPr>
        <w:t>‘</w:t>
      </w:r>
      <w:r w:rsidRPr="009109BF">
        <w:rPr>
          <w:rFonts w:ascii="Arial" w:hAnsi="Arial" w:cs="Arial"/>
          <w:sz w:val="18"/>
          <w:szCs w:val="18"/>
        </w:rPr>
        <w:t xml:space="preserve">LGBT </w:t>
      </w:r>
      <w:r w:rsidR="00FD7D6A" w:rsidRPr="009109BF">
        <w:rPr>
          <w:rFonts w:ascii="Arial" w:hAnsi="Arial" w:cs="Arial"/>
          <w:sz w:val="18"/>
          <w:szCs w:val="18"/>
        </w:rPr>
        <w:t xml:space="preserve">Discrimination, Harassment and Violence in </w:t>
      </w:r>
      <w:r w:rsidRPr="009109BF">
        <w:rPr>
          <w:rFonts w:ascii="Arial" w:hAnsi="Arial" w:cs="Arial"/>
          <w:sz w:val="18"/>
          <w:szCs w:val="18"/>
        </w:rPr>
        <w:t>Germany</w:t>
      </w:r>
      <w:r w:rsidR="00FD7D6A" w:rsidRPr="009109BF">
        <w:rPr>
          <w:rFonts w:ascii="Arial" w:hAnsi="Arial" w:cs="Arial"/>
          <w:sz w:val="18"/>
          <w:szCs w:val="18"/>
        </w:rPr>
        <w:t xml:space="preserve">, </w:t>
      </w:r>
      <w:r w:rsidRPr="009109BF">
        <w:rPr>
          <w:rFonts w:ascii="Arial" w:hAnsi="Arial" w:cs="Arial"/>
          <w:sz w:val="18"/>
          <w:szCs w:val="18"/>
        </w:rPr>
        <w:t xml:space="preserve">Portugal </w:t>
      </w:r>
      <w:r w:rsidR="00FD7D6A" w:rsidRPr="009109BF">
        <w:rPr>
          <w:rFonts w:ascii="Arial" w:hAnsi="Arial" w:cs="Arial"/>
          <w:sz w:val="18"/>
          <w:szCs w:val="18"/>
        </w:rPr>
        <w:t xml:space="preserve">and the </w:t>
      </w:r>
      <w:r w:rsidRPr="009109BF">
        <w:rPr>
          <w:rFonts w:ascii="Arial" w:hAnsi="Arial" w:cs="Arial"/>
          <w:sz w:val="18"/>
          <w:szCs w:val="18"/>
        </w:rPr>
        <w:t>UK</w:t>
      </w:r>
      <w:r w:rsidR="00FD7D6A" w:rsidRPr="009109BF">
        <w:rPr>
          <w:rFonts w:ascii="Arial" w:hAnsi="Arial" w:cs="Arial"/>
          <w:sz w:val="18"/>
          <w:szCs w:val="18"/>
        </w:rPr>
        <w:t xml:space="preserve">: </w:t>
      </w:r>
      <w:r w:rsidRPr="009109BF">
        <w:rPr>
          <w:rFonts w:ascii="Arial" w:hAnsi="Arial" w:cs="Arial"/>
          <w:sz w:val="18"/>
          <w:szCs w:val="18"/>
        </w:rPr>
        <w:t xml:space="preserve">A </w:t>
      </w:r>
      <w:r w:rsidR="00FD7D6A" w:rsidRPr="009109BF">
        <w:rPr>
          <w:rFonts w:ascii="Arial" w:hAnsi="Arial" w:cs="Arial"/>
          <w:sz w:val="18"/>
          <w:szCs w:val="18"/>
        </w:rPr>
        <w:t xml:space="preserve">Quantitative Comparative Approach’ (2023) </w:t>
      </w:r>
      <w:r w:rsidRPr="009109BF">
        <w:rPr>
          <w:rFonts w:ascii="Arial" w:hAnsi="Arial" w:cs="Arial"/>
          <w:sz w:val="18"/>
          <w:szCs w:val="18"/>
        </w:rPr>
        <w:t>71(1) Current Sociology 152, 166</w:t>
      </w:r>
      <w:r w:rsidR="00FD7D6A" w:rsidRPr="009109BF">
        <w:rPr>
          <w:rFonts w:ascii="Arial" w:hAnsi="Arial" w:cs="Arial"/>
          <w:sz w:val="18"/>
          <w:szCs w:val="18"/>
        </w:rPr>
        <w:t>.</w:t>
      </w:r>
    </w:p>
  </w:footnote>
  <w:footnote w:id="91">
    <w:p w14:paraId="2B531D0C" w14:textId="05163B4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D7D6A" w:rsidRPr="009109BF">
        <w:rPr>
          <w:rFonts w:ascii="Arial" w:hAnsi="Arial" w:cs="Arial"/>
          <w:sz w:val="18"/>
          <w:szCs w:val="18"/>
        </w:rPr>
        <w:t xml:space="preserve">H </w:t>
      </w:r>
      <w:r w:rsidRPr="009109BF">
        <w:rPr>
          <w:rFonts w:ascii="Arial" w:hAnsi="Arial" w:cs="Arial"/>
          <w:sz w:val="18"/>
          <w:szCs w:val="18"/>
        </w:rPr>
        <w:t>Morgan</w:t>
      </w:r>
      <w:r w:rsidR="00FD7D6A" w:rsidRPr="009109BF">
        <w:rPr>
          <w:rFonts w:ascii="Arial" w:hAnsi="Arial" w:cs="Arial"/>
          <w:sz w:val="18"/>
          <w:szCs w:val="18"/>
        </w:rPr>
        <w:t xml:space="preserve">, C </w:t>
      </w:r>
      <w:r w:rsidRPr="009109BF">
        <w:rPr>
          <w:rFonts w:ascii="Arial" w:hAnsi="Arial" w:cs="Arial"/>
          <w:sz w:val="18"/>
          <w:szCs w:val="18"/>
        </w:rPr>
        <w:t xml:space="preserve">Lamprinakou, </w:t>
      </w:r>
      <w:r w:rsidR="00FD7D6A" w:rsidRPr="009109BF">
        <w:rPr>
          <w:rFonts w:ascii="Arial" w:hAnsi="Arial" w:cs="Arial"/>
          <w:sz w:val="18"/>
          <w:szCs w:val="18"/>
        </w:rPr>
        <w:t>E</w:t>
      </w:r>
      <w:r w:rsidRPr="009109BF">
        <w:rPr>
          <w:rFonts w:ascii="Arial" w:hAnsi="Arial" w:cs="Arial"/>
          <w:sz w:val="18"/>
          <w:szCs w:val="18"/>
        </w:rPr>
        <w:t xml:space="preserve"> Fuller</w:t>
      </w:r>
      <w:r w:rsidR="00FD7D6A" w:rsidRPr="009109BF">
        <w:rPr>
          <w:rFonts w:ascii="Arial" w:hAnsi="Arial" w:cs="Arial"/>
          <w:sz w:val="18"/>
          <w:szCs w:val="18"/>
        </w:rPr>
        <w:t xml:space="preserve"> and M</w:t>
      </w:r>
      <w:r w:rsidRPr="009109BF">
        <w:rPr>
          <w:rFonts w:ascii="Arial" w:hAnsi="Arial" w:cs="Arial"/>
          <w:sz w:val="18"/>
          <w:szCs w:val="18"/>
        </w:rPr>
        <w:t xml:space="preserve"> Albakri, </w:t>
      </w:r>
      <w:r w:rsidRPr="009109BF">
        <w:rPr>
          <w:rFonts w:ascii="Arial" w:hAnsi="Arial" w:cs="Arial"/>
          <w:i/>
          <w:iCs/>
          <w:sz w:val="18"/>
          <w:szCs w:val="18"/>
        </w:rPr>
        <w:t xml:space="preserve">Research </w:t>
      </w:r>
      <w:r w:rsidR="00FD7D6A" w:rsidRPr="009109BF">
        <w:rPr>
          <w:rFonts w:ascii="Arial" w:hAnsi="Arial" w:cs="Arial"/>
          <w:i/>
          <w:iCs/>
          <w:sz w:val="18"/>
          <w:szCs w:val="18"/>
        </w:rPr>
        <w:t>R</w:t>
      </w:r>
      <w:r w:rsidRPr="009109BF">
        <w:rPr>
          <w:rFonts w:ascii="Arial" w:hAnsi="Arial" w:cs="Arial"/>
          <w:i/>
          <w:iCs/>
          <w:sz w:val="18"/>
          <w:szCs w:val="18"/>
        </w:rPr>
        <w:t xml:space="preserve">eport: Attitudes to </w:t>
      </w:r>
      <w:r w:rsidR="00FD7D6A" w:rsidRPr="009109BF">
        <w:rPr>
          <w:rFonts w:ascii="Arial" w:hAnsi="Arial" w:cs="Arial"/>
          <w:i/>
          <w:iCs/>
          <w:sz w:val="18"/>
          <w:szCs w:val="18"/>
        </w:rPr>
        <w:t>Tr</w:t>
      </w:r>
      <w:r w:rsidRPr="009109BF">
        <w:rPr>
          <w:rFonts w:ascii="Arial" w:hAnsi="Arial" w:cs="Arial"/>
          <w:i/>
          <w:iCs/>
          <w:sz w:val="18"/>
          <w:szCs w:val="18"/>
        </w:rPr>
        <w:t xml:space="preserve">ansgender </w:t>
      </w:r>
      <w:r w:rsidR="00FD7D6A" w:rsidRPr="009109BF">
        <w:rPr>
          <w:rFonts w:ascii="Arial" w:hAnsi="Arial" w:cs="Arial"/>
          <w:i/>
          <w:iCs/>
          <w:sz w:val="18"/>
          <w:szCs w:val="18"/>
        </w:rPr>
        <w:t>P</w:t>
      </w:r>
      <w:r w:rsidRPr="009109BF">
        <w:rPr>
          <w:rFonts w:ascii="Arial" w:hAnsi="Arial" w:cs="Arial"/>
          <w:i/>
          <w:iCs/>
          <w:sz w:val="18"/>
          <w:szCs w:val="18"/>
        </w:rPr>
        <w:t xml:space="preserve">eople </w:t>
      </w:r>
      <w:r w:rsidR="00AA77A9" w:rsidRPr="009109BF">
        <w:rPr>
          <w:rFonts w:ascii="Arial" w:hAnsi="Arial" w:cs="Arial"/>
          <w:sz w:val="18"/>
          <w:szCs w:val="18"/>
        </w:rPr>
        <w:t>(</w:t>
      </w:r>
      <w:r w:rsidRPr="009109BF">
        <w:rPr>
          <w:rFonts w:ascii="Arial" w:hAnsi="Arial" w:cs="Arial"/>
          <w:sz w:val="18"/>
          <w:szCs w:val="18"/>
        </w:rPr>
        <w:t>Equality and Human Rights Commission</w:t>
      </w:r>
      <w:r w:rsidR="00AA77A9" w:rsidRPr="009109BF">
        <w:rPr>
          <w:rFonts w:ascii="Arial" w:hAnsi="Arial" w:cs="Arial"/>
          <w:sz w:val="18"/>
          <w:szCs w:val="18"/>
        </w:rPr>
        <w:t xml:space="preserve">, </w:t>
      </w:r>
      <w:r w:rsidR="00FD7D6A" w:rsidRPr="009109BF">
        <w:rPr>
          <w:rFonts w:ascii="Arial" w:hAnsi="Arial" w:cs="Arial"/>
          <w:sz w:val="18"/>
          <w:szCs w:val="18"/>
        </w:rPr>
        <w:t>2020)</w:t>
      </w:r>
      <w:r w:rsidR="00AA77A9" w:rsidRPr="009109BF">
        <w:rPr>
          <w:rFonts w:ascii="Arial" w:hAnsi="Arial" w:cs="Arial"/>
          <w:sz w:val="18"/>
          <w:szCs w:val="18"/>
        </w:rPr>
        <w:t xml:space="preserve">. Available at: </w:t>
      </w:r>
      <w:r w:rsidR="00FD7D6A" w:rsidRPr="009109BF">
        <w:rPr>
          <w:rFonts w:ascii="Arial" w:hAnsi="Arial" w:cs="Arial"/>
          <w:sz w:val="18"/>
          <w:szCs w:val="18"/>
        </w:rPr>
        <w:t xml:space="preserve"> </w:t>
      </w:r>
      <w:hyperlink r:id="rId11" w:history="1">
        <w:r w:rsidRPr="009109BF">
          <w:rPr>
            <w:rStyle w:val="Hyperlink"/>
            <w:rFonts w:ascii="Arial" w:hAnsi="Arial" w:cs="Arial"/>
            <w:sz w:val="18"/>
            <w:szCs w:val="18"/>
          </w:rPr>
          <w:t>https://www.equalityhumanrights.com/sites/default/files/attitudes_to_transgender_people.pdf</w:t>
        </w:r>
      </w:hyperlink>
      <w:r w:rsidR="00767755">
        <w:rPr>
          <w:rStyle w:val="Hyperlink"/>
          <w:rFonts w:ascii="Arial" w:hAnsi="Arial" w:cs="Arial"/>
          <w:sz w:val="18"/>
          <w:szCs w:val="18"/>
        </w:rPr>
        <w:t xml:space="preserve"> </w:t>
      </w:r>
      <w:r w:rsidR="00767755">
        <w:rPr>
          <w:rFonts w:ascii="Arial" w:hAnsi="Arial" w:cs="Arial"/>
          <w:sz w:val="18"/>
          <w:szCs w:val="18"/>
        </w:rPr>
        <w:t>(last accessed 14</w:t>
      </w:r>
      <w:r w:rsidR="00182F39">
        <w:rPr>
          <w:rFonts w:ascii="Arial" w:hAnsi="Arial" w:cs="Arial"/>
          <w:sz w:val="18"/>
          <w:szCs w:val="18"/>
        </w:rPr>
        <w:t xml:space="preserve"> </w:t>
      </w:r>
      <w:r w:rsidR="00767755">
        <w:rPr>
          <w:rFonts w:ascii="Arial" w:hAnsi="Arial" w:cs="Arial"/>
          <w:sz w:val="18"/>
          <w:szCs w:val="18"/>
        </w:rPr>
        <w:t>June 2024)</w:t>
      </w:r>
    </w:p>
  </w:footnote>
  <w:footnote w:id="92">
    <w:p w14:paraId="1C403109" w14:textId="4A4A8351"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Council of Europe</w:t>
      </w:r>
      <w:r w:rsidR="00AA77A9" w:rsidRPr="009109BF">
        <w:rPr>
          <w:rFonts w:ascii="Arial" w:hAnsi="Arial" w:cs="Arial"/>
          <w:sz w:val="18"/>
          <w:szCs w:val="18"/>
        </w:rPr>
        <w:t>,</w:t>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What Causes Gender-Based Violence</w:t>
      </w:r>
      <w:r w:rsidR="00363B6D" w:rsidRPr="009109BF">
        <w:rPr>
          <w:rFonts w:ascii="Arial" w:hAnsi="Arial" w:cs="Arial"/>
          <w:sz w:val="18"/>
          <w:szCs w:val="18"/>
        </w:rPr>
        <w:t>’</w:t>
      </w:r>
      <w:r w:rsidRPr="009109BF">
        <w:rPr>
          <w:rFonts w:ascii="Arial" w:hAnsi="Arial" w:cs="Arial"/>
          <w:sz w:val="18"/>
          <w:szCs w:val="18"/>
        </w:rPr>
        <w:t xml:space="preserve">? </w:t>
      </w:r>
      <w:r w:rsidR="00AA77A9" w:rsidRPr="009109BF">
        <w:rPr>
          <w:rFonts w:ascii="Arial" w:hAnsi="Arial" w:cs="Arial"/>
          <w:sz w:val="18"/>
          <w:szCs w:val="18"/>
        </w:rPr>
        <w:t xml:space="preserve">(2023). Available at: </w:t>
      </w:r>
      <w:hyperlink r:id="rId12" w:history="1">
        <w:r w:rsidR="00AA77A9" w:rsidRPr="009109BF">
          <w:rPr>
            <w:rStyle w:val="Hyperlink"/>
            <w:rFonts w:ascii="Arial" w:hAnsi="Arial" w:cs="Arial"/>
            <w:sz w:val="18"/>
            <w:szCs w:val="18"/>
          </w:rPr>
          <w:t>https://www.coe.int/en/web/gender-matters/what-causes-gender-based-violence</w:t>
        </w:r>
      </w:hyperlink>
      <w:r w:rsidR="00C866C8">
        <w:rPr>
          <w:rStyle w:val="Hyperlink"/>
          <w:rFonts w:ascii="Arial" w:hAnsi="Arial" w:cs="Arial"/>
          <w:sz w:val="18"/>
          <w:szCs w:val="18"/>
        </w:rPr>
        <w:t xml:space="preserve"> </w:t>
      </w:r>
      <w:r w:rsidR="00C866C8">
        <w:rPr>
          <w:rFonts w:ascii="Arial" w:hAnsi="Arial" w:cs="Arial"/>
          <w:sz w:val="18"/>
          <w:szCs w:val="18"/>
        </w:rPr>
        <w:t>(last accessed 14 June 2024)</w:t>
      </w:r>
    </w:p>
  </w:footnote>
  <w:footnote w:id="93">
    <w:p w14:paraId="65A5DC97" w14:textId="54B8996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There are no gay male characters in </w:t>
      </w:r>
      <w:r w:rsidRPr="009109BF">
        <w:rPr>
          <w:rFonts w:ascii="Arial" w:hAnsi="Arial" w:cs="Arial"/>
          <w:i/>
          <w:iCs/>
          <w:sz w:val="18"/>
          <w:szCs w:val="18"/>
        </w:rPr>
        <w:t>After Dark</w:t>
      </w:r>
      <w:r w:rsidRPr="009109BF">
        <w:rPr>
          <w:rFonts w:ascii="Arial" w:hAnsi="Arial" w:cs="Arial"/>
          <w:sz w:val="18"/>
          <w:szCs w:val="18"/>
        </w:rPr>
        <w:t>: although the female character of Mabel is subjected to a homophobic insult (</w:t>
      </w:r>
      <w:r w:rsidR="00AA77A9" w:rsidRPr="009109BF">
        <w:rPr>
          <w:rFonts w:ascii="Arial" w:hAnsi="Arial" w:cs="Arial"/>
          <w:sz w:val="18"/>
          <w:szCs w:val="18"/>
        </w:rPr>
        <w:t xml:space="preserve">Cowie, </w:t>
      </w:r>
      <w:r w:rsidRPr="009109BF">
        <w:rPr>
          <w:rFonts w:ascii="Arial" w:hAnsi="Arial" w:cs="Arial"/>
          <w:i/>
          <w:iCs/>
          <w:sz w:val="18"/>
          <w:szCs w:val="18"/>
        </w:rPr>
        <w:t>After Dark</w:t>
      </w:r>
      <w:r w:rsidR="00AA77A9" w:rsidRPr="009109BF">
        <w:rPr>
          <w:rFonts w:ascii="Arial" w:hAnsi="Arial" w:cs="Arial"/>
          <w:i/>
          <w:iCs/>
          <w:sz w:val="18"/>
          <w:szCs w:val="18"/>
        </w:rPr>
        <w:t>,</w:t>
      </w:r>
      <w:r w:rsidRPr="009109BF">
        <w:rPr>
          <w:rFonts w:ascii="Arial" w:hAnsi="Arial" w:cs="Arial"/>
          <w:i/>
          <w:iCs/>
          <w:sz w:val="18"/>
          <w:szCs w:val="18"/>
        </w:rPr>
        <w:t xml:space="preserve"> </w:t>
      </w:r>
      <w:r w:rsidR="00AA77A9" w:rsidRPr="009109BF">
        <w:rPr>
          <w:rFonts w:ascii="Arial" w:hAnsi="Arial" w:cs="Arial"/>
          <w:sz w:val="18"/>
          <w:szCs w:val="18"/>
        </w:rPr>
        <w:t xml:space="preserve">n 2 above, </w:t>
      </w:r>
      <w:r w:rsidRPr="009109BF">
        <w:rPr>
          <w:rFonts w:ascii="Arial" w:hAnsi="Arial" w:cs="Arial"/>
          <w:sz w:val="18"/>
          <w:szCs w:val="18"/>
        </w:rPr>
        <w:t>308), it is not clear whether she is indeed a gay woman.</w:t>
      </w:r>
    </w:p>
  </w:footnote>
  <w:footnote w:id="94">
    <w:p w14:paraId="270C8125" w14:textId="6FBC3C6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A77A9" w:rsidRPr="009109BF">
        <w:rPr>
          <w:rFonts w:ascii="Arial" w:hAnsi="Arial" w:cs="Arial"/>
          <w:sz w:val="18"/>
          <w:szCs w:val="18"/>
        </w:rPr>
        <w:t xml:space="preserve">M </w:t>
      </w:r>
      <w:r w:rsidRPr="009109BF">
        <w:rPr>
          <w:rFonts w:ascii="Arial" w:hAnsi="Arial" w:cs="Arial"/>
          <w:sz w:val="18"/>
          <w:szCs w:val="18"/>
        </w:rPr>
        <w:t xml:space="preserve">Lui, </w:t>
      </w:r>
      <w:r w:rsidR="00AA77A9" w:rsidRPr="009109BF">
        <w:rPr>
          <w:rFonts w:ascii="Arial" w:hAnsi="Arial" w:cs="Arial"/>
          <w:sz w:val="18"/>
          <w:szCs w:val="18"/>
        </w:rPr>
        <w:t>X</w:t>
      </w:r>
      <w:r w:rsidRPr="009109BF">
        <w:rPr>
          <w:rFonts w:ascii="Arial" w:hAnsi="Arial" w:cs="Arial"/>
          <w:sz w:val="18"/>
          <w:szCs w:val="18"/>
        </w:rPr>
        <w:t xml:space="preserve"> Cai, </w:t>
      </w:r>
      <w:r w:rsidR="00AA77A9" w:rsidRPr="009109BF">
        <w:rPr>
          <w:rFonts w:ascii="Arial" w:hAnsi="Arial" w:cs="Arial"/>
          <w:sz w:val="18"/>
          <w:szCs w:val="18"/>
        </w:rPr>
        <w:t>G</w:t>
      </w:r>
      <w:r w:rsidRPr="009109BF">
        <w:rPr>
          <w:rFonts w:ascii="Arial" w:hAnsi="Arial" w:cs="Arial"/>
          <w:sz w:val="18"/>
          <w:szCs w:val="18"/>
        </w:rPr>
        <w:t xml:space="preserve"> Hao, </w:t>
      </w:r>
      <w:r w:rsidR="00AA77A9" w:rsidRPr="009109BF">
        <w:rPr>
          <w:rFonts w:ascii="Arial" w:hAnsi="Arial" w:cs="Arial"/>
          <w:sz w:val="18"/>
          <w:szCs w:val="18"/>
        </w:rPr>
        <w:t>W</w:t>
      </w:r>
      <w:r w:rsidRPr="009109BF">
        <w:rPr>
          <w:rFonts w:ascii="Arial" w:hAnsi="Arial" w:cs="Arial"/>
          <w:sz w:val="18"/>
          <w:szCs w:val="18"/>
        </w:rPr>
        <w:t xml:space="preserve"> Li, </w:t>
      </w:r>
      <w:r w:rsidR="00AA77A9" w:rsidRPr="009109BF">
        <w:rPr>
          <w:rFonts w:ascii="Arial" w:hAnsi="Arial" w:cs="Arial"/>
          <w:sz w:val="18"/>
          <w:szCs w:val="18"/>
        </w:rPr>
        <w:t>Q</w:t>
      </w:r>
      <w:r w:rsidRPr="009109BF">
        <w:rPr>
          <w:rFonts w:ascii="Arial" w:hAnsi="Arial" w:cs="Arial"/>
          <w:sz w:val="18"/>
          <w:szCs w:val="18"/>
        </w:rPr>
        <w:t xml:space="preserve"> Chen, </w:t>
      </w:r>
      <w:r w:rsidR="00AA77A9" w:rsidRPr="009109BF">
        <w:rPr>
          <w:rFonts w:ascii="Arial" w:hAnsi="Arial" w:cs="Arial"/>
          <w:sz w:val="18"/>
          <w:szCs w:val="18"/>
        </w:rPr>
        <w:t>Y</w:t>
      </w:r>
      <w:r w:rsidRPr="009109BF">
        <w:rPr>
          <w:rFonts w:ascii="Arial" w:hAnsi="Arial" w:cs="Arial"/>
          <w:sz w:val="18"/>
          <w:szCs w:val="18"/>
        </w:rPr>
        <w:t xml:space="preserve"> Chen</w:t>
      </w:r>
      <w:r w:rsidR="00AA77A9" w:rsidRPr="009109BF">
        <w:rPr>
          <w:rFonts w:ascii="Arial" w:hAnsi="Arial" w:cs="Arial"/>
          <w:sz w:val="18"/>
          <w:szCs w:val="18"/>
        </w:rPr>
        <w:t xml:space="preserve"> and P</w:t>
      </w:r>
      <w:r w:rsidRPr="009109BF">
        <w:rPr>
          <w:rFonts w:ascii="Arial" w:hAnsi="Arial" w:cs="Arial"/>
          <w:sz w:val="18"/>
          <w:szCs w:val="18"/>
        </w:rPr>
        <w:t xml:space="preserve"> Xiong, </w:t>
      </w:r>
      <w:r w:rsidR="00363B6D" w:rsidRPr="009109BF">
        <w:rPr>
          <w:rFonts w:ascii="Arial" w:hAnsi="Arial" w:cs="Arial"/>
          <w:sz w:val="18"/>
          <w:szCs w:val="18"/>
        </w:rPr>
        <w:t>‘</w:t>
      </w:r>
      <w:r w:rsidRPr="009109BF">
        <w:rPr>
          <w:rFonts w:ascii="Arial" w:hAnsi="Arial" w:cs="Arial"/>
          <w:sz w:val="18"/>
          <w:szCs w:val="18"/>
        </w:rPr>
        <w:t>Prevalence of Intimate Partner Violence Among Men Who Have Sex With Men: An Updated Systematic Review and Meta-Analysis</w:t>
      </w:r>
      <w:r w:rsidR="00363B6D" w:rsidRPr="009109BF">
        <w:rPr>
          <w:rFonts w:ascii="Arial" w:hAnsi="Arial" w:cs="Arial"/>
          <w:sz w:val="18"/>
          <w:szCs w:val="18"/>
        </w:rPr>
        <w:t>’</w:t>
      </w:r>
      <w:r w:rsidRPr="009109BF">
        <w:rPr>
          <w:rFonts w:ascii="Arial" w:hAnsi="Arial" w:cs="Arial"/>
          <w:sz w:val="18"/>
          <w:szCs w:val="18"/>
        </w:rPr>
        <w:t xml:space="preserve"> </w:t>
      </w:r>
      <w:r w:rsidR="00AA77A9" w:rsidRPr="009109BF">
        <w:rPr>
          <w:rFonts w:ascii="Arial" w:hAnsi="Arial" w:cs="Arial"/>
          <w:sz w:val="18"/>
          <w:szCs w:val="18"/>
        </w:rPr>
        <w:t xml:space="preserve">(2021) </w:t>
      </w:r>
      <w:r w:rsidRPr="009109BF">
        <w:rPr>
          <w:rFonts w:ascii="Arial" w:hAnsi="Arial" w:cs="Arial"/>
          <w:sz w:val="18"/>
          <w:szCs w:val="18"/>
        </w:rPr>
        <w:t>9(6) Sexual Medicine 1, 15</w:t>
      </w:r>
      <w:r w:rsidR="00AA77A9" w:rsidRPr="009109BF">
        <w:rPr>
          <w:rFonts w:ascii="Arial" w:hAnsi="Arial" w:cs="Arial"/>
          <w:sz w:val="18"/>
          <w:szCs w:val="18"/>
        </w:rPr>
        <w:t>.</w:t>
      </w:r>
    </w:p>
  </w:footnote>
  <w:footnote w:id="95">
    <w:p w14:paraId="25C33EB0" w14:textId="777E852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AA77A9" w:rsidRPr="009109BF">
        <w:rPr>
          <w:rFonts w:ascii="Arial" w:hAnsi="Arial" w:cs="Arial"/>
          <w:sz w:val="18"/>
          <w:szCs w:val="18"/>
        </w:rPr>
        <w:t>, n 76 above.</w:t>
      </w:r>
    </w:p>
  </w:footnote>
  <w:footnote w:id="96">
    <w:p w14:paraId="4E489C09" w14:textId="049BF0B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AA77A9" w:rsidRPr="009109BF">
        <w:rPr>
          <w:rFonts w:ascii="Arial" w:hAnsi="Arial" w:cs="Arial"/>
          <w:sz w:val="18"/>
          <w:szCs w:val="18"/>
        </w:rPr>
        <w:t xml:space="preserve">Cowie, </w:t>
      </w:r>
      <w:r w:rsidRPr="009109BF">
        <w:rPr>
          <w:rFonts w:ascii="Arial" w:hAnsi="Arial" w:cs="Arial"/>
          <w:i/>
          <w:iCs/>
          <w:sz w:val="18"/>
          <w:szCs w:val="18"/>
        </w:rPr>
        <w:t>After Dark</w:t>
      </w:r>
      <w:r w:rsidR="00AA77A9" w:rsidRPr="009109BF">
        <w:rPr>
          <w:rFonts w:ascii="Arial" w:hAnsi="Arial" w:cs="Arial"/>
          <w:sz w:val="18"/>
          <w:szCs w:val="18"/>
        </w:rPr>
        <w:t>, n 2 above,</w:t>
      </w:r>
      <w:r w:rsidRPr="009109BF">
        <w:rPr>
          <w:rFonts w:ascii="Arial" w:hAnsi="Arial" w:cs="Arial"/>
          <w:i/>
          <w:iCs/>
          <w:sz w:val="18"/>
          <w:szCs w:val="18"/>
        </w:rPr>
        <w:t xml:space="preserve"> </w:t>
      </w:r>
      <w:r w:rsidRPr="009109BF">
        <w:rPr>
          <w:rFonts w:ascii="Arial" w:hAnsi="Arial" w:cs="Arial"/>
          <w:sz w:val="18"/>
          <w:szCs w:val="18"/>
        </w:rPr>
        <w:t>391</w:t>
      </w:r>
      <w:r w:rsidR="00AA77A9" w:rsidRPr="009109BF">
        <w:rPr>
          <w:rFonts w:ascii="Arial" w:hAnsi="Arial" w:cs="Arial"/>
          <w:sz w:val="18"/>
          <w:szCs w:val="18"/>
        </w:rPr>
        <w:t>.</w:t>
      </w:r>
    </w:p>
  </w:footnote>
  <w:footnote w:id="97">
    <w:p w14:paraId="18289EFE" w14:textId="7053BDDB" w:rsidR="00741B0E" w:rsidRPr="009109BF" w:rsidRDefault="00741B0E" w:rsidP="00741B0E">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As did I. I had up to this point read </w:t>
      </w:r>
      <w:r w:rsidRPr="009109BF">
        <w:rPr>
          <w:rFonts w:ascii="Arial" w:hAnsi="Arial" w:cs="Arial"/>
          <w:i/>
          <w:iCs/>
          <w:sz w:val="18"/>
          <w:szCs w:val="18"/>
        </w:rPr>
        <w:t xml:space="preserve">After Dark </w:t>
      </w:r>
      <w:r w:rsidRPr="009109BF">
        <w:rPr>
          <w:rFonts w:ascii="Arial" w:hAnsi="Arial" w:cs="Arial"/>
          <w:sz w:val="18"/>
          <w:szCs w:val="18"/>
        </w:rPr>
        <w:t xml:space="preserve">as a dystopian fiction in the mould of </w:t>
      </w:r>
      <w:r w:rsidRPr="009109BF">
        <w:rPr>
          <w:rFonts w:ascii="Arial" w:hAnsi="Arial" w:cs="Arial"/>
          <w:i/>
          <w:iCs/>
          <w:sz w:val="18"/>
          <w:szCs w:val="18"/>
        </w:rPr>
        <w:t xml:space="preserve">1984 </w:t>
      </w:r>
      <w:r w:rsidRPr="009109BF">
        <w:rPr>
          <w:rFonts w:ascii="Arial" w:hAnsi="Arial" w:cs="Arial"/>
          <w:sz w:val="18"/>
          <w:szCs w:val="18"/>
        </w:rPr>
        <w:t>(</w:t>
      </w:r>
      <w:r w:rsidR="00210D6E" w:rsidRPr="009109BF">
        <w:rPr>
          <w:rFonts w:ascii="Arial" w:hAnsi="Arial" w:cs="Arial"/>
          <w:sz w:val="18"/>
          <w:szCs w:val="18"/>
        </w:rPr>
        <w:t xml:space="preserve">G </w:t>
      </w:r>
      <w:r w:rsidRPr="009109BF">
        <w:rPr>
          <w:rFonts w:ascii="Arial" w:hAnsi="Arial" w:cs="Arial"/>
          <w:sz w:val="18"/>
          <w:szCs w:val="18"/>
        </w:rPr>
        <w:t xml:space="preserve">Orwell, </w:t>
      </w:r>
      <w:r w:rsidR="00210D6E" w:rsidRPr="009109BF">
        <w:rPr>
          <w:rFonts w:ascii="Arial" w:hAnsi="Arial" w:cs="Arial"/>
          <w:sz w:val="18"/>
          <w:szCs w:val="18"/>
        </w:rPr>
        <w:t>(</w:t>
      </w:r>
      <w:r w:rsidRPr="009109BF">
        <w:rPr>
          <w:rFonts w:ascii="Arial" w:hAnsi="Arial" w:cs="Arial"/>
          <w:sz w:val="18"/>
          <w:szCs w:val="18"/>
        </w:rPr>
        <w:t>Secker &amp; Warburg</w:t>
      </w:r>
      <w:r w:rsidR="00210D6E" w:rsidRPr="009109BF">
        <w:rPr>
          <w:rFonts w:ascii="Arial" w:hAnsi="Arial" w:cs="Arial"/>
          <w:sz w:val="18"/>
          <w:szCs w:val="18"/>
        </w:rPr>
        <w:t>,1949)</w:t>
      </w:r>
      <w:r w:rsidRPr="009109BF">
        <w:rPr>
          <w:rFonts w:ascii="Arial" w:hAnsi="Arial" w:cs="Arial"/>
          <w:sz w:val="18"/>
          <w:szCs w:val="18"/>
        </w:rPr>
        <w:t>)</w:t>
      </w:r>
      <w:r w:rsidR="00210D6E" w:rsidRPr="009109BF">
        <w:rPr>
          <w:rFonts w:ascii="Arial" w:hAnsi="Arial" w:cs="Arial"/>
          <w:sz w:val="18"/>
          <w:szCs w:val="18"/>
        </w:rPr>
        <w:t xml:space="preserve">. </w:t>
      </w:r>
      <w:r w:rsidRPr="009109BF">
        <w:rPr>
          <w:rFonts w:ascii="Arial" w:hAnsi="Arial" w:cs="Arial"/>
          <w:sz w:val="18"/>
          <w:szCs w:val="18"/>
        </w:rPr>
        <w:t xml:space="preserve">(I had believed the name of the character of Mrs O’Brian </w:t>
      </w:r>
      <w:r w:rsidRPr="009109BF">
        <w:rPr>
          <w:rFonts w:ascii="Arial" w:hAnsi="Arial" w:cs="Arial"/>
          <w:i/>
          <w:iCs/>
          <w:sz w:val="18"/>
          <w:szCs w:val="18"/>
        </w:rPr>
        <w:t xml:space="preserve">After Dark </w:t>
      </w:r>
      <w:r w:rsidRPr="009109BF">
        <w:rPr>
          <w:rFonts w:ascii="Arial" w:hAnsi="Arial" w:cs="Arial"/>
          <w:sz w:val="18"/>
          <w:szCs w:val="18"/>
        </w:rPr>
        <w:t xml:space="preserve">to be an reference by way of homage to the similarly-named character of O’Brien in </w:t>
      </w:r>
      <w:r w:rsidRPr="009109BF">
        <w:rPr>
          <w:rFonts w:ascii="Arial" w:hAnsi="Arial" w:cs="Arial"/>
          <w:i/>
          <w:iCs/>
          <w:sz w:val="18"/>
          <w:szCs w:val="18"/>
        </w:rPr>
        <w:t>1984</w:t>
      </w:r>
      <w:r w:rsidRPr="009109BF">
        <w:rPr>
          <w:rFonts w:ascii="Arial" w:hAnsi="Arial" w:cs="Arial"/>
          <w:sz w:val="18"/>
          <w:szCs w:val="18"/>
        </w:rPr>
        <w:t xml:space="preserve">) or a gender-inverted take on future-set fictions in which women are subjugated utterly to men, such as </w:t>
      </w:r>
      <w:r w:rsidRPr="009109BF">
        <w:rPr>
          <w:rFonts w:ascii="Arial" w:hAnsi="Arial" w:cs="Arial"/>
          <w:i/>
          <w:iCs/>
          <w:sz w:val="18"/>
          <w:szCs w:val="18"/>
        </w:rPr>
        <w:t xml:space="preserve">The Handmaid’s Tale </w:t>
      </w:r>
      <w:r w:rsidRPr="009109BF">
        <w:rPr>
          <w:rFonts w:ascii="Arial" w:hAnsi="Arial" w:cs="Arial"/>
          <w:sz w:val="18"/>
          <w:szCs w:val="18"/>
        </w:rPr>
        <w:t>(</w:t>
      </w:r>
      <w:r w:rsidR="00210D6E" w:rsidRPr="009109BF">
        <w:rPr>
          <w:rFonts w:ascii="Arial" w:hAnsi="Arial" w:cs="Arial"/>
          <w:sz w:val="18"/>
          <w:szCs w:val="18"/>
        </w:rPr>
        <w:t>M A</w:t>
      </w:r>
      <w:r w:rsidRPr="009109BF">
        <w:rPr>
          <w:rFonts w:ascii="Arial" w:hAnsi="Arial" w:cs="Arial"/>
          <w:sz w:val="18"/>
          <w:szCs w:val="18"/>
        </w:rPr>
        <w:t xml:space="preserve">twood, </w:t>
      </w:r>
      <w:r w:rsidR="00210D6E" w:rsidRPr="009109BF">
        <w:rPr>
          <w:rFonts w:ascii="Arial" w:hAnsi="Arial" w:cs="Arial"/>
          <w:sz w:val="18"/>
          <w:szCs w:val="18"/>
        </w:rPr>
        <w:t>(</w:t>
      </w:r>
      <w:r w:rsidRPr="009109BF">
        <w:rPr>
          <w:rFonts w:ascii="Arial" w:hAnsi="Arial" w:cs="Arial"/>
          <w:sz w:val="18"/>
          <w:szCs w:val="18"/>
        </w:rPr>
        <w:t>McClelland and Stewart</w:t>
      </w:r>
      <w:r w:rsidR="00210D6E" w:rsidRPr="009109BF">
        <w:rPr>
          <w:rFonts w:ascii="Arial" w:hAnsi="Arial" w:cs="Arial"/>
          <w:sz w:val="18"/>
          <w:szCs w:val="18"/>
        </w:rPr>
        <w:t>, 1985</w:t>
      </w:r>
      <w:r w:rsidRPr="009109BF">
        <w:rPr>
          <w:rFonts w:ascii="Arial" w:hAnsi="Arial" w:cs="Arial"/>
          <w:sz w:val="18"/>
          <w:szCs w:val="18"/>
        </w:rPr>
        <w:t xml:space="preserve">) or </w:t>
      </w:r>
      <w:r w:rsidRPr="009109BF">
        <w:rPr>
          <w:rFonts w:ascii="Arial" w:hAnsi="Arial" w:cs="Arial"/>
          <w:i/>
          <w:iCs/>
          <w:sz w:val="18"/>
          <w:szCs w:val="18"/>
        </w:rPr>
        <w:t xml:space="preserve">Swastika Night </w:t>
      </w:r>
      <w:r w:rsidRPr="009109BF">
        <w:rPr>
          <w:rFonts w:ascii="Arial" w:hAnsi="Arial" w:cs="Arial"/>
          <w:sz w:val="18"/>
          <w:szCs w:val="18"/>
        </w:rPr>
        <w:t>(</w:t>
      </w:r>
      <w:r w:rsidR="00210D6E" w:rsidRPr="009109BF">
        <w:rPr>
          <w:rFonts w:ascii="Arial" w:hAnsi="Arial" w:cs="Arial"/>
          <w:sz w:val="18"/>
          <w:szCs w:val="18"/>
        </w:rPr>
        <w:t xml:space="preserve">K </w:t>
      </w:r>
      <w:r w:rsidRPr="009109BF">
        <w:rPr>
          <w:rFonts w:ascii="Arial" w:hAnsi="Arial" w:cs="Arial"/>
          <w:sz w:val="18"/>
          <w:szCs w:val="18"/>
        </w:rPr>
        <w:t>Burdekin, (writing as ‘Murray Constantine’) (Gollancz</w:t>
      </w:r>
      <w:r w:rsidR="00210D6E" w:rsidRPr="009109BF">
        <w:rPr>
          <w:rFonts w:ascii="Arial" w:hAnsi="Arial" w:cs="Arial"/>
          <w:sz w:val="18"/>
          <w:szCs w:val="18"/>
        </w:rPr>
        <w:t>, 1937</w:t>
      </w:r>
      <w:r w:rsidRPr="009109BF">
        <w:rPr>
          <w:rFonts w:ascii="Arial" w:hAnsi="Arial" w:cs="Arial"/>
          <w:sz w:val="18"/>
          <w:szCs w:val="18"/>
        </w:rPr>
        <w:t xml:space="preserve">). However, the concluding chapters and the ‘Author’s Note’ make it clear that this was not the author’s intention. </w:t>
      </w:r>
    </w:p>
  </w:footnote>
  <w:footnote w:id="98">
    <w:p w14:paraId="01CEBD47" w14:textId="0443F0C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 xml:space="preserve">Cowie, </w:t>
      </w:r>
      <w:r w:rsidRPr="009109BF">
        <w:rPr>
          <w:rFonts w:ascii="Arial" w:hAnsi="Arial" w:cs="Arial"/>
          <w:i/>
          <w:iCs/>
          <w:sz w:val="18"/>
          <w:szCs w:val="18"/>
        </w:rPr>
        <w:t>After Dark</w:t>
      </w:r>
      <w:r w:rsidR="00210D6E" w:rsidRPr="009109BF">
        <w:rPr>
          <w:rFonts w:ascii="Arial" w:hAnsi="Arial" w:cs="Arial"/>
          <w:i/>
          <w:iCs/>
          <w:sz w:val="18"/>
          <w:szCs w:val="18"/>
        </w:rPr>
        <w:t xml:space="preserve">, </w:t>
      </w:r>
      <w:r w:rsidR="00210D6E" w:rsidRPr="009109BF">
        <w:rPr>
          <w:rFonts w:ascii="Arial" w:hAnsi="Arial" w:cs="Arial"/>
          <w:sz w:val="18"/>
          <w:szCs w:val="18"/>
        </w:rPr>
        <w:t xml:space="preserve">n 2 above, </w:t>
      </w:r>
      <w:r w:rsidRPr="009109BF">
        <w:rPr>
          <w:rFonts w:ascii="Arial" w:hAnsi="Arial" w:cs="Arial"/>
          <w:sz w:val="18"/>
          <w:szCs w:val="18"/>
        </w:rPr>
        <w:t>385</w:t>
      </w:r>
      <w:r w:rsidR="00210D6E" w:rsidRPr="009109BF">
        <w:rPr>
          <w:rFonts w:ascii="Arial" w:hAnsi="Arial" w:cs="Arial"/>
          <w:sz w:val="18"/>
          <w:szCs w:val="18"/>
        </w:rPr>
        <w:t>.</w:t>
      </w:r>
    </w:p>
  </w:footnote>
  <w:footnote w:id="99">
    <w:p w14:paraId="734001C4" w14:textId="54032329"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i</w:t>
      </w:r>
      <w:r w:rsidR="00DC4E30" w:rsidRPr="009109BF">
        <w:rPr>
          <w:rFonts w:ascii="Arial" w:hAnsi="Arial" w:cs="Arial"/>
          <w:sz w:val="18"/>
          <w:szCs w:val="18"/>
        </w:rPr>
        <w:t>bid</w:t>
      </w:r>
      <w:r w:rsidR="00210D6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391 (emphasis in original)</w:t>
      </w:r>
      <w:r w:rsidR="00210D6E" w:rsidRPr="009109BF">
        <w:rPr>
          <w:rFonts w:ascii="Arial" w:hAnsi="Arial" w:cs="Arial"/>
          <w:sz w:val="18"/>
          <w:szCs w:val="18"/>
        </w:rPr>
        <w:t>.</w:t>
      </w:r>
    </w:p>
  </w:footnote>
  <w:footnote w:id="100">
    <w:p w14:paraId="7990A627" w14:textId="573F056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210D6E" w:rsidRPr="009109BF">
        <w:rPr>
          <w:rFonts w:ascii="Arial" w:hAnsi="Arial" w:cs="Arial"/>
          <w:sz w:val="18"/>
          <w:szCs w:val="18"/>
        </w:rPr>
        <w:t xml:space="preserve">, n 76 above, </w:t>
      </w:r>
      <w:r w:rsidRPr="009109BF">
        <w:rPr>
          <w:rFonts w:ascii="Arial" w:hAnsi="Arial" w:cs="Arial"/>
          <w:sz w:val="18"/>
          <w:szCs w:val="18"/>
        </w:rPr>
        <w:t>121</w:t>
      </w:r>
      <w:r w:rsidR="00210D6E" w:rsidRPr="009109BF">
        <w:rPr>
          <w:rFonts w:ascii="Arial" w:hAnsi="Arial" w:cs="Arial"/>
          <w:sz w:val="18"/>
          <w:szCs w:val="18"/>
        </w:rPr>
        <w:t>.</w:t>
      </w:r>
    </w:p>
  </w:footnote>
  <w:footnote w:id="101">
    <w:p w14:paraId="3D4310F1" w14:textId="3C954DB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 xml:space="preserve">V </w:t>
      </w:r>
      <w:r w:rsidRPr="009109BF">
        <w:rPr>
          <w:rFonts w:ascii="Arial" w:hAnsi="Arial" w:cs="Arial"/>
          <w:sz w:val="18"/>
          <w:szCs w:val="18"/>
        </w:rPr>
        <w:t xml:space="preserve">Solanas, </w:t>
      </w:r>
      <w:r w:rsidRPr="009109BF">
        <w:rPr>
          <w:rFonts w:ascii="Arial" w:hAnsi="Arial" w:cs="Arial"/>
          <w:i/>
          <w:iCs/>
          <w:sz w:val="18"/>
          <w:szCs w:val="18"/>
        </w:rPr>
        <w:t xml:space="preserve">S.C.U.M (Society for Cutting Up Men) Manifesto </w:t>
      </w:r>
      <w:r w:rsidR="00210D6E" w:rsidRPr="009109BF">
        <w:rPr>
          <w:rFonts w:ascii="Arial" w:hAnsi="Arial" w:cs="Arial"/>
          <w:sz w:val="18"/>
          <w:szCs w:val="18"/>
        </w:rPr>
        <w:t>(</w:t>
      </w:r>
      <w:r w:rsidRPr="009109BF">
        <w:rPr>
          <w:rFonts w:ascii="Arial" w:hAnsi="Arial" w:cs="Arial"/>
          <w:sz w:val="18"/>
          <w:szCs w:val="18"/>
        </w:rPr>
        <w:t>Olympia</w:t>
      </w:r>
      <w:r w:rsidR="00210D6E" w:rsidRPr="009109BF">
        <w:rPr>
          <w:rFonts w:ascii="Arial" w:hAnsi="Arial" w:cs="Arial"/>
          <w:sz w:val="18"/>
          <w:szCs w:val="18"/>
        </w:rPr>
        <w:t>, 1985).</w:t>
      </w:r>
    </w:p>
  </w:footnote>
  <w:footnote w:id="102">
    <w:p w14:paraId="50EDC13F" w14:textId="0424869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i</w:t>
      </w:r>
      <w:r w:rsidR="00DC4E30" w:rsidRPr="009109BF">
        <w:rPr>
          <w:rFonts w:ascii="Arial" w:hAnsi="Arial" w:cs="Arial"/>
          <w:sz w:val="18"/>
          <w:szCs w:val="18"/>
        </w:rPr>
        <w:t>bid</w:t>
      </w:r>
      <w:r w:rsidR="00210D6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34</w:t>
      </w:r>
      <w:r w:rsidR="00210D6E" w:rsidRPr="009109BF">
        <w:rPr>
          <w:rFonts w:ascii="Arial" w:hAnsi="Arial" w:cs="Arial"/>
          <w:sz w:val="18"/>
          <w:szCs w:val="18"/>
        </w:rPr>
        <w:t>.</w:t>
      </w:r>
    </w:p>
  </w:footnote>
  <w:footnote w:id="103">
    <w:p w14:paraId="235BACE4" w14:textId="3E345E85" w:rsidR="004A0F91" w:rsidRPr="009109BF" w:rsidRDefault="004A0F91" w:rsidP="004A0F91">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i</w:t>
      </w:r>
      <w:r w:rsidR="00DC4E30" w:rsidRPr="009109BF">
        <w:rPr>
          <w:rFonts w:ascii="Arial" w:hAnsi="Arial" w:cs="Arial"/>
          <w:sz w:val="18"/>
          <w:szCs w:val="18"/>
        </w:rPr>
        <w:t>bid</w:t>
      </w:r>
      <w:r w:rsidR="00210D6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3</w:t>
      </w:r>
      <w:r w:rsidR="00210D6E" w:rsidRPr="009109BF">
        <w:rPr>
          <w:rFonts w:ascii="Arial" w:hAnsi="Arial" w:cs="Arial"/>
          <w:sz w:val="18"/>
          <w:szCs w:val="18"/>
        </w:rPr>
        <w:t>.</w:t>
      </w:r>
    </w:p>
  </w:footnote>
  <w:footnote w:id="104">
    <w:p w14:paraId="51C9035B" w14:textId="2A3062E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210D6E" w:rsidRPr="009109BF">
        <w:rPr>
          <w:rFonts w:ascii="Arial" w:hAnsi="Arial" w:cs="Arial"/>
          <w:sz w:val="18"/>
          <w:szCs w:val="18"/>
        </w:rPr>
        <w:t>, n 76 above,</w:t>
      </w:r>
      <w:r w:rsidRPr="009109BF">
        <w:rPr>
          <w:rFonts w:ascii="Arial" w:hAnsi="Arial" w:cs="Arial"/>
          <w:sz w:val="18"/>
          <w:szCs w:val="18"/>
        </w:rPr>
        <w:t>111</w:t>
      </w:r>
      <w:r w:rsidR="00210D6E" w:rsidRPr="009109BF">
        <w:rPr>
          <w:rFonts w:ascii="Arial" w:hAnsi="Arial" w:cs="Arial"/>
          <w:sz w:val="18"/>
          <w:szCs w:val="18"/>
        </w:rPr>
        <w:t>.</w:t>
      </w:r>
    </w:p>
  </w:footnote>
  <w:footnote w:id="105">
    <w:p w14:paraId="27928FEE" w14:textId="2BC8CDD9"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Solanas </w:t>
      </w:r>
      <w:r w:rsidR="00210D6E" w:rsidRPr="009109BF">
        <w:rPr>
          <w:rFonts w:ascii="Arial" w:hAnsi="Arial" w:cs="Arial"/>
          <w:sz w:val="18"/>
          <w:szCs w:val="18"/>
        </w:rPr>
        <w:t>n 101 above,</w:t>
      </w:r>
      <w:r w:rsidRPr="009109BF">
        <w:rPr>
          <w:rFonts w:ascii="Arial" w:hAnsi="Arial" w:cs="Arial"/>
          <w:i/>
          <w:iCs/>
          <w:sz w:val="18"/>
          <w:szCs w:val="18"/>
        </w:rPr>
        <w:t xml:space="preserve"> </w:t>
      </w:r>
      <w:r w:rsidRPr="009109BF">
        <w:rPr>
          <w:rFonts w:ascii="Arial" w:hAnsi="Arial" w:cs="Arial"/>
          <w:sz w:val="18"/>
          <w:szCs w:val="18"/>
        </w:rPr>
        <w:t>43</w:t>
      </w:r>
      <w:r w:rsidR="00210D6E" w:rsidRPr="009109BF">
        <w:rPr>
          <w:rFonts w:ascii="Arial" w:hAnsi="Arial" w:cs="Arial"/>
          <w:sz w:val="18"/>
          <w:szCs w:val="18"/>
        </w:rPr>
        <w:t>.</w:t>
      </w:r>
    </w:p>
  </w:footnote>
  <w:footnote w:id="106">
    <w:p w14:paraId="3CA85715" w14:textId="6860F9A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i</w:t>
      </w:r>
      <w:r w:rsidR="00DC4E30" w:rsidRPr="009109BF">
        <w:rPr>
          <w:rFonts w:ascii="Arial" w:hAnsi="Arial" w:cs="Arial"/>
          <w:sz w:val="18"/>
          <w:szCs w:val="18"/>
        </w:rPr>
        <w:t>bid</w:t>
      </w:r>
      <w:r w:rsidR="00210D6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46-47</w:t>
      </w:r>
      <w:r w:rsidR="00210D6E" w:rsidRPr="009109BF">
        <w:rPr>
          <w:rFonts w:ascii="Arial" w:hAnsi="Arial" w:cs="Arial"/>
          <w:sz w:val="18"/>
          <w:szCs w:val="18"/>
        </w:rPr>
        <w:t xml:space="preserve">; </w:t>
      </w:r>
      <w:r w:rsidRPr="009109BF">
        <w:rPr>
          <w:rFonts w:ascii="Arial" w:hAnsi="Arial" w:cs="Arial"/>
          <w:sz w:val="18"/>
          <w:szCs w:val="18"/>
        </w:rPr>
        <w:t>Owen</w:t>
      </w:r>
      <w:r w:rsidR="00210D6E" w:rsidRPr="009109BF">
        <w:rPr>
          <w:rFonts w:ascii="Arial" w:hAnsi="Arial" w:cs="Arial"/>
          <w:sz w:val="18"/>
          <w:szCs w:val="18"/>
        </w:rPr>
        <w:t>, n 76 above,</w:t>
      </w:r>
      <w:r w:rsidRPr="009109BF">
        <w:rPr>
          <w:rFonts w:ascii="Arial" w:hAnsi="Arial" w:cs="Arial"/>
          <w:sz w:val="18"/>
          <w:szCs w:val="18"/>
        </w:rPr>
        <w:t>114</w:t>
      </w:r>
      <w:r w:rsidR="00210D6E" w:rsidRPr="009109BF">
        <w:rPr>
          <w:rFonts w:ascii="Arial" w:hAnsi="Arial" w:cs="Arial"/>
          <w:sz w:val="18"/>
          <w:szCs w:val="18"/>
        </w:rPr>
        <w:t>.</w:t>
      </w:r>
    </w:p>
  </w:footnote>
  <w:footnote w:id="107">
    <w:p w14:paraId="21218E42" w14:textId="3896A438"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Owen</w:t>
      </w:r>
      <w:r w:rsidR="00210D6E" w:rsidRPr="009109BF">
        <w:rPr>
          <w:rFonts w:ascii="Arial" w:hAnsi="Arial" w:cs="Arial"/>
          <w:sz w:val="18"/>
          <w:szCs w:val="18"/>
        </w:rPr>
        <w:t>, n 76 above,</w:t>
      </w:r>
      <w:r w:rsidRPr="009109BF">
        <w:rPr>
          <w:rFonts w:ascii="Arial" w:hAnsi="Arial" w:cs="Arial"/>
          <w:i/>
          <w:iCs/>
          <w:sz w:val="18"/>
          <w:szCs w:val="18"/>
        </w:rPr>
        <w:t xml:space="preserve"> </w:t>
      </w:r>
      <w:r w:rsidRPr="009109BF">
        <w:rPr>
          <w:rFonts w:ascii="Arial" w:hAnsi="Arial" w:cs="Arial"/>
          <w:sz w:val="18"/>
          <w:szCs w:val="18"/>
        </w:rPr>
        <w:t>118-9</w:t>
      </w:r>
      <w:r w:rsidR="00210D6E" w:rsidRPr="009109BF">
        <w:rPr>
          <w:rFonts w:ascii="Arial" w:hAnsi="Arial" w:cs="Arial"/>
          <w:sz w:val="18"/>
          <w:szCs w:val="18"/>
        </w:rPr>
        <w:t>.</w:t>
      </w:r>
    </w:p>
  </w:footnote>
  <w:footnote w:id="108">
    <w:p w14:paraId="4161D0BC" w14:textId="65CBB425" w:rsidR="009111D7" w:rsidRPr="009109BF" w:rsidRDefault="009111D7" w:rsidP="009111D7">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Solanas </w:t>
      </w:r>
      <w:r w:rsidR="00210D6E" w:rsidRPr="009109BF">
        <w:rPr>
          <w:rFonts w:ascii="Arial" w:hAnsi="Arial" w:cs="Arial"/>
          <w:sz w:val="18"/>
          <w:szCs w:val="18"/>
        </w:rPr>
        <w:t>n 101 above</w:t>
      </w:r>
      <w:r w:rsidR="00210D6E" w:rsidRPr="009109BF">
        <w:rPr>
          <w:rFonts w:ascii="Arial" w:hAnsi="Arial" w:cs="Arial"/>
          <w:i/>
          <w:iCs/>
          <w:sz w:val="18"/>
          <w:szCs w:val="18"/>
        </w:rPr>
        <w:t>,</w:t>
      </w:r>
      <w:r w:rsidRPr="009109BF">
        <w:rPr>
          <w:rFonts w:ascii="Arial" w:hAnsi="Arial" w:cs="Arial"/>
          <w:i/>
          <w:iCs/>
          <w:sz w:val="18"/>
          <w:szCs w:val="18"/>
        </w:rPr>
        <w:t xml:space="preserve"> </w:t>
      </w:r>
      <w:r w:rsidRPr="009109BF">
        <w:rPr>
          <w:rFonts w:ascii="Arial" w:hAnsi="Arial" w:cs="Arial"/>
          <w:sz w:val="18"/>
          <w:szCs w:val="18"/>
        </w:rPr>
        <w:t>49</w:t>
      </w:r>
      <w:r w:rsidR="00210D6E" w:rsidRPr="009109BF">
        <w:rPr>
          <w:rFonts w:ascii="Arial" w:hAnsi="Arial" w:cs="Arial"/>
          <w:sz w:val="18"/>
          <w:szCs w:val="18"/>
        </w:rPr>
        <w:t>.</w:t>
      </w:r>
    </w:p>
  </w:footnote>
  <w:footnote w:id="109">
    <w:p w14:paraId="08F400EB" w14:textId="2CE861E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Under Article 2 of the European Convention on Human Rights, the UK having removed itself from the obligation to adhere to that Convention</w:t>
      </w:r>
      <w:r w:rsidR="00210D6E" w:rsidRPr="009109BF">
        <w:rPr>
          <w:rFonts w:ascii="Arial" w:hAnsi="Arial" w:cs="Arial"/>
          <w:sz w:val="18"/>
          <w:szCs w:val="18"/>
        </w:rPr>
        <w:t>.</w:t>
      </w:r>
    </w:p>
  </w:footnote>
  <w:footnote w:id="110">
    <w:p w14:paraId="13D3EEE5" w14:textId="15D2BFC7"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A S</w:t>
      </w:r>
      <w:r w:rsidRPr="009109BF">
        <w:rPr>
          <w:rFonts w:ascii="Arial" w:hAnsi="Arial" w:cs="Arial"/>
          <w:sz w:val="18"/>
          <w:szCs w:val="18"/>
        </w:rPr>
        <w:t xml:space="preserve">ykes, </w:t>
      </w:r>
      <w:r w:rsidRPr="009109BF">
        <w:rPr>
          <w:rFonts w:ascii="Arial" w:hAnsi="Arial" w:cs="Arial"/>
          <w:i/>
          <w:iCs/>
          <w:sz w:val="18"/>
          <w:szCs w:val="18"/>
        </w:rPr>
        <w:t>Adam’s Curse</w:t>
      </w:r>
      <w:r w:rsidRPr="009109BF">
        <w:rPr>
          <w:rFonts w:ascii="Arial" w:hAnsi="Arial" w:cs="Arial"/>
          <w:sz w:val="18"/>
          <w:szCs w:val="18"/>
        </w:rPr>
        <w:t xml:space="preserve"> </w:t>
      </w:r>
      <w:r w:rsidR="00210D6E" w:rsidRPr="009109BF">
        <w:rPr>
          <w:rFonts w:ascii="Arial" w:hAnsi="Arial" w:cs="Arial"/>
          <w:sz w:val="18"/>
          <w:szCs w:val="18"/>
        </w:rPr>
        <w:t>(</w:t>
      </w:r>
      <w:r w:rsidRPr="009109BF">
        <w:rPr>
          <w:rFonts w:ascii="Arial" w:hAnsi="Arial" w:cs="Arial"/>
          <w:sz w:val="18"/>
          <w:szCs w:val="18"/>
        </w:rPr>
        <w:t>Bantam</w:t>
      </w:r>
      <w:r w:rsidR="00210D6E" w:rsidRPr="009109BF">
        <w:rPr>
          <w:rFonts w:ascii="Arial" w:hAnsi="Arial" w:cs="Arial"/>
          <w:sz w:val="18"/>
          <w:szCs w:val="18"/>
        </w:rPr>
        <w:t xml:space="preserve">, 2003), </w:t>
      </w:r>
      <w:r w:rsidRPr="009109BF">
        <w:rPr>
          <w:rFonts w:ascii="Arial" w:hAnsi="Arial" w:cs="Arial"/>
          <w:sz w:val="18"/>
          <w:szCs w:val="18"/>
        </w:rPr>
        <w:t>297</w:t>
      </w:r>
      <w:r w:rsidR="00210D6E" w:rsidRPr="009109BF">
        <w:rPr>
          <w:rFonts w:ascii="Arial" w:hAnsi="Arial" w:cs="Arial"/>
          <w:sz w:val="18"/>
          <w:szCs w:val="18"/>
        </w:rPr>
        <w:t>.</w:t>
      </w:r>
    </w:p>
  </w:footnote>
  <w:footnote w:id="111">
    <w:p w14:paraId="44809185" w14:textId="1EA3E54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i</w:t>
      </w:r>
      <w:r w:rsidR="00DC4E30" w:rsidRPr="009109BF">
        <w:rPr>
          <w:rFonts w:ascii="Arial" w:hAnsi="Arial" w:cs="Arial"/>
          <w:sz w:val="18"/>
          <w:szCs w:val="18"/>
        </w:rPr>
        <w:t>bid</w:t>
      </w:r>
      <w:r w:rsidR="00210D6E" w:rsidRPr="009109BF">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297-303</w:t>
      </w:r>
      <w:r w:rsidR="00210D6E" w:rsidRPr="009109BF">
        <w:rPr>
          <w:rFonts w:ascii="Arial" w:hAnsi="Arial" w:cs="Arial"/>
          <w:sz w:val="18"/>
          <w:szCs w:val="18"/>
        </w:rPr>
        <w:t>.</w:t>
      </w:r>
    </w:p>
  </w:footnote>
  <w:footnote w:id="112">
    <w:p w14:paraId="135B7C5A" w14:textId="3F31AB8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210D6E" w:rsidRPr="009109BF">
        <w:rPr>
          <w:rFonts w:ascii="Arial" w:hAnsi="Arial" w:cs="Arial"/>
          <w:sz w:val="18"/>
          <w:szCs w:val="18"/>
        </w:rPr>
        <w:t xml:space="preserve">D </w:t>
      </w:r>
      <w:r w:rsidRPr="009109BF">
        <w:rPr>
          <w:rFonts w:ascii="Arial" w:hAnsi="Arial" w:cs="Arial"/>
          <w:sz w:val="18"/>
          <w:szCs w:val="18"/>
        </w:rPr>
        <w:t>Friedman</w:t>
      </w:r>
      <w:r w:rsidR="00210D6E" w:rsidRPr="009109BF">
        <w:rPr>
          <w:rFonts w:ascii="Arial" w:hAnsi="Arial" w:cs="Arial"/>
          <w:sz w:val="18"/>
          <w:szCs w:val="18"/>
        </w:rPr>
        <w:t>,</w:t>
      </w:r>
      <w:r w:rsidRPr="009109BF">
        <w:rPr>
          <w:rFonts w:ascii="Arial" w:hAnsi="Arial" w:cs="Arial"/>
          <w:sz w:val="18"/>
          <w:szCs w:val="18"/>
        </w:rPr>
        <w:t xml:space="preserve"> </w:t>
      </w:r>
      <w:r w:rsidR="00363B6D" w:rsidRPr="009109BF">
        <w:rPr>
          <w:rFonts w:ascii="Arial" w:hAnsi="Arial" w:cs="Arial"/>
          <w:sz w:val="18"/>
          <w:szCs w:val="18"/>
        </w:rPr>
        <w:t>‘</w:t>
      </w:r>
      <w:r w:rsidRPr="009109BF">
        <w:rPr>
          <w:rFonts w:ascii="Arial" w:hAnsi="Arial" w:cs="Arial"/>
          <w:sz w:val="18"/>
          <w:szCs w:val="18"/>
        </w:rPr>
        <w:t>Torture and Modernity</w:t>
      </w:r>
      <w:r w:rsidR="00363B6D" w:rsidRPr="009109BF">
        <w:rPr>
          <w:rFonts w:ascii="Arial" w:hAnsi="Arial" w:cs="Arial"/>
          <w:sz w:val="18"/>
          <w:szCs w:val="18"/>
        </w:rPr>
        <w:t>’</w:t>
      </w:r>
      <w:r w:rsidRPr="009109BF">
        <w:rPr>
          <w:rFonts w:ascii="Arial" w:hAnsi="Arial" w:cs="Arial"/>
          <w:sz w:val="18"/>
          <w:szCs w:val="18"/>
        </w:rPr>
        <w:t xml:space="preserve"> </w:t>
      </w:r>
      <w:r w:rsidR="00210D6E" w:rsidRPr="009109BF">
        <w:rPr>
          <w:rFonts w:ascii="Arial" w:hAnsi="Arial" w:cs="Arial"/>
          <w:sz w:val="18"/>
          <w:szCs w:val="18"/>
        </w:rPr>
        <w:t xml:space="preserve">(2013) </w:t>
      </w:r>
      <w:r w:rsidRPr="009109BF">
        <w:rPr>
          <w:rFonts w:ascii="Arial" w:hAnsi="Arial" w:cs="Arial"/>
          <w:sz w:val="18"/>
          <w:szCs w:val="18"/>
        </w:rPr>
        <w:t>5 European Human Rights Law Review 494, 509</w:t>
      </w:r>
      <w:r w:rsidR="00210D6E" w:rsidRPr="009109BF">
        <w:rPr>
          <w:rFonts w:ascii="Arial" w:hAnsi="Arial" w:cs="Arial"/>
          <w:sz w:val="18"/>
          <w:szCs w:val="18"/>
        </w:rPr>
        <w:t>.</w:t>
      </w:r>
    </w:p>
  </w:footnote>
  <w:footnote w:id="113">
    <w:p w14:paraId="37BE44CA" w14:textId="4D237198"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Bonomi et al</w:t>
      </w:r>
      <w:r w:rsidR="009109BF" w:rsidRPr="009109BF">
        <w:rPr>
          <w:rFonts w:ascii="Arial" w:hAnsi="Arial" w:cs="Arial"/>
          <w:sz w:val="18"/>
          <w:szCs w:val="18"/>
        </w:rPr>
        <w:t xml:space="preserve">, n 73 above, </w:t>
      </w:r>
      <w:r w:rsidRPr="009109BF">
        <w:rPr>
          <w:rFonts w:ascii="Arial" w:hAnsi="Arial" w:cs="Arial"/>
          <w:sz w:val="18"/>
          <w:szCs w:val="18"/>
        </w:rPr>
        <w:t>52</w:t>
      </w:r>
      <w:r w:rsidR="009109BF" w:rsidRPr="009109BF">
        <w:rPr>
          <w:rFonts w:ascii="Arial" w:hAnsi="Arial" w:cs="Arial"/>
          <w:sz w:val="18"/>
          <w:szCs w:val="18"/>
        </w:rPr>
        <w:t>.</w:t>
      </w:r>
    </w:p>
  </w:footnote>
  <w:footnote w:id="114">
    <w:p w14:paraId="46913001" w14:textId="76376782" w:rsidR="0063205F" w:rsidRPr="009109BF" w:rsidRDefault="0063205F" w:rsidP="0063205F">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9109BF" w:rsidRPr="009109BF">
        <w:rPr>
          <w:rFonts w:ascii="Arial" w:hAnsi="Arial" w:cs="Arial"/>
          <w:sz w:val="18"/>
          <w:szCs w:val="18"/>
        </w:rPr>
        <w:t xml:space="preserve">J </w:t>
      </w:r>
      <w:r w:rsidRPr="009109BF">
        <w:rPr>
          <w:rFonts w:ascii="Arial" w:hAnsi="Arial" w:cs="Arial"/>
          <w:sz w:val="18"/>
          <w:szCs w:val="18"/>
        </w:rPr>
        <w:t>Evans, ‘Women-only tower block given go-ahead by Ealing Council’</w:t>
      </w:r>
      <w:r w:rsidR="009109BF" w:rsidRPr="009109BF">
        <w:rPr>
          <w:rFonts w:ascii="Arial" w:hAnsi="Arial" w:cs="Arial"/>
          <w:sz w:val="18"/>
          <w:szCs w:val="18"/>
        </w:rPr>
        <w:t>, BBC News</w:t>
      </w:r>
      <w:r w:rsidR="009C6E86">
        <w:rPr>
          <w:rFonts w:ascii="Arial" w:hAnsi="Arial" w:cs="Arial"/>
          <w:sz w:val="18"/>
          <w:szCs w:val="18"/>
        </w:rPr>
        <w:t xml:space="preserve"> 2</w:t>
      </w:r>
      <w:r w:rsidR="009C6E86" w:rsidRPr="009C6E86">
        <w:rPr>
          <w:rFonts w:ascii="Arial" w:hAnsi="Arial" w:cs="Arial"/>
          <w:sz w:val="18"/>
          <w:szCs w:val="18"/>
          <w:vertAlign w:val="superscript"/>
        </w:rPr>
        <w:t>nd</w:t>
      </w:r>
      <w:r w:rsidR="009C6E86">
        <w:rPr>
          <w:rFonts w:ascii="Arial" w:hAnsi="Arial" w:cs="Arial"/>
          <w:sz w:val="18"/>
          <w:szCs w:val="18"/>
        </w:rPr>
        <w:t xml:space="preserve"> May</w:t>
      </w:r>
      <w:r w:rsidR="009109BF" w:rsidRPr="009109BF">
        <w:rPr>
          <w:rFonts w:ascii="Arial" w:hAnsi="Arial" w:cs="Arial"/>
          <w:sz w:val="18"/>
          <w:szCs w:val="18"/>
        </w:rPr>
        <w:t xml:space="preserve"> 2023. Available at: </w:t>
      </w:r>
      <w:hyperlink r:id="rId13" w:history="1">
        <w:r w:rsidR="009109BF" w:rsidRPr="009109BF">
          <w:rPr>
            <w:rStyle w:val="Hyperlink"/>
            <w:rFonts w:ascii="Arial" w:hAnsi="Arial" w:cs="Arial"/>
            <w:sz w:val="18"/>
            <w:szCs w:val="18"/>
          </w:rPr>
          <w:t>https://www.bbc.co.uk/news/uk-england-london-65456335</w:t>
        </w:r>
      </w:hyperlink>
      <w:r w:rsidRPr="009109BF">
        <w:rPr>
          <w:rFonts w:ascii="Arial" w:hAnsi="Arial" w:cs="Arial"/>
          <w:sz w:val="18"/>
          <w:szCs w:val="18"/>
        </w:rPr>
        <w:t xml:space="preserve">) </w:t>
      </w:r>
      <w:r w:rsidR="009C6E86">
        <w:rPr>
          <w:rFonts w:ascii="Arial" w:hAnsi="Arial" w:cs="Arial"/>
          <w:sz w:val="18"/>
          <w:szCs w:val="18"/>
        </w:rPr>
        <w:t>(last accessed 14th June 2024).</w:t>
      </w:r>
    </w:p>
  </w:footnote>
  <w:footnote w:id="115">
    <w:p w14:paraId="6299E20D" w14:textId="5EEDC5FB"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004F4394">
        <w:rPr>
          <w:rFonts w:ascii="Arial" w:hAnsi="Arial" w:cs="Arial"/>
          <w:sz w:val="18"/>
          <w:szCs w:val="18"/>
        </w:rPr>
        <w:t xml:space="preserve"> “Domestic Abuse”, Women</w:t>
      </w:r>
      <w:r w:rsidR="003A0A16">
        <w:rPr>
          <w:rFonts w:ascii="Arial" w:hAnsi="Arial" w:cs="Arial"/>
          <w:sz w:val="18"/>
          <w:szCs w:val="18"/>
        </w:rPr>
        <w:t>’s Pioneer Housing</w:t>
      </w:r>
      <w:r w:rsidR="006617D2">
        <w:rPr>
          <w:rFonts w:ascii="Arial" w:hAnsi="Arial" w:cs="Arial"/>
          <w:sz w:val="18"/>
          <w:szCs w:val="18"/>
        </w:rPr>
        <w:t xml:space="preserve"> </w:t>
      </w:r>
      <w:r w:rsidR="006617D2" w:rsidRPr="00884E4D">
        <w:rPr>
          <w:rFonts w:ascii="Arial" w:hAnsi="Arial" w:cs="Arial"/>
          <w:sz w:val="18"/>
          <w:szCs w:val="18"/>
        </w:rPr>
        <w:t>(n.d)</w:t>
      </w:r>
      <w:r w:rsidRPr="009109BF">
        <w:rPr>
          <w:rFonts w:ascii="Arial" w:hAnsi="Arial" w:cs="Arial"/>
          <w:sz w:val="18"/>
          <w:szCs w:val="18"/>
        </w:rPr>
        <w:t xml:space="preserve"> </w:t>
      </w:r>
      <w:r w:rsidR="003A0A16">
        <w:rPr>
          <w:rFonts w:ascii="Arial" w:hAnsi="Arial" w:cs="Arial"/>
          <w:sz w:val="18"/>
          <w:szCs w:val="18"/>
        </w:rPr>
        <w:t>(</w:t>
      </w:r>
      <w:hyperlink r:id="rId14" w:history="1">
        <w:r w:rsidR="003A0A16" w:rsidRPr="00A37516">
          <w:rPr>
            <w:rStyle w:val="Hyperlink"/>
            <w:rFonts w:ascii="Arial" w:hAnsi="Arial" w:cs="Arial"/>
            <w:sz w:val="18"/>
            <w:szCs w:val="18"/>
          </w:rPr>
          <w:t>https://womenspioneer.co.uk/domestic-abuse/</w:t>
        </w:r>
      </w:hyperlink>
      <w:r w:rsidR="003A0A16">
        <w:rPr>
          <w:rStyle w:val="Hyperlink"/>
          <w:rFonts w:ascii="Arial" w:hAnsi="Arial" w:cs="Arial"/>
          <w:sz w:val="18"/>
          <w:szCs w:val="18"/>
        </w:rPr>
        <w:t>)</w:t>
      </w:r>
      <w:r w:rsidR="004F30E4">
        <w:rPr>
          <w:rStyle w:val="Hyperlink"/>
          <w:rFonts w:ascii="Arial" w:hAnsi="Arial" w:cs="Arial"/>
          <w:sz w:val="18"/>
          <w:szCs w:val="18"/>
        </w:rPr>
        <w:t xml:space="preserve"> </w:t>
      </w:r>
      <w:r w:rsidRPr="009109BF">
        <w:rPr>
          <w:rFonts w:ascii="Arial" w:hAnsi="Arial" w:cs="Arial"/>
          <w:sz w:val="18"/>
          <w:szCs w:val="18"/>
        </w:rPr>
        <w:t xml:space="preserve">(last accessed </w:t>
      </w:r>
      <w:r w:rsidR="003A0A16">
        <w:rPr>
          <w:rFonts w:ascii="Arial" w:hAnsi="Arial" w:cs="Arial"/>
          <w:sz w:val="18"/>
          <w:szCs w:val="18"/>
        </w:rPr>
        <w:t>14</w:t>
      </w:r>
      <w:r w:rsidR="003A0A16" w:rsidRPr="003A0A16">
        <w:rPr>
          <w:rFonts w:ascii="Arial" w:hAnsi="Arial" w:cs="Arial"/>
          <w:sz w:val="18"/>
          <w:szCs w:val="18"/>
          <w:vertAlign w:val="superscript"/>
        </w:rPr>
        <w:t>th</w:t>
      </w:r>
      <w:r w:rsidR="003A0A16">
        <w:rPr>
          <w:rFonts w:ascii="Arial" w:hAnsi="Arial" w:cs="Arial"/>
          <w:sz w:val="18"/>
          <w:szCs w:val="18"/>
        </w:rPr>
        <w:t xml:space="preserve"> June 2024</w:t>
      </w:r>
      <w:r w:rsidRPr="009109BF">
        <w:rPr>
          <w:rFonts w:ascii="Arial" w:hAnsi="Arial" w:cs="Arial"/>
          <w:sz w:val="18"/>
          <w:szCs w:val="18"/>
        </w:rPr>
        <w:t>)</w:t>
      </w:r>
      <w:r w:rsidR="009109BF" w:rsidRPr="009109BF">
        <w:rPr>
          <w:rFonts w:ascii="Arial" w:hAnsi="Arial" w:cs="Arial"/>
          <w:sz w:val="18"/>
          <w:szCs w:val="18"/>
        </w:rPr>
        <w:t>.</w:t>
      </w:r>
    </w:p>
  </w:footnote>
  <w:footnote w:id="116">
    <w:p w14:paraId="448207FB" w14:textId="7FA7BCBD" w:rsidR="00311631" w:rsidRPr="009109BF" w:rsidRDefault="00311631" w:rsidP="009109BF">
      <w:pPr>
        <w:pStyle w:val="Heading1"/>
        <w:shd w:val="clear" w:color="auto" w:fill="FFFFFF"/>
        <w:ind w:left="0" w:firstLine="0"/>
        <w:rPr>
          <w:rFonts w:ascii="Arial" w:hAnsi="Arial" w:cs="Arial"/>
          <w:sz w:val="18"/>
          <w:szCs w:val="18"/>
        </w:rPr>
      </w:pPr>
      <w:r w:rsidRPr="009109BF">
        <w:rPr>
          <w:rStyle w:val="FootnoteReference"/>
          <w:rFonts w:ascii="Arial" w:hAnsi="Arial" w:cs="Arial"/>
          <w:b w:val="0"/>
          <w:bCs w:val="0"/>
          <w:sz w:val="18"/>
          <w:szCs w:val="18"/>
        </w:rPr>
        <w:footnoteRef/>
      </w:r>
      <w:r w:rsidRPr="009109BF">
        <w:rPr>
          <w:rFonts w:ascii="Arial" w:hAnsi="Arial" w:cs="Arial"/>
          <w:b w:val="0"/>
          <w:bCs w:val="0"/>
          <w:sz w:val="18"/>
          <w:szCs w:val="18"/>
        </w:rPr>
        <w:t xml:space="preserve"> Local Government Association</w:t>
      </w:r>
      <w:r w:rsidR="00043195">
        <w:rPr>
          <w:rFonts w:ascii="Arial" w:hAnsi="Arial" w:cs="Arial"/>
          <w:b w:val="0"/>
          <w:bCs w:val="0"/>
          <w:sz w:val="18"/>
          <w:szCs w:val="18"/>
        </w:rPr>
        <w:t xml:space="preserve">, ‘Debate on Violence Against Women and Girls in the UK, House of Lords, 29 June 2023. Available at: </w:t>
      </w:r>
      <w:hyperlink r:id="rId15" w:anchor="how-violence-against-women-and-girls-can-be-prevented-and-addressed" w:history="1">
        <w:r w:rsidR="00043195" w:rsidRPr="00A030CA">
          <w:rPr>
            <w:rStyle w:val="Hyperlink"/>
            <w:rFonts w:ascii="Arial" w:hAnsi="Arial" w:cs="Arial"/>
            <w:b w:val="0"/>
            <w:bCs w:val="0"/>
            <w:sz w:val="18"/>
            <w:szCs w:val="18"/>
          </w:rPr>
          <w:t>https://www.local.gov.uk/parliament/briefings-and-responses/debate-violence-against-women-and-girls-uk-house-lords-29-june#how-violence-against-women-and-girls-can-be-prevented-and-addressed</w:t>
        </w:r>
      </w:hyperlink>
      <w:r w:rsidRPr="009109BF">
        <w:rPr>
          <w:rFonts w:ascii="Arial" w:hAnsi="Arial" w:cs="Arial"/>
          <w:b w:val="0"/>
          <w:bCs w:val="0"/>
          <w:sz w:val="18"/>
          <w:szCs w:val="18"/>
        </w:rPr>
        <w:t>)</w:t>
      </w:r>
      <w:r w:rsidRPr="009109BF">
        <w:rPr>
          <w:rFonts w:ascii="Arial" w:hAnsi="Arial" w:cs="Arial"/>
          <w:sz w:val="18"/>
          <w:szCs w:val="18"/>
        </w:rPr>
        <w:t xml:space="preserve"> </w:t>
      </w:r>
      <w:r w:rsidRPr="009109BF">
        <w:rPr>
          <w:rFonts w:ascii="Arial" w:hAnsi="Arial" w:cs="Arial"/>
          <w:b w:val="0"/>
          <w:bCs w:val="0"/>
          <w:sz w:val="18"/>
          <w:szCs w:val="18"/>
        </w:rPr>
        <w:t xml:space="preserve">(last accessed </w:t>
      </w:r>
      <w:r w:rsidR="00CA5C96">
        <w:rPr>
          <w:rFonts w:ascii="Arial" w:hAnsi="Arial" w:cs="Arial"/>
          <w:b w:val="0"/>
          <w:bCs w:val="0"/>
          <w:sz w:val="18"/>
          <w:szCs w:val="18"/>
        </w:rPr>
        <w:t>14</w:t>
      </w:r>
      <w:r w:rsidR="00CA5C96" w:rsidRPr="00CA5C96">
        <w:rPr>
          <w:rFonts w:ascii="Arial" w:hAnsi="Arial" w:cs="Arial"/>
          <w:b w:val="0"/>
          <w:bCs w:val="0"/>
          <w:sz w:val="18"/>
          <w:szCs w:val="18"/>
          <w:vertAlign w:val="superscript"/>
        </w:rPr>
        <w:t>th</w:t>
      </w:r>
      <w:r w:rsidR="00CA5C96">
        <w:rPr>
          <w:rFonts w:ascii="Arial" w:hAnsi="Arial" w:cs="Arial"/>
          <w:b w:val="0"/>
          <w:bCs w:val="0"/>
          <w:sz w:val="18"/>
          <w:szCs w:val="18"/>
        </w:rPr>
        <w:t xml:space="preserve"> June 2024</w:t>
      </w:r>
      <w:r w:rsidRPr="009109BF">
        <w:rPr>
          <w:rFonts w:ascii="Arial" w:hAnsi="Arial" w:cs="Arial"/>
          <w:b w:val="0"/>
          <w:bCs w:val="0"/>
          <w:sz w:val="18"/>
          <w:szCs w:val="18"/>
        </w:rPr>
        <w:t>)</w:t>
      </w:r>
      <w:r w:rsidR="00043195">
        <w:rPr>
          <w:rFonts w:ascii="Arial" w:hAnsi="Arial" w:cs="Arial"/>
          <w:b w:val="0"/>
          <w:bCs w:val="0"/>
          <w:sz w:val="18"/>
          <w:szCs w:val="18"/>
        </w:rPr>
        <w:t>.</w:t>
      </w:r>
    </w:p>
  </w:footnote>
  <w:footnote w:id="117">
    <w:p w14:paraId="60C97770" w14:textId="1AB86D4D" w:rsidR="0063205F" w:rsidRPr="009109BF" w:rsidRDefault="0063205F" w:rsidP="0063205F">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Secretary of State for Levelling Up, Housing, and Communities, </w:t>
      </w:r>
      <w:r w:rsidRPr="009109BF">
        <w:rPr>
          <w:rFonts w:ascii="Arial" w:hAnsi="Arial" w:cs="Arial"/>
          <w:i/>
          <w:iCs/>
          <w:sz w:val="18"/>
          <w:szCs w:val="18"/>
        </w:rPr>
        <w:t xml:space="preserve">Levelling Up The United Kingdom </w:t>
      </w:r>
      <w:r w:rsidRPr="009109BF">
        <w:rPr>
          <w:rFonts w:ascii="Arial" w:hAnsi="Arial" w:cs="Arial"/>
          <w:sz w:val="18"/>
          <w:szCs w:val="18"/>
        </w:rPr>
        <w:t>(CP 604, 2022)</w:t>
      </w:r>
      <w:r w:rsidR="00043195">
        <w:rPr>
          <w:rFonts w:ascii="Arial" w:hAnsi="Arial" w:cs="Arial"/>
          <w:sz w:val="18"/>
          <w:szCs w:val="18"/>
        </w:rPr>
        <w:t>.</w:t>
      </w:r>
    </w:p>
  </w:footnote>
  <w:footnote w:id="118">
    <w:p w14:paraId="7B275F2B" w14:textId="5234DA66"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43195">
        <w:rPr>
          <w:rFonts w:ascii="Arial" w:hAnsi="Arial" w:cs="Arial"/>
          <w:sz w:val="18"/>
          <w:szCs w:val="18"/>
        </w:rPr>
        <w:t xml:space="preserve">J </w:t>
      </w:r>
      <w:r w:rsidRPr="009109BF">
        <w:rPr>
          <w:rFonts w:ascii="Arial" w:hAnsi="Arial" w:cs="Arial"/>
          <w:sz w:val="18"/>
          <w:szCs w:val="18"/>
        </w:rPr>
        <w:t>Tomaney</w:t>
      </w:r>
      <w:r w:rsidR="00043195">
        <w:rPr>
          <w:rFonts w:ascii="Arial" w:hAnsi="Arial" w:cs="Arial"/>
          <w:sz w:val="18"/>
          <w:szCs w:val="18"/>
        </w:rPr>
        <w:t xml:space="preserve"> and A </w:t>
      </w:r>
      <w:r w:rsidRPr="009109BF">
        <w:rPr>
          <w:rFonts w:ascii="Arial" w:hAnsi="Arial" w:cs="Arial"/>
          <w:sz w:val="18"/>
          <w:szCs w:val="18"/>
        </w:rPr>
        <w:t xml:space="preserve">Pike, </w:t>
      </w:r>
      <w:r w:rsidR="00363B6D" w:rsidRPr="009109BF">
        <w:rPr>
          <w:rFonts w:ascii="Arial" w:hAnsi="Arial" w:cs="Arial"/>
          <w:sz w:val="18"/>
          <w:szCs w:val="18"/>
        </w:rPr>
        <w:t>‘</w:t>
      </w:r>
      <w:r w:rsidRPr="009109BF">
        <w:rPr>
          <w:rFonts w:ascii="Arial" w:hAnsi="Arial" w:cs="Arial"/>
          <w:sz w:val="18"/>
          <w:szCs w:val="18"/>
        </w:rPr>
        <w:t>Levelling Up?</w:t>
      </w:r>
      <w:r w:rsidR="00363B6D" w:rsidRPr="009109BF">
        <w:rPr>
          <w:rFonts w:ascii="Arial" w:hAnsi="Arial" w:cs="Arial"/>
          <w:sz w:val="18"/>
          <w:szCs w:val="18"/>
        </w:rPr>
        <w:t>’</w:t>
      </w:r>
      <w:r w:rsidRPr="009109BF">
        <w:rPr>
          <w:rFonts w:ascii="Arial" w:hAnsi="Arial" w:cs="Arial"/>
          <w:sz w:val="18"/>
          <w:szCs w:val="18"/>
        </w:rPr>
        <w:t xml:space="preserve"> </w:t>
      </w:r>
      <w:r w:rsidR="00043195" w:rsidRPr="009109BF">
        <w:rPr>
          <w:rFonts w:ascii="Arial" w:hAnsi="Arial" w:cs="Arial"/>
          <w:sz w:val="18"/>
          <w:szCs w:val="18"/>
        </w:rPr>
        <w:t xml:space="preserve">(2020) </w:t>
      </w:r>
      <w:r w:rsidRPr="009109BF">
        <w:rPr>
          <w:rFonts w:ascii="Arial" w:hAnsi="Arial" w:cs="Arial"/>
          <w:sz w:val="18"/>
          <w:szCs w:val="18"/>
        </w:rPr>
        <w:t>91(1) The Political Quarterly 43, 43</w:t>
      </w:r>
      <w:r w:rsidR="00043195">
        <w:rPr>
          <w:rFonts w:ascii="Arial" w:hAnsi="Arial" w:cs="Arial"/>
          <w:sz w:val="18"/>
          <w:szCs w:val="18"/>
        </w:rPr>
        <w:t>.</w:t>
      </w:r>
    </w:p>
  </w:footnote>
  <w:footnote w:id="119">
    <w:p w14:paraId="307AF6D9" w14:textId="0CDECEF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43195">
        <w:rPr>
          <w:rFonts w:ascii="Arial" w:hAnsi="Arial" w:cs="Arial"/>
          <w:sz w:val="18"/>
          <w:szCs w:val="18"/>
        </w:rPr>
        <w:t>i</w:t>
      </w:r>
      <w:r w:rsidR="00DC4E30" w:rsidRPr="00043195">
        <w:rPr>
          <w:rFonts w:ascii="Arial" w:hAnsi="Arial" w:cs="Arial"/>
          <w:sz w:val="18"/>
          <w:szCs w:val="18"/>
        </w:rPr>
        <w:t>bid</w:t>
      </w:r>
      <w:r w:rsidR="00043195">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45</w:t>
      </w:r>
      <w:r w:rsidR="00043195">
        <w:rPr>
          <w:rFonts w:ascii="Arial" w:hAnsi="Arial" w:cs="Arial"/>
          <w:sz w:val="18"/>
          <w:szCs w:val="18"/>
        </w:rPr>
        <w:t>.</w:t>
      </w:r>
    </w:p>
  </w:footnote>
  <w:footnote w:id="120">
    <w:p w14:paraId="785CB0FB" w14:textId="2BEC7E8D" w:rsidR="00311631" w:rsidRPr="009109BF" w:rsidRDefault="00311631" w:rsidP="00A6138D">
      <w:pPr>
        <w:autoSpaceDE w:val="0"/>
        <w:autoSpaceDN w:val="0"/>
        <w:adjustRightInd w:val="0"/>
        <w:spacing w:after="0" w:line="240" w:lineRule="auto"/>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043195">
        <w:rPr>
          <w:rFonts w:ascii="Arial" w:hAnsi="Arial" w:cs="Arial"/>
          <w:sz w:val="18"/>
          <w:szCs w:val="18"/>
        </w:rPr>
        <w:t xml:space="preserve">L </w:t>
      </w:r>
      <w:r w:rsidRPr="009109BF">
        <w:rPr>
          <w:rFonts w:ascii="Arial" w:hAnsi="Arial" w:cs="Arial"/>
          <w:sz w:val="18"/>
          <w:szCs w:val="18"/>
        </w:rPr>
        <w:t xml:space="preserve">Calafati, </w:t>
      </w:r>
      <w:r w:rsidR="00043195">
        <w:rPr>
          <w:rFonts w:ascii="Arial" w:hAnsi="Arial" w:cs="Arial"/>
          <w:sz w:val="18"/>
          <w:szCs w:val="18"/>
        </w:rPr>
        <w:t>J</w:t>
      </w:r>
      <w:r w:rsidRPr="009109BF">
        <w:rPr>
          <w:rFonts w:ascii="Arial" w:hAnsi="Arial" w:cs="Arial"/>
          <w:sz w:val="18"/>
          <w:szCs w:val="18"/>
        </w:rPr>
        <w:t xml:space="preserve"> Ebrey, </w:t>
      </w:r>
      <w:r w:rsidR="00043195">
        <w:rPr>
          <w:rFonts w:ascii="Arial" w:hAnsi="Arial" w:cs="Arial"/>
          <w:sz w:val="18"/>
          <w:szCs w:val="18"/>
        </w:rPr>
        <w:t>J</w:t>
      </w:r>
      <w:r w:rsidRPr="009109BF">
        <w:rPr>
          <w:rFonts w:ascii="Arial" w:hAnsi="Arial" w:cs="Arial"/>
          <w:sz w:val="18"/>
          <w:szCs w:val="18"/>
        </w:rPr>
        <w:t xml:space="preserve"> Froud,</w:t>
      </w:r>
      <w:r w:rsidR="00043195">
        <w:rPr>
          <w:rFonts w:ascii="Arial" w:hAnsi="Arial" w:cs="Arial"/>
          <w:sz w:val="18"/>
          <w:szCs w:val="18"/>
        </w:rPr>
        <w:t xml:space="preserve"> C</w:t>
      </w:r>
      <w:r w:rsidRPr="009109BF">
        <w:rPr>
          <w:rFonts w:ascii="Arial" w:hAnsi="Arial" w:cs="Arial"/>
          <w:sz w:val="18"/>
          <w:szCs w:val="18"/>
        </w:rPr>
        <w:t xml:space="preserve"> Haslam, </w:t>
      </w:r>
      <w:r w:rsidR="00043195">
        <w:rPr>
          <w:rFonts w:ascii="Arial" w:hAnsi="Arial" w:cs="Arial"/>
          <w:sz w:val="18"/>
          <w:szCs w:val="18"/>
        </w:rPr>
        <w:t xml:space="preserve">S </w:t>
      </w:r>
      <w:r w:rsidRPr="009109BF">
        <w:rPr>
          <w:rFonts w:ascii="Arial" w:hAnsi="Arial" w:cs="Arial"/>
          <w:sz w:val="18"/>
          <w:szCs w:val="18"/>
        </w:rPr>
        <w:t xml:space="preserve">Johal and </w:t>
      </w:r>
      <w:r w:rsidR="00043195">
        <w:rPr>
          <w:rFonts w:ascii="Arial" w:hAnsi="Arial" w:cs="Arial"/>
          <w:sz w:val="18"/>
          <w:szCs w:val="18"/>
        </w:rPr>
        <w:t xml:space="preserve">K </w:t>
      </w:r>
      <w:r w:rsidRPr="009109BF">
        <w:rPr>
          <w:rFonts w:ascii="Arial" w:hAnsi="Arial" w:cs="Arial"/>
          <w:sz w:val="18"/>
          <w:szCs w:val="18"/>
        </w:rPr>
        <w:t>Williams</w:t>
      </w:r>
      <w:r w:rsidR="00043195">
        <w:rPr>
          <w:rFonts w:ascii="Arial" w:hAnsi="Arial" w:cs="Arial"/>
          <w:sz w:val="18"/>
          <w:szCs w:val="18"/>
        </w:rPr>
        <w:t xml:space="preserve">, </w:t>
      </w:r>
      <w:r w:rsidRPr="009109BF">
        <w:rPr>
          <w:rFonts w:ascii="Arial" w:hAnsi="Arial" w:cs="Arial"/>
          <w:i/>
          <w:iCs/>
          <w:sz w:val="18"/>
          <w:szCs w:val="18"/>
        </w:rPr>
        <w:t>How an Ordinary Place Works:</w:t>
      </w:r>
      <w:r w:rsidR="00EC49E5">
        <w:rPr>
          <w:rFonts w:ascii="Arial" w:hAnsi="Arial" w:cs="Arial"/>
          <w:i/>
          <w:iCs/>
          <w:sz w:val="18"/>
          <w:szCs w:val="18"/>
        </w:rPr>
        <w:t xml:space="preserve"> </w:t>
      </w:r>
      <w:r w:rsidRPr="009109BF">
        <w:rPr>
          <w:rFonts w:ascii="Arial" w:hAnsi="Arial" w:cs="Arial"/>
          <w:i/>
          <w:iCs/>
          <w:sz w:val="18"/>
          <w:szCs w:val="18"/>
        </w:rPr>
        <w:t>Understanding Morriston</w:t>
      </w:r>
      <w:r w:rsidRPr="009109BF">
        <w:rPr>
          <w:rFonts w:ascii="Arial" w:hAnsi="Arial" w:cs="Arial"/>
          <w:sz w:val="18"/>
          <w:szCs w:val="18"/>
        </w:rPr>
        <w:t>, Foundation Economy</w:t>
      </w:r>
      <w:r w:rsidR="00043195">
        <w:rPr>
          <w:rFonts w:ascii="Arial" w:hAnsi="Arial" w:cs="Arial"/>
          <w:sz w:val="18"/>
          <w:szCs w:val="18"/>
        </w:rPr>
        <w:t xml:space="preserve">, 2019. Available at: </w:t>
      </w:r>
      <w:r w:rsidRPr="009109BF">
        <w:rPr>
          <w:rFonts w:ascii="Arial" w:hAnsi="Arial" w:cs="Arial"/>
          <w:sz w:val="18"/>
          <w:szCs w:val="18"/>
        </w:rPr>
        <w:t>(</w:t>
      </w:r>
      <w:hyperlink r:id="rId16" w:history="1">
        <w:r w:rsidRPr="009109BF">
          <w:rPr>
            <w:rStyle w:val="Hyperlink"/>
            <w:rFonts w:ascii="Arial" w:hAnsi="Arial" w:cs="Arial"/>
            <w:sz w:val="18"/>
            <w:szCs w:val="18"/>
          </w:rPr>
          <w:t>https://foundationaleconomycom.files.wordpress.com/2019/05/morriston-report-v6-13-may-2019.pdf</w:t>
        </w:r>
      </w:hyperlink>
      <w:r w:rsidRPr="009109BF">
        <w:rPr>
          <w:rFonts w:ascii="Arial" w:hAnsi="Arial" w:cs="Arial"/>
          <w:sz w:val="18"/>
          <w:szCs w:val="18"/>
        </w:rPr>
        <w:t xml:space="preserve">) (cited </w:t>
      </w:r>
      <w:r w:rsidR="00DC4E30" w:rsidRPr="00EC49E5">
        <w:rPr>
          <w:rFonts w:ascii="Arial" w:hAnsi="Arial" w:cs="Arial"/>
          <w:sz w:val="18"/>
          <w:szCs w:val="18"/>
        </w:rPr>
        <w:t>ibid</w:t>
      </w:r>
      <w:r w:rsidR="00EC49E5">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 xml:space="preserve">46, fn25) (last accessed </w:t>
      </w:r>
      <w:r w:rsidR="00CF0330">
        <w:rPr>
          <w:rFonts w:ascii="Arial" w:hAnsi="Arial" w:cs="Arial"/>
          <w:sz w:val="18"/>
          <w:szCs w:val="18"/>
        </w:rPr>
        <w:t>14 June 2024</w:t>
      </w:r>
      <w:r w:rsidRPr="009109BF">
        <w:rPr>
          <w:rFonts w:ascii="Arial" w:hAnsi="Arial" w:cs="Arial"/>
          <w:sz w:val="18"/>
          <w:szCs w:val="18"/>
        </w:rPr>
        <w:t>)</w:t>
      </w:r>
      <w:r w:rsidR="00EC49E5">
        <w:rPr>
          <w:rFonts w:ascii="Arial" w:hAnsi="Arial" w:cs="Arial"/>
          <w:sz w:val="18"/>
          <w:szCs w:val="18"/>
        </w:rPr>
        <w:t>.</w:t>
      </w:r>
    </w:p>
  </w:footnote>
  <w:footnote w:id="121">
    <w:p w14:paraId="16FE7855" w14:textId="117C741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Tomaney </w:t>
      </w:r>
      <w:r w:rsidR="00EC49E5">
        <w:rPr>
          <w:rFonts w:ascii="Arial" w:hAnsi="Arial" w:cs="Arial"/>
          <w:sz w:val="18"/>
          <w:szCs w:val="18"/>
        </w:rPr>
        <w:t>and</w:t>
      </w:r>
      <w:r w:rsidRPr="009109BF">
        <w:rPr>
          <w:rFonts w:ascii="Arial" w:hAnsi="Arial" w:cs="Arial"/>
          <w:sz w:val="18"/>
          <w:szCs w:val="18"/>
        </w:rPr>
        <w:t xml:space="preserve"> Pike</w:t>
      </w:r>
      <w:r w:rsidR="00EC49E5">
        <w:rPr>
          <w:rFonts w:ascii="Arial" w:hAnsi="Arial" w:cs="Arial"/>
          <w:sz w:val="18"/>
          <w:szCs w:val="18"/>
        </w:rPr>
        <w:t xml:space="preserve">, n 118 above, </w:t>
      </w:r>
      <w:r w:rsidRPr="009109BF">
        <w:rPr>
          <w:rFonts w:ascii="Arial" w:hAnsi="Arial" w:cs="Arial"/>
          <w:sz w:val="18"/>
          <w:szCs w:val="18"/>
        </w:rPr>
        <w:t>46</w:t>
      </w:r>
      <w:r w:rsidR="00EC49E5">
        <w:rPr>
          <w:rFonts w:ascii="Arial" w:hAnsi="Arial" w:cs="Arial"/>
          <w:sz w:val="18"/>
          <w:szCs w:val="18"/>
        </w:rPr>
        <w:t>.</w:t>
      </w:r>
    </w:p>
  </w:footnote>
  <w:footnote w:id="122">
    <w:p w14:paraId="3B5B2521" w14:textId="19C19E3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Local Government Association</w:t>
      </w:r>
      <w:r w:rsidR="00EC49E5">
        <w:rPr>
          <w:rFonts w:ascii="Arial" w:hAnsi="Arial" w:cs="Arial"/>
          <w:sz w:val="18"/>
          <w:szCs w:val="18"/>
        </w:rPr>
        <w:t xml:space="preserve">, n 116 above </w:t>
      </w:r>
      <w:r w:rsidRPr="009109BF">
        <w:rPr>
          <w:rFonts w:ascii="Arial" w:hAnsi="Arial" w:cs="Arial"/>
          <w:sz w:val="18"/>
          <w:szCs w:val="18"/>
        </w:rPr>
        <w:t>(my emphasis).</w:t>
      </w:r>
    </w:p>
  </w:footnote>
  <w:footnote w:id="123">
    <w:p w14:paraId="36F4CB3E" w14:textId="18B1DC3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EC49E5">
        <w:rPr>
          <w:rFonts w:ascii="Arial" w:hAnsi="Arial" w:cs="Arial"/>
          <w:sz w:val="18"/>
          <w:szCs w:val="18"/>
        </w:rPr>
        <w:t xml:space="preserve">A </w:t>
      </w:r>
      <w:r w:rsidRPr="009109BF">
        <w:rPr>
          <w:rFonts w:ascii="Arial" w:hAnsi="Arial" w:cs="Arial"/>
          <w:sz w:val="18"/>
          <w:szCs w:val="18"/>
        </w:rPr>
        <w:t xml:space="preserve">Sinmatz, </w:t>
      </w:r>
      <w:r w:rsidR="00363B6D" w:rsidRPr="009109BF">
        <w:rPr>
          <w:rFonts w:ascii="Arial" w:hAnsi="Arial" w:cs="Arial"/>
          <w:sz w:val="18"/>
          <w:szCs w:val="18"/>
        </w:rPr>
        <w:t>‘</w:t>
      </w:r>
      <w:r w:rsidRPr="009109BF">
        <w:rPr>
          <w:rFonts w:ascii="Arial" w:hAnsi="Arial" w:cs="Arial"/>
          <w:sz w:val="18"/>
          <w:szCs w:val="18"/>
        </w:rPr>
        <w:t>Andrew Tate and his brother to face trial in Romania</w:t>
      </w:r>
      <w:r w:rsidR="00363B6D" w:rsidRPr="009109BF">
        <w:rPr>
          <w:rFonts w:ascii="Arial" w:hAnsi="Arial" w:cs="Arial"/>
          <w:sz w:val="18"/>
          <w:szCs w:val="18"/>
        </w:rPr>
        <w:t>’</w:t>
      </w:r>
      <w:r w:rsidRPr="009109BF">
        <w:rPr>
          <w:rFonts w:ascii="Arial" w:hAnsi="Arial" w:cs="Arial"/>
          <w:sz w:val="18"/>
          <w:szCs w:val="18"/>
        </w:rPr>
        <w:t xml:space="preserve"> 20</w:t>
      </w:r>
      <w:r w:rsidRPr="009109BF">
        <w:rPr>
          <w:rFonts w:ascii="Arial" w:hAnsi="Arial" w:cs="Arial"/>
          <w:sz w:val="18"/>
          <w:szCs w:val="18"/>
          <w:vertAlign w:val="superscript"/>
        </w:rPr>
        <w:t>th</w:t>
      </w:r>
      <w:r w:rsidRPr="009109BF">
        <w:rPr>
          <w:rFonts w:ascii="Arial" w:hAnsi="Arial" w:cs="Arial"/>
          <w:sz w:val="18"/>
          <w:szCs w:val="18"/>
        </w:rPr>
        <w:t xml:space="preserve"> June 2023, Guardian Online</w:t>
      </w:r>
      <w:r w:rsidR="00EC49E5">
        <w:rPr>
          <w:rFonts w:ascii="Arial" w:hAnsi="Arial" w:cs="Arial"/>
          <w:sz w:val="18"/>
          <w:szCs w:val="18"/>
        </w:rPr>
        <w:t xml:space="preserve">. Available at: </w:t>
      </w:r>
      <w:hyperlink r:id="rId17" w:history="1">
        <w:r w:rsidR="00EC49E5" w:rsidRPr="00A030CA">
          <w:rPr>
            <w:rStyle w:val="Hyperlink"/>
            <w:rFonts w:ascii="Arial" w:hAnsi="Arial" w:cs="Arial"/>
            <w:sz w:val="18"/>
            <w:szCs w:val="18"/>
          </w:rPr>
          <w:t>https://www.theguardian.com/news/2023/jun/20/andrew-tate-romanian-prosecutors-trial</w:t>
        </w:r>
      </w:hyperlink>
      <w:r w:rsidRPr="009109BF">
        <w:rPr>
          <w:rFonts w:ascii="Arial" w:hAnsi="Arial" w:cs="Arial"/>
          <w:sz w:val="18"/>
          <w:szCs w:val="18"/>
        </w:rPr>
        <w:t xml:space="preserve">) (last accessed </w:t>
      </w:r>
      <w:r w:rsidR="00AE28A5">
        <w:rPr>
          <w:rFonts w:ascii="Arial" w:hAnsi="Arial" w:cs="Arial"/>
          <w:sz w:val="18"/>
          <w:szCs w:val="18"/>
        </w:rPr>
        <w:t>14 June 2024</w:t>
      </w:r>
      <w:r w:rsidRPr="009109BF">
        <w:rPr>
          <w:rFonts w:ascii="Arial" w:hAnsi="Arial" w:cs="Arial"/>
          <w:sz w:val="18"/>
          <w:szCs w:val="18"/>
        </w:rPr>
        <w:t>)</w:t>
      </w:r>
    </w:p>
  </w:footnote>
  <w:footnote w:id="124">
    <w:p w14:paraId="1262B439" w14:textId="4127863C" w:rsidR="007304FC" w:rsidRPr="009109BF" w:rsidRDefault="007304FC" w:rsidP="007304FC">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EC49E5">
        <w:rPr>
          <w:rFonts w:ascii="Arial" w:hAnsi="Arial" w:cs="Arial"/>
          <w:sz w:val="18"/>
          <w:szCs w:val="18"/>
        </w:rPr>
        <w:t>i</w:t>
      </w:r>
      <w:r w:rsidR="00DC4E30" w:rsidRPr="00EC49E5">
        <w:rPr>
          <w:rFonts w:ascii="Arial" w:hAnsi="Arial" w:cs="Arial"/>
          <w:sz w:val="18"/>
          <w:szCs w:val="18"/>
        </w:rPr>
        <w:t>bid</w:t>
      </w:r>
      <w:r w:rsidR="00EC49E5">
        <w:rPr>
          <w:rFonts w:ascii="Arial" w:hAnsi="Arial" w:cs="Arial"/>
          <w:sz w:val="18"/>
          <w:szCs w:val="18"/>
        </w:rPr>
        <w:t>.</w:t>
      </w:r>
    </w:p>
  </w:footnote>
  <w:footnote w:id="125">
    <w:p w14:paraId="0D03E154" w14:textId="126959B8" w:rsidR="00311631" w:rsidRPr="00341B76"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Kiss </w:t>
      </w:r>
      <w:r w:rsidR="00341B76">
        <w:rPr>
          <w:rFonts w:ascii="Arial" w:hAnsi="Arial" w:cs="Arial"/>
          <w:sz w:val="18"/>
          <w:szCs w:val="18"/>
        </w:rPr>
        <w:t xml:space="preserve">et al, n 75 above. </w:t>
      </w:r>
    </w:p>
  </w:footnote>
  <w:footnote w:id="126">
    <w:p w14:paraId="27FF5458" w14:textId="7A372C44"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41B76">
        <w:rPr>
          <w:rFonts w:ascii="Arial" w:hAnsi="Arial" w:cs="Arial"/>
          <w:sz w:val="18"/>
          <w:szCs w:val="18"/>
        </w:rPr>
        <w:t xml:space="preserve">E </w:t>
      </w:r>
      <w:r w:rsidRPr="009109BF">
        <w:rPr>
          <w:rFonts w:ascii="Arial" w:hAnsi="Arial" w:cs="Arial"/>
          <w:sz w:val="18"/>
          <w:szCs w:val="18"/>
        </w:rPr>
        <w:t xml:space="preserve">Gracia, </w:t>
      </w:r>
      <w:r w:rsidR="00363B6D" w:rsidRPr="009109BF">
        <w:rPr>
          <w:rFonts w:ascii="Arial" w:hAnsi="Arial" w:cs="Arial"/>
          <w:sz w:val="18"/>
          <w:szCs w:val="18"/>
        </w:rPr>
        <w:t>‘</w:t>
      </w:r>
      <w:r w:rsidRPr="009109BF">
        <w:rPr>
          <w:rFonts w:ascii="Arial" w:hAnsi="Arial" w:cs="Arial"/>
          <w:sz w:val="18"/>
          <w:szCs w:val="18"/>
        </w:rPr>
        <w:t>Intimate partner violence against women and victim-blaming attitudes among Europeans</w:t>
      </w:r>
      <w:r w:rsidR="00363B6D" w:rsidRPr="009109BF">
        <w:rPr>
          <w:rFonts w:ascii="Arial" w:hAnsi="Arial" w:cs="Arial"/>
          <w:sz w:val="18"/>
          <w:szCs w:val="18"/>
        </w:rPr>
        <w:t>’</w:t>
      </w:r>
      <w:r w:rsidRPr="009109BF">
        <w:rPr>
          <w:rFonts w:ascii="Arial" w:hAnsi="Arial" w:cs="Arial"/>
          <w:sz w:val="18"/>
          <w:szCs w:val="18"/>
        </w:rPr>
        <w:t xml:space="preserve"> </w:t>
      </w:r>
      <w:r w:rsidR="00341B76">
        <w:rPr>
          <w:rFonts w:ascii="Arial" w:hAnsi="Arial" w:cs="Arial"/>
          <w:sz w:val="18"/>
          <w:szCs w:val="18"/>
        </w:rPr>
        <w:t xml:space="preserve">(2014) </w:t>
      </w:r>
      <w:r w:rsidRPr="009109BF">
        <w:rPr>
          <w:rFonts w:ascii="Arial" w:hAnsi="Arial" w:cs="Arial"/>
          <w:sz w:val="18"/>
          <w:szCs w:val="18"/>
        </w:rPr>
        <w:t>92 Bulletin of the World Health Organisation 380, 381</w:t>
      </w:r>
      <w:r w:rsidR="00341B76">
        <w:rPr>
          <w:rFonts w:ascii="Arial" w:hAnsi="Arial" w:cs="Arial"/>
          <w:sz w:val="18"/>
          <w:szCs w:val="18"/>
        </w:rPr>
        <w:t>.</w:t>
      </w:r>
    </w:p>
  </w:footnote>
  <w:footnote w:id="127">
    <w:p w14:paraId="09538006" w14:textId="42D2B99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41B76">
        <w:rPr>
          <w:rFonts w:ascii="Arial" w:hAnsi="Arial" w:cs="Arial"/>
          <w:i/>
          <w:iCs/>
          <w:sz w:val="18"/>
          <w:szCs w:val="18"/>
        </w:rPr>
        <w:t>i</w:t>
      </w:r>
      <w:r w:rsidR="00DC4E30" w:rsidRPr="009109BF">
        <w:rPr>
          <w:rFonts w:ascii="Arial" w:hAnsi="Arial" w:cs="Arial"/>
          <w:i/>
          <w:iCs/>
          <w:sz w:val="18"/>
          <w:szCs w:val="18"/>
        </w:rPr>
        <w:t>bid</w:t>
      </w:r>
      <w:r w:rsidR="00341B76">
        <w:rPr>
          <w:rFonts w:ascii="Arial" w:hAnsi="Arial" w:cs="Arial"/>
          <w:i/>
          <w:iCs/>
          <w:sz w:val="18"/>
          <w:szCs w:val="18"/>
        </w:rPr>
        <w:t>,</w:t>
      </w:r>
      <w:r w:rsidRPr="009109BF">
        <w:rPr>
          <w:rFonts w:ascii="Arial" w:hAnsi="Arial" w:cs="Arial"/>
          <w:i/>
          <w:iCs/>
          <w:sz w:val="18"/>
          <w:szCs w:val="18"/>
        </w:rPr>
        <w:t xml:space="preserve"> </w:t>
      </w:r>
      <w:r w:rsidRPr="009109BF">
        <w:rPr>
          <w:rFonts w:ascii="Arial" w:hAnsi="Arial" w:cs="Arial"/>
          <w:sz w:val="18"/>
          <w:szCs w:val="18"/>
        </w:rPr>
        <w:t>380</w:t>
      </w:r>
      <w:r w:rsidR="00341B76">
        <w:rPr>
          <w:rFonts w:ascii="Arial" w:hAnsi="Arial" w:cs="Arial"/>
          <w:sz w:val="18"/>
          <w:szCs w:val="18"/>
        </w:rPr>
        <w:t>.</w:t>
      </w:r>
    </w:p>
  </w:footnote>
  <w:footnote w:id="128">
    <w:p w14:paraId="636327AA" w14:textId="6F3E41FF"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41B76" w:rsidRPr="009109BF">
        <w:rPr>
          <w:rFonts w:ascii="Arial" w:hAnsi="Arial" w:cs="Arial"/>
          <w:sz w:val="18"/>
          <w:szCs w:val="18"/>
        </w:rPr>
        <w:t xml:space="preserve">Kiss </w:t>
      </w:r>
      <w:r w:rsidR="00341B76">
        <w:rPr>
          <w:rFonts w:ascii="Arial" w:hAnsi="Arial" w:cs="Arial"/>
          <w:sz w:val="18"/>
          <w:szCs w:val="18"/>
        </w:rPr>
        <w:t>et al, n 75 above.</w:t>
      </w:r>
    </w:p>
  </w:footnote>
  <w:footnote w:id="129">
    <w:p w14:paraId="6DF59B84" w14:textId="2B8A1C3C"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41B76">
        <w:rPr>
          <w:rFonts w:ascii="Arial" w:hAnsi="Arial" w:cs="Arial"/>
          <w:sz w:val="18"/>
          <w:szCs w:val="18"/>
        </w:rPr>
        <w:t xml:space="preserve">E </w:t>
      </w:r>
      <w:r w:rsidRPr="009109BF">
        <w:rPr>
          <w:rFonts w:ascii="Arial" w:hAnsi="Arial" w:cs="Arial"/>
          <w:sz w:val="18"/>
          <w:szCs w:val="18"/>
        </w:rPr>
        <w:t xml:space="preserve">Stark, </w:t>
      </w:r>
      <w:r w:rsidRPr="009109BF">
        <w:rPr>
          <w:rFonts w:ascii="Arial" w:hAnsi="Arial" w:cs="Arial"/>
          <w:i/>
          <w:iCs/>
          <w:sz w:val="18"/>
          <w:szCs w:val="18"/>
        </w:rPr>
        <w:t xml:space="preserve">Coercive Control: The Entrapment of Women in Personal Life </w:t>
      </w:r>
      <w:r w:rsidR="00341B76">
        <w:rPr>
          <w:rFonts w:ascii="Arial" w:hAnsi="Arial" w:cs="Arial"/>
          <w:sz w:val="18"/>
          <w:szCs w:val="18"/>
        </w:rPr>
        <w:t>(</w:t>
      </w:r>
      <w:r w:rsidRPr="009109BF">
        <w:rPr>
          <w:rFonts w:ascii="Arial" w:hAnsi="Arial" w:cs="Arial"/>
          <w:sz w:val="18"/>
          <w:szCs w:val="18"/>
        </w:rPr>
        <w:t xml:space="preserve">OUP, </w:t>
      </w:r>
      <w:r w:rsidR="00341B76">
        <w:rPr>
          <w:rFonts w:ascii="Arial" w:hAnsi="Arial" w:cs="Arial"/>
          <w:sz w:val="18"/>
          <w:szCs w:val="18"/>
        </w:rPr>
        <w:t xml:space="preserve">2007), </w:t>
      </w:r>
      <w:r w:rsidRPr="009109BF">
        <w:rPr>
          <w:rFonts w:ascii="Arial" w:hAnsi="Arial" w:cs="Arial"/>
          <w:sz w:val="18"/>
          <w:szCs w:val="18"/>
        </w:rPr>
        <w:t>707.</w:t>
      </w:r>
    </w:p>
  </w:footnote>
  <w:footnote w:id="130">
    <w:p w14:paraId="025C1357" w14:textId="790FC90E"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341B76">
        <w:rPr>
          <w:rFonts w:ascii="Arial" w:hAnsi="Arial" w:cs="Arial"/>
          <w:sz w:val="18"/>
          <w:szCs w:val="18"/>
        </w:rPr>
        <w:t>i</w:t>
      </w:r>
      <w:r w:rsidR="00DC4E30" w:rsidRPr="00341B76">
        <w:rPr>
          <w:rFonts w:ascii="Arial" w:hAnsi="Arial" w:cs="Arial"/>
          <w:sz w:val="18"/>
          <w:szCs w:val="18"/>
        </w:rPr>
        <w:t>bid</w:t>
      </w:r>
      <w:r w:rsidR="00341B76">
        <w:rPr>
          <w:rFonts w:ascii="Arial" w:hAnsi="Arial" w:cs="Arial"/>
          <w:sz w:val="18"/>
          <w:szCs w:val="18"/>
        </w:rPr>
        <w:t>,</w:t>
      </w:r>
      <w:r w:rsidRPr="009109BF">
        <w:rPr>
          <w:rFonts w:ascii="Arial" w:hAnsi="Arial" w:cs="Arial"/>
          <w:i/>
          <w:iCs/>
          <w:sz w:val="18"/>
          <w:szCs w:val="18"/>
        </w:rPr>
        <w:t xml:space="preserve"> </w:t>
      </w:r>
      <w:r w:rsidRPr="009109BF">
        <w:rPr>
          <w:rFonts w:ascii="Arial" w:hAnsi="Arial" w:cs="Arial"/>
          <w:sz w:val="18"/>
          <w:szCs w:val="18"/>
        </w:rPr>
        <w:t>709</w:t>
      </w:r>
      <w:r w:rsidR="00341B76">
        <w:rPr>
          <w:rFonts w:ascii="Arial" w:hAnsi="Arial" w:cs="Arial"/>
          <w:sz w:val="18"/>
          <w:szCs w:val="18"/>
        </w:rPr>
        <w:t>.</w:t>
      </w:r>
    </w:p>
  </w:footnote>
  <w:footnote w:id="131">
    <w:p w14:paraId="215E91CD" w14:textId="6E5749EA"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Sharma </w:t>
      </w:r>
      <w:r w:rsidR="00DE1F92">
        <w:rPr>
          <w:rFonts w:ascii="Arial" w:hAnsi="Arial" w:cs="Arial"/>
          <w:sz w:val="18"/>
          <w:szCs w:val="18"/>
        </w:rPr>
        <w:t>and</w:t>
      </w:r>
      <w:r w:rsidRPr="009109BF">
        <w:rPr>
          <w:rFonts w:ascii="Arial" w:hAnsi="Arial" w:cs="Arial"/>
          <w:sz w:val="18"/>
          <w:szCs w:val="18"/>
        </w:rPr>
        <w:t xml:space="preserve"> Borah</w:t>
      </w:r>
      <w:r w:rsidR="00DE1F92">
        <w:rPr>
          <w:rFonts w:ascii="Arial" w:hAnsi="Arial" w:cs="Arial"/>
          <w:sz w:val="18"/>
          <w:szCs w:val="18"/>
        </w:rPr>
        <w:t>, n 61 above.</w:t>
      </w:r>
    </w:p>
  </w:footnote>
  <w:footnote w:id="132">
    <w:p w14:paraId="440C2ADC" w14:textId="2425CD10"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E1F92">
        <w:rPr>
          <w:rFonts w:ascii="Arial" w:hAnsi="Arial" w:cs="Arial"/>
          <w:sz w:val="18"/>
          <w:szCs w:val="18"/>
        </w:rPr>
        <w:t>D</w:t>
      </w:r>
      <w:r w:rsidRPr="009109BF">
        <w:rPr>
          <w:rFonts w:ascii="Arial" w:hAnsi="Arial" w:cs="Arial"/>
          <w:sz w:val="18"/>
          <w:szCs w:val="18"/>
        </w:rPr>
        <w:t xml:space="preserve"> Weitzman (Hackney North and Stoke Newington) HC Deb 16</w:t>
      </w:r>
      <w:r w:rsidRPr="009109BF">
        <w:rPr>
          <w:rFonts w:ascii="Arial" w:hAnsi="Arial" w:cs="Arial"/>
          <w:sz w:val="18"/>
          <w:szCs w:val="18"/>
          <w:vertAlign w:val="superscript"/>
        </w:rPr>
        <w:t>th</w:t>
      </w:r>
      <w:r w:rsidRPr="009109BF">
        <w:rPr>
          <w:rFonts w:ascii="Arial" w:hAnsi="Arial" w:cs="Arial"/>
          <w:sz w:val="18"/>
          <w:szCs w:val="18"/>
        </w:rPr>
        <w:t xml:space="preserve"> June 1978 Vol 951 Col 1349</w:t>
      </w:r>
      <w:r w:rsidR="00DE1F92">
        <w:rPr>
          <w:rFonts w:ascii="Arial" w:hAnsi="Arial" w:cs="Arial"/>
          <w:sz w:val="18"/>
          <w:szCs w:val="18"/>
        </w:rPr>
        <w:t>.</w:t>
      </w:r>
    </w:p>
  </w:footnote>
  <w:footnote w:id="133">
    <w:p w14:paraId="053BDED6" w14:textId="24F1B13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Anon</w:t>
      </w:r>
      <w:r w:rsidR="00DE1F92">
        <w:rPr>
          <w:rFonts w:ascii="Arial" w:hAnsi="Arial" w:cs="Arial"/>
          <w:sz w:val="18"/>
          <w:szCs w:val="18"/>
        </w:rPr>
        <w:t>.,</w:t>
      </w:r>
      <w:r w:rsidRPr="009109BF">
        <w:rPr>
          <w:rFonts w:ascii="Arial" w:hAnsi="Arial" w:cs="Arial"/>
          <w:i/>
          <w:iCs/>
          <w:sz w:val="18"/>
          <w:szCs w:val="18"/>
        </w:rPr>
        <w:t xml:space="preserve"> </w:t>
      </w:r>
      <w:r w:rsidR="00363B6D" w:rsidRPr="009109BF">
        <w:rPr>
          <w:rFonts w:ascii="Arial" w:hAnsi="Arial" w:cs="Arial"/>
          <w:sz w:val="18"/>
          <w:szCs w:val="18"/>
        </w:rPr>
        <w:t>‘</w:t>
      </w:r>
      <w:r w:rsidRPr="009109BF">
        <w:rPr>
          <w:rFonts w:ascii="Arial" w:hAnsi="Arial" w:cs="Arial"/>
          <w:sz w:val="18"/>
          <w:szCs w:val="18"/>
        </w:rPr>
        <w:t xml:space="preserve">The Annual Meeting of the Society, 1972) </w:t>
      </w:r>
      <w:r w:rsidR="00DE1F92" w:rsidRPr="009109BF">
        <w:rPr>
          <w:rFonts w:ascii="Arial" w:hAnsi="Arial" w:cs="Arial"/>
          <w:sz w:val="18"/>
          <w:szCs w:val="18"/>
        </w:rPr>
        <w:t xml:space="preserve">(1973) </w:t>
      </w:r>
      <w:r w:rsidRPr="009109BF">
        <w:rPr>
          <w:rFonts w:ascii="Arial" w:hAnsi="Arial" w:cs="Arial"/>
          <w:sz w:val="18"/>
          <w:szCs w:val="18"/>
        </w:rPr>
        <w:t>12(3) Journal of the Society of Public Teachers of</w:t>
      </w:r>
      <w:r w:rsidR="00341B76">
        <w:rPr>
          <w:rFonts w:ascii="Arial" w:hAnsi="Arial" w:cs="Arial"/>
          <w:sz w:val="18"/>
          <w:szCs w:val="18"/>
        </w:rPr>
        <w:t xml:space="preserve"> </w:t>
      </w:r>
      <w:r w:rsidRPr="009109BF">
        <w:rPr>
          <w:rFonts w:ascii="Arial" w:hAnsi="Arial" w:cs="Arial"/>
          <w:sz w:val="18"/>
          <w:szCs w:val="18"/>
        </w:rPr>
        <w:t>Law 215 (my emphasis)</w:t>
      </w:r>
      <w:r w:rsidR="00DE1F92">
        <w:rPr>
          <w:rFonts w:ascii="Arial" w:hAnsi="Arial" w:cs="Arial"/>
          <w:sz w:val="18"/>
          <w:szCs w:val="18"/>
        </w:rPr>
        <w:t>.</w:t>
      </w:r>
    </w:p>
  </w:footnote>
  <w:footnote w:id="134">
    <w:p w14:paraId="64E06D3D" w14:textId="48083C4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DE1F92">
        <w:rPr>
          <w:rFonts w:ascii="Arial" w:hAnsi="Arial" w:cs="Arial"/>
          <w:sz w:val="18"/>
          <w:szCs w:val="18"/>
        </w:rPr>
        <w:t xml:space="preserve">F </w:t>
      </w:r>
      <w:r w:rsidRPr="009109BF">
        <w:rPr>
          <w:rFonts w:ascii="Arial" w:hAnsi="Arial" w:cs="Arial"/>
          <w:sz w:val="18"/>
          <w:szCs w:val="18"/>
        </w:rPr>
        <w:t xml:space="preserve">Luthans, </w:t>
      </w:r>
      <w:r w:rsidR="00DE1F92">
        <w:rPr>
          <w:rFonts w:ascii="Arial" w:hAnsi="Arial" w:cs="Arial"/>
          <w:sz w:val="18"/>
          <w:szCs w:val="18"/>
        </w:rPr>
        <w:t xml:space="preserve">J </w:t>
      </w:r>
      <w:r w:rsidRPr="009109BF">
        <w:rPr>
          <w:rFonts w:ascii="Arial" w:hAnsi="Arial" w:cs="Arial"/>
          <w:sz w:val="18"/>
          <w:szCs w:val="18"/>
        </w:rPr>
        <w:t xml:space="preserve"> Avey, </w:t>
      </w:r>
      <w:r w:rsidR="00DE1F92">
        <w:rPr>
          <w:rFonts w:ascii="Arial" w:hAnsi="Arial" w:cs="Arial"/>
          <w:sz w:val="18"/>
          <w:szCs w:val="18"/>
        </w:rPr>
        <w:t xml:space="preserve">B </w:t>
      </w:r>
      <w:r w:rsidRPr="009109BF">
        <w:rPr>
          <w:rFonts w:ascii="Arial" w:hAnsi="Arial" w:cs="Arial"/>
          <w:sz w:val="18"/>
          <w:szCs w:val="18"/>
        </w:rPr>
        <w:t xml:space="preserve">Avolio, </w:t>
      </w:r>
      <w:r w:rsidR="00DE1F92">
        <w:rPr>
          <w:rFonts w:ascii="Arial" w:hAnsi="Arial" w:cs="Arial"/>
          <w:sz w:val="18"/>
          <w:szCs w:val="18"/>
        </w:rPr>
        <w:t>S M</w:t>
      </w:r>
      <w:r w:rsidRPr="009109BF">
        <w:rPr>
          <w:rFonts w:ascii="Arial" w:hAnsi="Arial" w:cs="Arial"/>
          <w:sz w:val="18"/>
          <w:szCs w:val="18"/>
        </w:rPr>
        <w:t xml:space="preserve"> Norman</w:t>
      </w:r>
      <w:r w:rsidR="00DE1F92">
        <w:rPr>
          <w:rFonts w:ascii="Arial" w:hAnsi="Arial" w:cs="Arial"/>
          <w:sz w:val="18"/>
          <w:szCs w:val="18"/>
        </w:rPr>
        <w:t xml:space="preserve"> and G</w:t>
      </w:r>
      <w:r w:rsidRPr="009109BF">
        <w:rPr>
          <w:rFonts w:ascii="Arial" w:hAnsi="Arial" w:cs="Arial"/>
          <w:sz w:val="18"/>
          <w:szCs w:val="18"/>
        </w:rPr>
        <w:t xml:space="preserve"> Combs, </w:t>
      </w:r>
      <w:r w:rsidR="00363B6D" w:rsidRPr="009109BF">
        <w:rPr>
          <w:rFonts w:ascii="Arial" w:hAnsi="Arial" w:cs="Arial"/>
          <w:sz w:val="18"/>
          <w:szCs w:val="18"/>
        </w:rPr>
        <w:t>‘</w:t>
      </w:r>
      <w:r w:rsidRPr="009109BF">
        <w:rPr>
          <w:rFonts w:ascii="Arial" w:hAnsi="Arial" w:cs="Arial"/>
          <w:sz w:val="18"/>
          <w:szCs w:val="18"/>
        </w:rPr>
        <w:t xml:space="preserve">Psychological </w:t>
      </w:r>
      <w:r w:rsidR="00DE1F92">
        <w:rPr>
          <w:rFonts w:ascii="Arial" w:hAnsi="Arial" w:cs="Arial"/>
          <w:sz w:val="18"/>
          <w:szCs w:val="18"/>
        </w:rPr>
        <w:t>C</w:t>
      </w:r>
      <w:r w:rsidRPr="009109BF">
        <w:rPr>
          <w:rFonts w:ascii="Arial" w:hAnsi="Arial" w:cs="Arial"/>
          <w:sz w:val="18"/>
          <w:szCs w:val="18"/>
        </w:rPr>
        <w:t xml:space="preserve">apital </w:t>
      </w:r>
      <w:r w:rsidR="00DE1F92">
        <w:rPr>
          <w:rFonts w:ascii="Arial" w:hAnsi="Arial" w:cs="Arial"/>
          <w:sz w:val="18"/>
          <w:szCs w:val="18"/>
        </w:rPr>
        <w:t>D</w:t>
      </w:r>
      <w:r w:rsidRPr="009109BF">
        <w:rPr>
          <w:rFonts w:ascii="Arial" w:hAnsi="Arial" w:cs="Arial"/>
          <w:sz w:val="18"/>
          <w:szCs w:val="18"/>
        </w:rPr>
        <w:t xml:space="preserve">evelopment: Towards a </w:t>
      </w:r>
      <w:r w:rsidR="00DE1F92">
        <w:rPr>
          <w:rFonts w:ascii="Arial" w:hAnsi="Arial" w:cs="Arial"/>
          <w:sz w:val="18"/>
          <w:szCs w:val="18"/>
        </w:rPr>
        <w:t>M</w:t>
      </w:r>
      <w:r w:rsidRPr="009109BF">
        <w:rPr>
          <w:rFonts w:ascii="Arial" w:hAnsi="Arial" w:cs="Arial"/>
          <w:sz w:val="18"/>
          <w:szCs w:val="18"/>
        </w:rPr>
        <w:t>icro-</w:t>
      </w:r>
      <w:r w:rsidR="00DE1F92">
        <w:rPr>
          <w:rFonts w:ascii="Arial" w:hAnsi="Arial" w:cs="Arial"/>
          <w:sz w:val="18"/>
          <w:szCs w:val="18"/>
        </w:rPr>
        <w:t>I</w:t>
      </w:r>
      <w:r w:rsidRPr="009109BF">
        <w:rPr>
          <w:rFonts w:ascii="Arial" w:hAnsi="Arial" w:cs="Arial"/>
          <w:sz w:val="18"/>
          <w:szCs w:val="18"/>
        </w:rPr>
        <w:t>ntervention</w:t>
      </w:r>
      <w:r w:rsidR="00363B6D" w:rsidRPr="009109BF">
        <w:rPr>
          <w:rFonts w:ascii="Arial" w:hAnsi="Arial" w:cs="Arial"/>
          <w:sz w:val="18"/>
          <w:szCs w:val="18"/>
        </w:rPr>
        <w:t>’</w:t>
      </w:r>
      <w:r w:rsidRPr="009109BF">
        <w:rPr>
          <w:rFonts w:ascii="Arial" w:hAnsi="Arial" w:cs="Arial"/>
          <w:sz w:val="18"/>
          <w:szCs w:val="18"/>
        </w:rPr>
        <w:t xml:space="preserve"> </w:t>
      </w:r>
      <w:r w:rsidR="00DE1F92" w:rsidRPr="009109BF">
        <w:rPr>
          <w:rFonts w:ascii="Arial" w:hAnsi="Arial" w:cs="Arial"/>
          <w:sz w:val="18"/>
          <w:szCs w:val="18"/>
        </w:rPr>
        <w:t xml:space="preserve">(2007) </w:t>
      </w:r>
      <w:r w:rsidRPr="009109BF">
        <w:rPr>
          <w:rFonts w:ascii="Arial" w:hAnsi="Arial" w:cs="Arial"/>
          <w:sz w:val="18"/>
          <w:szCs w:val="18"/>
        </w:rPr>
        <w:t xml:space="preserve">27(3) Journal of Organisational Behaviour 387, cited Sharma </w:t>
      </w:r>
      <w:r w:rsidR="00DE1F92">
        <w:rPr>
          <w:rFonts w:ascii="Arial" w:hAnsi="Arial" w:cs="Arial"/>
          <w:sz w:val="18"/>
          <w:szCs w:val="18"/>
        </w:rPr>
        <w:t>and</w:t>
      </w:r>
      <w:r w:rsidRPr="009109BF">
        <w:rPr>
          <w:rFonts w:ascii="Arial" w:hAnsi="Arial" w:cs="Arial"/>
          <w:sz w:val="18"/>
          <w:szCs w:val="18"/>
        </w:rPr>
        <w:t xml:space="preserve"> Borah</w:t>
      </w:r>
      <w:r w:rsidR="00DE1F92">
        <w:rPr>
          <w:rFonts w:ascii="Arial" w:hAnsi="Arial" w:cs="Arial"/>
          <w:sz w:val="18"/>
          <w:szCs w:val="18"/>
        </w:rPr>
        <w:t xml:space="preserve">, n 61 above, </w:t>
      </w:r>
      <w:r w:rsidRPr="009109BF">
        <w:rPr>
          <w:rFonts w:ascii="Arial" w:hAnsi="Arial" w:cs="Arial"/>
          <w:sz w:val="18"/>
          <w:szCs w:val="18"/>
        </w:rPr>
        <w:t>764</w:t>
      </w:r>
      <w:r w:rsidR="00DE1F92">
        <w:rPr>
          <w:rFonts w:ascii="Arial" w:hAnsi="Arial" w:cs="Arial"/>
          <w:sz w:val="18"/>
          <w:szCs w:val="18"/>
        </w:rPr>
        <w:t>.</w:t>
      </w:r>
    </w:p>
  </w:footnote>
  <w:footnote w:id="135">
    <w:p w14:paraId="10CBB187" w14:textId="220AADBE" w:rsidR="00311631" w:rsidRPr="009109BF" w:rsidRDefault="00311631" w:rsidP="00A6138D">
      <w:pPr>
        <w:pStyle w:val="FootnoteText"/>
        <w:rPr>
          <w:rFonts w:ascii="Arial" w:hAnsi="Arial" w:cs="Arial"/>
          <w:i/>
          <w:iCs/>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Sharma </w:t>
      </w:r>
      <w:r w:rsidR="00DE1F92">
        <w:rPr>
          <w:rFonts w:ascii="Arial" w:hAnsi="Arial" w:cs="Arial"/>
          <w:sz w:val="18"/>
          <w:szCs w:val="18"/>
        </w:rPr>
        <w:t>and</w:t>
      </w:r>
      <w:r w:rsidRPr="009109BF">
        <w:rPr>
          <w:rFonts w:ascii="Arial" w:hAnsi="Arial" w:cs="Arial"/>
          <w:sz w:val="18"/>
          <w:szCs w:val="18"/>
        </w:rPr>
        <w:t xml:space="preserve"> Borah</w:t>
      </w:r>
      <w:r w:rsidR="00DE1F92">
        <w:rPr>
          <w:rFonts w:ascii="Arial" w:hAnsi="Arial" w:cs="Arial"/>
          <w:sz w:val="18"/>
          <w:szCs w:val="18"/>
        </w:rPr>
        <w:t>, n 61 above.</w:t>
      </w:r>
    </w:p>
  </w:footnote>
  <w:footnote w:id="136">
    <w:p w14:paraId="71663EE3" w14:textId="4327EED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Luthans</w:t>
      </w:r>
      <w:r w:rsidR="00DE1F92">
        <w:rPr>
          <w:rFonts w:ascii="Arial" w:hAnsi="Arial" w:cs="Arial"/>
          <w:sz w:val="18"/>
          <w:szCs w:val="18"/>
        </w:rPr>
        <w:t xml:space="preserve"> et al, n 134 above, </w:t>
      </w:r>
      <w:r w:rsidRPr="009109BF">
        <w:rPr>
          <w:rFonts w:ascii="Arial" w:hAnsi="Arial" w:cs="Arial"/>
          <w:sz w:val="18"/>
          <w:szCs w:val="18"/>
        </w:rPr>
        <w:t>92</w:t>
      </w:r>
      <w:r w:rsidR="00F2299A">
        <w:rPr>
          <w:rFonts w:ascii="Arial" w:hAnsi="Arial" w:cs="Arial"/>
          <w:sz w:val="18"/>
          <w:szCs w:val="18"/>
        </w:rPr>
        <w:t>.</w:t>
      </w:r>
    </w:p>
  </w:footnote>
  <w:footnote w:id="137">
    <w:p w14:paraId="7A87892A" w14:textId="1C320FE5"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Sharma </w:t>
      </w:r>
      <w:r w:rsidR="00F2299A">
        <w:rPr>
          <w:rFonts w:ascii="Arial" w:hAnsi="Arial" w:cs="Arial"/>
          <w:sz w:val="18"/>
          <w:szCs w:val="18"/>
        </w:rPr>
        <w:t>and</w:t>
      </w:r>
      <w:r w:rsidRPr="009109BF">
        <w:rPr>
          <w:rFonts w:ascii="Arial" w:hAnsi="Arial" w:cs="Arial"/>
          <w:sz w:val="18"/>
          <w:szCs w:val="18"/>
        </w:rPr>
        <w:t xml:space="preserve"> Borah</w:t>
      </w:r>
      <w:r w:rsidR="00F2299A">
        <w:rPr>
          <w:rFonts w:ascii="Arial" w:hAnsi="Arial" w:cs="Arial"/>
          <w:sz w:val="18"/>
          <w:szCs w:val="18"/>
        </w:rPr>
        <w:t>, n 61 above, 134.</w:t>
      </w:r>
    </w:p>
  </w:footnote>
  <w:footnote w:id="138">
    <w:p w14:paraId="3CA61674" w14:textId="2DAC947D"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w:t>
      </w:r>
      <w:r w:rsidR="00F2299A">
        <w:rPr>
          <w:rFonts w:ascii="Arial" w:hAnsi="Arial" w:cs="Arial"/>
          <w:sz w:val="18"/>
          <w:szCs w:val="18"/>
        </w:rPr>
        <w:t xml:space="preserve">Cowie, </w:t>
      </w:r>
      <w:r w:rsidRPr="009109BF">
        <w:rPr>
          <w:rFonts w:ascii="Arial" w:hAnsi="Arial" w:cs="Arial"/>
          <w:i/>
          <w:iCs/>
          <w:sz w:val="18"/>
          <w:szCs w:val="18"/>
        </w:rPr>
        <w:t>After Dark</w:t>
      </w:r>
      <w:r w:rsidR="00F2299A">
        <w:rPr>
          <w:rFonts w:ascii="Arial" w:hAnsi="Arial" w:cs="Arial"/>
          <w:i/>
          <w:iCs/>
          <w:sz w:val="18"/>
          <w:szCs w:val="18"/>
        </w:rPr>
        <w:t xml:space="preserve">, </w:t>
      </w:r>
      <w:r w:rsidR="00F2299A">
        <w:rPr>
          <w:rFonts w:ascii="Arial" w:hAnsi="Arial" w:cs="Arial"/>
          <w:sz w:val="18"/>
          <w:szCs w:val="18"/>
        </w:rPr>
        <w:t>n 2 above,</w:t>
      </w:r>
      <w:r w:rsidRPr="009109BF">
        <w:rPr>
          <w:rFonts w:ascii="Arial" w:hAnsi="Arial" w:cs="Arial"/>
          <w:i/>
          <w:iCs/>
          <w:sz w:val="18"/>
          <w:szCs w:val="18"/>
        </w:rPr>
        <w:t xml:space="preserve"> </w:t>
      </w:r>
      <w:r w:rsidRPr="009109BF">
        <w:rPr>
          <w:rFonts w:ascii="Arial" w:hAnsi="Arial" w:cs="Arial"/>
          <w:sz w:val="18"/>
          <w:szCs w:val="18"/>
        </w:rPr>
        <w:t>49-50</w:t>
      </w:r>
      <w:r w:rsidR="00F2299A">
        <w:rPr>
          <w:rFonts w:ascii="Arial" w:hAnsi="Arial" w:cs="Arial"/>
          <w:sz w:val="18"/>
          <w:szCs w:val="18"/>
        </w:rPr>
        <w:t>.</w:t>
      </w:r>
    </w:p>
  </w:footnote>
  <w:footnote w:id="139">
    <w:p w14:paraId="4AB84644" w14:textId="36CEA242" w:rsidR="00311631" w:rsidRPr="009109BF" w:rsidRDefault="00311631" w:rsidP="00A6138D">
      <w:pPr>
        <w:pStyle w:val="FootnoteText"/>
        <w:rPr>
          <w:rFonts w:ascii="Arial" w:hAnsi="Arial" w:cs="Arial"/>
          <w:sz w:val="18"/>
          <w:szCs w:val="18"/>
        </w:rPr>
      </w:pPr>
      <w:r w:rsidRPr="009109BF">
        <w:rPr>
          <w:rStyle w:val="FootnoteReference"/>
          <w:rFonts w:ascii="Arial" w:hAnsi="Arial" w:cs="Arial"/>
          <w:sz w:val="18"/>
          <w:szCs w:val="18"/>
        </w:rPr>
        <w:footnoteRef/>
      </w:r>
      <w:r w:rsidRPr="009109BF">
        <w:rPr>
          <w:rFonts w:ascii="Arial" w:hAnsi="Arial" w:cs="Arial"/>
          <w:sz w:val="18"/>
          <w:szCs w:val="18"/>
        </w:rPr>
        <w:t xml:space="preserve"> Sharma </w:t>
      </w:r>
      <w:r w:rsidR="00F2299A">
        <w:rPr>
          <w:rFonts w:ascii="Arial" w:hAnsi="Arial" w:cs="Arial"/>
          <w:sz w:val="18"/>
          <w:szCs w:val="18"/>
        </w:rPr>
        <w:t>and</w:t>
      </w:r>
      <w:r w:rsidRPr="009109BF">
        <w:rPr>
          <w:rFonts w:ascii="Arial" w:hAnsi="Arial" w:cs="Arial"/>
          <w:sz w:val="18"/>
          <w:szCs w:val="18"/>
        </w:rPr>
        <w:t xml:space="preserve"> Borah</w:t>
      </w:r>
      <w:r w:rsidR="00F2299A">
        <w:rPr>
          <w:rFonts w:ascii="Arial" w:hAnsi="Arial" w:cs="Arial"/>
          <w:sz w:val="18"/>
          <w:szCs w:val="18"/>
        </w:rPr>
        <w:t xml:space="preserve">, n 61 above, </w:t>
      </w:r>
      <w:r w:rsidRPr="009109BF">
        <w:rPr>
          <w:rFonts w:ascii="Arial" w:hAnsi="Arial" w:cs="Arial"/>
          <w:sz w:val="18"/>
          <w:szCs w:val="18"/>
        </w:rPr>
        <w:t>134</w:t>
      </w:r>
      <w:r w:rsidR="00F2299A">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FD" w14:textId="7EB512A5" w:rsidR="00D64846" w:rsidRPr="00C84785" w:rsidRDefault="00D64846">
    <w:pPr>
      <w:pStyle w:val="Header"/>
      <w:rPr>
        <w:rFonts w:ascii="Arial" w:hAnsi="Arial" w:cs="Arial"/>
        <w:i/>
        <w:iCs/>
      </w:rPr>
    </w:pPr>
    <w:r>
      <w:rPr>
        <w:rFonts w:ascii="Arial" w:hAnsi="Arial" w:cs="Arial"/>
        <w:i/>
        <w:iCs/>
      </w:rPr>
      <w:t>Peer-</w:t>
    </w:r>
    <w:r w:rsidRPr="00C84785">
      <w:rPr>
        <w:rFonts w:ascii="Arial" w:hAnsi="Arial" w:cs="Arial"/>
        <w:i/>
        <w:iCs/>
      </w:rPr>
      <w:t>Review</w:t>
    </w:r>
    <w:r>
      <w:rPr>
        <w:rFonts w:ascii="Arial" w:hAnsi="Arial" w:cs="Arial"/>
        <w:i/>
        <w:iCs/>
      </w:rPr>
      <w:t>ed</w:t>
    </w:r>
    <w:r w:rsidRPr="00C84785">
      <w:rPr>
        <w:rFonts w:ascii="Arial" w:hAnsi="Arial" w:cs="Arial"/>
        <w:i/>
        <w:iCs/>
      </w:rPr>
      <w:t xml:space="preserve"> Article</w:t>
    </w:r>
    <w:r w:rsidRPr="00C84785">
      <w:rPr>
        <w:rFonts w:ascii="Arial" w:hAnsi="Arial" w:cs="Arial"/>
        <w:i/>
        <w:iCs/>
      </w:rPr>
      <w:ptab w:relativeTo="margin" w:alignment="center" w:leader="none"/>
    </w:r>
    <w:r w:rsidRPr="00C84785">
      <w:rPr>
        <w:rFonts w:ascii="Arial" w:hAnsi="Arial" w:cs="Arial"/>
        <w:i/>
        <w:iCs/>
      </w:rPr>
      <w:t xml:space="preserve">                           </w:t>
    </w:r>
    <w:r>
      <w:rPr>
        <w:rFonts w:ascii="Arial" w:hAnsi="Arial" w:cs="Arial"/>
        <w:i/>
        <w:iCs/>
      </w:rPr>
      <w:t xml:space="preserve">  </w:t>
    </w:r>
    <w:r w:rsidRPr="00C84785">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D7"/>
    <w:multiLevelType w:val="hybridMultilevel"/>
    <w:tmpl w:val="D508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C6D"/>
    <w:multiLevelType w:val="hybridMultilevel"/>
    <w:tmpl w:val="C296896A"/>
    <w:lvl w:ilvl="0" w:tplc="2ECA7EB2">
      <w:start w:val="1"/>
      <w:numFmt w:val="decimal"/>
      <w:lvlText w:val="%1."/>
      <w:lvlJc w:val="left"/>
      <w:pPr>
        <w:ind w:left="840" w:hanging="293"/>
      </w:pPr>
      <w:rPr>
        <w:rFonts w:ascii="Times New Roman" w:eastAsia="Times New Roman" w:hAnsi="Times New Roman" w:hint="default"/>
        <w:b/>
        <w:bCs/>
        <w:sz w:val="22"/>
        <w:szCs w:val="22"/>
      </w:rPr>
    </w:lvl>
    <w:lvl w:ilvl="1" w:tplc="E6CA82C2">
      <w:start w:val="1"/>
      <w:numFmt w:val="bullet"/>
      <w:lvlText w:val="•"/>
      <w:lvlJc w:val="left"/>
      <w:pPr>
        <w:ind w:left="1682" w:hanging="293"/>
      </w:pPr>
      <w:rPr>
        <w:rFonts w:hint="default"/>
      </w:rPr>
    </w:lvl>
    <w:lvl w:ilvl="2" w:tplc="B8E23098">
      <w:start w:val="1"/>
      <w:numFmt w:val="bullet"/>
      <w:lvlText w:val="•"/>
      <w:lvlJc w:val="left"/>
      <w:pPr>
        <w:ind w:left="2524" w:hanging="293"/>
      </w:pPr>
      <w:rPr>
        <w:rFonts w:hint="default"/>
      </w:rPr>
    </w:lvl>
    <w:lvl w:ilvl="3" w:tplc="A18E305E">
      <w:start w:val="1"/>
      <w:numFmt w:val="bullet"/>
      <w:lvlText w:val="•"/>
      <w:lvlJc w:val="left"/>
      <w:pPr>
        <w:ind w:left="3366" w:hanging="293"/>
      </w:pPr>
      <w:rPr>
        <w:rFonts w:hint="default"/>
      </w:rPr>
    </w:lvl>
    <w:lvl w:ilvl="4" w:tplc="148476DE">
      <w:start w:val="1"/>
      <w:numFmt w:val="bullet"/>
      <w:lvlText w:val="•"/>
      <w:lvlJc w:val="left"/>
      <w:pPr>
        <w:ind w:left="4208" w:hanging="293"/>
      </w:pPr>
      <w:rPr>
        <w:rFonts w:hint="default"/>
      </w:rPr>
    </w:lvl>
    <w:lvl w:ilvl="5" w:tplc="890E5AFC">
      <w:start w:val="1"/>
      <w:numFmt w:val="bullet"/>
      <w:lvlText w:val="•"/>
      <w:lvlJc w:val="left"/>
      <w:pPr>
        <w:ind w:left="5050" w:hanging="293"/>
      </w:pPr>
      <w:rPr>
        <w:rFonts w:hint="default"/>
      </w:rPr>
    </w:lvl>
    <w:lvl w:ilvl="6" w:tplc="CD7CCAF0">
      <w:start w:val="1"/>
      <w:numFmt w:val="bullet"/>
      <w:lvlText w:val="•"/>
      <w:lvlJc w:val="left"/>
      <w:pPr>
        <w:ind w:left="5892" w:hanging="293"/>
      </w:pPr>
      <w:rPr>
        <w:rFonts w:hint="default"/>
      </w:rPr>
    </w:lvl>
    <w:lvl w:ilvl="7" w:tplc="F2A08616">
      <w:start w:val="1"/>
      <w:numFmt w:val="bullet"/>
      <w:lvlText w:val="•"/>
      <w:lvlJc w:val="left"/>
      <w:pPr>
        <w:ind w:left="6734" w:hanging="293"/>
      </w:pPr>
      <w:rPr>
        <w:rFonts w:hint="default"/>
      </w:rPr>
    </w:lvl>
    <w:lvl w:ilvl="8" w:tplc="7598E494">
      <w:start w:val="1"/>
      <w:numFmt w:val="bullet"/>
      <w:lvlText w:val="•"/>
      <w:lvlJc w:val="left"/>
      <w:pPr>
        <w:ind w:left="7576" w:hanging="293"/>
      </w:pPr>
      <w:rPr>
        <w:rFonts w:hint="default"/>
      </w:rPr>
    </w:lvl>
  </w:abstractNum>
  <w:abstractNum w:abstractNumId="2" w15:restartNumberingAfterBreak="0">
    <w:nsid w:val="067F5E88"/>
    <w:multiLevelType w:val="hybridMultilevel"/>
    <w:tmpl w:val="5C28CD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1658"/>
    <w:multiLevelType w:val="hybridMultilevel"/>
    <w:tmpl w:val="201E6B0A"/>
    <w:lvl w:ilvl="0" w:tplc="32AEBFA8">
      <w:start w:val="1"/>
      <w:numFmt w:val="decimal"/>
      <w:lvlText w:val="%1."/>
      <w:lvlJc w:val="left"/>
      <w:pPr>
        <w:ind w:left="1852" w:hanging="360"/>
      </w:pPr>
      <w:rPr>
        <w:rFonts w:eastAsia="Times New Roman" w:hint="default"/>
        <w:b w:val="0"/>
        <w:sz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14C3426F"/>
    <w:multiLevelType w:val="hybridMultilevel"/>
    <w:tmpl w:val="BD365920"/>
    <w:lvl w:ilvl="0" w:tplc="AB5A240C">
      <w:start w:val="1"/>
      <w:numFmt w:val="upperRoman"/>
      <w:lvlText w:val="%1."/>
      <w:lvlJc w:val="left"/>
      <w:pPr>
        <w:ind w:left="1027" w:hanging="526"/>
        <w:jc w:val="right"/>
      </w:pPr>
      <w:rPr>
        <w:rFonts w:ascii="Times New Roman" w:eastAsia="Times New Roman" w:hAnsi="Times New Roman" w:hint="default"/>
        <w:b/>
        <w:bCs/>
        <w:spacing w:val="-1"/>
        <w:w w:val="99"/>
        <w:sz w:val="26"/>
        <w:szCs w:val="26"/>
      </w:rPr>
    </w:lvl>
    <w:lvl w:ilvl="1" w:tplc="35A2DB52">
      <w:start w:val="1"/>
      <w:numFmt w:val="decimal"/>
      <w:lvlText w:val="%2."/>
      <w:lvlJc w:val="left"/>
      <w:pPr>
        <w:ind w:left="840" w:hanging="293"/>
      </w:pPr>
      <w:rPr>
        <w:rFonts w:ascii="Times New Roman" w:eastAsia="Times New Roman" w:hAnsi="Times New Roman" w:hint="default"/>
        <w:sz w:val="24"/>
        <w:szCs w:val="24"/>
      </w:rPr>
    </w:lvl>
    <w:lvl w:ilvl="2" w:tplc="8A14BD08">
      <w:start w:val="1"/>
      <w:numFmt w:val="bullet"/>
      <w:lvlText w:val="•"/>
      <w:lvlJc w:val="left"/>
      <w:pPr>
        <w:ind w:left="1942" w:hanging="293"/>
      </w:pPr>
      <w:rPr>
        <w:rFonts w:hint="default"/>
      </w:rPr>
    </w:lvl>
    <w:lvl w:ilvl="3" w:tplc="5B72874C">
      <w:start w:val="1"/>
      <w:numFmt w:val="bullet"/>
      <w:lvlText w:val="•"/>
      <w:lvlJc w:val="left"/>
      <w:pPr>
        <w:ind w:left="2857" w:hanging="293"/>
      </w:pPr>
      <w:rPr>
        <w:rFonts w:hint="default"/>
      </w:rPr>
    </w:lvl>
    <w:lvl w:ilvl="4" w:tplc="E7CAD59E">
      <w:start w:val="1"/>
      <w:numFmt w:val="bullet"/>
      <w:lvlText w:val="•"/>
      <w:lvlJc w:val="left"/>
      <w:pPr>
        <w:ind w:left="3771" w:hanging="293"/>
      </w:pPr>
      <w:rPr>
        <w:rFonts w:hint="default"/>
      </w:rPr>
    </w:lvl>
    <w:lvl w:ilvl="5" w:tplc="9846340A">
      <w:start w:val="1"/>
      <w:numFmt w:val="bullet"/>
      <w:lvlText w:val="•"/>
      <w:lvlJc w:val="left"/>
      <w:pPr>
        <w:ind w:left="4686" w:hanging="293"/>
      </w:pPr>
      <w:rPr>
        <w:rFonts w:hint="default"/>
      </w:rPr>
    </w:lvl>
    <w:lvl w:ilvl="6" w:tplc="F0BE3AA6">
      <w:start w:val="1"/>
      <w:numFmt w:val="bullet"/>
      <w:lvlText w:val="•"/>
      <w:lvlJc w:val="left"/>
      <w:pPr>
        <w:ind w:left="5601" w:hanging="293"/>
      </w:pPr>
      <w:rPr>
        <w:rFonts w:hint="default"/>
      </w:rPr>
    </w:lvl>
    <w:lvl w:ilvl="7" w:tplc="3D0E9412">
      <w:start w:val="1"/>
      <w:numFmt w:val="bullet"/>
      <w:lvlText w:val="•"/>
      <w:lvlJc w:val="left"/>
      <w:pPr>
        <w:ind w:left="6515" w:hanging="293"/>
      </w:pPr>
      <w:rPr>
        <w:rFonts w:hint="default"/>
      </w:rPr>
    </w:lvl>
    <w:lvl w:ilvl="8" w:tplc="F3FA5818">
      <w:start w:val="1"/>
      <w:numFmt w:val="bullet"/>
      <w:lvlText w:val="•"/>
      <w:lvlJc w:val="left"/>
      <w:pPr>
        <w:ind w:left="7430" w:hanging="293"/>
      </w:pPr>
      <w:rPr>
        <w:rFonts w:hint="default"/>
      </w:rPr>
    </w:lvl>
  </w:abstractNum>
  <w:abstractNum w:abstractNumId="5" w15:restartNumberingAfterBreak="0">
    <w:nsid w:val="162303A6"/>
    <w:multiLevelType w:val="hybridMultilevel"/>
    <w:tmpl w:val="5D76F176"/>
    <w:lvl w:ilvl="0" w:tplc="BBF65E82">
      <w:start w:val="1"/>
      <w:numFmt w:val="bullet"/>
      <w:lvlText w:val=""/>
      <w:lvlJc w:val="left"/>
      <w:pPr>
        <w:tabs>
          <w:tab w:val="num" w:pos="720"/>
        </w:tabs>
        <w:ind w:left="720" w:hanging="360"/>
      </w:pPr>
      <w:rPr>
        <w:rFonts w:ascii="Wingdings 3" w:hAnsi="Wingdings 3" w:hint="default"/>
      </w:rPr>
    </w:lvl>
    <w:lvl w:ilvl="1" w:tplc="1BAE5B64" w:tentative="1">
      <w:start w:val="1"/>
      <w:numFmt w:val="bullet"/>
      <w:lvlText w:val=""/>
      <w:lvlJc w:val="left"/>
      <w:pPr>
        <w:tabs>
          <w:tab w:val="num" w:pos="1440"/>
        </w:tabs>
        <w:ind w:left="1440" w:hanging="360"/>
      </w:pPr>
      <w:rPr>
        <w:rFonts w:ascii="Wingdings 3" w:hAnsi="Wingdings 3" w:hint="default"/>
      </w:rPr>
    </w:lvl>
    <w:lvl w:ilvl="2" w:tplc="7AA48962" w:tentative="1">
      <w:start w:val="1"/>
      <w:numFmt w:val="bullet"/>
      <w:lvlText w:val=""/>
      <w:lvlJc w:val="left"/>
      <w:pPr>
        <w:tabs>
          <w:tab w:val="num" w:pos="2160"/>
        </w:tabs>
        <w:ind w:left="2160" w:hanging="360"/>
      </w:pPr>
      <w:rPr>
        <w:rFonts w:ascii="Wingdings 3" w:hAnsi="Wingdings 3" w:hint="default"/>
      </w:rPr>
    </w:lvl>
    <w:lvl w:ilvl="3" w:tplc="E88E15DE" w:tentative="1">
      <w:start w:val="1"/>
      <w:numFmt w:val="bullet"/>
      <w:lvlText w:val=""/>
      <w:lvlJc w:val="left"/>
      <w:pPr>
        <w:tabs>
          <w:tab w:val="num" w:pos="2880"/>
        </w:tabs>
        <w:ind w:left="2880" w:hanging="360"/>
      </w:pPr>
      <w:rPr>
        <w:rFonts w:ascii="Wingdings 3" w:hAnsi="Wingdings 3" w:hint="default"/>
      </w:rPr>
    </w:lvl>
    <w:lvl w:ilvl="4" w:tplc="66DED806" w:tentative="1">
      <w:start w:val="1"/>
      <w:numFmt w:val="bullet"/>
      <w:lvlText w:val=""/>
      <w:lvlJc w:val="left"/>
      <w:pPr>
        <w:tabs>
          <w:tab w:val="num" w:pos="3600"/>
        </w:tabs>
        <w:ind w:left="3600" w:hanging="360"/>
      </w:pPr>
      <w:rPr>
        <w:rFonts w:ascii="Wingdings 3" w:hAnsi="Wingdings 3" w:hint="default"/>
      </w:rPr>
    </w:lvl>
    <w:lvl w:ilvl="5" w:tplc="D8223C5C" w:tentative="1">
      <w:start w:val="1"/>
      <w:numFmt w:val="bullet"/>
      <w:lvlText w:val=""/>
      <w:lvlJc w:val="left"/>
      <w:pPr>
        <w:tabs>
          <w:tab w:val="num" w:pos="4320"/>
        </w:tabs>
        <w:ind w:left="4320" w:hanging="360"/>
      </w:pPr>
      <w:rPr>
        <w:rFonts w:ascii="Wingdings 3" w:hAnsi="Wingdings 3" w:hint="default"/>
      </w:rPr>
    </w:lvl>
    <w:lvl w:ilvl="6" w:tplc="13BEE428" w:tentative="1">
      <w:start w:val="1"/>
      <w:numFmt w:val="bullet"/>
      <w:lvlText w:val=""/>
      <w:lvlJc w:val="left"/>
      <w:pPr>
        <w:tabs>
          <w:tab w:val="num" w:pos="5040"/>
        </w:tabs>
        <w:ind w:left="5040" w:hanging="360"/>
      </w:pPr>
      <w:rPr>
        <w:rFonts w:ascii="Wingdings 3" w:hAnsi="Wingdings 3" w:hint="default"/>
      </w:rPr>
    </w:lvl>
    <w:lvl w:ilvl="7" w:tplc="55DE82D0" w:tentative="1">
      <w:start w:val="1"/>
      <w:numFmt w:val="bullet"/>
      <w:lvlText w:val=""/>
      <w:lvlJc w:val="left"/>
      <w:pPr>
        <w:tabs>
          <w:tab w:val="num" w:pos="5760"/>
        </w:tabs>
        <w:ind w:left="5760" w:hanging="360"/>
      </w:pPr>
      <w:rPr>
        <w:rFonts w:ascii="Wingdings 3" w:hAnsi="Wingdings 3" w:hint="default"/>
      </w:rPr>
    </w:lvl>
    <w:lvl w:ilvl="8" w:tplc="C572384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48581B"/>
    <w:multiLevelType w:val="hybridMultilevel"/>
    <w:tmpl w:val="AAB0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21DCF"/>
    <w:multiLevelType w:val="hybridMultilevel"/>
    <w:tmpl w:val="6F4C1672"/>
    <w:lvl w:ilvl="0" w:tplc="988CBAE2">
      <w:start w:val="1"/>
      <w:numFmt w:val="bullet"/>
      <w:lvlText w:val=""/>
      <w:lvlJc w:val="left"/>
      <w:pPr>
        <w:tabs>
          <w:tab w:val="num" w:pos="720"/>
        </w:tabs>
        <w:ind w:left="720" w:hanging="360"/>
      </w:pPr>
      <w:rPr>
        <w:rFonts w:ascii="Wingdings 3" w:hAnsi="Wingdings 3" w:hint="default"/>
      </w:rPr>
    </w:lvl>
    <w:lvl w:ilvl="1" w:tplc="2AA2131A" w:tentative="1">
      <w:start w:val="1"/>
      <w:numFmt w:val="bullet"/>
      <w:lvlText w:val=""/>
      <w:lvlJc w:val="left"/>
      <w:pPr>
        <w:tabs>
          <w:tab w:val="num" w:pos="1440"/>
        </w:tabs>
        <w:ind w:left="1440" w:hanging="360"/>
      </w:pPr>
      <w:rPr>
        <w:rFonts w:ascii="Wingdings 3" w:hAnsi="Wingdings 3" w:hint="default"/>
      </w:rPr>
    </w:lvl>
    <w:lvl w:ilvl="2" w:tplc="1598C3D0" w:tentative="1">
      <w:start w:val="1"/>
      <w:numFmt w:val="bullet"/>
      <w:lvlText w:val=""/>
      <w:lvlJc w:val="left"/>
      <w:pPr>
        <w:tabs>
          <w:tab w:val="num" w:pos="2160"/>
        </w:tabs>
        <w:ind w:left="2160" w:hanging="360"/>
      </w:pPr>
      <w:rPr>
        <w:rFonts w:ascii="Wingdings 3" w:hAnsi="Wingdings 3" w:hint="default"/>
      </w:rPr>
    </w:lvl>
    <w:lvl w:ilvl="3" w:tplc="A56EE562" w:tentative="1">
      <w:start w:val="1"/>
      <w:numFmt w:val="bullet"/>
      <w:lvlText w:val=""/>
      <w:lvlJc w:val="left"/>
      <w:pPr>
        <w:tabs>
          <w:tab w:val="num" w:pos="2880"/>
        </w:tabs>
        <w:ind w:left="2880" w:hanging="360"/>
      </w:pPr>
      <w:rPr>
        <w:rFonts w:ascii="Wingdings 3" w:hAnsi="Wingdings 3" w:hint="default"/>
      </w:rPr>
    </w:lvl>
    <w:lvl w:ilvl="4" w:tplc="71ECF430" w:tentative="1">
      <w:start w:val="1"/>
      <w:numFmt w:val="bullet"/>
      <w:lvlText w:val=""/>
      <w:lvlJc w:val="left"/>
      <w:pPr>
        <w:tabs>
          <w:tab w:val="num" w:pos="3600"/>
        </w:tabs>
        <w:ind w:left="3600" w:hanging="360"/>
      </w:pPr>
      <w:rPr>
        <w:rFonts w:ascii="Wingdings 3" w:hAnsi="Wingdings 3" w:hint="default"/>
      </w:rPr>
    </w:lvl>
    <w:lvl w:ilvl="5" w:tplc="63262B78" w:tentative="1">
      <w:start w:val="1"/>
      <w:numFmt w:val="bullet"/>
      <w:lvlText w:val=""/>
      <w:lvlJc w:val="left"/>
      <w:pPr>
        <w:tabs>
          <w:tab w:val="num" w:pos="4320"/>
        </w:tabs>
        <w:ind w:left="4320" w:hanging="360"/>
      </w:pPr>
      <w:rPr>
        <w:rFonts w:ascii="Wingdings 3" w:hAnsi="Wingdings 3" w:hint="default"/>
      </w:rPr>
    </w:lvl>
    <w:lvl w:ilvl="6" w:tplc="E064DF92" w:tentative="1">
      <w:start w:val="1"/>
      <w:numFmt w:val="bullet"/>
      <w:lvlText w:val=""/>
      <w:lvlJc w:val="left"/>
      <w:pPr>
        <w:tabs>
          <w:tab w:val="num" w:pos="5040"/>
        </w:tabs>
        <w:ind w:left="5040" w:hanging="360"/>
      </w:pPr>
      <w:rPr>
        <w:rFonts w:ascii="Wingdings 3" w:hAnsi="Wingdings 3" w:hint="default"/>
      </w:rPr>
    </w:lvl>
    <w:lvl w:ilvl="7" w:tplc="8B84BD1A" w:tentative="1">
      <w:start w:val="1"/>
      <w:numFmt w:val="bullet"/>
      <w:lvlText w:val=""/>
      <w:lvlJc w:val="left"/>
      <w:pPr>
        <w:tabs>
          <w:tab w:val="num" w:pos="5760"/>
        </w:tabs>
        <w:ind w:left="5760" w:hanging="360"/>
      </w:pPr>
      <w:rPr>
        <w:rFonts w:ascii="Wingdings 3" w:hAnsi="Wingdings 3" w:hint="default"/>
      </w:rPr>
    </w:lvl>
    <w:lvl w:ilvl="8" w:tplc="269CAD7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A43687"/>
    <w:multiLevelType w:val="hybridMultilevel"/>
    <w:tmpl w:val="4790AB78"/>
    <w:lvl w:ilvl="0" w:tplc="C6E6E5FC">
      <w:start w:val="1"/>
      <w:numFmt w:val="bullet"/>
      <w:lvlText w:val=""/>
      <w:lvlJc w:val="left"/>
      <w:pPr>
        <w:tabs>
          <w:tab w:val="num" w:pos="720"/>
        </w:tabs>
        <w:ind w:left="720" w:hanging="360"/>
      </w:pPr>
      <w:rPr>
        <w:rFonts w:ascii="Wingdings 3" w:hAnsi="Wingdings 3" w:hint="default"/>
      </w:rPr>
    </w:lvl>
    <w:lvl w:ilvl="1" w:tplc="B1684F80" w:tentative="1">
      <w:start w:val="1"/>
      <w:numFmt w:val="bullet"/>
      <w:lvlText w:val=""/>
      <w:lvlJc w:val="left"/>
      <w:pPr>
        <w:tabs>
          <w:tab w:val="num" w:pos="1440"/>
        </w:tabs>
        <w:ind w:left="1440" w:hanging="360"/>
      </w:pPr>
      <w:rPr>
        <w:rFonts w:ascii="Wingdings 3" w:hAnsi="Wingdings 3" w:hint="default"/>
      </w:rPr>
    </w:lvl>
    <w:lvl w:ilvl="2" w:tplc="430482D6" w:tentative="1">
      <w:start w:val="1"/>
      <w:numFmt w:val="bullet"/>
      <w:lvlText w:val=""/>
      <w:lvlJc w:val="left"/>
      <w:pPr>
        <w:tabs>
          <w:tab w:val="num" w:pos="2160"/>
        </w:tabs>
        <w:ind w:left="2160" w:hanging="360"/>
      </w:pPr>
      <w:rPr>
        <w:rFonts w:ascii="Wingdings 3" w:hAnsi="Wingdings 3" w:hint="default"/>
      </w:rPr>
    </w:lvl>
    <w:lvl w:ilvl="3" w:tplc="BFAA871E" w:tentative="1">
      <w:start w:val="1"/>
      <w:numFmt w:val="bullet"/>
      <w:lvlText w:val=""/>
      <w:lvlJc w:val="left"/>
      <w:pPr>
        <w:tabs>
          <w:tab w:val="num" w:pos="2880"/>
        </w:tabs>
        <w:ind w:left="2880" w:hanging="360"/>
      </w:pPr>
      <w:rPr>
        <w:rFonts w:ascii="Wingdings 3" w:hAnsi="Wingdings 3" w:hint="default"/>
      </w:rPr>
    </w:lvl>
    <w:lvl w:ilvl="4" w:tplc="EBD86D90" w:tentative="1">
      <w:start w:val="1"/>
      <w:numFmt w:val="bullet"/>
      <w:lvlText w:val=""/>
      <w:lvlJc w:val="left"/>
      <w:pPr>
        <w:tabs>
          <w:tab w:val="num" w:pos="3600"/>
        </w:tabs>
        <w:ind w:left="3600" w:hanging="360"/>
      </w:pPr>
      <w:rPr>
        <w:rFonts w:ascii="Wingdings 3" w:hAnsi="Wingdings 3" w:hint="default"/>
      </w:rPr>
    </w:lvl>
    <w:lvl w:ilvl="5" w:tplc="99B66F2E" w:tentative="1">
      <w:start w:val="1"/>
      <w:numFmt w:val="bullet"/>
      <w:lvlText w:val=""/>
      <w:lvlJc w:val="left"/>
      <w:pPr>
        <w:tabs>
          <w:tab w:val="num" w:pos="4320"/>
        </w:tabs>
        <w:ind w:left="4320" w:hanging="360"/>
      </w:pPr>
      <w:rPr>
        <w:rFonts w:ascii="Wingdings 3" w:hAnsi="Wingdings 3" w:hint="default"/>
      </w:rPr>
    </w:lvl>
    <w:lvl w:ilvl="6" w:tplc="9A6E126A" w:tentative="1">
      <w:start w:val="1"/>
      <w:numFmt w:val="bullet"/>
      <w:lvlText w:val=""/>
      <w:lvlJc w:val="left"/>
      <w:pPr>
        <w:tabs>
          <w:tab w:val="num" w:pos="5040"/>
        </w:tabs>
        <w:ind w:left="5040" w:hanging="360"/>
      </w:pPr>
      <w:rPr>
        <w:rFonts w:ascii="Wingdings 3" w:hAnsi="Wingdings 3" w:hint="default"/>
      </w:rPr>
    </w:lvl>
    <w:lvl w:ilvl="7" w:tplc="C6C0490C" w:tentative="1">
      <w:start w:val="1"/>
      <w:numFmt w:val="bullet"/>
      <w:lvlText w:val=""/>
      <w:lvlJc w:val="left"/>
      <w:pPr>
        <w:tabs>
          <w:tab w:val="num" w:pos="5760"/>
        </w:tabs>
        <w:ind w:left="5760" w:hanging="360"/>
      </w:pPr>
      <w:rPr>
        <w:rFonts w:ascii="Wingdings 3" w:hAnsi="Wingdings 3" w:hint="default"/>
      </w:rPr>
    </w:lvl>
    <w:lvl w:ilvl="8" w:tplc="E8A8FB8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4A063A"/>
    <w:multiLevelType w:val="hybridMultilevel"/>
    <w:tmpl w:val="2092DB7E"/>
    <w:lvl w:ilvl="0" w:tplc="235AB700">
      <w:start w:val="1"/>
      <w:numFmt w:val="bullet"/>
      <w:lvlText w:val=""/>
      <w:lvlJc w:val="left"/>
      <w:pPr>
        <w:tabs>
          <w:tab w:val="num" w:pos="720"/>
        </w:tabs>
        <w:ind w:left="720" w:hanging="360"/>
      </w:pPr>
      <w:rPr>
        <w:rFonts w:ascii="Wingdings 3" w:hAnsi="Wingdings 3" w:hint="default"/>
      </w:rPr>
    </w:lvl>
    <w:lvl w:ilvl="1" w:tplc="21B21CB2" w:tentative="1">
      <w:start w:val="1"/>
      <w:numFmt w:val="bullet"/>
      <w:lvlText w:val=""/>
      <w:lvlJc w:val="left"/>
      <w:pPr>
        <w:tabs>
          <w:tab w:val="num" w:pos="1440"/>
        </w:tabs>
        <w:ind w:left="1440" w:hanging="360"/>
      </w:pPr>
      <w:rPr>
        <w:rFonts w:ascii="Wingdings 3" w:hAnsi="Wingdings 3" w:hint="default"/>
      </w:rPr>
    </w:lvl>
    <w:lvl w:ilvl="2" w:tplc="4DE005F4" w:tentative="1">
      <w:start w:val="1"/>
      <w:numFmt w:val="bullet"/>
      <w:lvlText w:val=""/>
      <w:lvlJc w:val="left"/>
      <w:pPr>
        <w:tabs>
          <w:tab w:val="num" w:pos="2160"/>
        </w:tabs>
        <w:ind w:left="2160" w:hanging="360"/>
      </w:pPr>
      <w:rPr>
        <w:rFonts w:ascii="Wingdings 3" w:hAnsi="Wingdings 3" w:hint="default"/>
      </w:rPr>
    </w:lvl>
    <w:lvl w:ilvl="3" w:tplc="D7C66820" w:tentative="1">
      <w:start w:val="1"/>
      <w:numFmt w:val="bullet"/>
      <w:lvlText w:val=""/>
      <w:lvlJc w:val="left"/>
      <w:pPr>
        <w:tabs>
          <w:tab w:val="num" w:pos="2880"/>
        </w:tabs>
        <w:ind w:left="2880" w:hanging="360"/>
      </w:pPr>
      <w:rPr>
        <w:rFonts w:ascii="Wingdings 3" w:hAnsi="Wingdings 3" w:hint="default"/>
      </w:rPr>
    </w:lvl>
    <w:lvl w:ilvl="4" w:tplc="1BE688F6" w:tentative="1">
      <w:start w:val="1"/>
      <w:numFmt w:val="bullet"/>
      <w:lvlText w:val=""/>
      <w:lvlJc w:val="left"/>
      <w:pPr>
        <w:tabs>
          <w:tab w:val="num" w:pos="3600"/>
        </w:tabs>
        <w:ind w:left="3600" w:hanging="360"/>
      </w:pPr>
      <w:rPr>
        <w:rFonts w:ascii="Wingdings 3" w:hAnsi="Wingdings 3" w:hint="default"/>
      </w:rPr>
    </w:lvl>
    <w:lvl w:ilvl="5" w:tplc="BA2A573C" w:tentative="1">
      <w:start w:val="1"/>
      <w:numFmt w:val="bullet"/>
      <w:lvlText w:val=""/>
      <w:lvlJc w:val="left"/>
      <w:pPr>
        <w:tabs>
          <w:tab w:val="num" w:pos="4320"/>
        </w:tabs>
        <w:ind w:left="4320" w:hanging="360"/>
      </w:pPr>
      <w:rPr>
        <w:rFonts w:ascii="Wingdings 3" w:hAnsi="Wingdings 3" w:hint="default"/>
      </w:rPr>
    </w:lvl>
    <w:lvl w:ilvl="6" w:tplc="2CC28BDA" w:tentative="1">
      <w:start w:val="1"/>
      <w:numFmt w:val="bullet"/>
      <w:lvlText w:val=""/>
      <w:lvlJc w:val="left"/>
      <w:pPr>
        <w:tabs>
          <w:tab w:val="num" w:pos="5040"/>
        </w:tabs>
        <w:ind w:left="5040" w:hanging="360"/>
      </w:pPr>
      <w:rPr>
        <w:rFonts w:ascii="Wingdings 3" w:hAnsi="Wingdings 3" w:hint="default"/>
      </w:rPr>
    </w:lvl>
    <w:lvl w:ilvl="7" w:tplc="A5789020" w:tentative="1">
      <w:start w:val="1"/>
      <w:numFmt w:val="bullet"/>
      <w:lvlText w:val=""/>
      <w:lvlJc w:val="left"/>
      <w:pPr>
        <w:tabs>
          <w:tab w:val="num" w:pos="5760"/>
        </w:tabs>
        <w:ind w:left="5760" w:hanging="360"/>
      </w:pPr>
      <w:rPr>
        <w:rFonts w:ascii="Wingdings 3" w:hAnsi="Wingdings 3" w:hint="default"/>
      </w:rPr>
    </w:lvl>
    <w:lvl w:ilvl="8" w:tplc="99BA125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78974F7"/>
    <w:multiLevelType w:val="hybridMultilevel"/>
    <w:tmpl w:val="DECA709E"/>
    <w:lvl w:ilvl="0" w:tplc="DF7AF820">
      <w:start w:val="1"/>
      <w:numFmt w:val="bullet"/>
      <w:lvlText w:val=""/>
      <w:lvlJc w:val="left"/>
      <w:pPr>
        <w:ind w:left="120" w:hanging="116"/>
      </w:pPr>
      <w:rPr>
        <w:rFonts w:ascii="Symbol" w:eastAsia="Symbol" w:hAnsi="Symbol" w:hint="default"/>
        <w:w w:val="99"/>
        <w:position w:val="7"/>
        <w:sz w:val="13"/>
        <w:szCs w:val="13"/>
      </w:rPr>
    </w:lvl>
    <w:lvl w:ilvl="1" w:tplc="84368096">
      <w:start w:val="1"/>
      <w:numFmt w:val="bullet"/>
      <w:lvlText w:val="•"/>
      <w:lvlJc w:val="left"/>
      <w:pPr>
        <w:ind w:left="1034" w:hanging="116"/>
      </w:pPr>
      <w:rPr>
        <w:rFonts w:hint="default"/>
      </w:rPr>
    </w:lvl>
    <w:lvl w:ilvl="2" w:tplc="9AAAF97E">
      <w:start w:val="1"/>
      <w:numFmt w:val="bullet"/>
      <w:lvlText w:val="•"/>
      <w:lvlJc w:val="left"/>
      <w:pPr>
        <w:ind w:left="1948" w:hanging="116"/>
      </w:pPr>
      <w:rPr>
        <w:rFonts w:hint="default"/>
      </w:rPr>
    </w:lvl>
    <w:lvl w:ilvl="3" w:tplc="FA6CA36E">
      <w:start w:val="1"/>
      <w:numFmt w:val="bullet"/>
      <w:lvlText w:val="•"/>
      <w:lvlJc w:val="left"/>
      <w:pPr>
        <w:ind w:left="2862" w:hanging="116"/>
      </w:pPr>
      <w:rPr>
        <w:rFonts w:hint="default"/>
      </w:rPr>
    </w:lvl>
    <w:lvl w:ilvl="4" w:tplc="1AEC0F12">
      <w:start w:val="1"/>
      <w:numFmt w:val="bullet"/>
      <w:lvlText w:val="•"/>
      <w:lvlJc w:val="left"/>
      <w:pPr>
        <w:ind w:left="3776" w:hanging="116"/>
      </w:pPr>
      <w:rPr>
        <w:rFonts w:hint="default"/>
      </w:rPr>
    </w:lvl>
    <w:lvl w:ilvl="5" w:tplc="638A22DC">
      <w:start w:val="1"/>
      <w:numFmt w:val="bullet"/>
      <w:lvlText w:val="•"/>
      <w:lvlJc w:val="left"/>
      <w:pPr>
        <w:ind w:left="4690" w:hanging="116"/>
      </w:pPr>
      <w:rPr>
        <w:rFonts w:hint="default"/>
      </w:rPr>
    </w:lvl>
    <w:lvl w:ilvl="6" w:tplc="C31CC442">
      <w:start w:val="1"/>
      <w:numFmt w:val="bullet"/>
      <w:lvlText w:val="•"/>
      <w:lvlJc w:val="left"/>
      <w:pPr>
        <w:ind w:left="5604" w:hanging="116"/>
      </w:pPr>
      <w:rPr>
        <w:rFonts w:hint="default"/>
      </w:rPr>
    </w:lvl>
    <w:lvl w:ilvl="7" w:tplc="BAE8F794">
      <w:start w:val="1"/>
      <w:numFmt w:val="bullet"/>
      <w:lvlText w:val="•"/>
      <w:lvlJc w:val="left"/>
      <w:pPr>
        <w:ind w:left="6518" w:hanging="116"/>
      </w:pPr>
      <w:rPr>
        <w:rFonts w:hint="default"/>
      </w:rPr>
    </w:lvl>
    <w:lvl w:ilvl="8" w:tplc="85685A36">
      <w:start w:val="1"/>
      <w:numFmt w:val="bullet"/>
      <w:lvlText w:val="•"/>
      <w:lvlJc w:val="left"/>
      <w:pPr>
        <w:ind w:left="7432" w:hanging="116"/>
      </w:pPr>
      <w:rPr>
        <w:rFonts w:hint="default"/>
      </w:rPr>
    </w:lvl>
  </w:abstractNum>
  <w:abstractNum w:abstractNumId="11" w15:restartNumberingAfterBreak="0">
    <w:nsid w:val="3C6B0A8D"/>
    <w:multiLevelType w:val="hybridMultilevel"/>
    <w:tmpl w:val="72689DD4"/>
    <w:lvl w:ilvl="0" w:tplc="1B6E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05CE6"/>
    <w:multiLevelType w:val="hybridMultilevel"/>
    <w:tmpl w:val="A5B81592"/>
    <w:lvl w:ilvl="0" w:tplc="BA0A9F82">
      <w:start w:val="1"/>
      <w:numFmt w:val="upp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15:restartNumberingAfterBreak="0">
    <w:nsid w:val="41232740"/>
    <w:multiLevelType w:val="hybridMultilevel"/>
    <w:tmpl w:val="A978DB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15:restartNumberingAfterBreak="0">
    <w:nsid w:val="4AD76D5D"/>
    <w:multiLevelType w:val="hybridMultilevel"/>
    <w:tmpl w:val="C8D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A13A2"/>
    <w:multiLevelType w:val="hybridMultilevel"/>
    <w:tmpl w:val="C04C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00757DD"/>
    <w:multiLevelType w:val="hybridMultilevel"/>
    <w:tmpl w:val="1EA4C3C2"/>
    <w:lvl w:ilvl="0" w:tplc="6CD215E8">
      <w:start w:val="5"/>
      <w:numFmt w:val="upperRoman"/>
      <w:lvlText w:val="%1."/>
      <w:lvlJc w:val="left"/>
      <w:pPr>
        <w:ind w:left="2295" w:hanging="593"/>
        <w:jc w:val="right"/>
      </w:pPr>
      <w:rPr>
        <w:rFonts w:ascii="Times New Roman" w:eastAsia="Times New Roman" w:hAnsi="Times New Roman" w:hint="default"/>
        <w:b/>
        <w:bCs/>
        <w:spacing w:val="-1"/>
        <w:sz w:val="24"/>
        <w:szCs w:val="24"/>
      </w:rPr>
    </w:lvl>
    <w:lvl w:ilvl="1" w:tplc="DC1003BA">
      <w:start w:val="1"/>
      <w:numFmt w:val="bullet"/>
      <w:lvlText w:val="•"/>
      <w:lvlJc w:val="left"/>
      <w:pPr>
        <w:ind w:left="3122" w:hanging="593"/>
      </w:pPr>
      <w:rPr>
        <w:rFonts w:hint="default"/>
      </w:rPr>
    </w:lvl>
    <w:lvl w:ilvl="2" w:tplc="3B0CA862">
      <w:start w:val="1"/>
      <w:numFmt w:val="bullet"/>
      <w:lvlText w:val="•"/>
      <w:lvlJc w:val="left"/>
      <w:pPr>
        <w:ind w:left="3950" w:hanging="593"/>
      </w:pPr>
      <w:rPr>
        <w:rFonts w:hint="default"/>
      </w:rPr>
    </w:lvl>
    <w:lvl w:ilvl="3" w:tplc="3DF2B826">
      <w:start w:val="1"/>
      <w:numFmt w:val="bullet"/>
      <w:lvlText w:val="•"/>
      <w:lvlJc w:val="left"/>
      <w:pPr>
        <w:ind w:left="4778" w:hanging="593"/>
      </w:pPr>
      <w:rPr>
        <w:rFonts w:hint="default"/>
      </w:rPr>
    </w:lvl>
    <w:lvl w:ilvl="4" w:tplc="24C03846">
      <w:start w:val="1"/>
      <w:numFmt w:val="bullet"/>
      <w:lvlText w:val="•"/>
      <w:lvlJc w:val="left"/>
      <w:pPr>
        <w:ind w:left="5606" w:hanging="593"/>
      </w:pPr>
      <w:rPr>
        <w:rFonts w:hint="default"/>
      </w:rPr>
    </w:lvl>
    <w:lvl w:ilvl="5" w:tplc="66205E5E">
      <w:start w:val="1"/>
      <w:numFmt w:val="bullet"/>
      <w:lvlText w:val="•"/>
      <w:lvlJc w:val="left"/>
      <w:pPr>
        <w:ind w:left="6434" w:hanging="593"/>
      </w:pPr>
      <w:rPr>
        <w:rFonts w:hint="default"/>
      </w:rPr>
    </w:lvl>
    <w:lvl w:ilvl="6" w:tplc="9E84C3CE">
      <w:start w:val="1"/>
      <w:numFmt w:val="bullet"/>
      <w:lvlText w:val="•"/>
      <w:lvlJc w:val="left"/>
      <w:pPr>
        <w:ind w:left="7261" w:hanging="593"/>
      </w:pPr>
      <w:rPr>
        <w:rFonts w:hint="default"/>
      </w:rPr>
    </w:lvl>
    <w:lvl w:ilvl="7" w:tplc="3FE49E1E">
      <w:start w:val="1"/>
      <w:numFmt w:val="bullet"/>
      <w:lvlText w:val="•"/>
      <w:lvlJc w:val="left"/>
      <w:pPr>
        <w:ind w:left="8089" w:hanging="593"/>
      </w:pPr>
      <w:rPr>
        <w:rFonts w:hint="default"/>
      </w:rPr>
    </w:lvl>
    <w:lvl w:ilvl="8" w:tplc="611030E4">
      <w:start w:val="1"/>
      <w:numFmt w:val="bullet"/>
      <w:lvlText w:val="•"/>
      <w:lvlJc w:val="left"/>
      <w:pPr>
        <w:ind w:left="8917" w:hanging="593"/>
      </w:pPr>
      <w:rPr>
        <w:rFonts w:hint="default"/>
      </w:rPr>
    </w:lvl>
  </w:abstractNum>
  <w:abstractNum w:abstractNumId="17" w15:restartNumberingAfterBreak="0">
    <w:nsid w:val="67003155"/>
    <w:multiLevelType w:val="hybridMultilevel"/>
    <w:tmpl w:val="7E3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95CC8"/>
    <w:multiLevelType w:val="hybridMultilevel"/>
    <w:tmpl w:val="50A2DEB8"/>
    <w:lvl w:ilvl="0" w:tplc="D4AC81A6">
      <w:start w:val="1"/>
      <w:numFmt w:val="upperLetter"/>
      <w:lvlText w:val="(%1)"/>
      <w:lvlJc w:val="left"/>
      <w:pPr>
        <w:ind w:left="490" w:hanging="324"/>
      </w:pPr>
      <w:rPr>
        <w:rFonts w:ascii="Times New Roman" w:eastAsia="Times New Roman" w:hAnsi="Times New Roman" w:hint="default"/>
        <w:b/>
        <w:bCs/>
        <w:sz w:val="22"/>
        <w:szCs w:val="22"/>
      </w:rPr>
    </w:lvl>
    <w:lvl w:ilvl="1" w:tplc="5532F2E2">
      <w:start w:val="1"/>
      <w:numFmt w:val="bullet"/>
      <w:lvlText w:val="•"/>
      <w:lvlJc w:val="left"/>
      <w:pPr>
        <w:ind w:left="1367" w:hanging="324"/>
      </w:pPr>
      <w:rPr>
        <w:rFonts w:hint="default"/>
      </w:rPr>
    </w:lvl>
    <w:lvl w:ilvl="2" w:tplc="52785142">
      <w:start w:val="1"/>
      <w:numFmt w:val="bullet"/>
      <w:lvlText w:val="•"/>
      <w:lvlJc w:val="left"/>
      <w:pPr>
        <w:ind w:left="2244" w:hanging="324"/>
      </w:pPr>
      <w:rPr>
        <w:rFonts w:hint="default"/>
      </w:rPr>
    </w:lvl>
    <w:lvl w:ilvl="3" w:tplc="BEF06D40">
      <w:start w:val="1"/>
      <w:numFmt w:val="bullet"/>
      <w:lvlText w:val="•"/>
      <w:lvlJc w:val="left"/>
      <w:pPr>
        <w:ind w:left="3121" w:hanging="324"/>
      </w:pPr>
      <w:rPr>
        <w:rFonts w:hint="default"/>
      </w:rPr>
    </w:lvl>
    <w:lvl w:ilvl="4" w:tplc="91E2F8C4">
      <w:start w:val="1"/>
      <w:numFmt w:val="bullet"/>
      <w:lvlText w:val="•"/>
      <w:lvlJc w:val="left"/>
      <w:pPr>
        <w:ind w:left="3998" w:hanging="324"/>
      </w:pPr>
      <w:rPr>
        <w:rFonts w:hint="default"/>
      </w:rPr>
    </w:lvl>
    <w:lvl w:ilvl="5" w:tplc="F966709C">
      <w:start w:val="1"/>
      <w:numFmt w:val="bullet"/>
      <w:lvlText w:val="•"/>
      <w:lvlJc w:val="left"/>
      <w:pPr>
        <w:ind w:left="4875" w:hanging="324"/>
      </w:pPr>
      <w:rPr>
        <w:rFonts w:hint="default"/>
      </w:rPr>
    </w:lvl>
    <w:lvl w:ilvl="6" w:tplc="A63CC3E4">
      <w:start w:val="1"/>
      <w:numFmt w:val="bullet"/>
      <w:lvlText w:val="•"/>
      <w:lvlJc w:val="left"/>
      <w:pPr>
        <w:ind w:left="5752" w:hanging="324"/>
      </w:pPr>
      <w:rPr>
        <w:rFonts w:hint="default"/>
      </w:rPr>
    </w:lvl>
    <w:lvl w:ilvl="7" w:tplc="9356B5FA">
      <w:start w:val="1"/>
      <w:numFmt w:val="bullet"/>
      <w:lvlText w:val="•"/>
      <w:lvlJc w:val="left"/>
      <w:pPr>
        <w:ind w:left="6629" w:hanging="324"/>
      </w:pPr>
      <w:rPr>
        <w:rFonts w:hint="default"/>
      </w:rPr>
    </w:lvl>
    <w:lvl w:ilvl="8" w:tplc="BB7C1CBE">
      <w:start w:val="1"/>
      <w:numFmt w:val="bullet"/>
      <w:lvlText w:val="•"/>
      <w:lvlJc w:val="left"/>
      <w:pPr>
        <w:ind w:left="7506" w:hanging="324"/>
      </w:pPr>
      <w:rPr>
        <w:rFonts w:hint="default"/>
      </w:rPr>
    </w:lvl>
  </w:abstractNum>
  <w:abstractNum w:abstractNumId="19" w15:restartNumberingAfterBreak="0">
    <w:nsid w:val="6EA164B7"/>
    <w:multiLevelType w:val="hybridMultilevel"/>
    <w:tmpl w:val="AB324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75CCB"/>
    <w:multiLevelType w:val="hybridMultilevel"/>
    <w:tmpl w:val="1DD850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6FCC45E3"/>
    <w:multiLevelType w:val="hybridMultilevel"/>
    <w:tmpl w:val="CEBC989C"/>
    <w:lvl w:ilvl="0" w:tplc="1D327DCE">
      <w:start w:val="1"/>
      <w:numFmt w:val="bullet"/>
      <w:lvlText w:val=""/>
      <w:lvlJc w:val="left"/>
      <w:pPr>
        <w:tabs>
          <w:tab w:val="num" w:pos="720"/>
        </w:tabs>
        <w:ind w:left="720" w:hanging="360"/>
      </w:pPr>
      <w:rPr>
        <w:rFonts w:ascii="Wingdings 3" w:hAnsi="Wingdings 3" w:hint="default"/>
      </w:rPr>
    </w:lvl>
    <w:lvl w:ilvl="1" w:tplc="E708AE40" w:tentative="1">
      <w:start w:val="1"/>
      <w:numFmt w:val="bullet"/>
      <w:lvlText w:val=""/>
      <w:lvlJc w:val="left"/>
      <w:pPr>
        <w:tabs>
          <w:tab w:val="num" w:pos="1440"/>
        </w:tabs>
        <w:ind w:left="1440" w:hanging="360"/>
      </w:pPr>
      <w:rPr>
        <w:rFonts w:ascii="Wingdings 3" w:hAnsi="Wingdings 3" w:hint="default"/>
      </w:rPr>
    </w:lvl>
    <w:lvl w:ilvl="2" w:tplc="4F96B442" w:tentative="1">
      <w:start w:val="1"/>
      <w:numFmt w:val="bullet"/>
      <w:lvlText w:val=""/>
      <w:lvlJc w:val="left"/>
      <w:pPr>
        <w:tabs>
          <w:tab w:val="num" w:pos="2160"/>
        </w:tabs>
        <w:ind w:left="2160" w:hanging="360"/>
      </w:pPr>
      <w:rPr>
        <w:rFonts w:ascii="Wingdings 3" w:hAnsi="Wingdings 3" w:hint="default"/>
      </w:rPr>
    </w:lvl>
    <w:lvl w:ilvl="3" w:tplc="F3E675FA" w:tentative="1">
      <w:start w:val="1"/>
      <w:numFmt w:val="bullet"/>
      <w:lvlText w:val=""/>
      <w:lvlJc w:val="left"/>
      <w:pPr>
        <w:tabs>
          <w:tab w:val="num" w:pos="2880"/>
        </w:tabs>
        <w:ind w:left="2880" w:hanging="360"/>
      </w:pPr>
      <w:rPr>
        <w:rFonts w:ascii="Wingdings 3" w:hAnsi="Wingdings 3" w:hint="default"/>
      </w:rPr>
    </w:lvl>
    <w:lvl w:ilvl="4" w:tplc="650634AE" w:tentative="1">
      <w:start w:val="1"/>
      <w:numFmt w:val="bullet"/>
      <w:lvlText w:val=""/>
      <w:lvlJc w:val="left"/>
      <w:pPr>
        <w:tabs>
          <w:tab w:val="num" w:pos="3600"/>
        </w:tabs>
        <w:ind w:left="3600" w:hanging="360"/>
      </w:pPr>
      <w:rPr>
        <w:rFonts w:ascii="Wingdings 3" w:hAnsi="Wingdings 3" w:hint="default"/>
      </w:rPr>
    </w:lvl>
    <w:lvl w:ilvl="5" w:tplc="478ADD3E" w:tentative="1">
      <w:start w:val="1"/>
      <w:numFmt w:val="bullet"/>
      <w:lvlText w:val=""/>
      <w:lvlJc w:val="left"/>
      <w:pPr>
        <w:tabs>
          <w:tab w:val="num" w:pos="4320"/>
        </w:tabs>
        <w:ind w:left="4320" w:hanging="360"/>
      </w:pPr>
      <w:rPr>
        <w:rFonts w:ascii="Wingdings 3" w:hAnsi="Wingdings 3" w:hint="default"/>
      </w:rPr>
    </w:lvl>
    <w:lvl w:ilvl="6" w:tplc="491665C4" w:tentative="1">
      <w:start w:val="1"/>
      <w:numFmt w:val="bullet"/>
      <w:lvlText w:val=""/>
      <w:lvlJc w:val="left"/>
      <w:pPr>
        <w:tabs>
          <w:tab w:val="num" w:pos="5040"/>
        </w:tabs>
        <w:ind w:left="5040" w:hanging="360"/>
      </w:pPr>
      <w:rPr>
        <w:rFonts w:ascii="Wingdings 3" w:hAnsi="Wingdings 3" w:hint="default"/>
      </w:rPr>
    </w:lvl>
    <w:lvl w:ilvl="7" w:tplc="89087AC2" w:tentative="1">
      <w:start w:val="1"/>
      <w:numFmt w:val="bullet"/>
      <w:lvlText w:val=""/>
      <w:lvlJc w:val="left"/>
      <w:pPr>
        <w:tabs>
          <w:tab w:val="num" w:pos="5760"/>
        </w:tabs>
        <w:ind w:left="5760" w:hanging="360"/>
      </w:pPr>
      <w:rPr>
        <w:rFonts w:ascii="Wingdings 3" w:hAnsi="Wingdings 3" w:hint="default"/>
      </w:rPr>
    </w:lvl>
    <w:lvl w:ilvl="8" w:tplc="FD2C279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5BF6DA2"/>
    <w:multiLevelType w:val="hybridMultilevel"/>
    <w:tmpl w:val="73F26FD8"/>
    <w:lvl w:ilvl="0" w:tplc="189EB9B0">
      <w:start w:val="12"/>
      <w:numFmt w:val="decimal"/>
      <w:lvlText w:val="%1"/>
      <w:lvlJc w:val="left"/>
      <w:pPr>
        <w:ind w:left="120" w:hanging="180"/>
      </w:pPr>
      <w:rPr>
        <w:rFonts w:ascii="Times New Roman" w:eastAsia="Times New Roman" w:hAnsi="Times New Roman" w:hint="default"/>
        <w:w w:val="99"/>
        <w:position w:val="7"/>
        <w:sz w:val="13"/>
        <w:szCs w:val="13"/>
      </w:rPr>
    </w:lvl>
    <w:lvl w:ilvl="1" w:tplc="2BB63D26">
      <w:start w:val="1"/>
      <w:numFmt w:val="bullet"/>
      <w:lvlText w:val="•"/>
      <w:lvlJc w:val="left"/>
      <w:pPr>
        <w:ind w:left="1034" w:hanging="180"/>
      </w:pPr>
      <w:rPr>
        <w:rFonts w:hint="default"/>
      </w:rPr>
    </w:lvl>
    <w:lvl w:ilvl="2" w:tplc="24BED014">
      <w:start w:val="1"/>
      <w:numFmt w:val="bullet"/>
      <w:lvlText w:val="•"/>
      <w:lvlJc w:val="left"/>
      <w:pPr>
        <w:ind w:left="1948" w:hanging="180"/>
      </w:pPr>
      <w:rPr>
        <w:rFonts w:hint="default"/>
      </w:rPr>
    </w:lvl>
    <w:lvl w:ilvl="3" w:tplc="4382479E">
      <w:start w:val="1"/>
      <w:numFmt w:val="bullet"/>
      <w:lvlText w:val="•"/>
      <w:lvlJc w:val="left"/>
      <w:pPr>
        <w:ind w:left="2862" w:hanging="180"/>
      </w:pPr>
      <w:rPr>
        <w:rFonts w:hint="default"/>
      </w:rPr>
    </w:lvl>
    <w:lvl w:ilvl="4" w:tplc="DFE04DF8">
      <w:start w:val="1"/>
      <w:numFmt w:val="bullet"/>
      <w:lvlText w:val="•"/>
      <w:lvlJc w:val="left"/>
      <w:pPr>
        <w:ind w:left="3776" w:hanging="180"/>
      </w:pPr>
      <w:rPr>
        <w:rFonts w:hint="default"/>
      </w:rPr>
    </w:lvl>
    <w:lvl w:ilvl="5" w:tplc="7EBEB1D4">
      <w:start w:val="1"/>
      <w:numFmt w:val="bullet"/>
      <w:lvlText w:val="•"/>
      <w:lvlJc w:val="left"/>
      <w:pPr>
        <w:ind w:left="4690" w:hanging="180"/>
      </w:pPr>
      <w:rPr>
        <w:rFonts w:hint="default"/>
      </w:rPr>
    </w:lvl>
    <w:lvl w:ilvl="6" w:tplc="8A602F1A">
      <w:start w:val="1"/>
      <w:numFmt w:val="bullet"/>
      <w:lvlText w:val="•"/>
      <w:lvlJc w:val="left"/>
      <w:pPr>
        <w:ind w:left="5604" w:hanging="180"/>
      </w:pPr>
      <w:rPr>
        <w:rFonts w:hint="default"/>
      </w:rPr>
    </w:lvl>
    <w:lvl w:ilvl="7" w:tplc="4830D9B0">
      <w:start w:val="1"/>
      <w:numFmt w:val="bullet"/>
      <w:lvlText w:val="•"/>
      <w:lvlJc w:val="left"/>
      <w:pPr>
        <w:ind w:left="6518" w:hanging="180"/>
      </w:pPr>
      <w:rPr>
        <w:rFonts w:hint="default"/>
      </w:rPr>
    </w:lvl>
    <w:lvl w:ilvl="8" w:tplc="DC6E1252">
      <w:start w:val="1"/>
      <w:numFmt w:val="bullet"/>
      <w:lvlText w:val="•"/>
      <w:lvlJc w:val="left"/>
      <w:pPr>
        <w:ind w:left="7432" w:hanging="180"/>
      </w:pPr>
      <w:rPr>
        <w:rFonts w:hint="default"/>
      </w:rPr>
    </w:lvl>
  </w:abstractNum>
  <w:abstractNum w:abstractNumId="23" w15:restartNumberingAfterBreak="0">
    <w:nsid w:val="788A0B68"/>
    <w:multiLevelType w:val="hybridMultilevel"/>
    <w:tmpl w:val="68061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7C59A5"/>
    <w:multiLevelType w:val="hybridMultilevel"/>
    <w:tmpl w:val="C5500EF2"/>
    <w:lvl w:ilvl="0" w:tplc="9AF2CD0A">
      <w:start w:val="1"/>
      <w:numFmt w:val="bullet"/>
      <w:lvlText w:val=""/>
      <w:lvlJc w:val="left"/>
      <w:pPr>
        <w:tabs>
          <w:tab w:val="num" w:pos="720"/>
        </w:tabs>
        <w:ind w:left="720" w:hanging="360"/>
      </w:pPr>
      <w:rPr>
        <w:rFonts w:ascii="Wingdings 3" w:hAnsi="Wingdings 3" w:hint="default"/>
      </w:rPr>
    </w:lvl>
    <w:lvl w:ilvl="1" w:tplc="7C6EEC68" w:tentative="1">
      <w:start w:val="1"/>
      <w:numFmt w:val="bullet"/>
      <w:lvlText w:val=""/>
      <w:lvlJc w:val="left"/>
      <w:pPr>
        <w:tabs>
          <w:tab w:val="num" w:pos="1440"/>
        </w:tabs>
        <w:ind w:left="1440" w:hanging="360"/>
      </w:pPr>
      <w:rPr>
        <w:rFonts w:ascii="Wingdings 3" w:hAnsi="Wingdings 3" w:hint="default"/>
      </w:rPr>
    </w:lvl>
    <w:lvl w:ilvl="2" w:tplc="FE8AC0EC" w:tentative="1">
      <w:start w:val="1"/>
      <w:numFmt w:val="bullet"/>
      <w:lvlText w:val=""/>
      <w:lvlJc w:val="left"/>
      <w:pPr>
        <w:tabs>
          <w:tab w:val="num" w:pos="2160"/>
        </w:tabs>
        <w:ind w:left="2160" w:hanging="360"/>
      </w:pPr>
      <w:rPr>
        <w:rFonts w:ascii="Wingdings 3" w:hAnsi="Wingdings 3" w:hint="default"/>
      </w:rPr>
    </w:lvl>
    <w:lvl w:ilvl="3" w:tplc="CB3C4D62" w:tentative="1">
      <w:start w:val="1"/>
      <w:numFmt w:val="bullet"/>
      <w:lvlText w:val=""/>
      <w:lvlJc w:val="left"/>
      <w:pPr>
        <w:tabs>
          <w:tab w:val="num" w:pos="2880"/>
        </w:tabs>
        <w:ind w:left="2880" w:hanging="360"/>
      </w:pPr>
      <w:rPr>
        <w:rFonts w:ascii="Wingdings 3" w:hAnsi="Wingdings 3" w:hint="default"/>
      </w:rPr>
    </w:lvl>
    <w:lvl w:ilvl="4" w:tplc="26E22632" w:tentative="1">
      <w:start w:val="1"/>
      <w:numFmt w:val="bullet"/>
      <w:lvlText w:val=""/>
      <w:lvlJc w:val="left"/>
      <w:pPr>
        <w:tabs>
          <w:tab w:val="num" w:pos="3600"/>
        </w:tabs>
        <w:ind w:left="3600" w:hanging="360"/>
      </w:pPr>
      <w:rPr>
        <w:rFonts w:ascii="Wingdings 3" w:hAnsi="Wingdings 3" w:hint="default"/>
      </w:rPr>
    </w:lvl>
    <w:lvl w:ilvl="5" w:tplc="D79C235E" w:tentative="1">
      <w:start w:val="1"/>
      <w:numFmt w:val="bullet"/>
      <w:lvlText w:val=""/>
      <w:lvlJc w:val="left"/>
      <w:pPr>
        <w:tabs>
          <w:tab w:val="num" w:pos="4320"/>
        </w:tabs>
        <w:ind w:left="4320" w:hanging="360"/>
      </w:pPr>
      <w:rPr>
        <w:rFonts w:ascii="Wingdings 3" w:hAnsi="Wingdings 3" w:hint="default"/>
      </w:rPr>
    </w:lvl>
    <w:lvl w:ilvl="6" w:tplc="2C449050" w:tentative="1">
      <w:start w:val="1"/>
      <w:numFmt w:val="bullet"/>
      <w:lvlText w:val=""/>
      <w:lvlJc w:val="left"/>
      <w:pPr>
        <w:tabs>
          <w:tab w:val="num" w:pos="5040"/>
        </w:tabs>
        <w:ind w:left="5040" w:hanging="360"/>
      </w:pPr>
      <w:rPr>
        <w:rFonts w:ascii="Wingdings 3" w:hAnsi="Wingdings 3" w:hint="default"/>
      </w:rPr>
    </w:lvl>
    <w:lvl w:ilvl="7" w:tplc="D898E034" w:tentative="1">
      <w:start w:val="1"/>
      <w:numFmt w:val="bullet"/>
      <w:lvlText w:val=""/>
      <w:lvlJc w:val="left"/>
      <w:pPr>
        <w:tabs>
          <w:tab w:val="num" w:pos="5760"/>
        </w:tabs>
        <w:ind w:left="5760" w:hanging="360"/>
      </w:pPr>
      <w:rPr>
        <w:rFonts w:ascii="Wingdings 3" w:hAnsi="Wingdings 3" w:hint="default"/>
      </w:rPr>
    </w:lvl>
    <w:lvl w:ilvl="8" w:tplc="BD04F16E"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CE6455B"/>
    <w:multiLevelType w:val="hybridMultilevel"/>
    <w:tmpl w:val="C966E570"/>
    <w:lvl w:ilvl="0" w:tplc="BD945618">
      <w:start w:val="2"/>
      <w:numFmt w:val="decimal"/>
      <w:lvlText w:val="%1."/>
      <w:lvlJc w:val="left"/>
      <w:pPr>
        <w:ind w:left="972" w:hanging="293"/>
      </w:pPr>
      <w:rPr>
        <w:rFonts w:ascii="Times New Roman" w:eastAsia="Times New Roman" w:hAnsi="Times New Roman" w:hint="default"/>
        <w:b/>
        <w:bCs/>
        <w:sz w:val="22"/>
        <w:szCs w:val="22"/>
      </w:rPr>
    </w:lvl>
    <w:lvl w:ilvl="1" w:tplc="3CE8152C">
      <w:start w:val="1"/>
      <w:numFmt w:val="bullet"/>
      <w:lvlText w:val="•"/>
      <w:lvlJc w:val="left"/>
      <w:pPr>
        <w:ind w:left="972" w:hanging="293"/>
      </w:pPr>
      <w:rPr>
        <w:rFonts w:hint="default"/>
      </w:rPr>
    </w:lvl>
    <w:lvl w:ilvl="2" w:tplc="7F869A4C">
      <w:start w:val="1"/>
      <w:numFmt w:val="bullet"/>
      <w:lvlText w:val="•"/>
      <w:lvlJc w:val="left"/>
      <w:pPr>
        <w:ind w:left="1893" w:hanging="293"/>
      </w:pPr>
      <w:rPr>
        <w:rFonts w:hint="default"/>
      </w:rPr>
    </w:lvl>
    <w:lvl w:ilvl="3" w:tplc="C4A6B2C8">
      <w:start w:val="1"/>
      <w:numFmt w:val="bullet"/>
      <w:lvlText w:val="•"/>
      <w:lvlJc w:val="left"/>
      <w:pPr>
        <w:ind w:left="2814" w:hanging="293"/>
      </w:pPr>
      <w:rPr>
        <w:rFonts w:hint="default"/>
      </w:rPr>
    </w:lvl>
    <w:lvl w:ilvl="4" w:tplc="526C8212">
      <w:start w:val="1"/>
      <w:numFmt w:val="bullet"/>
      <w:lvlText w:val="•"/>
      <w:lvlJc w:val="left"/>
      <w:pPr>
        <w:ind w:left="3734" w:hanging="293"/>
      </w:pPr>
      <w:rPr>
        <w:rFonts w:hint="default"/>
      </w:rPr>
    </w:lvl>
    <w:lvl w:ilvl="5" w:tplc="6BA4F00A">
      <w:start w:val="1"/>
      <w:numFmt w:val="bullet"/>
      <w:lvlText w:val="•"/>
      <w:lvlJc w:val="left"/>
      <w:pPr>
        <w:ind w:left="4655" w:hanging="293"/>
      </w:pPr>
      <w:rPr>
        <w:rFonts w:hint="default"/>
      </w:rPr>
    </w:lvl>
    <w:lvl w:ilvl="6" w:tplc="40705832">
      <w:start w:val="1"/>
      <w:numFmt w:val="bullet"/>
      <w:lvlText w:val="•"/>
      <w:lvlJc w:val="left"/>
      <w:pPr>
        <w:ind w:left="5576" w:hanging="293"/>
      </w:pPr>
      <w:rPr>
        <w:rFonts w:hint="default"/>
      </w:rPr>
    </w:lvl>
    <w:lvl w:ilvl="7" w:tplc="EE54C442">
      <w:start w:val="1"/>
      <w:numFmt w:val="bullet"/>
      <w:lvlText w:val="•"/>
      <w:lvlJc w:val="left"/>
      <w:pPr>
        <w:ind w:left="6497" w:hanging="293"/>
      </w:pPr>
      <w:rPr>
        <w:rFonts w:hint="default"/>
      </w:rPr>
    </w:lvl>
    <w:lvl w:ilvl="8" w:tplc="8BD62B26">
      <w:start w:val="1"/>
      <w:numFmt w:val="bullet"/>
      <w:lvlText w:val="•"/>
      <w:lvlJc w:val="left"/>
      <w:pPr>
        <w:ind w:left="7418" w:hanging="293"/>
      </w:pPr>
      <w:rPr>
        <w:rFonts w:hint="default"/>
      </w:rPr>
    </w:lvl>
  </w:abstractNum>
  <w:num w:numId="1" w16cid:durableId="1359351217">
    <w:abstractNumId w:val="1"/>
  </w:num>
  <w:num w:numId="2" w16cid:durableId="264775600">
    <w:abstractNumId w:val="16"/>
  </w:num>
  <w:num w:numId="3" w16cid:durableId="1816750312">
    <w:abstractNumId w:val="25"/>
  </w:num>
  <w:num w:numId="4" w16cid:durableId="1014499593">
    <w:abstractNumId w:val="18"/>
  </w:num>
  <w:num w:numId="5" w16cid:durableId="642393683">
    <w:abstractNumId w:val="22"/>
  </w:num>
  <w:num w:numId="6" w16cid:durableId="336076920">
    <w:abstractNumId w:val="10"/>
  </w:num>
  <w:num w:numId="7" w16cid:durableId="744030760">
    <w:abstractNumId w:val="4"/>
  </w:num>
  <w:num w:numId="8" w16cid:durableId="939603181">
    <w:abstractNumId w:val="3"/>
  </w:num>
  <w:num w:numId="9" w16cid:durableId="853154393">
    <w:abstractNumId w:val="0"/>
  </w:num>
  <w:num w:numId="10" w16cid:durableId="73629519">
    <w:abstractNumId w:val="14"/>
  </w:num>
  <w:num w:numId="11" w16cid:durableId="1245992837">
    <w:abstractNumId w:val="20"/>
  </w:num>
  <w:num w:numId="12" w16cid:durableId="150948078">
    <w:abstractNumId w:val="13"/>
  </w:num>
  <w:num w:numId="13" w16cid:durableId="267549086">
    <w:abstractNumId w:val="23"/>
  </w:num>
  <w:num w:numId="14" w16cid:durableId="1144471602">
    <w:abstractNumId w:val="17"/>
  </w:num>
  <w:num w:numId="15" w16cid:durableId="1009983931">
    <w:abstractNumId w:val="11"/>
  </w:num>
  <w:num w:numId="16" w16cid:durableId="1567186563">
    <w:abstractNumId w:val="15"/>
  </w:num>
  <w:num w:numId="17" w16cid:durableId="1714190457">
    <w:abstractNumId w:val="12"/>
  </w:num>
  <w:num w:numId="18" w16cid:durableId="1553813226">
    <w:abstractNumId w:val="6"/>
  </w:num>
  <w:num w:numId="19" w16cid:durableId="34739864">
    <w:abstractNumId w:val="19"/>
  </w:num>
  <w:num w:numId="20" w16cid:durableId="1771393419">
    <w:abstractNumId w:val="2"/>
  </w:num>
  <w:num w:numId="21" w16cid:durableId="1758137415">
    <w:abstractNumId w:val="8"/>
  </w:num>
  <w:num w:numId="22" w16cid:durableId="1464958431">
    <w:abstractNumId w:val="9"/>
  </w:num>
  <w:num w:numId="23" w16cid:durableId="242566691">
    <w:abstractNumId w:val="7"/>
  </w:num>
  <w:num w:numId="24" w16cid:durableId="181630792">
    <w:abstractNumId w:val="5"/>
  </w:num>
  <w:num w:numId="25" w16cid:durableId="258292401">
    <w:abstractNumId w:val="21"/>
  </w:num>
  <w:num w:numId="26" w16cid:durableId="16029112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13D2D"/>
    <w:rsid w:val="00016B0B"/>
    <w:rsid w:val="000408E2"/>
    <w:rsid w:val="000414C4"/>
    <w:rsid w:val="00043195"/>
    <w:rsid w:val="00055FDE"/>
    <w:rsid w:val="00060CDA"/>
    <w:rsid w:val="000A5CB5"/>
    <w:rsid w:val="000D0336"/>
    <w:rsid w:val="000D4052"/>
    <w:rsid w:val="000D5F07"/>
    <w:rsid w:val="000E4040"/>
    <w:rsid w:val="001003EE"/>
    <w:rsid w:val="00110F97"/>
    <w:rsid w:val="00137CCE"/>
    <w:rsid w:val="00146EC0"/>
    <w:rsid w:val="00151BF6"/>
    <w:rsid w:val="0017268D"/>
    <w:rsid w:val="00174F10"/>
    <w:rsid w:val="00182F39"/>
    <w:rsid w:val="001A5793"/>
    <w:rsid w:val="001A59B9"/>
    <w:rsid w:val="001C79E6"/>
    <w:rsid w:val="001D5E4F"/>
    <w:rsid w:val="00210D6E"/>
    <w:rsid w:val="00232762"/>
    <w:rsid w:val="00233418"/>
    <w:rsid w:val="00243F45"/>
    <w:rsid w:val="00244A47"/>
    <w:rsid w:val="00256F86"/>
    <w:rsid w:val="0027362F"/>
    <w:rsid w:val="002835C4"/>
    <w:rsid w:val="00287B18"/>
    <w:rsid w:val="002C625B"/>
    <w:rsid w:val="002D579F"/>
    <w:rsid w:val="002F176F"/>
    <w:rsid w:val="00311631"/>
    <w:rsid w:val="00316264"/>
    <w:rsid w:val="00320F8F"/>
    <w:rsid w:val="0033628D"/>
    <w:rsid w:val="00336FDF"/>
    <w:rsid w:val="00341B76"/>
    <w:rsid w:val="00363B6D"/>
    <w:rsid w:val="003648C2"/>
    <w:rsid w:val="003678C1"/>
    <w:rsid w:val="00384B10"/>
    <w:rsid w:val="00385E38"/>
    <w:rsid w:val="00387208"/>
    <w:rsid w:val="00391205"/>
    <w:rsid w:val="003A0A16"/>
    <w:rsid w:val="003A3CFC"/>
    <w:rsid w:val="003A494C"/>
    <w:rsid w:val="003A5033"/>
    <w:rsid w:val="003D788B"/>
    <w:rsid w:val="00425BC1"/>
    <w:rsid w:val="004324AD"/>
    <w:rsid w:val="0046709E"/>
    <w:rsid w:val="00486994"/>
    <w:rsid w:val="0048769B"/>
    <w:rsid w:val="00492FC5"/>
    <w:rsid w:val="004A0F91"/>
    <w:rsid w:val="004C10E9"/>
    <w:rsid w:val="004C1137"/>
    <w:rsid w:val="004D5ADD"/>
    <w:rsid w:val="004E3BB5"/>
    <w:rsid w:val="004F30E4"/>
    <w:rsid w:val="004F4394"/>
    <w:rsid w:val="00500D24"/>
    <w:rsid w:val="00505935"/>
    <w:rsid w:val="00521899"/>
    <w:rsid w:val="005528FA"/>
    <w:rsid w:val="00576A33"/>
    <w:rsid w:val="005773A8"/>
    <w:rsid w:val="0058145B"/>
    <w:rsid w:val="00593ABA"/>
    <w:rsid w:val="005B621E"/>
    <w:rsid w:val="005C2305"/>
    <w:rsid w:val="005D32BA"/>
    <w:rsid w:val="0062387E"/>
    <w:rsid w:val="006318D0"/>
    <w:rsid w:val="0063205F"/>
    <w:rsid w:val="00651B4D"/>
    <w:rsid w:val="00655AC8"/>
    <w:rsid w:val="006617D2"/>
    <w:rsid w:val="00671A22"/>
    <w:rsid w:val="00680918"/>
    <w:rsid w:val="00682137"/>
    <w:rsid w:val="006A10F4"/>
    <w:rsid w:val="006B64C0"/>
    <w:rsid w:val="006D50C0"/>
    <w:rsid w:val="006E308F"/>
    <w:rsid w:val="006E65D7"/>
    <w:rsid w:val="006F1815"/>
    <w:rsid w:val="007020DB"/>
    <w:rsid w:val="007304FC"/>
    <w:rsid w:val="00733C87"/>
    <w:rsid w:val="007406F0"/>
    <w:rsid w:val="00741B0E"/>
    <w:rsid w:val="00742579"/>
    <w:rsid w:val="00751807"/>
    <w:rsid w:val="007535C5"/>
    <w:rsid w:val="00760EAF"/>
    <w:rsid w:val="00764125"/>
    <w:rsid w:val="00767755"/>
    <w:rsid w:val="00776B05"/>
    <w:rsid w:val="007803DF"/>
    <w:rsid w:val="007A1A94"/>
    <w:rsid w:val="007A415D"/>
    <w:rsid w:val="007E355E"/>
    <w:rsid w:val="007E6D3E"/>
    <w:rsid w:val="007E7C00"/>
    <w:rsid w:val="00801906"/>
    <w:rsid w:val="0080272B"/>
    <w:rsid w:val="00812A41"/>
    <w:rsid w:val="00823073"/>
    <w:rsid w:val="00824AA9"/>
    <w:rsid w:val="00840665"/>
    <w:rsid w:val="00843B71"/>
    <w:rsid w:val="00872CC8"/>
    <w:rsid w:val="00875E80"/>
    <w:rsid w:val="00884E4D"/>
    <w:rsid w:val="00887760"/>
    <w:rsid w:val="008B439E"/>
    <w:rsid w:val="008E748A"/>
    <w:rsid w:val="008F198C"/>
    <w:rsid w:val="009109BF"/>
    <w:rsid w:val="009111D7"/>
    <w:rsid w:val="009302F0"/>
    <w:rsid w:val="00932066"/>
    <w:rsid w:val="00940B74"/>
    <w:rsid w:val="0094182F"/>
    <w:rsid w:val="00943B03"/>
    <w:rsid w:val="00946737"/>
    <w:rsid w:val="009467FD"/>
    <w:rsid w:val="00956072"/>
    <w:rsid w:val="00962C2E"/>
    <w:rsid w:val="00963B9C"/>
    <w:rsid w:val="00964F1C"/>
    <w:rsid w:val="009652CF"/>
    <w:rsid w:val="00970817"/>
    <w:rsid w:val="00985110"/>
    <w:rsid w:val="009956DB"/>
    <w:rsid w:val="009A642B"/>
    <w:rsid w:val="009C1119"/>
    <w:rsid w:val="009C6E86"/>
    <w:rsid w:val="009E392B"/>
    <w:rsid w:val="00A04C4F"/>
    <w:rsid w:val="00A17E81"/>
    <w:rsid w:val="00A236FA"/>
    <w:rsid w:val="00A50F47"/>
    <w:rsid w:val="00A5386D"/>
    <w:rsid w:val="00A6138D"/>
    <w:rsid w:val="00A924B6"/>
    <w:rsid w:val="00A966CC"/>
    <w:rsid w:val="00AA77A9"/>
    <w:rsid w:val="00AB0417"/>
    <w:rsid w:val="00AE28A5"/>
    <w:rsid w:val="00AE3776"/>
    <w:rsid w:val="00AE53CD"/>
    <w:rsid w:val="00AF4B0B"/>
    <w:rsid w:val="00AF6F0C"/>
    <w:rsid w:val="00B03CDD"/>
    <w:rsid w:val="00B12349"/>
    <w:rsid w:val="00B342F3"/>
    <w:rsid w:val="00B62C5F"/>
    <w:rsid w:val="00B859D6"/>
    <w:rsid w:val="00BC0A68"/>
    <w:rsid w:val="00BC2BBD"/>
    <w:rsid w:val="00BF0112"/>
    <w:rsid w:val="00C24D3E"/>
    <w:rsid w:val="00C441D9"/>
    <w:rsid w:val="00C72152"/>
    <w:rsid w:val="00C84785"/>
    <w:rsid w:val="00C866C8"/>
    <w:rsid w:val="00CA5C96"/>
    <w:rsid w:val="00CC04F4"/>
    <w:rsid w:val="00CF0330"/>
    <w:rsid w:val="00CF17EF"/>
    <w:rsid w:val="00CF2295"/>
    <w:rsid w:val="00D006F2"/>
    <w:rsid w:val="00D01657"/>
    <w:rsid w:val="00D11A65"/>
    <w:rsid w:val="00D20E4B"/>
    <w:rsid w:val="00D2453F"/>
    <w:rsid w:val="00D27274"/>
    <w:rsid w:val="00D410C9"/>
    <w:rsid w:val="00D56E42"/>
    <w:rsid w:val="00D64846"/>
    <w:rsid w:val="00D771FB"/>
    <w:rsid w:val="00D93D7C"/>
    <w:rsid w:val="00DC4E30"/>
    <w:rsid w:val="00DC79B3"/>
    <w:rsid w:val="00DE1F92"/>
    <w:rsid w:val="00E00889"/>
    <w:rsid w:val="00E00EDE"/>
    <w:rsid w:val="00E10635"/>
    <w:rsid w:val="00E217EF"/>
    <w:rsid w:val="00E85ABB"/>
    <w:rsid w:val="00EA455B"/>
    <w:rsid w:val="00EC3461"/>
    <w:rsid w:val="00EC49E5"/>
    <w:rsid w:val="00ED3CA5"/>
    <w:rsid w:val="00EE117C"/>
    <w:rsid w:val="00EE4407"/>
    <w:rsid w:val="00EE7204"/>
    <w:rsid w:val="00F2299A"/>
    <w:rsid w:val="00F37A7E"/>
    <w:rsid w:val="00F645E9"/>
    <w:rsid w:val="00F7614D"/>
    <w:rsid w:val="00FA195A"/>
    <w:rsid w:val="00FA2262"/>
    <w:rsid w:val="00FA3E6B"/>
    <w:rsid w:val="00FC28C5"/>
    <w:rsid w:val="00FD61A1"/>
    <w:rsid w:val="00FD7B1B"/>
    <w:rsid w:val="00FD7C24"/>
    <w:rsid w:val="00FD7D6A"/>
    <w:rsid w:val="00FE5F3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48C2"/>
    <w:pPr>
      <w:widowControl w:val="0"/>
      <w:spacing w:after="0" w:line="240" w:lineRule="auto"/>
      <w:ind w:left="962" w:hanging="593"/>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3648C2"/>
    <w:pPr>
      <w:spacing w:after="0" w:line="240" w:lineRule="auto"/>
      <w:jc w:val="both"/>
      <w:outlineLvl w:val="1"/>
    </w:pPr>
    <w:rPr>
      <w:rFonts w:asciiTheme="majorBidi" w:eastAsia="Times New Roman" w:hAnsiTheme="majorBidi" w:cstheme="majorBidi"/>
      <w:b/>
      <w:bCs/>
      <w:i/>
      <w:iCs/>
      <w:sz w:val="24"/>
      <w:szCs w:val="24"/>
    </w:rPr>
  </w:style>
  <w:style w:type="paragraph" w:styleId="Heading3">
    <w:name w:val="heading 3"/>
    <w:basedOn w:val="Normal"/>
    <w:next w:val="Normal"/>
    <w:link w:val="Heading3Char"/>
    <w:uiPriority w:val="9"/>
    <w:unhideWhenUsed/>
    <w:qFormat/>
    <w:rsid w:val="003648C2"/>
    <w:pPr>
      <w:keepNext/>
      <w:keepLines/>
      <w:spacing w:before="40" w:after="0"/>
      <w:outlineLvl w:val="2"/>
    </w:pPr>
    <w:rPr>
      <w:rFonts w:asciiTheme="majorHAnsi" w:eastAsiaTheme="majorEastAsia" w:hAnsiTheme="majorHAnsi" w:cstheme="majorBidi"/>
      <w:color w:val="1F3763"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BC0A68"/>
    <w:rPr>
      <w:sz w:val="20"/>
      <w:szCs w:val="20"/>
    </w:rPr>
  </w:style>
  <w:style w:type="character" w:styleId="FootnoteReference">
    <w:name w:val="footnote reference"/>
    <w:basedOn w:val="DefaultParagraphFont"/>
    <w:uiPriority w:val="99"/>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paragraph" w:customStyle="1" w:styleId="Document">
    <w:name w:val="_Document"/>
    <w:basedOn w:val="Normal"/>
    <w:link w:val="DocumentChar"/>
    <w:qFormat/>
    <w:rsid w:val="003648C2"/>
    <w:pPr>
      <w:widowControl w:val="0"/>
      <w:suppressLineNumbers/>
      <w:tabs>
        <w:tab w:val="left" w:pos="0"/>
        <w:tab w:val="left" w:pos="400"/>
        <w:tab w:val="left" w:pos="620"/>
      </w:tabs>
      <w:spacing w:before="20" w:after="0" w:line="240" w:lineRule="exact"/>
      <w:ind w:firstLine="400"/>
      <w:jc w:val="both"/>
    </w:pPr>
    <w:rPr>
      <w:rFonts w:ascii="Times New Roman" w:eastAsia="Times New Roman" w:hAnsi="Times New Roman" w:cs="Times New Roman"/>
      <w:sz w:val="21"/>
      <w:szCs w:val="21"/>
      <w:lang w:val="en-US"/>
    </w:rPr>
  </w:style>
  <w:style w:type="character" w:customStyle="1" w:styleId="DocumentChar">
    <w:name w:val="_Document Char"/>
    <w:basedOn w:val="DefaultParagraphFont"/>
    <w:link w:val="Document"/>
    <w:rsid w:val="003648C2"/>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9"/>
    <w:rsid w:val="003648C2"/>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9"/>
    <w:rsid w:val="003648C2"/>
    <w:rPr>
      <w:rFonts w:asciiTheme="majorBidi" w:eastAsia="Times New Roman" w:hAnsiTheme="majorBidi" w:cstheme="majorBidi"/>
      <w:b/>
      <w:bCs/>
      <w:i/>
      <w:iCs/>
      <w:sz w:val="24"/>
      <w:szCs w:val="24"/>
    </w:rPr>
  </w:style>
  <w:style w:type="character" w:customStyle="1" w:styleId="Heading3Char">
    <w:name w:val="Heading 3 Char"/>
    <w:basedOn w:val="DefaultParagraphFont"/>
    <w:link w:val="Heading3"/>
    <w:uiPriority w:val="9"/>
    <w:rsid w:val="003648C2"/>
    <w:rPr>
      <w:rFonts w:asciiTheme="majorHAnsi" w:eastAsiaTheme="majorEastAsia" w:hAnsiTheme="majorHAnsi" w:cstheme="majorBidi"/>
      <w:color w:val="1F3763" w:themeColor="accent1" w:themeShade="7F"/>
      <w:sz w:val="24"/>
      <w:szCs w:val="24"/>
      <w:lang w:val="en-US" w:bidi="he-IL"/>
    </w:rPr>
  </w:style>
  <w:style w:type="paragraph" w:customStyle="1" w:styleId="ResumeText">
    <w:name w:val="Resume Text"/>
    <w:basedOn w:val="Normal"/>
    <w:qFormat/>
    <w:rsid w:val="003648C2"/>
    <w:pPr>
      <w:spacing w:before="40" w:after="40" w:line="288" w:lineRule="auto"/>
      <w:ind w:right="1440"/>
    </w:pPr>
    <w:rPr>
      <w:rFonts w:ascii="Garamond" w:eastAsiaTheme="minorEastAsia" w:hAnsi="Garamond"/>
      <w:color w:val="595959" w:themeColor="text1" w:themeTint="A6"/>
      <w:kern w:val="20"/>
      <w:szCs w:val="24"/>
      <w:lang w:val="en-US" w:eastAsia="ja-JP"/>
    </w:rPr>
  </w:style>
  <w:style w:type="character" w:customStyle="1" w:styleId="hps">
    <w:name w:val="hps"/>
    <w:rsid w:val="003648C2"/>
  </w:style>
  <w:style w:type="character" w:customStyle="1" w:styleId="shorttext">
    <w:name w:val="short_text"/>
    <w:rsid w:val="003648C2"/>
  </w:style>
  <w:style w:type="paragraph" w:customStyle="1" w:styleId="Journalfont">
    <w:name w:val="_Journal font"/>
    <w:qFormat/>
    <w:rsid w:val="003648C2"/>
    <w:pPr>
      <w:widowControl w:val="0"/>
      <w:spacing w:after="0" w:line="240" w:lineRule="exact"/>
      <w:jc w:val="both"/>
    </w:pPr>
    <w:rPr>
      <w:rFonts w:ascii="Times New Roman" w:eastAsia="Times New Roman" w:hAnsi="Times New Roman" w:cs="Times New Roman"/>
      <w:sz w:val="21"/>
      <w:szCs w:val="21"/>
      <w:lang w:val="en-US"/>
    </w:rPr>
  </w:style>
  <w:style w:type="character" w:styleId="PageNumber">
    <w:name w:val="page number"/>
    <w:basedOn w:val="DefaultParagraphFont"/>
    <w:rsid w:val="003648C2"/>
  </w:style>
  <w:style w:type="paragraph" w:customStyle="1" w:styleId="FootNoteReference0">
    <w:name w:val="_FootNote Reference"/>
    <w:basedOn w:val="Document"/>
    <w:link w:val="FootNoteReferenceChar"/>
    <w:qFormat/>
    <w:rsid w:val="003648C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Reference0"/>
    <w:qFormat/>
    <w:rsid w:val="003648C2"/>
    <w:pPr>
      <w:ind w:firstLine="320"/>
    </w:pPr>
  </w:style>
  <w:style w:type="character" w:customStyle="1" w:styleId="NoterefInText">
    <w:name w:val="_NoterefInText"/>
    <w:basedOn w:val="DefaultParagraphFont"/>
    <w:qFormat/>
    <w:rsid w:val="003648C2"/>
    <w:rPr>
      <w:rFonts w:ascii="Times New Roman" w:hAnsi="Times New Roman"/>
      <w:sz w:val="20"/>
      <w:szCs w:val="20"/>
      <w:vertAlign w:val="superscript"/>
    </w:rPr>
  </w:style>
  <w:style w:type="character" w:customStyle="1" w:styleId="NoterefInNote">
    <w:name w:val="_NoterefInNote"/>
    <w:basedOn w:val="DefaultParagraphFont"/>
    <w:qFormat/>
    <w:rsid w:val="003648C2"/>
    <w:rPr>
      <w:rFonts w:ascii="Times New Roman" w:hAnsi="Times New Roman"/>
      <w:sz w:val="20"/>
      <w:szCs w:val="17"/>
      <w:vertAlign w:val="superscript"/>
    </w:rPr>
  </w:style>
  <w:style w:type="paragraph" w:customStyle="1" w:styleId="1StQuoteFN">
    <w:name w:val="_1StQuoteFN"/>
    <w:basedOn w:val="FootNoteReference0"/>
    <w:next w:val="FootNoteReference0"/>
    <w:link w:val="1StQuoteFNChar"/>
    <w:qFormat/>
    <w:rsid w:val="003648C2"/>
    <w:pPr>
      <w:tabs>
        <w:tab w:val="clear" w:pos="480"/>
        <w:tab w:val="clear" w:pos="600"/>
        <w:tab w:val="left" w:pos="680"/>
      </w:tabs>
      <w:ind w:left="320" w:right="320"/>
    </w:pPr>
    <w:rPr>
      <w:szCs w:val="18"/>
    </w:rPr>
  </w:style>
  <w:style w:type="paragraph" w:customStyle="1" w:styleId="2NdQuoteFN">
    <w:name w:val="_2NdQuoteFN"/>
    <w:basedOn w:val="FootNoteReference0"/>
    <w:next w:val="FootNoteReference0"/>
    <w:qFormat/>
    <w:rsid w:val="003648C2"/>
    <w:pPr>
      <w:tabs>
        <w:tab w:val="clear" w:pos="480"/>
        <w:tab w:val="clear" w:pos="600"/>
        <w:tab w:val="left" w:pos="1020"/>
      </w:tabs>
      <w:spacing w:before="0"/>
      <w:ind w:left="640" w:right="320"/>
    </w:pPr>
    <w:rPr>
      <w:szCs w:val="18"/>
    </w:rPr>
  </w:style>
  <w:style w:type="paragraph" w:customStyle="1" w:styleId="3RdQuoteFN">
    <w:name w:val="_3RdQuoteFN"/>
    <w:basedOn w:val="FootNoteReference0"/>
    <w:next w:val="FootNoteReference0"/>
    <w:qFormat/>
    <w:rsid w:val="003648C2"/>
    <w:pPr>
      <w:tabs>
        <w:tab w:val="clear" w:pos="480"/>
        <w:tab w:val="clear" w:pos="600"/>
        <w:tab w:val="left" w:pos="1360"/>
      </w:tabs>
      <w:spacing w:before="0"/>
      <w:ind w:left="960" w:right="320"/>
    </w:pPr>
    <w:rPr>
      <w:szCs w:val="18"/>
    </w:rPr>
  </w:style>
  <w:style w:type="paragraph" w:customStyle="1" w:styleId="4ThQuoteFN">
    <w:name w:val="_4ThQuoteFN"/>
    <w:basedOn w:val="FootNoteReference0"/>
    <w:next w:val="FootNoteReference0"/>
    <w:qFormat/>
    <w:rsid w:val="003648C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648C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648C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648C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648C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648C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648C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648C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3648C2"/>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648C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648C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648C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648C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3648C2"/>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648C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648C2"/>
    <w:pPr>
      <w:keepNext/>
      <w:suppressLineNumbers/>
      <w:suppressAutoHyphens/>
      <w:spacing w:before="480" w:after="120"/>
    </w:pPr>
    <w:rPr>
      <w:b/>
    </w:rPr>
  </w:style>
  <w:style w:type="paragraph" w:customStyle="1" w:styleId="Head5-BookReviews">
    <w:name w:val="_Head5-BookReviews"/>
    <w:basedOn w:val="Journalfont"/>
    <w:next w:val="Document"/>
    <w:qFormat/>
    <w:rsid w:val="003648C2"/>
    <w:pPr>
      <w:keepNext/>
      <w:suppressLineNumbers/>
      <w:suppressAutoHyphens/>
      <w:spacing w:after="120"/>
    </w:pPr>
    <w:rPr>
      <w:b/>
    </w:rPr>
  </w:style>
  <w:style w:type="paragraph" w:customStyle="1" w:styleId="AuthorName1-Articles">
    <w:name w:val="_AuthorName1-Articles"/>
    <w:basedOn w:val="Journalfont"/>
    <w:next w:val="Document"/>
    <w:qFormat/>
    <w:rsid w:val="003648C2"/>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3648C2"/>
    <w:pPr>
      <w:keepNext/>
      <w:suppressLineNumbers/>
      <w:suppressAutoHyphens/>
      <w:spacing w:before="240"/>
      <w:jc w:val="right"/>
    </w:pPr>
    <w:rPr>
      <w:i/>
    </w:rPr>
  </w:style>
  <w:style w:type="paragraph" w:customStyle="1" w:styleId="AuthorName3-Reviews">
    <w:name w:val="_AuthorName3-Reviews"/>
    <w:basedOn w:val="Journalfont"/>
    <w:next w:val="Document"/>
    <w:qFormat/>
    <w:rsid w:val="003648C2"/>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648C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648C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648C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648C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648C2"/>
    <w:pPr>
      <w:keepNext/>
      <w:suppressLineNumbers/>
      <w:tabs>
        <w:tab w:val="left" w:pos="400"/>
      </w:tabs>
      <w:suppressAutoHyphens/>
      <w:spacing w:before="200" w:after="60"/>
      <w:jc w:val="left"/>
    </w:pPr>
  </w:style>
  <w:style w:type="paragraph" w:customStyle="1" w:styleId="END">
    <w:name w:val="_END"/>
    <w:basedOn w:val="Journalfont"/>
    <w:next w:val="Document"/>
    <w:rsid w:val="003648C2"/>
    <w:pPr>
      <w:keepNext/>
      <w:suppressLineNumbers/>
      <w:suppressAutoHyphens/>
      <w:spacing w:line="0" w:lineRule="atLeast"/>
      <w:jc w:val="left"/>
    </w:pPr>
  </w:style>
  <w:style w:type="paragraph" w:customStyle="1" w:styleId="1stLineQuoteFn-1Num">
    <w:name w:val="_1stLineQuoteFn-1Num"/>
    <w:basedOn w:val="1StQuoteFN"/>
    <w:next w:val="FootNoteReference0"/>
    <w:qFormat/>
    <w:rsid w:val="003648C2"/>
    <w:pPr>
      <w:tabs>
        <w:tab w:val="clear" w:pos="680"/>
        <w:tab w:val="left" w:pos="360"/>
        <w:tab w:val="left" w:pos="600"/>
      </w:tabs>
      <w:ind w:hanging="320"/>
    </w:pPr>
  </w:style>
  <w:style w:type="paragraph" w:customStyle="1" w:styleId="1stLineQuoteFn-2Num">
    <w:name w:val="_1stLineQuoteFn-2Num"/>
    <w:basedOn w:val="1StQuoteFN"/>
    <w:next w:val="FootNoteReference0"/>
    <w:link w:val="1stLineQuoteFn-2NumChar"/>
    <w:qFormat/>
    <w:rsid w:val="003648C2"/>
    <w:pPr>
      <w:widowControl/>
      <w:suppressLineNumbers w:val="0"/>
      <w:tabs>
        <w:tab w:val="left" w:pos="260"/>
      </w:tabs>
      <w:ind w:hanging="320"/>
    </w:pPr>
  </w:style>
  <w:style w:type="paragraph" w:customStyle="1" w:styleId="1stLineQuoteFn-3Num">
    <w:name w:val="_1stLineQuoteFn-3Num"/>
    <w:basedOn w:val="1StQuoteFN"/>
    <w:qFormat/>
    <w:rsid w:val="003648C2"/>
    <w:pPr>
      <w:widowControl/>
      <w:suppressLineNumbers w:val="0"/>
      <w:tabs>
        <w:tab w:val="left" w:pos="160"/>
      </w:tabs>
      <w:ind w:hanging="320"/>
    </w:pPr>
  </w:style>
  <w:style w:type="paragraph" w:styleId="TOC10">
    <w:name w:val="toc 1"/>
    <w:basedOn w:val="Toc1"/>
    <w:next w:val="Journalfont"/>
    <w:autoRedefine/>
    <w:uiPriority w:val="39"/>
    <w:rsid w:val="003648C2"/>
  </w:style>
  <w:style w:type="paragraph" w:styleId="TOC20">
    <w:name w:val="toc 2"/>
    <w:basedOn w:val="Toc2"/>
    <w:next w:val="Journalfont"/>
    <w:autoRedefine/>
    <w:uiPriority w:val="39"/>
    <w:rsid w:val="003648C2"/>
    <w:pPr>
      <w:tabs>
        <w:tab w:val="left" w:pos="1320"/>
      </w:tabs>
    </w:pPr>
  </w:style>
  <w:style w:type="paragraph" w:styleId="TOC30">
    <w:name w:val="toc 3"/>
    <w:basedOn w:val="Toc3"/>
    <w:next w:val="Journalfont"/>
    <w:autoRedefine/>
    <w:uiPriority w:val="39"/>
    <w:rsid w:val="003648C2"/>
  </w:style>
  <w:style w:type="paragraph" w:styleId="TOC40">
    <w:name w:val="toc 4"/>
    <w:basedOn w:val="Toc4"/>
    <w:next w:val="Journalfont"/>
    <w:autoRedefine/>
    <w:uiPriority w:val="39"/>
    <w:rsid w:val="003648C2"/>
  </w:style>
  <w:style w:type="paragraph" w:styleId="TOC50">
    <w:name w:val="toc 5"/>
    <w:basedOn w:val="Toc5"/>
    <w:next w:val="Journalfont"/>
    <w:autoRedefine/>
    <w:uiPriority w:val="39"/>
    <w:rsid w:val="003648C2"/>
  </w:style>
  <w:style w:type="character" w:customStyle="1" w:styleId="FootNoteReferenceChar">
    <w:name w:val="_FootNote Reference Char"/>
    <w:basedOn w:val="DocumentChar"/>
    <w:link w:val="FootNoteReference0"/>
    <w:rsid w:val="003648C2"/>
    <w:rPr>
      <w:rFonts w:ascii="Times New Roman" w:eastAsia="Times New Roman" w:hAnsi="Times New Roman" w:cs="Times New Roman"/>
      <w:sz w:val="18"/>
      <w:szCs w:val="21"/>
      <w:lang w:val="en-US"/>
    </w:rPr>
  </w:style>
  <w:style w:type="character" w:customStyle="1" w:styleId="1StQuoteFNChar">
    <w:name w:val="_1StQuoteFN Char"/>
    <w:basedOn w:val="FootNoteReferenceChar"/>
    <w:link w:val="1StQuoteFN"/>
    <w:rsid w:val="003648C2"/>
    <w:rPr>
      <w:rFonts w:ascii="Times New Roman" w:eastAsia="Times New Roman" w:hAnsi="Times New Roman" w:cs="Times New Roman"/>
      <w:sz w:val="18"/>
      <w:szCs w:val="18"/>
      <w:lang w:val="en-US"/>
    </w:rPr>
  </w:style>
  <w:style w:type="character" w:customStyle="1" w:styleId="1stLineQuoteFn-2NumChar">
    <w:name w:val="_1stLineQuoteFn-2Num Char"/>
    <w:basedOn w:val="1StQuoteFNChar"/>
    <w:link w:val="1stLineQuoteFn-2Num"/>
    <w:rsid w:val="003648C2"/>
    <w:rPr>
      <w:rFonts w:ascii="Times New Roman" w:eastAsia="Times New Roman" w:hAnsi="Times New Roman" w:cs="Times New Roman"/>
      <w:sz w:val="18"/>
      <w:szCs w:val="18"/>
      <w:lang w:val="en-US"/>
    </w:rPr>
  </w:style>
  <w:style w:type="paragraph" w:customStyle="1" w:styleId="header0">
    <w:name w:val="_header"/>
    <w:basedOn w:val="Header"/>
    <w:rsid w:val="003648C2"/>
    <w:pPr>
      <w:pBdr>
        <w:top w:val="single" w:sz="6" w:space="1" w:color="auto"/>
        <w:bottom w:val="single" w:sz="6" w:space="1" w:color="auto"/>
      </w:pBdr>
      <w:tabs>
        <w:tab w:val="clear" w:pos="4513"/>
        <w:tab w:val="clear" w:pos="9026"/>
        <w:tab w:val="right" w:pos="6480"/>
      </w:tabs>
    </w:pPr>
    <w:rPr>
      <w:rFonts w:ascii="Times New Roman" w:eastAsia="Times New Roman" w:hAnsi="Times New Roman" w:cs="Times New Roman"/>
      <w:smallCaps/>
      <w:sz w:val="14"/>
      <w:szCs w:val="20"/>
      <w:lang w:val="en-US"/>
    </w:rPr>
  </w:style>
  <w:style w:type="paragraph" w:styleId="Revision">
    <w:name w:val="Revision"/>
    <w:hidden/>
    <w:uiPriority w:val="99"/>
    <w:semiHidden/>
    <w:rsid w:val="003648C2"/>
    <w:pPr>
      <w:spacing w:after="0" w:line="240" w:lineRule="auto"/>
    </w:pPr>
    <w:rPr>
      <w:lang w:val="en-US"/>
    </w:rPr>
  </w:style>
  <w:style w:type="character" w:styleId="CommentReference">
    <w:name w:val="annotation reference"/>
    <w:basedOn w:val="DefaultParagraphFont"/>
    <w:uiPriority w:val="99"/>
    <w:unhideWhenUsed/>
    <w:rsid w:val="003648C2"/>
    <w:rPr>
      <w:sz w:val="16"/>
      <w:szCs w:val="16"/>
    </w:rPr>
  </w:style>
  <w:style w:type="paragraph" w:styleId="CommentText">
    <w:name w:val="annotation text"/>
    <w:basedOn w:val="Normal"/>
    <w:link w:val="CommentTextChar"/>
    <w:uiPriority w:val="99"/>
    <w:unhideWhenUsed/>
    <w:rsid w:val="003648C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648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8C2"/>
    <w:rPr>
      <w:b/>
      <w:bCs/>
    </w:rPr>
  </w:style>
  <w:style w:type="character" w:customStyle="1" w:styleId="CommentSubjectChar">
    <w:name w:val="Comment Subject Char"/>
    <w:basedOn w:val="CommentTextChar"/>
    <w:link w:val="CommentSubject"/>
    <w:uiPriority w:val="99"/>
    <w:semiHidden/>
    <w:rsid w:val="003648C2"/>
    <w:rPr>
      <w:rFonts w:ascii="Times New Roman" w:eastAsia="Times New Roman" w:hAnsi="Times New Roman" w:cs="Times New Roman"/>
      <w:b/>
      <w:bCs/>
      <w:sz w:val="20"/>
      <w:szCs w:val="20"/>
      <w:lang w:val="en-US"/>
    </w:rPr>
  </w:style>
  <w:style w:type="character" w:customStyle="1" w:styleId="UnresolvedMention10">
    <w:name w:val="Unresolved Mention1"/>
    <w:basedOn w:val="DefaultParagraphFont"/>
    <w:uiPriority w:val="99"/>
    <w:semiHidden/>
    <w:unhideWhenUsed/>
    <w:rsid w:val="003648C2"/>
    <w:rPr>
      <w:color w:val="605E5C"/>
      <w:shd w:val="clear" w:color="auto" w:fill="E1DFDD"/>
    </w:rPr>
  </w:style>
  <w:style w:type="character" w:styleId="FollowedHyperlink">
    <w:name w:val="FollowedHyperlink"/>
    <w:basedOn w:val="DefaultParagraphFont"/>
    <w:uiPriority w:val="99"/>
    <w:semiHidden/>
    <w:unhideWhenUsed/>
    <w:rsid w:val="003648C2"/>
    <w:rPr>
      <w:color w:val="954F72" w:themeColor="followedHyperlink"/>
      <w:u w:val="single"/>
    </w:rPr>
  </w:style>
  <w:style w:type="paragraph" w:styleId="BodyText">
    <w:name w:val="Body Text"/>
    <w:basedOn w:val="Normal"/>
    <w:link w:val="BodyTextChar"/>
    <w:uiPriority w:val="1"/>
    <w:qFormat/>
    <w:rsid w:val="003648C2"/>
    <w:pPr>
      <w:widowControl w:val="0"/>
      <w:spacing w:after="0" w:line="240" w:lineRule="auto"/>
      <w:ind w:left="120"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648C2"/>
    <w:rPr>
      <w:rFonts w:ascii="Times New Roman" w:eastAsia="Times New Roman" w:hAnsi="Times New Roman"/>
      <w:sz w:val="24"/>
      <w:szCs w:val="24"/>
      <w:lang w:val="en-US"/>
    </w:rPr>
  </w:style>
  <w:style w:type="paragraph" w:styleId="ListParagraph">
    <w:name w:val="List Paragraph"/>
    <w:basedOn w:val="Normal"/>
    <w:uiPriority w:val="34"/>
    <w:qFormat/>
    <w:rsid w:val="003648C2"/>
    <w:pPr>
      <w:widowControl w:val="0"/>
      <w:spacing w:after="0" w:line="240" w:lineRule="auto"/>
    </w:pPr>
    <w:rPr>
      <w:rFonts w:eastAsiaTheme="minorEastAsia"/>
      <w:lang w:val="en-US"/>
    </w:rPr>
  </w:style>
  <w:style w:type="paragraph" w:customStyle="1" w:styleId="TableParagraph">
    <w:name w:val="Table Paragraph"/>
    <w:basedOn w:val="Normal"/>
    <w:uiPriority w:val="1"/>
    <w:qFormat/>
    <w:rsid w:val="003648C2"/>
    <w:pPr>
      <w:widowControl w:val="0"/>
      <w:spacing w:after="0" w:line="240" w:lineRule="auto"/>
    </w:pPr>
    <w:rPr>
      <w:rFonts w:eastAsiaTheme="minorEastAsia"/>
      <w:lang w:val="en-US"/>
    </w:rPr>
  </w:style>
  <w:style w:type="character" w:styleId="Strong">
    <w:name w:val="Strong"/>
    <w:uiPriority w:val="22"/>
    <w:qFormat/>
    <w:rsid w:val="003648C2"/>
    <w:rPr>
      <w:b/>
      <w:bCs/>
    </w:rPr>
  </w:style>
  <w:style w:type="character" w:customStyle="1" w:styleId="UnresolvedMention2">
    <w:name w:val="Unresolved Mention2"/>
    <w:basedOn w:val="DefaultParagraphFont"/>
    <w:uiPriority w:val="99"/>
    <w:semiHidden/>
    <w:unhideWhenUsed/>
    <w:rsid w:val="003648C2"/>
    <w:rPr>
      <w:color w:val="605E5C"/>
      <w:shd w:val="clear" w:color="auto" w:fill="E1DFDD"/>
    </w:rPr>
  </w:style>
  <w:style w:type="character" w:customStyle="1" w:styleId="UnresolvedMention3">
    <w:name w:val="Unresolved Mention3"/>
    <w:basedOn w:val="DefaultParagraphFont"/>
    <w:uiPriority w:val="99"/>
    <w:semiHidden/>
    <w:unhideWhenUsed/>
    <w:rsid w:val="003648C2"/>
    <w:rPr>
      <w:color w:val="605E5C"/>
      <w:shd w:val="clear" w:color="auto" w:fill="E1DFDD"/>
    </w:rPr>
  </w:style>
  <w:style w:type="paragraph" w:customStyle="1" w:styleId="paragraph">
    <w:name w:val="paragraph"/>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3648C2"/>
  </w:style>
  <w:style w:type="character" w:customStyle="1" w:styleId="eop">
    <w:name w:val="eop"/>
    <w:basedOn w:val="DefaultParagraphFont"/>
    <w:rsid w:val="003648C2"/>
  </w:style>
  <w:style w:type="paragraph" w:customStyle="1" w:styleId="BODYTEXT0">
    <w:name w:val="[ BODY TEXT ]"/>
    <w:rsid w:val="003648C2"/>
    <w:pPr>
      <w:spacing w:after="0" w:line="360" w:lineRule="auto"/>
      <w:ind w:firstLine="720"/>
    </w:pPr>
    <w:rPr>
      <w:rFonts w:ascii="Times New Roman" w:eastAsia="ヒラギノ角ゴ Pro W3" w:hAnsi="Times New Roman" w:cs="Times New Roman"/>
      <w:color w:val="000000"/>
      <w:kern w:val="24"/>
      <w:sz w:val="24"/>
      <w:szCs w:val="20"/>
      <w:lang w:val="en-US"/>
    </w:rPr>
  </w:style>
  <w:style w:type="paragraph" w:customStyle="1" w:styleId="QUOTATIONLONG">
    <w:name w:val="[ QUOTATION LONG ]"/>
    <w:rsid w:val="003648C2"/>
    <w:pPr>
      <w:spacing w:after="220" w:line="276" w:lineRule="auto"/>
      <w:ind w:left="720" w:right="720"/>
      <w:contextualSpacing/>
    </w:pPr>
    <w:rPr>
      <w:rFonts w:ascii="Times New Roman" w:eastAsia="ヒラギノ角ゴ Pro W3" w:hAnsi="Times New Roman" w:cs="Times New Roman"/>
      <w:color w:val="000000"/>
      <w:kern w:val="24"/>
      <w:sz w:val="24"/>
      <w:szCs w:val="20"/>
      <w:lang w:val="en-CA" w:bidi="he-IL"/>
    </w:rPr>
  </w:style>
  <w:style w:type="paragraph" w:customStyle="1" w:styleId="BODYFIRSTPARAGRAPH">
    <w:name w:val="[ BODY FIRST PARAGRAPH ]"/>
    <w:basedOn w:val="BODYTEXT0"/>
    <w:qFormat/>
    <w:rsid w:val="003648C2"/>
    <w:pPr>
      <w:ind w:firstLine="0"/>
    </w:pPr>
    <w:rPr>
      <w:lang w:bidi="he-IL"/>
    </w:rPr>
  </w:style>
  <w:style w:type="character" w:customStyle="1" w:styleId="tosptmuxyt">
    <w:name w:val="[ tospt muxyt ]"/>
    <w:uiPriority w:val="1"/>
    <w:qFormat/>
    <w:rsid w:val="003648C2"/>
    <w:rPr>
      <w:color w:val="00B050"/>
      <w:lang w:bidi="he-IL"/>
    </w:rPr>
  </w:style>
  <w:style w:type="paragraph" w:styleId="NormalWeb">
    <w:name w:val="Normal (Web)"/>
    <w:basedOn w:val="Normal"/>
    <w:uiPriority w:val="99"/>
    <w:unhideWhenUsed/>
    <w:rsid w:val="0036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648C2"/>
  </w:style>
  <w:style w:type="paragraph" w:styleId="TOCHeading">
    <w:name w:val="TOC Heading"/>
    <w:basedOn w:val="Heading1"/>
    <w:next w:val="Normal"/>
    <w:uiPriority w:val="39"/>
    <w:unhideWhenUsed/>
    <w:qFormat/>
    <w:rsid w:val="003648C2"/>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TMLCite">
    <w:name w:val="HTML Cite"/>
    <w:basedOn w:val="DefaultParagraphFont"/>
    <w:uiPriority w:val="99"/>
    <w:semiHidden/>
    <w:unhideWhenUsed/>
    <w:rsid w:val="003648C2"/>
    <w:rPr>
      <w:i/>
      <w:iCs/>
    </w:rPr>
  </w:style>
  <w:style w:type="character" w:customStyle="1" w:styleId="apple-converted-space">
    <w:name w:val="apple-converted-space"/>
    <w:basedOn w:val="DefaultParagraphFont"/>
    <w:rsid w:val="003648C2"/>
  </w:style>
  <w:style w:type="character" w:customStyle="1" w:styleId="emphasistypeitalic">
    <w:name w:val="emphasistypeitalic"/>
    <w:basedOn w:val="DefaultParagraphFont"/>
    <w:rsid w:val="003648C2"/>
  </w:style>
  <w:style w:type="paragraph" w:customStyle="1" w:styleId="author">
    <w:name w:val="author"/>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UnresolvedMention4">
    <w:name w:val="Unresolved Mention4"/>
    <w:basedOn w:val="DefaultParagraphFont"/>
    <w:uiPriority w:val="99"/>
    <w:semiHidden/>
    <w:unhideWhenUsed/>
    <w:rsid w:val="003648C2"/>
    <w:rPr>
      <w:color w:val="605E5C"/>
      <w:shd w:val="clear" w:color="auto" w:fill="E1DFDD"/>
    </w:rPr>
  </w:style>
  <w:style w:type="paragraph" w:customStyle="1" w:styleId="FootNote">
    <w:name w:val="_FootNote"/>
    <w:basedOn w:val="Normal"/>
    <w:link w:val="FootNoteChar"/>
    <w:qFormat/>
    <w:rsid w:val="003648C2"/>
    <w:pPr>
      <w:widowControl w:val="0"/>
      <w:suppressLineNumbers/>
      <w:tabs>
        <w:tab w:val="right" w:pos="480"/>
        <w:tab w:val="left" w:pos="600"/>
      </w:tabs>
      <w:spacing w:before="20" w:after="0" w:line="190" w:lineRule="exact"/>
      <w:jc w:val="both"/>
    </w:pPr>
    <w:rPr>
      <w:rFonts w:ascii="Times New Roman" w:eastAsia="Times New Roman" w:hAnsi="Times New Roman" w:cs="Times New Roman"/>
      <w:sz w:val="18"/>
      <w:szCs w:val="21"/>
      <w:lang w:val="en-US"/>
    </w:rPr>
  </w:style>
  <w:style w:type="character" w:customStyle="1" w:styleId="FootNoteChar">
    <w:name w:val="_FootNote Char"/>
    <w:basedOn w:val="DefaultParagraphFont"/>
    <w:link w:val="FootNote"/>
    <w:rsid w:val="003648C2"/>
    <w:rPr>
      <w:rFonts w:ascii="Times New Roman" w:eastAsia="Times New Roman" w:hAnsi="Times New Roman" w:cs="Times New Roman"/>
      <w:sz w:val="18"/>
      <w:szCs w:val="21"/>
      <w:lang w:val="en-US"/>
    </w:rPr>
  </w:style>
  <w:style w:type="character" w:customStyle="1" w:styleId="UnresolvedMention5">
    <w:name w:val="Unresolved Mention5"/>
    <w:basedOn w:val="DefaultParagraphFont"/>
    <w:uiPriority w:val="99"/>
    <w:semiHidden/>
    <w:unhideWhenUsed/>
    <w:rsid w:val="003648C2"/>
    <w:rPr>
      <w:color w:val="605E5C"/>
      <w:shd w:val="clear" w:color="auto" w:fill="E1DFDD"/>
    </w:rPr>
  </w:style>
  <w:style w:type="character" w:styleId="UnresolvedMention">
    <w:name w:val="Unresolved Mention"/>
    <w:basedOn w:val="DefaultParagraphFont"/>
    <w:uiPriority w:val="99"/>
    <w:semiHidden/>
    <w:unhideWhenUsed/>
    <w:rsid w:val="0031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3961">
      <w:bodyDiv w:val="1"/>
      <w:marLeft w:val="0"/>
      <w:marRight w:val="0"/>
      <w:marTop w:val="0"/>
      <w:marBottom w:val="0"/>
      <w:divBdr>
        <w:top w:val="none" w:sz="0" w:space="0" w:color="auto"/>
        <w:left w:val="none" w:sz="0" w:space="0" w:color="auto"/>
        <w:bottom w:val="none" w:sz="0" w:space="0" w:color="auto"/>
        <w:right w:val="none" w:sz="0" w:space="0" w:color="auto"/>
      </w:divBdr>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news/uk-52157620" TargetMode="External"/><Relationship Id="rId13" Type="http://schemas.openxmlformats.org/officeDocument/2006/relationships/hyperlink" Target="https://www.bbc.co.uk/news/uk-england-london-65456335" TargetMode="External"/><Relationship Id="rId3" Type="http://schemas.openxmlformats.org/officeDocument/2006/relationships/hyperlink" Target="https://www.statista.com/statistics/1350908/uk-industrial-action-working-days-lost/" TargetMode="External"/><Relationship Id="rId7" Type="http://schemas.openxmlformats.org/officeDocument/2006/relationships/hyperlink" Target="https://www.independent.co.uk/news/uk/suella-braverman-home-secretary-government-policy-government-channel-b2195625.html" TargetMode="External"/><Relationship Id="rId12" Type="http://schemas.openxmlformats.org/officeDocument/2006/relationships/hyperlink" Target="https://www.coe.int/en/web/gender-matters/what-causes-gender-based-violence" TargetMode="External"/><Relationship Id="rId17" Type="http://schemas.openxmlformats.org/officeDocument/2006/relationships/hyperlink" Target="https://www.theguardian.com/news/2023/jun/20/andrew-tate-romanian-prosecutors-trial" TargetMode="External"/><Relationship Id="rId2" Type="http://schemas.openxmlformats.org/officeDocument/2006/relationships/hyperlink" Target="http://eprints.lse.ac.uk/20931/1/Union_Negotiators.pdf" TargetMode="External"/><Relationship Id="rId16" Type="http://schemas.openxmlformats.org/officeDocument/2006/relationships/hyperlink" Target="https://foundationaleconomycom.files.wordpress.com/2019/05/morriston-report-v6-13-may-2019.pdf" TargetMode="External"/><Relationship Id="rId1" Type="http://schemas.openxmlformats.org/officeDocument/2006/relationships/hyperlink" Target="https://yalereview.org/article/pandemic-inequality" TargetMode="External"/><Relationship Id="rId6" Type="http://schemas.openxmlformats.org/officeDocument/2006/relationships/hyperlink" Target="https://www.lbc.co.uk/radio/presenters/andrew-pierce/peer-curfew-men-staggered-misogynistic-hissy-fit-reaction/" TargetMode="External"/><Relationship Id="rId11" Type="http://schemas.openxmlformats.org/officeDocument/2006/relationships/hyperlink" Target="https://www.equalityhumanrights.com/sites/default/files/attitudes_to_transgender_people.pdf" TargetMode="External"/><Relationship Id="rId5" Type="http://schemas.openxmlformats.org/officeDocument/2006/relationships/hyperlink" Target="https://www.instituteforgovernment.org.uk/explainer/gender-balance-politics" TargetMode="External"/><Relationship Id="rId15" Type="http://schemas.openxmlformats.org/officeDocument/2006/relationships/hyperlink" Target="https://www.local.gov.uk/parliament/briefings-and-responses/debate-violence-against-women-and-girls-uk-house-lords-29-june" TargetMode="External"/><Relationship Id="rId10" Type="http://schemas.openxmlformats.org/officeDocument/2006/relationships/hyperlink" Target="https://www.newyorker.com/magazine/2014/08/04/woman-2" TargetMode="External"/><Relationship Id="rId4" Type="http://schemas.openxmlformats.org/officeDocument/2006/relationships/hyperlink" Target="https://www.thesun.co.uk/news/14282089/sarah-everard-missing-cctv-home-brixton/" TargetMode="External"/><Relationship Id="rId9" Type="http://schemas.openxmlformats.org/officeDocument/2006/relationships/hyperlink" Target="https://www.nhs.uk/live-well/getting-help-for-domestic-violence/" TargetMode="External"/><Relationship Id="rId14" Type="http://schemas.openxmlformats.org/officeDocument/2006/relationships/hyperlink" Target="https://womenspioneer.co.uk/domestic-ab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86ED-6593-4251-97E4-8FEB389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-DESKTOP-G1R2S2K.dotx</Template>
  <TotalTime>2</TotalTime>
  <Pages>22</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3</cp:revision>
  <dcterms:created xsi:type="dcterms:W3CDTF">2024-07-18T17:13:00Z</dcterms:created>
  <dcterms:modified xsi:type="dcterms:W3CDTF">2024-07-18T17:36:00Z</dcterms:modified>
</cp:coreProperties>
</file>