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77" w:rsidRPr="00CF0A77" w:rsidRDefault="00CF0A77" w:rsidP="00CF0A77">
      <w:pPr>
        <w:rPr>
          <w:sz w:val="56"/>
          <w:szCs w:val="56"/>
        </w:rPr>
      </w:pPr>
      <w:r w:rsidRPr="00CF0A77">
        <w:rPr>
          <w:sz w:val="56"/>
          <w:szCs w:val="56"/>
        </w:rPr>
        <w:t>Mental Health Inquiries – Views from the Chair</w:t>
      </w:r>
    </w:p>
    <w:p w:rsidR="00FC4CC9" w:rsidRPr="00CF0A77" w:rsidRDefault="0096768E" w:rsidP="00CF0A77">
      <w:pPr>
        <w:rPr>
          <w:i/>
          <w:iCs/>
          <w:sz w:val="28"/>
        </w:rPr>
      </w:pPr>
      <w:r>
        <w:rPr>
          <w:i/>
          <w:iCs/>
          <w:sz w:val="28"/>
        </w:rPr>
        <w:t xml:space="preserve">Herschel </w:t>
      </w:r>
      <w:proofErr w:type="spellStart"/>
      <w:r>
        <w:rPr>
          <w:i/>
          <w:iCs/>
          <w:sz w:val="28"/>
        </w:rPr>
        <w:t>Prins</w:t>
      </w:r>
      <w:proofErr w:type="spellEnd"/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CF0A77" w:rsidRDefault="00CF0A77" w:rsidP="00CF0A77"/>
    <w:p w:rsidR="00CF0A77" w:rsidRPr="00CF0A77" w:rsidRDefault="00CF0A77" w:rsidP="00CF0A77">
      <w:r w:rsidRPr="00CF0A77">
        <w:t>The data to be presented in this contribution form part of a more detailed account which will</w:t>
      </w:r>
      <w:r>
        <w:t xml:space="preserve"> </w:t>
      </w:r>
      <w:r w:rsidRPr="00CF0A77">
        <w:t>appear as a Chapter in a book entitled ‘The Age of the Inquiry’ edited by Nicky Stanley and Jill</w:t>
      </w:r>
      <w:r>
        <w:t xml:space="preserve"> </w:t>
      </w:r>
      <w:proofErr w:type="spellStart"/>
      <w:r w:rsidRPr="00CF0A77">
        <w:t>Manthorpe</w:t>
      </w:r>
      <w:proofErr w:type="spellEnd"/>
      <w:r w:rsidRPr="00CF0A77">
        <w:t xml:space="preserve"> of Hull University, for Routledge (April 2004). The material is produced here with</w:t>
      </w:r>
      <w:r>
        <w:t xml:space="preserve"> </w:t>
      </w:r>
      <w:r w:rsidRPr="00CF0A77">
        <w:t>their kind permission. My brief from the editors was to write about my experiences of chairing</w:t>
      </w:r>
      <w:r>
        <w:t xml:space="preserve"> </w:t>
      </w:r>
      <w:r w:rsidRPr="00CF0A77">
        <w:t>mental health inquiries since hardly anything seemed to have been written about how those who</w:t>
      </w:r>
      <w:r>
        <w:t xml:space="preserve"> </w:t>
      </w:r>
      <w:r w:rsidRPr="00CF0A77">
        <w:t>chair inquiries and their colleagues viewed the problems they encountered. Although I had chaired</w:t>
      </w:r>
      <w:r>
        <w:t xml:space="preserve"> </w:t>
      </w:r>
      <w:r w:rsidRPr="00CF0A77">
        <w:t>three mental health inquiries I considered that my own responses might be seen as somewhat</w:t>
      </w:r>
      <w:r>
        <w:t xml:space="preserve"> </w:t>
      </w:r>
      <w:r w:rsidRPr="00CF0A77">
        <w:t>idiosyncratic and partial. I therefore decided to solicit the views of a small number of those who</w:t>
      </w:r>
      <w:r>
        <w:t xml:space="preserve"> </w:t>
      </w:r>
      <w:r w:rsidRPr="00CF0A77">
        <w:t>had also chaired such inquiries in the mental health field, including, in the main, homicide</w:t>
      </w:r>
      <w:r>
        <w:t xml:space="preserve"> </w:t>
      </w:r>
      <w:r w:rsidRPr="00CF0A77">
        <w:t>inquiries.</w:t>
      </w:r>
      <w:r w:rsidR="0096768E">
        <w:rPr>
          <w:rStyle w:val="FootnoteReference"/>
        </w:rPr>
        <w:footnoteReference w:id="2"/>
      </w:r>
    </w:p>
    <w:p w:rsidR="00CF0A77" w:rsidRDefault="00CF0A77" w:rsidP="00CF0A77">
      <w:r w:rsidRPr="00CF0A77">
        <w:t xml:space="preserve">The three inquiries were all somewhat different. The </w:t>
      </w:r>
      <w:r w:rsidRPr="00CF0A77">
        <w:rPr>
          <w:i/>
          <w:iCs/>
        </w:rPr>
        <w:t xml:space="preserve">first </w:t>
      </w:r>
      <w:r w:rsidRPr="00CF0A77">
        <w:t xml:space="preserve">was into the sudden death of an African-Caribbean offender-patient following seclusion; the </w:t>
      </w:r>
      <w:r w:rsidRPr="00CF0A77">
        <w:rPr>
          <w:i/>
          <w:iCs/>
        </w:rPr>
        <w:t xml:space="preserve">second </w:t>
      </w:r>
      <w:r w:rsidRPr="00CF0A77">
        <w:t>was an inquiry into the circumstances in</w:t>
      </w:r>
      <w:r>
        <w:t xml:space="preserve"> </w:t>
      </w:r>
      <w:r w:rsidRPr="00CF0A77">
        <w:t>which a detained sex offender-patient had absconded from escorted day leave to a Zoo and theme</w:t>
      </w:r>
      <w:r>
        <w:t xml:space="preserve"> </w:t>
      </w:r>
      <w:r w:rsidRPr="00CF0A77">
        <w:t>park. Both these cases attracted a good deal of media publicity and a number of sensitive issues</w:t>
      </w:r>
      <w:r>
        <w:t xml:space="preserve"> </w:t>
      </w:r>
      <w:r w:rsidRPr="00CF0A77">
        <w:t xml:space="preserve">were involved. The </w:t>
      </w:r>
      <w:r w:rsidRPr="00CF0A77">
        <w:rPr>
          <w:i/>
          <w:iCs/>
        </w:rPr>
        <w:t xml:space="preserve">third </w:t>
      </w:r>
      <w:r w:rsidRPr="00CF0A77">
        <w:t>was a ‘homicide inquiry’ into the circumstances in which a former patient</w:t>
      </w:r>
      <w:r>
        <w:t xml:space="preserve"> </w:t>
      </w:r>
      <w:r w:rsidRPr="00CF0A77">
        <w:t>of the mental health and allied services had killed a vagrant in the centre of Leicester.</w:t>
      </w:r>
      <w:r>
        <w:t xml:space="preserve"> </w:t>
      </w:r>
      <w:r w:rsidRPr="00CF0A77">
        <w:t>This inquiry also had some unusual aspects, since several agencies were involved in addition to the</w:t>
      </w:r>
      <w:r>
        <w:t xml:space="preserve"> </w:t>
      </w:r>
      <w:r w:rsidRPr="00CF0A77">
        <w:t>mental health service (probation, education, social services and the voluntary sector). One or two</w:t>
      </w:r>
      <w:r>
        <w:t xml:space="preserve"> </w:t>
      </w:r>
      <w:r w:rsidRPr="00CF0A77">
        <w:t>of these services considered that we were exceeding our remit in including them in the inquiry.</w:t>
      </w:r>
      <w:r>
        <w:t xml:space="preserve"> </w:t>
      </w:r>
      <w:r w:rsidRPr="00CF0A77">
        <w:t>However, for reasons that are contained in our report, we felt we were highly justified in doing so.</w:t>
      </w:r>
    </w:p>
    <w:p w:rsidR="001A2C7C" w:rsidRPr="001A2C7C" w:rsidRDefault="001A2C7C" w:rsidP="001A2C7C">
      <w:r w:rsidRPr="001A2C7C">
        <w:t>Much has been written in recent years about mental health and allied inquiries and most of them</w:t>
      </w:r>
      <w:r>
        <w:t xml:space="preserve"> </w:t>
      </w:r>
      <w:r w:rsidRPr="001A2C7C">
        <w:t>have common findings.</w:t>
      </w:r>
      <w:r>
        <w:rPr>
          <w:rStyle w:val="FootnoteReference"/>
        </w:rPr>
        <w:footnoteReference w:id="3"/>
      </w:r>
      <w:r w:rsidRPr="001A2C7C">
        <w:t xml:space="preserve"> As already indicated, little appears to have been written about the view</w:t>
      </w:r>
      <w:r>
        <w:t xml:space="preserve"> </w:t>
      </w:r>
      <w:r w:rsidRPr="001A2C7C">
        <w:lastRenderedPageBreak/>
        <w:t>from the ‘other side of the table’. Debate has continued about private or public inquiries, their cost,</w:t>
      </w:r>
      <w:r>
        <w:t xml:space="preserve"> </w:t>
      </w:r>
      <w:r w:rsidRPr="001A2C7C">
        <w:t>their purpose etc. My questions to the respondents bore these (and allied) considerations in mind.</w:t>
      </w:r>
    </w:p>
    <w:p w:rsidR="001A2C7C" w:rsidRDefault="001A2C7C" w:rsidP="001E62CD">
      <w:r w:rsidRPr="001A2C7C">
        <w:t>It is worthwhile noting here that a number of homicide inquiries pre-dated the central government</w:t>
      </w:r>
      <w:r>
        <w:t xml:space="preserve"> </w:t>
      </w:r>
      <w:r w:rsidRPr="001A2C7C">
        <w:t>requirement to hold them from 1994 onwards,</w:t>
      </w:r>
      <w:r w:rsidR="001E62CD">
        <w:rPr>
          <w:rStyle w:val="FootnoteReference"/>
        </w:rPr>
        <w:footnoteReference w:id="4"/>
      </w:r>
      <w:r w:rsidRPr="001A2C7C">
        <w:t xml:space="preserve"> a significant inquiry being that into the homicides</w:t>
      </w:r>
      <w:r>
        <w:t xml:space="preserve"> </w:t>
      </w:r>
      <w:r w:rsidRPr="001A2C7C">
        <w:t>committed by Graham Young.</w:t>
      </w:r>
      <w:r w:rsidR="001E62CD">
        <w:rPr>
          <w:rStyle w:val="FootnoteReference"/>
        </w:rPr>
        <w:footnoteReference w:id="5"/>
      </w:r>
      <w:r w:rsidRPr="001A2C7C">
        <w:t xml:space="preserve"> Other important cases were those of Sharon Campbell, who</w:t>
      </w:r>
      <w:r>
        <w:t xml:space="preserve"> </w:t>
      </w:r>
      <w:r w:rsidRPr="001A2C7C">
        <w:t>stabbed to death her former social worker Isabel Schwarz,</w:t>
      </w:r>
      <w:r w:rsidR="001E62CD">
        <w:rPr>
          <w:rStyle w:val="FootnoteReference"/>
        </w:rPr>
        <w:footnoteReference w:id="6"/>
      </w:r>
      <w:r w:rsidRPr="001A2C7C">
        <w:t xml:space="preserve"> and Carol Barratt, a young woman who</w:t>
      </w:r>
      <w:r>
        <w:t xml:space="preserve"> </w:t>
      </w:r>
      <w:r w:rsidRPr="001A2C7C">
        <w:t>stabbed to death an 11-year-old girl in a shopping mall following detention under Section 2 of the</w:t>
      </w:r>
      <w:r>
        <w:t xml:space="preserve"> </w:t>
      </w:r>
      <w:r w:rsidRPr="001A2C7C">
        <w:t>Mental Health Act 1983. A Mental Health Review Tribunal had ruled firmly against discharge but</w:t>
      </w:r>
      <w:r>
        <w:t xml:space="preserve"> </w:t>
      </w:r>
      <w:r w:rsidRPr="001A2C7C">
        <w:t>the Responsible Medical Officer (RMO) discharged her following representations by the patient’s</w:t>
      </w:r>
      <w:r>
        <w:t xml:space="preserve"> </w:t>
      </w:r>
      <w:r w:rsidRPr="001A2C7C">
        <w:t>mother.</w:t>
      </w:r>
      <w:r w:rsidR="001E62CD">
        <w:rPr>
          <w:rStyle w:val="FootnoteReference"/>
        </w:rPr>
        <w:footnoteReference w:id="7"/>
      </w:r>
      <w:r w:rsidRPr="001A2C7C">
        <w:t xml:space="preserve"> Kim </w:t>
      </w:r>
      <w:proofErr w:type="spellStart"/>
      <w:r w:rsidRPr="001A2C7C">
        <w:t>Kirkman</w:t>
      </w:r>
      <w:proofErr w:type="spellEnd"/>
      <w:r w:rsidRPr="001A2C7C">
        <w:t xml:space="preserve"> was a patient with a long history of psychiatric secure hospital care; he</w:t>
      </w:r>
      <w:r>
        <w:t xml:space="preserve"> </w:t>
      </w:r>
      <w:r w:rsidRPr="001A2C7C">
        <w:t>killed a neighbour, but committed suicide before he could come to trial. The Inquiry held into his</w:t>
      </w:r>
      <w:r>
        <w:t xml:space="preserve"> </w:t>
      </w:r>
      <w:r w:rsidRPr="001A2C7C">
        <w:t xml:space="preserve">case concluded that there was no way in which </w:t>
      </w:r>
      <w:proofErr w:type="spellStart"/>
      <w:r w:rsidRPr="001A2C7C">
        <w:t>Kirkman’s</w:t>
      </w:r>
      <w:proofErr w:type="spellEnd"/>
      <w:r w:rsidRPr="001A2C7C">
        <w:t xml:space="preserve"> homicidal behaviour could have been</w:t>
      </w:r>
      <w:r>
        <w:t xml:space="preserve"> </w:t>
      </w:r>
      <w:r w:rsidRPr="001A2C7C">
        <w:t>predicted, but the team did recommend that in future more use might be made by practitioners of</w:t>
      </w:r>
      <w:r>
        <w:t xml:space="preserve"> </w:t>
      </w:r>
      <w:r w:rsidRPr="001A2C7C">
        <w:t>actuarial devices and research findings.</w:t>
      </w:r>
      <w:r w:rsidR="001E62CD">
        <w:rPr>
          <w:rStyle w:val="FootnoteReference"/>
        </w:rPr>
        <w:footnoteReference w:id="8"/>
      </w:r>
      <w:r w:rsidRPr="001A2C7C">
        <w:t xml:space="preserve"> Michael Buchanan beat to death a complete stranger (a</w:t>
      </w:r>
      <w:r>
        <w:t xml:space="preserve"> </w:t>
      </w:r>
      <w:r w:rsidRPr="001A2C7C">
        <w:t>retired police officer) in an underground car park. Buchanan had a long history of both residential</w:t>
      </w:r>
      <w:r>
        <w:t xml:space="preserve"> </w:t>
      </w:r>
      <w:r w:rsidRPr="001A2C7C">
        <w:t>childcare and psychiatric treatment.</w:t>
      </w:r>
      <w:r w:rsidR="001E62CD">
        <w:rPr>
          <w:rStyle w:val="FootnoteReference"/>
        </w:rPr>
        <w:footnoteReference w:id="9"/>
      </w:r>
      <w:r w:rsidRPr="001A2C7C">
        <w:t xml:space="preserve"> Andrew Robinson’s and Jason Mitchell’s cases were the</w:t>
      </w:r>
      <w:r>
        <w:t xml:space="preserve"> </w:t>
      </w:r>
      <w:r w:rsidRPr="001A2C7C">
        <w:t xml:space="preserve">subject of </w:t>
      </w:r>
      <w:r w:rsidRPr="001A2C7C">
        <w:rPr>
          <w:i/>
          <w:iCs/>
        </w:rPr>
        <w:t xml:space="preserve">public </w:t>
      </w:r>
      <w:r w:rsidRPr="001A2C7C">
        <w:t>inquiries and, amongst other matters, both revealed serious deficiencies in risk</w:t>
      </w:r>
      <w:r>
        <w:t xml:space="preserve"> </w:t>
      </w:r>
      <w:r w:rsidR="001E62CD" w:rsidRPr="001E62CD">
        <w:t>assessment and management.</w:t>
      </w:r>
      <w:r w:rsidR="00FE06D0">
        <w:rPr>
          <w:rStyle w:val="FootnoteReference"/>
        </w:rPr>
        <w:footnoteReference w:id="10"/>
      </w:r>
      <w:r w:rsidR="001E62CD" w:rsidRPr="001E62CD">
        <w:t xml:space="preserve"> Finally, the case of Christopher </w:t>
      </w:r>
      <w:proofErr w:type="spellStart"/>
      <w:r w:rsidR="001E62CD" w:rsidRPr="001E62CD">
        <w:t>Clunis</w:t>
      </w:r>
      <w:proofErr w:type="spellEnd"/>
      <w:r w:rsidR="001E62CD" w:rsidRPr="001E62CD">
        <w:t>, probably the best known of</w:t>
      </w:r>
      <w:r w:rsidR="001E62CD">
        <w:t xml:space="preserve"> </w:t>
      </w:r>
      <w:r w:rsidR="001E62CD" w:rsidRPr="001E62CD">
        <w:t>all homicide inquiries, has served very much as a pattern to be followed in all the subsequent</w:t>
      </w:r>
      <w:r w:rsidR="001E62CD">
        <w:t xml:space="preserve"> </w:t>
      </w:r>
      <w:r w:rsidR="001E62CD" w:rsidRPr="001E62CD">
        <w:t>homicide inquiries mandated by the government instruction of 1994.</w:t>
      </w:r>
      <w:r w:rsidR="00FE06D0">
        <w:rPr>
          <w:rStyle w:val="FootnoteReference"/>
        </w:rPr>
        <w:footnoteReference w:id="11"/>
      </w:r>
      <w:r w:rsidR="001E62CD" w:rsidRPr="001E62CD">
        <w:t>With a succession of such</w:t>
      </w:r>
      <w:r w:rsidR="001E62CD">
        <w:t xml:space="preserve"> </w:t>
      </w:r>
      <w:r w:rsidR="001E62CD" w:rsidRPr="001E62CD">
        <w:t>high profile cases (though minute in relation to the numbers of homicides committed annually</w:t>
      </w:r>
      <w:r w:rsidR="001E62CD">
        <w:t xml:space="preserve"> </w:t>
      </w:r>
      <w:r w:rsidR="001E62CD" w:rsidRPr="001E62CD">
        <w:t xml:space="preserve">overall) and the activities of intruders such as Michael Fagin in Royal Palaces, and Ben </w:t>
      </w:r>
      <w:proofErr w:type="spellStart"/>
      <w:r w:rsidR="001E62CD" w:rsidRPr="001E62CD">
        <w:t>Silcock’s</w:t>
      </w:r>
      <w:proofErr w:type="spellEnd"/>
      <w:r w:rsidR="001E62CD">
        <w:t xml:space="preserve"> </w:t>
      </w:r>
      <w:r w:rsidR="001E62CD" w:rsidRPr="001E62CD">
        <w:t>intrusion into the lion’s enclosure at London Zoo, it not altogether surprising that the politicians</w:t>
      </w:r>
      <w:r w:rsidR="001E62CD">
        <w:t xml:space="preserve"> </w:t>
      </w:r>
      <w:r w:rsidR="001E62CD" w:rsidRPr="001E62CD">
        <w:t>of the day decided that rather more formal procedures should be established for inquiring into</w:t>
      </w:r>
      <w:r w:rsidR="001E62CD">
        <w:t xml:space="preserve"> </w:t>
      </w:r>
      <w:r w:rsidR="001E62CD" w:rsidRPr="001E62CD">
        <w:t>such cases. However, it is also important to add that this need for central government direction was</w:t>
      </w:r>
      <w:r w:rsidR="001E62CD">
        <w:t xml:space="preserve"> </w:t>
      </w:r>
      <w:r w:rsidR="001E62CD" w:rsidRPr="001E62CD">
        <w:t>doubtless fuelled by media ‘hype’.</w:t>
      </w:r>
    </w:p>
    <w:p w:rsidR="001E62CD" w:rsidRPr="001E62CD" w:rsidRDefault="001E62CD" w:rsidP="001E62CD">
      <w:r w:rsidRPr="001E62CD">
        <w:t>It is also of interest to note that governmental preoccupation is with those having a history of</w:t>
      </w:r>
      <w:r>
        <w:t xml:space="preserve"> </w:t>
      </w:r>
      <w:r w:rsidRPr="001E62CD">
        <w:t xml:space="preserve">involvement with </w:t>
      </w:r>
      <w:r w:rsidRPr="001E62CD">
        <w:rPr>
          <w:i/>
          <w:iCs/>
        </w:rPr>
        <w:t>mental health services</w:t>
      </w:r>
      <w:r w:rsidRPr="001E62CD">
        <w:t>. Although homicides and other serious instances of</w:t>
      </w:r>
      <w:r>
        <w:t xml:space="preserve"> </w:t>
      </w:r>
      <w:r w:rsidRPr="001E62CD">
        <w:t>violence against the person will be the subject of internal inquiries where the perpetrator is known</w:t>
      </w:r>
      <w:r>
        <w:t xml:space="preserve"> </w:t>
      </w:r>
      <w:r w:rsidRPr="001E62CD">
        <w:t>to other services (such as probation or social services), there appears to be no mandate for an</w:t>
      </w:r>
      <w:r>
        <w:t xml:space="preserve"> </w:t>
      </w:r>
      <w:r w:rsidRPr="001E62CD">
        <w:rPr>
          <w:i/>
          <w:iCs/>
        </w:rPr>
        <w:t xml:space="preserve">independent external </w:t>
      </w:r>
      <w:r w:rsidRPr="001E62CD">
        <w:t>inquiry in such cases. However, it is also noteworthy that there is nothing to</w:t>
      </w:r>
      <w:r>
        <w:t xml:space="preserve"> </w:t>
      </w:r>
      <w:r w:rsidRPr="001E62CD">
        <w:t xml:space="preserve">prevent a health authority setting up an independent inquiry into a </w:t>
      </w:r>
      <w:r w:rsidRPr="001E62CD">
        <w:rPr>
          <w:i/>
          <w:iCs/>
        </w:rPr>
        <w:t xml:space="preserve">non-fatal </w:t>
      </w:r>
      <w:r w:rsidRPr="001E62CD">
        <w:t>case concerning a</w:t>
      </w:r>
      <w:r>
        <w:t xml:space="preserve"> </w:t>
      </w:r>
      <w:r w:rsidRPr="001E62CD">
        <w:t xml:space="preserve">patient known </w:t>
      </w:r>
      <w:r w:rsidRPr="001E62CD">
        <w:lastRenderedPageBreak/>
        <w:t>to the psychiatric services. This occurred in the case of Benjamin Rathbone who</w:t>
      </w:r>
      <w:r>
        <w:t xml:space="preserve"> </w:t>
      </w:r>
      <w:r w:rsidRPr="001E62CD">
        <w:t>pleaded guilty to the attempted murder of a passenger at Loughborough station by pushing him</w:t>
      </w:r>
      <w:r>
        <w:t xml:space="preserve"> </w:t>
      </w:r>
      <w:r w:rsidRPr="001E62CD">
        <w:t>on to the railway track. Mr. Rathbone was subsequently made the subject of a Hospital Order with</w:t>
      </w:r>
      <w:r>
        <w:t xml:space="preserve"> </w:t>
      </w:r>
      <w:r w:rsidRPr="001E62CD">
        <w:t>Restrictions under Sections 37/41 of the Mental Health Act, 1983.</w:t>
      </w:r>
      <w:r w:rsidR="00FE06D0">
        <w:rPr>
          <w:rStyle w:val="FootnoteReference"/>
        </w:rPr>
        <w:footnoteReference w:id="12"/>
      </w:r>
    </w:p>
    <w:p w:rsidR="00FE06D0" w:rsidRPr="001E62CD" w:rsidRDefault="001E62CD" w:rsidP="001E62CD">
      <w:r w:rsidRPr="001E62CD">
        <w:t>After much debate a new procedure appears to have now been agreed. In future independent</w:t>
      </w:r>
      <w:r w:rsidR="00FE06D0">
        <w:t xml:space="preserve"> </w:t>
      </w:r>
      <w:r w:rsidRPr="001E62CD">
        <w:t xml:space="preserve">inquiries into homicides are likely to come under the umbrella of a recently established </w:t>
      </w:r>
      <w:r w:rsidRPr="001E62CD">
        <w:rPr>
          <w:i/>
          <w:iCs/>
        </w:rPr>
        <w:t>National</w:t>
      </w:r>
      <w:r w:rsidR="00FE06D0">
        <w:rPr>
          <w:i/>
          <w:iCs/>
        </w:rPr>
        <w:t xml:space="preserve"> </w:t>
      </w:r>
      <w:r w:rsidRPr="001E62CD">
        <w:rPr>
          <w:i/>
          <w:iCs/>
        </w:rPr>
        <w:t>Patient Safety Agency</w:t>
      </w:r>
      <w:r w:rsidRPr="001E62CD">
        <w:t>. This agency is intended to serve as a body to collect information about</w:t>
      </w:r>
      <w:r w:rsidR="00FE06D0">
        <w:t xml:space="preserve"> </w:t>
      </w:r>
      <w:r w:rsidRPr="001E62CD">
        <w:t>clinical errors by health service staff and is expected to become operational in 2004.</w:t>
      </w:r>
      <w:r w:rsidR="00FE06D0">
        <w:rPr>
          <w:rStyle w:val="FootnoteReference"/>
        </w:rPr>
        <w:footnoteReference w:id="13"/>
      </w:r>
      <w:r w:rsidR="00FE06D0">
        <w:br/>
      </w:r>
    </w:p>
    <w:p w:rsidR="001E62CD" w:rsidRPr="001E62CD" w:rsidRDefault="001E62CD" w:rsidP="001E62CD">
      <w:pPr>
        <w:rPr>
          <w:b/>
          <w:bCs/>
        </w:rPr>
      </w:pPr>
      <w:r w:rsidRPr="001E62CD">
        <w:rPr>
          <w:b/>
          <w:bCs/>
        </w:rPr>
        <w:t>THE RESPONDENTS AND THE RESPONSES</w:t>
      </w:r>
    </w:p>
    <w:p w:rsidR="00FE06D0" w:rsidRPr="00FE06D0" w:rsidRDefault="001E62CD" w:rsidP="00FE06D0">
      <w:r w:rsidRPr="001E62CD">
        <w:t>I hope that the foregoing observations will have revealed a number of matters that are of particular</w:t>
      </w:r>
      <w:r w:rsidR="00FE06D0">
        <w:t xml:space="preserve"> </w:t>
      </w:r>
      <w:r w:rsidRPr="001E62CD">
        <w:t>concern to those who chair mental health inquiries of one kind or another, but, in particular,</w:t>
      </w:r>
      <w:r w:rsidR="00FE06D0">
        <w:t xml:space="preserve"> </w:t>
      </w:r>
      <w:r w:rsidRPr="001E62CD">
        <w:t>homicide inquiries. As stated earlier, I considered that a purely personal view might well be</w:t>
      </w:r>
      <w:r w:rsidR="00FE06D0">
        <w:t xml:space="preserve"> </w:t>
      </w:r>
      <w:r w:rsidRPr="001E62CD">
        <w:t>somewhat idiosyncratic. For this reason I addressed a series of questions to 13 respondents, nine</w:t>
      </w:r>
      <w:r w:rsidR="00FE06D0">
        <w:t xml:space="preserve"> </w:t>
      </w:r>
      <w:r w:rsidRPr="001E62CD">
        <w:t>of whom replied. No censure is due to the small number who, despite reminders, did not reply,</w:t>
      </w:r>
      <w:r w:rsidR="00FE06D0">
        <w:t xml:space="preserve"> </w:t>
      </w:r>
      <w:r w:rsidRPr="001E62CD">
        <w:t>since my two letters of inquiry might not have reached their destinations. To those who did reply</w:t>
      </w:r>
      <w:r w:rsidR="00FE06D0">
        <w:t xml:space="preserve"> </w:t>
      </w:r>
      <w:r w:rsidRPr="001E62CD">
        <w:t>(and most at very considerable length) I must express my sincere thanks for the trouble they took.</w:t>
      </w:r>
      <w:r w:rsidR="00FE06D0">
        <w:rPr>
          <w:rStyle w:val="FootnoteReference"/>
        </w:rPr>
        <w:footnoteReference w:id="14"/>
      </w:r>
      <w:r w:rsidR="00FE06D0">
        <w:t xml:space="preserve"> </w:t>
      </w:r>
      <w:r w:rsidRPr="001E62CD">
        <w:t>Almost all of them had undertaken more than one inquiry into mental health or other matters</w:t>
      </w:r>
      <w:r w:rsidR="00FE06D0">
        <w:t xml:space="preserve"> </w:t>
      </w:r>
      <w:r w:rsidRPr="001E62CD">
        <w:t>such as childcare. One of my respondents had undertaken four into mental health and two into</w:t>
      </w:r>
      <w:r w:rsidR="00FE06D0">
        <w:t xml:space="preserve"> </w:t>
      </w:r>
      <w:r w:rsidRPr="001E62CD">
        <w:t xml:space="preserve">child abuse. Two had undertaken three and, in addition, one had also been a </w:t>
      </w:r>
      <w:r w:rsidRPr="001E62CD">
        <w:rPr>
          <w:i/>
          <w:iCs/>
        </w:rPr>
        <w:t xml:space="preserve">member </w:t>
      </w:r>
      <w:r w:rsidRPr="001E62CD">
        <w:t>of mental</w:t>
      </w:r>
      <w:r w:rsidR="00FE06D0">
        <w:t xml:space="preserve"> </w:t>
      </w:r>
      <w:r w:rsidR="00FE06D0" w:rsidRPr="00FE06D0">
        <w:t>health inquiry teams on several other occasions, including internal panels of inquiry. Thus, all of</w:t>
      </w:r>
      <w:r w:rsidR="00FE06D0">
        <w:t xml:space="preserve"> </w:t>
      </w:r>
      <w:r w:rsidR="00FE06D0" w:rsidRPr="00FE06D0">
        <w:t>my respondents can be said to be persons of considerable experience and reputation. To the best</w:t>
      </w:r>
      <w:r w:rsidR="00FE06D0">
        <w:t xml:space="preserve"> </w:t>
      </w:r>
      <w:r w:rsidR="00FE06D0" w:rsidRPr="00FE06D0">
        <w:t>of my knowledge (professional status was not asked for) all, save one, had legal backgrounds and</w:t>
      </w:r>
      <w:r w:rsidR="00FE06D0">
        <w:t xml:space="preserve"> </w:t>
      </w:r>
      <w:r w:rsidR="00FE06D0" w:rsidRPr="00FE06D0">
        <w:t>two were Queen’s Counsel. The replies of my respondents have been compressed to present</w:t>
      </w:r>
      <w:r w:rsidR="00FE06D0">
        <w:t xml:space="preserve"> </w:t>
      </w:r>
      <w:r w:rsidR="00FE06D0" w:rsidRPr="00FE06D0">
        <w:t>composite answers. This is because of a promise of anonymity and non-attribution.</w:t>
      </w:r>
    </w:p>
    <w:p w:rsidR="00FE06D0" w:rsidRPr="00FE06D0" w:rsidRDefault="00FE06D0" w:rsidP="00FE06D0">
      <w:r w:rsidRPr="00FE06D0">
        <w:t>The questions I put to my respondents are summarised under the following headings. (They are</w:t>
      </w:r>
      <w:r>
        <w:t xml:space="preserve"> </w:t>
      </w:r>
      <w:r w:rsidRPr="00FE06D0">
        <w:t>produced in detail in my letter of inquiry – see Appendix).</w:t>
      </w:r>
    </w:p>
    <w:p w:rsidR="00FE06D0" w:rsidRPr="00FE06D0" w:rsidRDefault="00FE06D0" w:rsidP="00FE06D0">
      <w:pPr>
        <w:spacing w:after="0"/>
      </w:pPr>
      <w:r w:rsidRPr="00FE06D0">
        <w:t>1. Manner of appointment to chair the inquiry.</w:t>
      </w:r>
    </w:p>
    <w:p w:rsidR="00FE06D0" w:rsidRPr="00FE06D0" w:rsidRDefault="00FE06D0" w:rsidP="00FE06D0">
      <w:pPr>
        <w:spacing w:after="0"/>
      </w:pPr>
      <w:r w:rsidRPr="00FE06D0">
        <w:t>2. Extent to which chairman/woman had any ‘say’ in the selection of team colleagues.</w:t>
      </w:r>
    </w:p>
    <w:p w:rsidR="00FE06D0" w:rsidRPr="00FE06D0" w:rsidRDefault="00FE06D0" w:rsidP="00FE06D0">
      <w:pPr>
        <w:spacing w:after="0"/>
      </w:pPr>
      <w:r w:rsidRPr="00FE06D0">
        <w:t>3. Provision of support services.</w:t>
      </w:r>
    </w:p>
    <w:p w:rsidR="00FE06D0" w:rsidRPr="00FE06D0" w:rsidRDefault="00FE06D0" w:rsidP="00FE06D0">
      <w:pPr>
        <w:spacing w:after="0"/>
      </w:pPr>
      <w:r w:rsidRPr="00FE06D0">
        <w:t>4. Degree of ‘lobbying’ by interested parties.</w:t>
      </w:r>
    </w:p>
    <w:p w:rsidR="00FE06D0" w:rsidRPr="00FE06D0" w:rsidRDefault="00FE06D0" w:rsidP="00FE06D0">
      <w:pPr>
        <w:spacing w:after="0"/>
      </w:pPr>
      <w:r w:rsidRPr="00FE06D0">
        <w:t>5. Public or private debate.</w:t>
      </w:r>
    </w:p>
    <w:p w:rsidR="00FE06D0" w:rsidRPr="00FE06D0" w:rsidRDefault="00FE06D0" w:rsidP="00FE06D0">
      <w:pPr>
        <w:spacing w:after="0"/>
      </w:pPr>
      <w:r w:rsidRPr="00FE06D0">
        <w:t>6. Problems relating to possible conflict of interest between parties.</w:t>
      </w:r>
    </w:p>
    <w:p w:rsidR="00FE06D0" w:rsidRPr="00FE06D0" w:rsidRDefault="00FE06D0" w:rsidP="00FE06D0">
      <w:pPr>
        <w:spacing w:after="0"/>
      </w:pPr>
      <w:r w:rsidRPr="00FE06D0">
        <w:t>7. Management of ‘hearings’.</w:t>
      </w:r>
    </w:p>
    <w:p w:rsidR="00FE06D0" w:rsidRPr="00FE06D0" w:rsidRDefault="00FE06D0" w:rsidP="00FE06D0">
      <w:pPr>
        <w:spacing w:after="0"/>
      </w:pPr>
      <w:r w:rsidRPr="00FE06D0">
        <w:t>8. Access to documentation.</w:t>
      </w:r>
    </w:p>
    <w:p w:rsidR="00FE06D0" w:rsidRPr="00FE06D0" w:rsidRDefault="00FE06D0" w:rsidP="00FE06D0">
      <w:pPr>
        <w:spacing w:after="0"/>
      </w:pPr>
      <w:r w:rsidRPr="00FE06D0">
        <w:t>9. Problems in drafting final report.</w:t>
      </w:r>
    </w:p>
    <w:p w:rsidR="00FE06D0" w:rsidRPr="00FE06D0" w:rsidRDefault="00FE06D0" w:rsidP="00FE06D0">
      <w:pPr>
        <w:spacing w:after="0"/>
      </w:pPr>
      <w:r w:rsidRPr="00FE06D0">
        <w:t>10. Arrangements for promulgation, publication and dissemination of findings. Feedback from</w:t>
      </w:r>
    </w:p>
    <w:p w:rsidR="001E62CD" w:rsidRDefault="00FE06D0" w:rsidP="00FE06D0">
      <w:pPr>
        <w:spacing w:after="0"/>
      </w:pPr>
      <w:proofErr w:type="gramStart"/>
      <w:r w:rsidRPr="00FE06D0">
        <w:t>appointing</w:t>
      </w:r>
      <w:proofErr w:type="gramEnd"/>
      <w:r w:rsidRPr="00FE06D0">
        <w:t xml:space="preserve"> authority and any requests for return to undertake ‘follow-up’.</w:t>
      </w:r>
    </w:p>
    <w:p w:rsidR="00FE06D0" w:rsidRDefault="00FE06D0" w:rsidP="00FE06D0">
      <w:pPr>
        <w:spacing w:after="0"/>
        <w:rPr>
          <w:b/>
          <w:bCs/>
        </w:rPr>
      </w:pPr>
      <w:r w:rsidRPr="00FE06D0">
        <w:rPr>
          <w:b/>
          <w:bCs/>
        </w:rPr>
        <w:lastRenderedPageBreak/>
        <w:t>1 Manner of appointment to chair the inquiry</w:t>
      </w:r>
    </w:p>
    <w:p w:rsidR="00FE06D0" w:rsidRPr="00FE06D0" w:rsidRDefault="00FE06D0" w:rsidP="00FE06D0">
      <w:pPr>
        <w:spacing w:after="0"/>
        <w:rPr>
          <w:b/>
          <w:bCs/>
        </w:rPr>
      </w:pPr>
    </w:p>
    <w:p w:rsidR="00FE06D0" w:rsidRDefault="00FE06D0" w:rsidP="00FE06D0">
      <w:pPr>
        <w:spacing w:after="0"/>
      </w:pPr>
      <w:r w:rsidRPr="00FE06D0">
        <w:t>For the majority of my respondents the request to chair the inquiry came ‘out of the blue’. One</w:t>
      </w:r>
      <w:r>
        <w:t xml:space="preserve"> </w:t>
      </w:r>
      <w:r w:rsidRPr="00FE06D0">
        <w:t>respondent had extensive experience of clinical negligence cases; another was already ‘known’ to</w:t>
      </w:r>
      <w:r>
        <w:t xml:space="preserve"> </w:t>
      </w:r>
      <w:r w:rsidRPr="00FE06D0">
        <w:t>the Department of Health; one or two had experience in chairing ‘internal’ inquiries so their</w:t>
      </w:r>
      <w:r>
        <w:t xml:space="preserve"> </w:t>
      </w:r>
      <w:r w:rsidRPr="00FE06D0">
        <w:t>competence was already ‘tested’. In one instance, the respondent had agreed to take on the task on</w:t>
      </w:r>
      <w:r>
        <w:t xml:space="preserve"> </w:t>
      </w:r>
      <w:r w:rsidRPr="00FE06D0">
        <w:t>the recommendation of a colleague who had been approached first, but was unable to undertake</w:t>
      </w:r>
      <w:r>
        <w:t xml:space="preserve"> </w:t>
      </w:r>
      <w:r w:rsidRPr="00FE06D0">
        <w:t>it. The ‘out of the blue’ approach was usually by an initial telephone call. One of my respondents</w:t>
      </w:r>
      <w:r>
        <w:t xml:space="preserve"> </w:t>
      </w:r>
      <w:r w:rsidRPr="00FE06D0">
        <w:t>had chaired two previous homicide inquiries and turned down a request to undertake a third, not</w:t>
      </w:r>
      <w:r>
        <w:t xml:space="preserve"> </w:t>
      </w:r>
      <w:r w:rsidRPr="00FE06D0">
        <w:t xml:space="preserve">wishing to be ‘type-cast’. Only rarely did the request </w:t>
      </w:r>
      <w:proofErr w:type="gramStart"/>
      <w:r w:rsidRPr="00FE06D0">
        <w:t>seems</w:t>
      </w:r>
      <w:proofErr w:type="gramEnd"/>
      <w:r w:rsidRPr="00FE06D0">
        <w:t xml:space="preserve"> to come through the recommendation</w:t>
      </w:r>
      <w:r>
        <w:t xml:space="preserve"> </w:t>
      </w:r>
      <w:r w:rsidRPr="00FE06D0">
        <w:t>of a body such as the Mental Health Act Commission.</w:t>
      </w:r>
      <w:r>
        <w:rPr>
          <w:rStyle w:val="FootnoteReference"/>
        </w:rPr>
        <w:footnoteReference w:id="15"/>
      </w:r>
    </w:p>
    <w:p w:rsidR="00FE06D0" w:rsidRDefault="00FE06D0" w:rsidP="00FE06D0">
      <w:pPr>
        <w:spacing w:after="0"/>
      </w:pPr>
    </w:p>
    <w:p w:rsidR="00FE06D0" w:rsidRPr="00FE06D0" w:rsidRDefault="00FE06D0" w:rsidP="00FE06D0">
      <w:pPr>
        <w:spacing w:after="0"/>
      </w:pPr>
    </w:p>
    <w:p w:rsidR="00FE06D0" w:rsidRDefault="00FE06D0" w:rsidP="00FE06D0">
      <w:pPr>
        <w:spacing w:after="0"/>
        <w:rPr>
          <w:b/>
          <w:bCs/>
        </w:rPr>
      </w:pPr>
      <w:r w:rsidRPr="00FE06D0">
        <w:rPr>
          <w:b/>
          <w:bCs/>
        </w:rPr>
        <w:t>2 Extent to which chairman/chairwoman had any ‘say’ in the appointment of panel</w:t>
      </w:r>
      <w:r>
        <w:rPr>
          <w:b/>
          <w:bCs/>
        </w:rPr>
        <w:t xml:space="preserve"> </w:t>
      </w:r>
      <w:r w:rsidRPr="00FE06D0">
        <w:rPr>
          <w:b/>
          <w:bCs/>
        </w:rPr>
        <w:t>colleagues.</w:t>
      </w:r>
    </w:p>
    <w:p w:rsidR="00FE06D0" w:rsidRPr="00FE06D0" w:rsidRDefault="00FE06D0" w:rsidP="00FE06D0">
      <w:pPr>
        <w:spacing w:after="0"/>
        <w:rPr>
          <w:b/>
          <w:bCs/>
        </w:rPr>
      </w:pPr>
    </w:p>
    <w:p w:rsidR="00FE06D0" w:rsidRDefault="00FE06D0" w:rsidP="00FE06D0">
      <w:pPr>
        <w:spacing w:after="0"/>
      </w:pPr>
      <w:r w:rsidRPr="00FE06D0">
        <w:t>In general, chairmen/women did not have any direct ‘say’ in the appointment of panel colleagues,</w:t>
      </w:r>
      <w:r>
        <w:t xml:space="preserve"> </w:t>
      </w:r>
      <w:r w:rsidRPr="00FE06D0">
        <w:t>though in one or two instances names ‘were run past’ them and if, for any valid reason, they were</w:t>
      </w:r>
      <w:r>
        <w:t xml:space="preserve"> </w:t>
      </w:r>
      <w:r w:rsidRPr="00FE06D0">
        <w:t>not deemed suitable their views would have been taken into account. One or two of my</w:t>
      </w:r>
      <w:r>
        <w:t xml:space="preserve"> </w:t>
      </w:r>
      <w:r w:rsidRPr="00FE06D0">
        <w:t>respondents thought that chairman/women should be consulted and have a right to veto</w:t>
      </w:r>
      <w:r>
        <w:t xml:space="preserve"> </w:t>
      </w:r>
      <w:r w:rsidRPr="00FE06D0">
        <w:t>appointments. In general, chairmen/woman were very satisfied indeed with the contributions made</w:t>
      </w:r>
      <w:r>
        <w:t xml:space="preserve"> </w:t>
      </w:r>
      <w:r w:rsidRPr="00FE06D0">
        <w:t>by their fellow panel members.</w:t>
      </w:r>
    </w:p>
    <w:p w:rsidR="00BE1F78" w:rsidRDefault="00BE1F78" w:rsidP="00FE06D0">
      <w:pPr>
        <w:spacing w:after="0"/>
      </w:pPr>
    </w:p>
    <w:p w:rsidR="00BE1F78" w:rsidRDefault="00BE1F78" w:rsidP="00FE06D0">
      <w:pPr>
        <w:spacing w:after="0"/>
      </w:pPr>
    </w:p>
    <w:p w:rsidR="00BE1F78" w:rsidRDefault="00BE1F78" w:rsidP="00FE06D0">
      <w:pPr>
        <w:spacing w:after="0"/>
      </w:pPr>
    </w:p>
    <w:p w:rsidR="00BE1F78" w:rsidRDefault="00BE1F78" w:rsidP="00BE1F78">
      <w:pPr>
        <w:spacing w:after="0"/>
        <w:rPr>
          <w:b/>
          <w:bCs/>
        </w:rPr>
      </w:pPr>
      <w:r w:rsidRPr="00BE1F78">
        <w:rPr>
          <w:b/>
          <w:bCs/>
        </w:rPr>
        <w:t>3 Support services</w:t>
      </w:r>
    </w:p>
    <w:p w:rsidR="00BE1F78" w:rsidRPr="00BE1F78" w:rsidRDefault="00BE1F78" w:rsidP="00BE1F78">
      <w:pPr>
        <w:spacing w:after="0"/>
        <w:rPr>
          <w:b/>
          <w:bCs/>
        </w:rPr>
      </w:pPr>
    </w:p>
    <w:p w:rsidR="00BE1F78" w:rsidRDefault="00BE1F78" w:rsidP="00BE1F78">
      <w:pPr>
        <w:spacing w:after="0"/>
      </w:pPr>
      <w:r w:rsidRPr="00BE1F78">
        <w:t>Generally speaking support services were considered to be very good. In one or two instances they</w:t>
      </w:r>
      <w:r>
        <w:t xml:space="preserve"> </w:t>
      </w:r>
      <w:r w:rsidRPr="00BE1F78">
        <w:t>were regarded as ‘exceptional’ and greatly facilitated the work of the inquiry.</w:t>
      </w:r>
    </w:p>
    <w:p w:rsidR="00BE1F78" w:rsidRDefault="00BE1F78" w:rsidP="00BE1F78">
      <w:pPr>
        <w:spacing w:after="0"/>
      </w:pPr>
    </w:p>
    <w:p w:rsidR="00BE1F78" w:rsidRPr="00BE1F78" w:rsidRDefault="00BE1F78" w:rsidP="00BE1F78">
      <w:pPr>
        <w:spacing w:after="0"/>
      </w:pPr>
    </w:p>
    <w:p w:rsidR="00BE1F78" w:rsidRDefault="00BE1F78" w:rsidP="00BE1F78">
      <w:pPr>
        <w:spacing w:after="0"/>
        <w:rPr>
          <w:b/>
          <w:bCs/>
        </w:rPr>
      </w:pPr>
      <w:r w:rsidRPr="00BE1F78">
        <w:rPr>
          <w:b/>
          <w:bCs/>
        </w:rPr>
        <w:t>4 Degree of lobbying by interested parties</w:t>
      </w:r>
    </w:p>
    <w:p w:rsidR="00BE1F78" w:rsidRPr="00BE1F78" w:rsidRDefault="00BE1F78" w:rsidP="00BE1F78">
      <w:pPr>
        <w:spacing w:after="0"/>
        <w:rPr>
          <w:b/>
          <w:bCs/>
        </w:rPr>
      </w:pPr>
    </w:p>
    <w:p w:rsidR="00BE1F78" w:rsidRDefault="00BE1F78" w:rsidP="00BE1F78">
      <w:pPr>
        <w:spacing w:after="0"/>
      </w:pPr>
      <w:r w:rsidRPr="00BE1F78">
        <w:t>Occasional lobbying did occur. For example, requests to hold the inquiry in public rather than in</w:t>
      </w:r>
      <w:r>
        <w:t xml:space="preserve"> </w:t>
      </w:r>
      <w:r w:rsidRPr="00BE1F78">
        <w:t>private. In one or two instances, attempts were made to proffer witnesses of an authority’s</w:t>
      </w:r>
      <w:r>
        <w:t xml:space="preserve"> </w:t>
      </w:r>
      <w:r w:rsidRPr="00BE1F78">
        <w:t>choosing rather than those identified by the inquiry panel. One respondent considered that there</w:t>
      </w:r>
      <w:r>
        <w:t xml:space="preserve"> </w:t>
      </w:r>
      <w:r w:rsidRPr="00BE1F78">
        <w:t>had been less lobbying than they had expected. One’s overall impression is that lobbying was not</w:t>
      </w:r>
      <w:r>
        <w:t xml:space="preserve"> </w:t>
      </w:r>
      <w:r w:rsidRPr="00BE1F78">
        <w:t>a problem. When it arose, it was dealt with effectively (and judicially) by the inquiry panel.</w:t>
      </w:r>
    </w:p>
    <w:p w:rsidR="00BE1F78" w:rsidRDefault="00BE1F78" w:rsidP="00BE1F78">
      <w:pPr>
        <w:spacing w:after="0"/>
      </w:pPr>
    </w:p>
    <w:p w:rsidR="00BE1F78" w:rsidRPr="00BE1F78" w:rsidRDefault="00BE1F78" w:rsidP="00BE1F78">
      <w:pPr>
        <w:spacing w:after="0"/>
      </w:pPr>
    </w:p>
    <w:p w:rsidR="00BE1F78" w:rsidRDefault="00BE1F78" w:rsidP="00BE1F78">
      <w:pPr>
        <w:spacing w:after="0"/>
        <w:rPr>
          <w:b/>
          <w:bCs/>
        </w:rPr>
      </w:pPr>
      <w:r w:rsidRPr="00BE1F78">
        <w:rPr>
          <w:b/>
          <w:bCs/>
        </w:rPr>
        <w:t>5 Public or private inquiries</w:t>
      </w:r>
    </w:p>
    <w:p w:rsidR="00BE1F78" w:rsidRPr="00BE1F78" w:rsidRDefault="00BE1F78" w:rsidP="00BE1F78">
      <w:pPr>
        <w:spacing w:after="0"/>
        <w:rPr>
          <w:b/>
          <w:bCs/>
        </w:rPr>
      </w:pPr>
    </w:p>
    <w:p w:rsidR="00BE1F78" w:rsidRDefault="00BE1F78" w:rsidP="00BE1F78">
      <w:pPr>
        <w:spacing w:after="0"/>
      </w:pPr>
      <w:r w:rsidRPr="00BE1F78">
        <w:lastRenderedPageBreak/>
        <w:t>A small minority of my respondents favoured public inquiries (but did recognize the problems of</w:t>
      </w:r>
      <w:r>
        <w:t xml:space="preserve"> </w:t>
      </w:r>
      <w:r w:rsidRPr="00BE1F78">
        <w:t xml:space="preserve">expensive and </w:t>
      </w:r>
      <w:proofErr w:type="gramStart"/>
      <w:r w:rsidRPr="00BE1F78">
        <w:t>more lengthy</w:t>
      </w:r>
      <w:proofErr w:type="gramEnd"/>
      <w:r w:rsidRPr="00BE1F78">
        <w:t xml:space="preserve"> hearings). One or two favoured them if the matters being investigated</w:t>
      </w:r>
      <w:r>
        <w:t xml:space="preserve"> </w:t>
      </w:r>
      <w:r w:rsidRPr="00BE1F78">
        <w:t>raised issues of serious national concern or notoriety. The majority of my respondents favoured</w:t>
      </w:r>
      <w:r>
        <w:t xml:space="preserve"> </w:t>
      </w:r>
      <w:r w:rsidRPr="00BE1F78">
        <w:t xml:space="preserve">inquiries in private, largely on the grounds of them being less </w:t>
      </w:r>
      <w:proofErr w:type="spellStart"/>
      <w:r w:rsidRPr="00BE1F78">
        <w:t>intimidatory</w:t>
      </w:r>
      <w:proofErr w:type="spellEnd"/>
      <w:r w:rsidRPr="00BE1F78">
        <w:t>, litigious and better able to</w:t>
      </w:r>
      <w:r>
        <w:t xml:space="preserve"> </w:t>
      </w:r>
      <w:r w:rsidRPr="00BE1F78">
        <w:t xml:space="preserve">deal with sensitive clinical issues. However, a number of them stressed the need for the </w:t>
      </w:r>
      <w:r w:rsidRPr="00BE1F78">
        <w:rPr>
          <w:i/>
          <w:iCs/>
        </w:rPr>
        <w:t xml:space="preserve">findings </w:t>
      </w:r>
      <w:r w:rsidRPr="00BE1F78">
        <w:t>of</w:t>
      </w:r>
      <w:r>
        <w:t xml:space="preserve"> </w:t>
      </w:r>
      <w:r w:rsidRPr="00BE1F78">
        <w:t>inquiries held in private to be made public. Two respondents thought that there might be a trend for</w:t>
      </w:r>
      <w:r>
        <w:t xml:space="preserve"> </w:t>
      </w:r>
      <w:r w:rsidRPr="00BE1F78">
        <w:t>more inquiries to be held in public as a result of the coming into force of the Human Rights Act 1998.</w:t>
      </w:r>
      <w:r w:rsidR="00455F3D">
        <w:rPr>
          <w:rStyle w:val="FootnoteReference"/>
        </w:rPr>
        <w:footnoteReference w:id="16"/>
      </w:r>
    </w:p>
    <w:p w:rsidR="00BE1F78" w:rsidRDefault="00BE1F78" w:rsidP="00BE1F78">
      <w:pPr>
        <w:spacing w:after="0"/>
      </w:pPr>
    </w:p>
    <w:p w:rsidR="00BE1F78" w:rsidRPr="00BE1F78" w:rsidRDefault="00BE1F78" w:rsidP="00BE1F78">
      <w:pPr>
        <w:spacing w:after="0"/>
      </w:pPr>
    </w:p>
    <w:p w:rsidR="00BE1F78" w:rsidRDefault="00BE1F78" w:rsidP="00BE1F78">
      <w:pPr>
        <w:spacing w:after="0"/>
        <w:rPr>
          <w:b/>
          <w:bCs/>
        </w:rPr>
      </w:pPr>
      <w:r w:rsidRPr="00BE1F78">
        <w:rPr>
          <w:b/>
          <w:bCs/>
        </w:rPr>
        <w:t>6 Problems relating to possible conflicts of interests and the achievement of ‘fairness’</w:t>
      </w:r>
      <w:r>
        <w:rPr>
          <w:b/>
          <w:bCs/>
        </w:rPr>
        <w:t xml:space="preserve"> </w:t>
      </w:r>
      <w:r w:rsidRPr="00BE1F78">
        <w:rPr>
          <w:b/>
          <w:bCs/>
        </w:rPr>
        <w:t>to all parties</w:t>
      </w:r>
    </w:p>
    <w:p w:rsidR="00BE1F78" w:rsidRPr="00BE1F78" w:rsidRDefault="00BE1F78" w:rsidP="00BE1F78">
      <w:pPr>
        <w:spacing w:after="0"/>
        <w:rPr>
          <w:b/>
          <w:bCs/>
        </w:rPr>
      </w:pPr>
    </w:p>
    <w:p w:rsidR="00BE1F78" w:rsidRDefault="00BE1F78" w:rsidP="00BE1F78">
      <w:pPr>
        <w:spacing w:after="0"/>
      </w:pPr>
      <w:r w:rsidRPr="00BE1F78">
        <w:t>The stresses involved for witnesses in inquiries, whether in private or in public, were noted</w:t>
      </w:r>
      <w:r>
        <w:t xml:space="preserve"> </w:t>
      </w:r>
      <w:r w:rsidRPr="00BE1F78">
        <w:t>sympathetically by my respondents. One or two of my respondents noted the problems involved</w:t>
      </w:r>
      <w:r>
        <w:t xml:space="preserve"> </w:t>
      </w:r>
      <w:r w:rsidRPr="00BE1F78">
        <w:t>in reconciling relatives’ understandable desire to apportion ‘blame’ and the need to be fair to</w:t>
      </w:r>
      <w:r>
        <w:t xml:space="preserve"> </w:t>
      </w:r>
      <w:r w:rsidRPr="00BE1F78">
        <w:t>professional witnesses. There was a reported need to ensure that there was a proper factual basis</w:t>
      </w:r>
      <w:r>
        <w:t xml:space="preserve"> </w:t>
      </w:r>
      <w:r w:rsidRPr="00BE1F78">
        <w:t>for any criticisms that might be made. Occasionally, there was a need to ‘rein in’ a colleague</w:t>
      </w:r>
      <w:r>
        <w:t xml:space="preserve"> </w:t>
      </w:r>
      <w:r w:rsidRPr="00BE1F78">
        <w:t>adopting either too hard or too sympathetic an approach to a professional witness. Chairmen and</w:t>
      </w:r>
      <w:r>
        <w:t xml:space="preserve"> </w:t>
      </w:r>
      <w:r w:rsidRPr="00BE1F78">
        <w:t>women had to operate a delicate balancing act.</w:t>
      </w:r>
    </w:p>
    <w:p w:rsidR="00455F3D" w:rsidRDefault="00455F3D" w:rsidP="00BE1F78">
      <w:pPr>
        <w:spacing w:after="0"/>
      </w:pPr>
    </w:p>
    <w:p w:rsidR="00455F3D" w:rsidRDefault="00455F3D" w:rsidP="00BE1F78">
      <w:pPr>
        <w:spacing w:after="0"/>
      </w:pPr>
    </w:p>
    <w:p w:rsidR="00455F3D" w:rsidRDefault="00455F3D" w:rsidP="00455F3D">
      <w:pPr>
        <w:spacing w:after="0"/>
        <w:rPr>
          <w:b/>
          <w:bCs/>
        </w:rPr>
      </w:pPr>
      <w:r w:rsidRPr="00455F3D">
        <w:rPr>
          <w:b/>
          <w:bCs/>
        </w:rPr>
        <w:t>7 Management of hearings</w:t>
      </w:r>
    </w:p>
    <w:p w:rsidR="00455F3D" w:rsidRPr="00455F3D" w:rsidRDefault="00455F3D" w:rsidP="00455F3D">
      <w:pPr>
        <w:spacing w:after="0"/>
        <w:rPr>
          <w:b/>
          <w:bCs/>
        </w:rPr>
      </w:pPr>
    </w:p>
    <w:p w:rsidR="00455F3D" w:rsidRDefault="00455F3D" w:rsidP="00455F3D">
      <w:pPr>
        <w:spacing w:after="0"/>
      </w:pPr>
      <w:r w:rsidRPr="00455F3D">
        <w:t>No major problems were identified. Occasionally, witnesses needed to be given a sense of direction</w:t>
      </w:r>
      <w:r>
        <w:t xml:space="preserve"> </w:t>
      </w:r>
      <w:r w:rsidRPr="00455F3D">
        <w:t>to lessen any tendency to ramble or be inconsistent, or to stop the grinding of ‘axes’. Emphasis</w:t>
      </w:r>
      <w:r>
        <w:t xml:space="preserve"> </w:t>
      </w:r>
      <w:r w:rsidRPr="00455F3D">
        <w:t>was placed upon the need for the chair of the panel to put all witnesses at their ease and to facilitate</w:t>
      </w:r>
      <w:r>
        <w:t xml:space="preserve"> </w:t>
      </w:r>
      <w:r w:rsidRPr="00455F3D">
        <w:t>the proceedings generally. Some respondents adopted the practice of asking the relevant panel</w:t>
      </w:r>
      <w:r>
        <w:t xml:space="preserve"> </w:t>
      </w:r>
      <w:r w:rsidRPr="00455F3D">
        <w:t>member to begin the questioning of a witness from their own discipline.</w:t>
      </w:r>
    </w:p>
    <w:p w:rsidR="00823FE9" w:rsidRDefault="00823FE9" w:rsidP="00455F3D">
      <w:pPr>
        <w:spacing w:after="0"/>
      </w:pPr>
    </w:p>
    <w:p w:rsidR="00823FE9" w:rsidRDefault="00823FE9" w:rsidP="00455F3D">
      <w:pPr>
        <w:spacing w:after="0"/>
      </w:pPr>
    </w:p>
    <w:p w:rsidR="00823FE9" w:rsidRDefault="00823FE9" w:rsidP="00823FE9">
      <w:pPr>
        <w:spacing w:after="0"/>
        <w:rPr>
          <w:b/>
          <w:bCs/>
        </w:rPr>
      </w:pPr>
      <w:r w:rsidRPr="00823FE9">
        <w:rPr>
          <w:b/>
          <w:bCs/>
        </w:rPr>
        <w:t>8 Access to documentation</w:t>
      </w:r>
    </w:p>
    <w:p w:rsidR="00823FE9" w:rsidRPr="00823FE9" w:rsidRDefault="00823FE9" w:rsidP="00823FE9">
      <w:pPr>
        <w:spacing w:after="0"/>
        <w:rPr>
          <w:b/>
          <w:bCs/>
        </w:rPr>
      </w:pPr>
    </w:p>
    <w:p w:rsidR="00823FE9" w:rsidRDefault="00823FE9" w:rsidP="00823FE9">
      <w:pPr>
        <w:spacing w:after="0"/>
      </w:pPr>
      <w:r w:rsidRPr="00823FE9">
        <w:t>Several of my respondents would have welcomed clearer central government guidance on the need</w:t>
      </w:r>
      <w:r>
        <w:t xml:space="preserve"> </w:t>
      </w:r>
      <w:r w:rsidRPr="00823FE9">
        <w:t>for compulsory disclosure of documents. Problems had arisen on several occasions when patients</w:t>
      </w:r>
      <w:r>
        <w:t xml:space="preserve"> </w:t>
      </w:r>
      <w:r w:rsidRPr="00823FE9">
        <w:t>or their medical advisers refused access to their medical records. A clearer statement concerning</w:t>
      </w:r>
      <w:r>
        <w:t xml:space="preserve"> </w:t>
      </w:r>
      <w:r w:rsidRPr="00823FE9">
        <w:t>what might constitute public interest ‘over-ride’ would have been welcomed. In one or two</w:t>
      </w:r>
      <w:r>
        <w:t xml:space="preserve"> </w:t>
      </w:r>
      <w:r w:rsidRPr="00823FE9">
        <w:t>instances problems involved in accessing patients’ medical records led to serious delays in the</w:t>
      </w:r>
      <w:r>
        <w:t xml:space="preserve"> </w:t>
      </w:r>
      <w:r w:rsidRPr="00823FE9">
        <w:t>panel’s work. This apart, the respondents did not seem to have had difficulty in accessing other</w:t>
      </w:r>
      <w:r>
        <w:t xml:space="preserve"> </w:t>
      </w:r>
      <w:r w:rsidRPr="00823FE9">
        <w:t>medical and allied records. However, comment was made on the poor quality of record-keeping in</w:t>
      </w:r>
      <w:r>
        <w:t xml:space="preserve"> </w:t>
      </w:r>
      <w:r w:rsidRPr="00823FE9">
        <w:t>some cases and an over-abundance of records in others, which took many hours to assimilate and</w:t>
      </w:r>
      <w:r>
        <w:t xml:space="preserve"> </w:t>
      </w:r>
      <w:r w:rsidRPr="00823FE9">
        <w:t>put into comprehensible order!</w:t>
      </w:r>
    </w:p>
    <w:p w:rsidR="00823FE9" w:rsidRDefault="00823FE9" w:rsidP="00823FE9">
      <w:pPr>
        <w:spacing w:after="0"/>
        <w:rPr>
          <w:b/>
          <w:bCs/>
        </w:rPr>
      </w:pPr>
      <w:r w:rsidRPr="00823FE9">
        <w:rPr>
          <w:b/>
          <w:bCs/>
        </w:rPr>
        <w:lastRenderedPageBreak/>
        <w:t>9 Problems in drafting the final report</w:t>
      </w:r>
    </w:p>
    <w:p w:rsidR="00823FE9" w:rsidRPr="00823FE9" w:rsidRDefault="00823FE9" w:rsidP="00823FE9">
      <w:pPr>
        <w:spacing w:after="0"/>
        <w:rPr>
          <w:b/>
          <w:bCs/>
        </w:rPr>
      </w:pPr>
    </w:p>
    <w:p w:rsidR="00823FE9" w:rsidRDefault="00823FE9" w:rsidP="00823FE9">
      <w:pPr>
        <w:spacing w:after="0"/>
      </w:pPr>
      <w:r w:rsidRPr="00823FE9">
        <w:t>There seemed to be a broad consensus of opinion that drafting the final report could present</w:t>
      </w:r>
      <w:r>
        <w:t xml:space="preserve"> </w:t>
      </w:r>
      <w:r w:rsidRPr="00823FE9">
        <w:t>considerable logistical problems. The difficulties of drafting ‘by Committee’ was alluded to by</w:t>
      </w:r>
      <w:r>
        <w:t xml:space="preserve"> </w:t>
      </w:r>
      <w:r w:rsidRPr="00823FE9">
        <w:t>more than one respondent; it was considered more helpful if the chairman/woman took the</w:t>
      </w:r>
      <w:r>
        <w:t xml:space="preserve"> </w:t>
      </w:r>
      <w:r w:rsidRPr="00823FE9">
        <w:t>initiative in constructing a first draft to be subsequently worked over and amended by the rest of</w:t>
      </w:r>
      <w:r>
        <w:t xml:space="preserve"> </w:t>
      </w:r>
      <w:r w:rsidRPr="00823FE9">
        <w:t>the panel. Occasionally, the sponsoring authority requested changes at the drafting stage. In some</w:t>
      </w:r>
      <w:r>
        <w:t xml:space="preserve"> </w:t>
      </w:r>
      <w:r w:rsidRPr="00823FE9">
        <w:t>cases panels had agreed to these if such changes were considered justified. In others, requests for</w:t>
      </w:r>
      <w:r>
        <w:t xml:space="preserve"> </w:t>
      </w:r>
      <w:r w:rsidRPr="00823FE9">
        <w:t>change were resisted by the panel. One respondent referred to the dangers of individual panel</w:t>
      </w:r>
      <w:r>
        <w:t xml:space="preserve"> </w:t>
      </w:r>
      <w:r w:rsidRPr="00823FE9">
        <w:t>members wishing to ride personal ‘hobby-horses’ – a tendency which needed to be resisted firmly.</w:t>
      </w:r>
      <w:r>
        <w:t xml:space="preserve"> </w:t>
      </w:r>
      <w:r w:rsidRPr="00823FE9">
        <w:t>An essential requisite seemed to be that parties likely to be criticised should be informed of any</w:t>
      </w:r>
      <w:r>
        <w:t xml:space="preserve"> </w:t>
      </w:r>
      <w:r w:rsidRPr="00823FE9">
        <w:t>potential criticisms in advance and given the opportunity to comment on them. Sometimes,</w:t>
      </w:r>
      <w:r>
        <w:t xml:space="preserve"> </w:t>
      </w:r>
      <w:r w:rsidRPr="00823FE9">
        <w:t>modifications were made if these concerned matters of fact, but matters of opinion would remain</w:t>
      </w:r>
      <w:r>
        <w:t xml:space="preserve"> </w:t>
      </w:r>
      <w:r w:rsidRPr="00823FE9">
        <w:t>unchanged if the panel considered these had been substantiated by their investigators.</w:t>
      </w:r>
    </w:p>
    <w:p w:rsidR="00823FE9" w:rsidRDefault="00823FE9" w:rsidP="00823FE9">
      <w:pPr>
        <w:spacing w:after="0"/>
      </w:pPr>
    </w:p>
    <w:p w:rsidR="00823FE9" w:rsidRPr="00823FE9" w:rsidRDefault="00823FE9" w:rsidP="00823FE9">
      <w:pPr>
        <w:spacing w:after="0"/>
      </w:pPr>
    </w:p>
    <w:p w:rsidR="00823FE9" w:rsidRDefault="00823FE9" w:rsidP="00823FE9">
      <w:pPr>
        <w:spacing w:after="0"/>
        <w:rPr>
          <w:b/>
          <w:bCs/>
        </w:rPr>
      </w:pPr>
      <w:proofErr w:type="gramStart"/>
      <w:r w:rsidRPr="00823FE9">
        <w:rPr>
          <w:b/>
          <w:bCs/>
        </w:rPr>
        <w:t>10 Promulgation, publication and dissemination of findings.</w:t>
      </w:r>
      <w:proofErr w:type="gramEnd"/>
      <w:r w:rsidRPr="00823FE9">
        <w:rPr>
          <w:b/>
          <w:bCs/>
        </w:rPr>
        <w:t xml:space="preserve"> Feedback and requests</w:t>
      </w:r>
      <w:r>
        <w:rPr>
          <w:b/>
          <w:bCs/>
        </w:rPr>
        <w:t xml:space="preserve"> </w:t>
      </w:r>
      <w:r w:rsidRPr="00823FE9">
        <w:rPr>
          <w:b/>
          <w:bCs/>
        </w:rPr>
        <w:t>for follow-up by panel</w:t>
      </w:r>
    </w:p>
    <w:p w:rsidR="00EC7A50" w:rsidRDefault="00EC7A50" w:rsidP="00823FE9">
      <w:pPr>
        <w:spacing w:after="0"/>
        <w:rPr>
          <w:b/>
          <w:bCs/>
        </w:rPr>
      </w:pPr>
    </w:p>
    <w:p w:rsidR="00EC7A50" w:rsidRDefault="00EC7A50" w:rsidP="00EC7A50">
      <w:pPr>
        <w:spacing w:after="0"/>
      </w:pPr>
      <w:r w:rsidRPr="00EC7A50">
        <w:t>Respondents identified some problems concerning the ‘launch’ of their report. For example,</w:t>
      </w:r>
      <w:r>
        <w:t xml:space="preserve"> </w:t>
      </w:r>
      <w:r w:rsidRPr="00EC7A50">
        <w:t xml:space="preserve">insufficient publicity being given to the ‘launch’; in some cases the panel members </w:t>
      </w:r>
      <w:proofErr w:type="gramStart"/>
      <w:r w:rsidRPr="00EC7A50">
        <w:t>were</w:t>
      </w:r>
      <w:proofErr w:type="gramEnd"/>
      <w:r w:rsidRPr="00EC7A50">
        <w:t xml:space="preserve"> not invited</w:t>
      </w:r>
      <w:r>
        <w:t xml:space="preserve"> </w:t>
      </w:r>
      <w:r w:rsidRPr="00EC7A50">
        <w:t>to attend such events. One is drawn to the conclusion from some of the replies that in a few</w:t>
      </w:r>
      <w:r>
        <w:t xml:space="preserve"> </w:t>
      </w:r>
      <w:r w:rsidRPr="00EC7A50">
        <w:t>instances the sponsoring authority did not wish for too much publicity. Hardly ever was there any</w:t>
      </w:r>
      <w:r>
        <w:t xml:space="preserve"> </w:t>
      </w:r>
      <w:r w:rsidRPr="00EC7A50">
        <w:t>feedback to panels from sponsoring authorities. Requests to return to see to what extent the</w:t>
      </w:r>
      <w:r>
        <w:t xml:space="preserve"> </w:t>
      </w:r>
      <w:r w:rsidRPr="00EC7A50">
        <w:t>panel’s recommendations had been acted upon were very rare indeed. Only two of my respondents</w:t>
      </w:r>
      <w:r>
        <w:t xml:space="preserve"> </w:t>
      </w:r>
      <w:r w:rsidRPr="00EC7A50">
        <w:t>had been asked to revisit in this way. In one instance the offer was accepted, in the other it was</w:t>
      </w:r>
      <w:r>
        <w:t xml:space="preserve"> </w:t>
      </w:r>
      <w:r w:rsidRPr="00EC7A50">
        <w:t>declined on the basis that an independent assessor would be a more appropriate choice. This was</w:t>
      </w:r>
      <w:r>
        <w:t xml:space="preserve"> </w:t>
      </w:r>
      <w:r w:rsidRPr="00EC7A50">
        <w:t>acted upon by the sponsoring authority and the panel subsequently informed of the findings. One</w:t>
      </w:r>
      <w:r>
        <w:t xml:space="preserve"> </w:t>
      </w:r>
      <w:r w:rsidRPr="00EC7A50">
        <w:t>respondent considered that re-visiting was not appropriate and that the relevant authorities should</w:t>
      </w:r>
      <w:r>
        <w:t xml:space="preserve"> </w:t>
      </w:r>
      <w:r w:rsidRPr="00EC7A50">
        <w:t>be trusted to implement any recommendations. Two respondents referred to undue delay in the</w:t>
      </w:r>
      <w:r>
        <w:t xml:space="preserve"> </w:t>
      </w:r>
      <w:r w:rsidRPr="00EC7A50">
        <w:t>promulgation of their reports.</w:t>
      </w:r>
    </w:p>
    <w:p w:rsidR="005878A3" w:rsidRDefault="005878A3" w:rsidP="00EC7A50">
      <w:pPr>
        <w:spacing w:after="0"/>
      </w:pPr>
    </w:p>
    <w:p w:rsidR="005878A3" w:rsidRDefault="005878A3" w:rsidP="00EC7A50">
      <w:pPr>
        <w:spacing w:after="0"/>
      </w:pPr>
    </w:p>
    <w:p w:rsidR="005878A3" w:rsidRDefault="005878A3" w:rsidP="005878A3">
      <w:pPr>
        <w:spacing w:after="0"/>
        <w:rPr>
          <w:b/>
          <w:bCs/>
        </w:rPr>
      </w:pPr>
      <w:r w:rsidRPr="005878A3">
        <w:rPr>
          <w:b/>
          <w:bCs/>
        </w:rPr>
        <w:t>Other Observations</w:t>
      </w:r>
    </w:p>
    <w:p w:rsidR="005878A3" w:rsidRPr="005878A3" w:rsidRDefault="005878A3" w:rsidP="005878A3">
      <w:pPr>
        <w:spacing w:after="0"/>
        <w:rPr>
          <w:b/>
          <w:bCs/>
        </w:rPr>
      </w:pPr>
    </w:p>
    <w:p w:rsidR="005878A3" w:rsidRDefault="005878A3" w:rsidP="005878A3">
      <w:pPr>
        <w:spacing w:after="0"/>
      </w:pPr>
      <w:r w:rsidRPr="005878A3">
        <w:t>Respondents were asked to make any additional observations on matters not covered in my</w:t>
      </w:r>
      <w:r>
        <w:t xml:space="preserve"> </w:t>
      </w:r>
      <w:r w:rsidRPr="005878A3">
        <w:t>questions. One respondent referred to what could best be described as the serendipitous nature of</w:t>
      </w:r>
      <w:r>
        <w:t xml:space="preserve"> </w:t>
      </w:r>
      <w:r w:rsidRPr="005878A3">
        <w:t>panel membership. Normally, panel members seemed to work well, but where this might not be</w:t>
      </w:r>
      <w:r>
        <w:t xml:space="preserve"> </w:t>
      </w:r>
      <w:r w:rsidRPr="005878A3">
        <w:t>the case, serious problems could arise. The need to make proper allowance for the time required</w:t>
      </w:r>
      <w:r>
        <w:t xml:space="preserve"> </w:t>
      </w:r>
      <w:r w:rsidRPr="005878A3">
        <w:t>for an adequate inquiry was stressed. One or two respondents had reservations as to the impact</w:t>
      </w:r>
      <w:r>
        <w:t xml:space="preserve"> </w:t>
      </w:r>
      <w:r w:rsidRPr="005878A3">
        <w:t>their reports and recommendations would have on future practice. Another respondent</w:t>
      </w:r>
      <w:r>
        <w:t xml:space="preserve"> </w:t>
      </w:r>
      <w:r w:rsidRPr="005878A3">
        <w:t>considered that there needed to be some degree of control exercised over the number of inquiries</w:t>
      </w:r>
      <w:r>
        <w:t xml:space="preserve"> </w:t>
      </w:r>
      <w:r w:rsidRPr="005878A3">
        <w:t>taking place. My attention was also drawn to an omission in my questions to respondents.</w:t>
      </w:r>
      <w:r>
        <w:t xml:space="preserve"> </w:t>
      </w:r>
      <w:r w:rsidRPr="005878A3">
        <w:t>This concerned the very important question of venue. I had assumed (erroneously as it turned out)</w:t>
      </w:r>
      <w:r>
        <w:t xml:space="preserve"> </w:t>
      </w:r>
      <w:r w:rsidRPr="005878A3">
        <w:t>that this might be raised under the question of appropriateness of accommodation (Question 3).</w:t>
      </w:r>
      <w:r>
        <w:t xml:space="preserve"> </w:t>
      </w:r>
      <w:r w:rsidRPr="005878A3">
        <w:t xml:space="preserve">In most instances, </w:t>
      </w:r>
      <w:r w:rsidRPr="005878A3">
        <w:lastRenderedPageBreak/>
        <w:t xml:space="preserve">accommodation does not seem to have been a problem. </w:t>
      </w:r>
      <w:r w:rsidRPr="005878A3">
        <w:rPr>
          <w:i/>
          <w:iCs/>
        </w:rPr>
        <w:t xml:space="preserve">Venue </w:t>
      </w:r>
      <w:r w:rsidRPr="005878A3">
        <w:t>is, of course, a</w:t>
      </w:r>
      <w:r>
        <w:t xml:space="preserve"> </w:t>
      </w:r>
      <w:r w:rsidRPr="005878A3">
        <w:t xml:space="preserve">rather different matter. In most inquiries it is usual to hold the formal panel hearings in, say, </w:t>
      </w:r>
      <w:proofErr w:type="gramStart"/>
      <w:r w:rsidRPr="005878A3">
        <w:t>an</w:t>
      </w:r>
      <w:proofErr w:type="gramEnd"/>
      <w:r>
        <w:t xml:space="preserve"> </w:t>
      </w:r>
      <w:r w:rsidRPr="005878A3">
        <w:t>hotel and arrange for ‘site’ visits as appropriate. For example, in our inquiry into Orville</w:t>
      </w:r>
      <w:r>
        <w:t xml:space="preserve"> </w:t>
      </w:r>
      <w:r w:rsidRPr="005878A3">
        <w:t>Blackwood’s death, we held most of our ‘hearings’ at a London hotel. However, we paid several</w:t>
      </w:r>
      <w:r>
        <w:t xml:space="preserve"> </w:t>
      </w:r>
      <w:r w:rsidRPr="005878A3">
        <w:t>site visits to the unit at which Orville had been detained and also interviewed a number of patients</w:t>
      </w:r>
      <w:r>
        <w:t xml:space="preserve"> </w:t>
      </w:r>
      <w:r w:rsidRPr="005878A3">
        <w:t>there. We also, at my insistence, visited the local general hospital to which Orville’s body had been</w:t>
      </w:r>
      <w:r>
        <w:t xml:space="preserve"> </w:t>
      </w:r>
      <w:r w:rsidRPr="005878A3">
        <w:t>taken. This was in order to inspect the ‘viewing’ arrangements for relatives. For various reasons</w:t>
      </w:r>
      <w:r>
        <w:t xml:space="preserve"> </w:t>
      </w:r>
      <w:r w:rsidRPr="005878A3">
        <w:t>these had been very unsatisfactory and caused Orville’s relatives considerable distress. Had we not</w:t>
      </w:r>
      <w:r>
        <w:t xml:space="preserve"> </w:t>
      </w:r>
      <w:r w:rsidRPr="005878A3">
        <w:t>visited for ourselves, we would not have been able to assess the level of trauma caused to the family.</w:t>
      </w:r>
      <w:r>
        <w:t xml:space="preserve"> </w:t>
      </w:r>
      <w:r w:rsidRPr="005878A3">
        <w:t>Choice of venue can be a complex matter as, for example, in the on-going Saville inquiry into the</w:t>
      </w:r>
      <w:r>
        <w:t xml:space="preserve"> </w:t>
      </w:r>
      <w:r w:rsidRPr="005878A3">
        <w:t>events of ‘Bloody Sunday’ in Northern Ireland. In this instance the issue of whether</w:t>
      </w:r>
      <w:r>
        <w:t xml:space="preserve"> </w:t>
      </w:r>
      <w:r w:rsidRPr="005878A3">
        <w:t>soldiers/witnesses should travel to the province to give their evidence has proved problematic.</w:t>
      </w:r>
    </w:p>
    <w:p w:rsidR="005878A3" w:rsidRDefault="005878A3" w:rsidP="005878A3">
      <w:pPr>
        <w:spacing w:after="0"/>
      </w:pPr>
    </w:p>
    <w:p w:rsidR="005878A3" w:rsidRPr="005878A3" w:rsidRDefault="005878A3" w:rsidP="005878A3">
      <w:pPr>
        <w:spacing w:after="0"/>
      </w:pPr>
    </w:p>
    <w:p w:rsidR="005878A3" w:rsidRDefault="005878A3" w:rsidP="005878A3">
      <w:pPr>
        <w:spacing w:after="0"/>
        <w:rPr>
          <w:b/>
          <w:bCs/>
        </w:rPr>
      </w:pPr>
      <w:r w:rsidRPr="005878A3">
        <w:rPr>
          <w:b/>
          <w:bCs/>
        </w:rPr>
        <w:t>OVERALL IMPRESSIONS</w:t>
      </w:r>
    </w:p>
    <w:p w:rsidR="005878A3" w:rsidRPr="005878A3" w:rsidRDefault="005878A3" w:rsidP="005878A3">
      <w:pPr>
        <w:spacing w:after="0"/>
        <w:rPr>
          <w:b/>
          <w:bCs/>
        </w:rPr>
      </w:pPr>
    </w:p>
    <w:p w:rsidR="005878A3" w:rsidRPr="005878A3" w:rsidRDefault="005878A3" w:rsidP="005878A3">
      <w:pPr>
        <w:spacing w:after="0"/>
      </w:pPr>
      <w:r w:rsidRPr="005878A3">
        <w:t>My overall impression from my respondents’ answers is that they recognised the inherent tensions</w:t>
      </w:r>
      <w:r>
        <w:t xml:space="preserve"> </w:t>
      </w:r>
      <w:r w:rsidRPr="005878A3">
        <w:t>involved in balancing the victims’ relatives’ views and feelings on the one hand, against those of</w:t>
      </w:r>
      <w:r>
        <w:t xml:space="preserve"> </w:t>
      </w:r>
      <w:r w:rsidRPr="005878A3">
        <w:t>the professionals involved in the case on the other. Most seemed satisfied with the arrangements</w:t>
      </w:r>
      <w:r>
        <w:t xml:space="preserve"> </w:t>
      </w:r>
      <w:r w:rsidRPr="005878A3">
        <w:t>for support services and accommodation. Lobbying by interested parties did not seem particularly</w:t>
      </w:r>
      <w:r>
        <w:t xml:space="preserve"> </w:t>
      </w:r>
      <w:r w:rsidRPr="005878A3">
        <w:t>problematic, and possible conflicts of interest seemed capable of resolution. Most respondents</w:t>
      </w:r>
      <w:r>
        <w:t xml:space="preserve"> </w:t>
      </w:r>
      <w:r w:rsidRPr="005878A3">
        <w:t>favoured inquiries being held in private, but acknowledged the need for public hearings in certain</w:t>
      </w:r>
      <w:r>
        <w:t xml:space="preserve"> </w:t>
      </w:r>
      <w:r w:rsidRPr="005878A3">
        <w:t xml:space="preserve">cases where the public interest or notoriety </w:t>
      </w:r>
      <w:proofErr w:type="gramStart"/>
      <w:r w:rsidRPr="005878A3">
        <w:t>were</w:t>
      </w:r>
      <w:proofErr w:type="gramEnd"/>
      <w:r w:rsidRPr="005878A3">
        <w:t xml:space="preserve"> of paramount importance. They seemed keenly</w:t>
      </w:r>
      <w:r>
        <w:t xml:space="preserve"> </w:t>
      </w:r>
      <w:r w:rsidRPr="005878A3">
        <w:t>aware of their role in seeing ‘fair play’ in the conduct of hearings and managing them with an</w:t>
      </w:r>
      <w:r>
        <w:t xml:space="preserve"> </w:t>
      </w:r>
      <w:r w:rsidRPr="005878A3">
        <w:t>appropriate mixture of informality and ‘judicial’ restraint. Problems were encountered concerning</w:t>
      </w:r>
      <w:r>
        <w:t xml:space="preserve"> </w:t>
      </w:r>
      <w:r w:rsidRPr="005878A3">
        <w:t>access to documentation; more specific guidance from central government would have been</w:t>
      </w:r>
      <w:r>
        <w:t xml:space="preserve"> </w:t>
      </w:r>
      <w:r w:rsidRPr="005878A3">
        <w:t>welcomed on this matter. Drafting the final report was occasionally problematic if sponsoring</w:t>
      </w:r>
      <w:r>
        <w:t xml:space="preserve"> </w:t>
      </w:r>
      <w:r w:rsidRPr="005878A3">
        <w:t>authorities wished for deletions or amendments. Allowing witnesses to suggest modifications to</w:t>
      </w:r>
      <w:r>
        <w:t xml:space="preserve"> </w:t>
      </w:r>
      <w:r w:rsidRPr="005878A3">
        <w:t>their factual evidence seemed a helpful device in this respect and panel chairmen and women</w:t>
      </w:r>
      <w:r>
        <w:t xml:space="preserve"> </w:t>
      </w:r>
      <w:r w:rsidRPr="005878A3">
        <w:t>seemed able to separate this from opinion. It was very rare for panels to be asked to return to the</w:t>
      </w:r>
      <w:r>
        <w:t xml:space="preserve"> </w:t>
      </w:r>
      <w:r w:rsidRPr="005878A3">
        <w:t>authority to examine to what extent their recommendations had been acted upon; and it was also</w:t>
      </w:r>
      <w:r>
        <w:t xml:space="preserve"> </w:t>
      </w:r>
      <w:r w:rsidRPr="005878A3">
        <w:t>rare to find the provision of feedback to panels. A final word of caution is necessary concerning</w:t>
      </w:r>
      <w:r>
        <w:t xml:space="preserve"> </w:t>
      </w:r>
      <w:r w:rsidRPr="005878A3">
        <w:t>the responses I obtained. The sample is a very small one; for th</w:t>
      </w:r>
      <w:r>
        <w:t>is reason it would be unwise to o</w:t>
      </w:r>
      <w:r w:rsidRPr="005878A3">
        <w:t>ver</w:t>
      </w:r>
      <w:r>
        <w:t>-</w:t>
      </w:r>
      <w:r w:rsidRPr="005878A3">
        <w:t>generalise</w:t>
      </w:r>
      <w:r>
        <w:t xml:space="preserve"> </w:t>
      </w:r>
      <w:r w:rsidRPr="005878A3">
        <w:t xml:space="preserve">any conclusions. Had I chosen to survey a larger number of those who had </w:t>
      </w:r>
      <w:proofErr w:type="gramStart"/>
      <w:r w:rsidRPr="005878A3">
        <w:t>chaired</w:t>
      </w:r>
      <w:proofErr w:type="gramEnd"/>
    </w:p>
    <w:p w:rsidR="005878A3" w:rsidRDefault="005878A3" w:rsidP="005878A3">
      <w:pPr>
        <w:spacing w:after="0"/>
      </w:pPr>
      <w:proofErr w:type="gramStart"/>
      <w:r w:rsidRPr="005878A3">
        <w:t>mental</w:t>
      </w:r>
      <w:proofErr w:type="gramEnd"/>
      <w:r w:rsidRPr="005878A3">
        <w:t xml:space="preserve"> health inquiries the results </w:t>
      </w:r>
      <w:r w:rsidRPr="005878A3">
        <w:rPr>
          <w:i/>
          <w:iCs/>
        </w:rPr>
        <w:t xml:space="preserve">might </w:t>
      </w:r>
      <w:r w:rsidRPr="005878A3">
        <w:t>have been different.</w:t>
      </w: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Default="00B5032B" w:rsidP="005878A3">
      <w:pPr>
        <w:spacing w:after="0"/>
      </w:pPr>
    </w:p>
    <w:p w:rsidR="00B5032B" w:rsidRPr="00B5032B" w:rsidRDefault="00B5032B" w:rsidP="00B5032B">
      <w:pPr>
        <w:spacing w:after="0"/>
        <w:rPr>
          <w:b/>
          <w:bCs/>
        </w:rPr>
      </w:pPr>
      <w:r w:rsidRPr="00B5032B">
        <w:rPr>
          <w:b/>
          <w:bCs/>
        </w:rPr>
        <w:lastRenderedPageBreak/>
        <w:t>APPENDIX</w:t>
      </w:r>
    </w:p>
    <w:p w:rsidR="00B5032B" w:rsidRPr="00B5032B" w:rsidRDefault="00B5032B" w:rsidP="00B5032B">
      <w:pPr>
        <w:spacing w:after="0"/>
      </w:pPr>
      <w:r w:rsidRPr="00B5032B">
        <w:t>1 Home Close Road,</w:t>
      </w:r>
    </w:p>
    <w:p w:rsidR="00B5032B" w:rsidRPr="00B5032B" w:rsidRDefault="00B5032B" w:rsidP="00B5032B">
      <w:pPr>
        <w:spacing w:after="0"/>
      </w:pPr>
      <w:r w:rsidRPr="00B5032B">
        <w:t>Houghton on the Hill,</w:t>
      </w:r>
    </w:p>
    <w:p w:rsidR="00B5032B" w:rsidRPr="00B5032B" w:rsidRDefault="00B5032B" w:rsidP="00B5032B">
      <w:pPr>
        <w:spacing w:after="0"/>
      </w:pPr>
      <w:r w:rsidRPr="00B5032B">
        <w:t>Leicester.</w:t>
      </w:r>
    </w:p>
    <w:p w:rsidR="00B5032B" w:rsidRPr="00B5032B" w:rsidRDefault="00B5032B" w:rsidP="00B5032B">
      <w:pPr>
        <w:spacing w:after="0"/>
      </w:pPr>
      <w:proofErr w:type="gramStart"/>
      <w:r w:rsidRPr="00B5032B">
        <w:t>LE7 9GT.</w:t>
      </w:r>
      <w:proofErr w:type="gramEnd"/>
    </w:p>
    <w:p w:rsidR="00B5032B" w:rsidRDefault="00B5032B" w:rsidP="00B5032B">
      <w:pPr>
        <w:spacing w:after="0"/>
      </w:pPr>
      <w:r w:rsidRPr="00B5032B">
        <w:t>Tel: 01162 417 675</w:t>
      </w:r>
    </w:p>
    <w:p w:rsidR="00B5032B" w:rsidRPr="00B5032B" w:rsidRDefault="00B5032B" w:rsidP="00B5032B">
      <w:pPr>
        <w:spacing w:after="0"/>
      </w:pPr>
    </w:p>
    <w:p w:rsidR="00B5032B" w:rsidRDefault="00B5032B" w:rsidP="00B5032B">
      <w:pPr>
        <w:spacing w:after="0"/>
      </w:pPr>
      <w:r w:rsidRPr="00B5032B">
        <w:t>CONFIDENTIAL</w:t>
      </w:r>
    </w:p>
    <w:p w:rsidR="00B5032B" w:rsidRPr="00B5032B" w:rsidRDefault="00B5032B" w:rsidP="00B5032B">
      <w:pPr>
        <w:spacing w:after="0"/>
      </w:pPr>
    </w:p>
    <w:p w:rsidR="00B5032B" w:rsidRPr="00B5032B" w:rsidRDefault="00B5032B" w:rsidP="00B5032B">
      <w:pPr>
        <w:spacing w:after="0"/>
      </w:pPr>
      <w:r w:rsidRPr="00B5032B">
        <w:t>Dear</w:t>
      </w:r>
    </w:p>
    <w:p w:rsidR="00B5032B" w:rsidRDefault="00B5032B" w:rsidP="00B5032B">
      <w:pPr>
        <w:spacing w:after="0"/>
      </w:pPr>
      <w:r w:rsidRPr="00B5032B">
        <w:t>I am writing to solicit your assistance in the hope that you will feel able to help me. I have been</w:t>
      </w:r>
      <w:r>
        <w:t xml:space="preserve"> </w:t>
      </w:r>
      <w:r w:rsidRPr="00B5032B">
        <w:t>commissioned by Taylor and Francis (Routledge) to contribute a chapter in a book (edited by</w:t>
      </w:r>
      <w:r>
        <w:t xml:space="preserve"> </w:t>
      </w:r>
      <w:r w:rsidRPr="00B5032B">
        <w:t xml:space="preserve">Nicky Stanley and Jill </w:t>
      </w:r>
      <w:proofErr w:type="spellStart"/>
      <w:r w:rsidRPr="00B5032B">
        <w:t>Manthorpe</w:t>
      </w:r>
      <w:proofErr w:type="spellEnd"/>
      <w:r w:rsidRPr="00B5032B">
        <w:t xml:space="preserve"> of Hull University) and provisionally entitled ‘The Age of</w:t>
      </w:r>
      <w:r>
        <w:t xml:space="preserve"> </w:t>
      </w:r>
      <w:r w:rsidRPr="00B5032B">
        <w:t>Inquiry’. The remit given me by the Editors is to discuss some of the problems facing the</w:t>
      </w:r>
      <w:r>
        <w:t xml:space="preserve"> </w:t>
      </w:r>
      <w:r w:rsidRPr="00B5032B">
        <w:t>chairmen/women of Inquiries (and, in particular, those into homicides committed by those known</w:t>
      </w:r>
      <w:r>
        <w:t xml:space="preserve"> </w:t>
      </w:r>
      <w:r w:rsidRPr="00B5032B">
        <w:t>to the mental health services and agencies).</w:t>
      </w:r>
    </w:p>
    <w:p w:rsidR="00B5032B" w:rsidRPr="00B5032B" w:rsidRDefault="00B5032B" w:rsidP="00B5032B">
      <w:pPr>
        <w:spacing w:after="0"/>
      </w:pPr>
    </w:p>
    <w:p w:rsidR="00B5032B" w:rsidRDefault="00B5032B" w:rsidP="00B5032B">
      <w:pPr>
        <w:spacing w:after="0"/>
      </w:pPr>
      <w:r w:rsidRPr="00B5032B">
        <w:t>Having chaired three somewhat different mental health inquiries myself (Orville Blackwood’s</w:t>
      </w:r>
      <w:r>
        <w:t xml:space="preserve"> </w:t>
      </w:r>
      <w:r w:rsidRPr="00B5032B">
        <w:t xml:space="preserve">death at Broadmoor, Trevor Holland’s </w:t>
      </w:r>
      <w:proofErr w:type="spellStart"/>
      <w:r w:rsidRPr="00B5032B">
        <w:t>absconsion</w:t>
      </w:r>
      <w:proofErr w:type="spellEnd"/>
      <w:r w:rsidRPr="00B5032B">
        <w:t xml:space="preserve"> from escorted day-leave to </w:t>
      </w:r>
      <w:proofErr w:type="spellStart"/>
      <w:r w:rsidRPr="00B5032B">
        <w:t>Chessington</w:t>
      </w:r>
      <w:proofErr w:type="spellEnd"/>
      <w:r w:rsidRPr="00B5032B">
        <w:t xml:space="preserve"> Zoo</w:t>
      </w:r>
      <w:r>
        <w:t xml:space="preserve"> </w:t>
      </w:r>
      <w:r w:rsidRPr="00B5032B">
        <w:t>(Theme Park) and Sanjay Patel’s killing of a vagrant in the City of Leicester) I have naturally</w:t>
      </w:r>
      <w:r>
        <w:t xml:space="preserve"> </w:t>
      </w:r>
      <w:r w:rsidRPr="00B5032B">
        <w:t>formed some views about the problems confronting those who chair such investigations. However,</w:t>
      </w:r>
      <w:r>
        <w:t xml:space="preserve"> </w:t>
      </w:r>
      <w:r w:rsidRPr="00B5032B">
        <w:t>I am very aware that my own views could well be somewhat idiosyncratic. For this reason, I am</w:t>
      </w:r>
      <w:r>
        <w:t xml:space="preserve"> </w:t>
      </w:r>
      <w:r w:rsidRPr="00B5032B">
        <w:t>keen to solicit the views of a small number of colleagues who have chaired mental health inquiries.</w:t>
      </w:r>
      <w:r>
        <w:t xml:space="preserve"> </w:t>
      </w:r>
      <w:r w:rsidRPr="00B5032B">
        <w:t>None of my hoped for respondents will be identified individually; I intend, if possible, to present</w:t>
      </w:r>
      <w:r>
        <w:t xml:space="preserve"> </w:t>
      </w:r>
      <w:r w:rsidRPr="00B5032B">
        <w:t>a ‘composite’ picture of your views. I do not wish to constrain you in any reply you may wish to</w:t>
      </w:r>
      <w:r>
        <w:t xml:space="preserve"> </w:t>
      </w:r>
      <w:r w:rsidRPr="00B5032B">
        <w:t>furnish me with, but comment on the following matters in particular would be very helpful.</w:t>
      </w:r>
    </w:p>
    <w:p w:rsidR="00B5032B" w:rsidRPr="00B5032B" w:rsidRDefault="00B5032B" w:rsidP="00B5032B">
      <w:pPr>
        <w:spacing w:after="0"/>
      </w:pP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The manner in which your appointment was made. For example, were you nominated by a</w:t>
      </w:r>
      <w:r>
        <w:t xml:space="preserve"> </w:t>
      </w:r>
      <w:r w:rsidRPr="00B5032B">
        <w:t>particular agency or organisation or did the request come ‘out of the blue’ so to speak? The</w:t>
      </w:r>
      <w:r>
        <w:t xml:space="preserve"> </w:t>
      </w:r>
      <w:r w:rsidRPr="00B5032B">
        <w:t>manner in which you were ‘sounded out’ by the body setting up the inquiry would be of</w:t>
      </w:r>
      <w:r>
        <w:t xml:space="preserve"> </w:t>
      </w:r>
      <w:r w:rsidRPr="00B5032B">
        <w:t>interest.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Did you have any say in the appointment of your team colleagues, or were you presented with</w:t>
      </w:r>
      <w:r>
        <w:t xml:space="preserve"> </w:t>
      </w:r>
      <w:r w:rsidRPr="00B5032B">
        <w:t>a ‘fait accompli’?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Were the support services provided adequate (for example, secretarial/administrative help,</w:t>
      </w:r>
      <w:r>
        <w:t xml:space="preserve"> </w:t>
      </w:r>
      <w:r w:rsidRPr="00B5032B">
        <w:t>accommodation)?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Were you exposed to any degree of ‘lobbying’ by interested parties? (For example, in our</w:t>
      </w:r>
      <w:r>
        <w:t xml:space="preserve"> </w:t>
      </w:r>
      <w:r w:rsidRPr="00B5032B">
        <w:t>‘Blackwood’ Inquiry, there was some pressure on the part of some of the parties for us to</w:t>
      </w:r>
      <w:r>
        <w:t xml:space="preserve"> </w:t>
      </w:r>
      <w:r w:rsidRPr="00B5032B">
        <w:t>conduct the inquiry in public. There was also an initial reluctance on the part of the National</w:t>
      </w:r>
      <w:r>
        <w:t xml:space="preserve"> </w:t>
      </w:r>
      <w:r w:rsidRPr="00B5032B">
        <w:t>P.O.A. (but not the local membership) to co-operate).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Have you any views on whether such inquiries should be in ‘public’ or ‘private’?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Is it possible for you to describe any conflict you may have felt personally in attempting to be</w:t>
      </w:r>
      <w:r>
        <w:t xml:space="preserve"> </w:t>
      </w:r>
      <w:r w:rsidRPr="00B5032B">
        <w:t>‘fair’ to all parties and to avoid subjecting them to undue stress?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Did you experience any difficulties in ‘managing’ the actual hearings? (For example, was it</w:t>
      </w:r>
      <w:r>
        <w:t xml:space="preserve"> </w:t>
      </w:r>
      <w:r w:rsidRPr="00B5032B">
        <w:t>necessary to exercise more than a ‘light’ degree of control over witnesses or, for that matter,</w:t>
      </w:r>
      <w:r>
        <w:t xml:space="preserve"> </w:t>
      </w:r>
      <w:r w:rsidRPr="00B5032B">
        <w:t>your colleagues)?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lastRenderedPageBreak/>
        <w:t>Did you experience any problems in gaining access to relevant documentation (for example</w:t>
      </w:r>
      <w:r>
        <w:t xml:space="preserve"> </w:t>
      </w:r>
      <w:r w:rsidRPr="00B5032B">
        <w:t>patient’s and other records)? Would clearer central government guidance on this matter have</w:t>
      </w:r>
      <w:r>
        <w:t xml:space="preserve"> </w:t>
      </w:r>
      <w:r w:rsidRPr="00B5032B">
        <w:t>been of assistance?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Did you experience any major problems in drafting the various stages of the final report? Were</w:t>
      </w:r>
      <w:r>
        <w:t xml:space="preserve"> </w:t>
      </w:r>
      <w:r w:rsidRPr="00B5032B">
        <w:t>there significant pressures placed upon you to modify your version of events, the conclusions</w:t>
      </w:r>
      <w:r>
        <w:t xml:space="preserve"> </w:t>
      </w:r>
      <w:r w:rsidRPr="00B5032B">
        <w:t>you drew from these and your final recommendations?</w:t>
      </w:r>
    </w:p>
    <w:p w:rsidR="00B5032B" w:rsidRDefault="00B5032B" w:rsidP="00B5032B">
      <w:pPr>
        <w:pStyle w:val="ListParagraph"/>
        <w:numPr>
          <w:ilvl w:val="0"/>
          <w:numId w:val="1"/>
        </w:numPr>
        <w:spacing w:after="0"/>
      </w:pPr>
      <w:r w:rsidRPr="00B5032B">
        <w:t>Were you satisfied with the arrangements made for the promulgation, publication and</w:t>
      </w:r>
      <w:r>
        <w:t xml:space="preserve"> </w:t>
      </w:r>
      <w:r w:rsidRPr="00B5032B">
        <w:t>dissemination of your findings? Were you asked to revisit to see if your recommendations had</w:t>
      </w:r>
      <w:r>
        <w:t xml:space="preserve"> </w:t>
      </w:r>
      <w:r w:rsidRPr="00B5032B">
        <w:t>been implemented?</w:t>
      </w:r>
      <w:bookmarkStart w:id="0" w:name="_GoBack"/>
      <w:bookmarkEnd w:id="0"/>
    </w:p>
    <w:p w:rsidR="00B5032B" w:rsidRPr="00B5032B" w:rsidRDefault="00B5032B" w:rsidP="00B5032B">
      <w:pPr>
        <w:spacing w:after="0"/>
      </w:pPr>
    </w:p>
    <w:p w:rsidR="00B5032B" w:rsidRPr="00B5032B" w:rsidRDefault="00B5032B" w:rsidP="00B5032B">
      <w:pPr>
        <w:spacing w:after="0"/>
      </w:pPr>
      <w:r w:rsidRPr="00B5032B">
        <w:t>The above questions are, of course, highly selective and you may well have identified from your</w:t>
      </w:r>
      <w:r>
        <w:t xml:space="preserve"> </w:t>
      </w:r>
      <w:r w:rsidRPr="00B5032B">
        <w:t>experiences other areas of concern that I have not indicated. Please feel free to add any additional</w:t>
      </w:r>
      <w:r>
        <w:t xml:space="preserve"> </w:t>
      </w:r>
      <w:r w:rsidRPr="00B5032B">
        <w:t>comments.</w:t>
      </w:r>
    </w:p>
    <w:p w:rsidR="00B5032B" w:rsidRDefault="00B5032B" w:rsidP="00B5032B">
      <w:pPr>
        <w:spacing w:after="0"/>
      </w:pPr>
    </w:p>
    <w:p w:rsidR="00B5032B" w:rsidRPr="00B5032B" w:rsidRDefault="00B5032B" w:rsidP="00B5032B">
      <w:pPr>
        <w:spacing w:after="0"/>
      </w:pPr>
      <w:r w:rsidRPr="00B5032B">
        <w:t>Finally, may I thank you in anticipation for any help you may feel able to offer me. I enclose a</w:t>
      </w:r>
      <w:r>
        <w:t xml:space="preserve"> </w:t>
      </w:r>
      <w:r w:rsidRPr="00B5032B">
        <w:t>stamped and addressed envelope for your reply.</w:t>
      </w:r>
    </w:p>
    <w:p w:rsidR="00B5032B" w:rsidRDefault="00B5032B" w:rsidP="00B5032B">
      <w:pPr>
        <w:spacing w:after="0"/>
      </w:pPr>
    </w:p>
    <w:p w:rsidR="00B5032B" w:rsidRDefault="00B5032B" w:rsidP="00B5032B">
      <w:pPr>
        <w:spacing w:after="0"/>
      </w:pPr>
    </w:p>
    <w:p w:rsidR="00B5032B" w:rsidRPr="00B5032B" w:rsidRDefault="00B5032B" w:rsidP="00B5032B">
      <w:pPr>
        <w:spacing w:after="0"/>
      </w:pPr>
      <w:proofErr w:type="gramStart"/>
      <w:r w:rsidRPr="00B5032B">
        <w:t>With best wishes.</w:t>
      </w:r>
      <w:proofErr w:type="gramEnd"/>
    </w:p>
    <w:p w:rsidR="00B5032B" w:rsidRDefault="00B5032B" w:rsidP="00B5032B">
      <w:pPr>
        <w:spacing w:after="0"/>
      </w:pPr>
    </w:p>
    <w:p w:rsidR="00B5032B" w:rsidRDefault="00B5032B" w:rsidP="00B5032B">
      <w:pPr>
        <w:spacing w:after="0"/>
      </w:pPr>
    </w:p>
    <w:p w:rsidR="00B5032B" w:rsidRPr="00CF0A77" w:rsidRDefault="00B5032B" w:rsidP="00B5032B">
      <w:pPr>
        <w:spacing w:after="0"/>
      </w:pPr>
      <w:r w:rsidRPr="00B5032B">
        <w:t>Yours sincerely,</w:t>
      </w:r>
    </w:p>
    <w:sectPr w:rsidR="00B5032B" w:rsidRPr="00CF0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8E" w:rsidRDefault="0096768E" w:rsidP="0096768E">
      <w:pPr>
        <w:spacing w:after="0" w:line="240" w:lineRule="auto"/>
      </w:pPr>
      <w:r>
        <w:separator/>
      </w:r>
    </w:p>
  </w:endnote>
  <w:endnote w:type="continuationSeparator" w:id="0">
    <w:p w:rsidR="0096768E" w:rsidRDefault="0096768E" w:rsidP="0096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8E" w:rsidRDefault="0096768E" w:rsidP="0096768E">
      <w:pPr>
        <w:spacing w:after="0" w:line="240" w:lineRule="auto"/>
      </w:pPr>
      <w:r>
        <w:separator/>
      </w:r>
    </w:p>
  </w:footnote>
  <w:footnote w:type="continuationSeparator" w:id="0">
    <w:p w:rsidR="0096768E" w:rsidRDefault="0096768E" w:rsidP="0096768E">
      <w:pPr>
        <w:spacing w:after="0" w:line="240" w:lineRule="auto"/>
      </w:pPr>
      <w:r>
        <w:continuationSeparator/>
      </w:r>
    </w:p>
  </w:footnote>
  <w:footnote w:id="1">
    <w:p w:rsidR="0096768E" w:rsidRPr="0096768E" w:rsidRDefault="0096768E" w:rsidP="0096768E">
      <w:pPr>
        <w:pStyle w:val="FootnoteText"/>
        <w:rPr>
          <w:sz w:val="16"/>
        </w:rPr>
      </w:pPr>
      <w:r w:rsidRPr="0096768E">
        <w:rPr>
          <w:rStyle w:val="FootnoteReference"/>
          <w:sz w:val="16"/>
        </w:rPr>
        <w:t>*</w:t>
      </w:r>
      <w:r w:rsidRPr="0096768E">
        <w:rPr>
          <w:sz w:val="16"/>
        </w:rPr>
        <w:t xml:space="preserve"> </w:t>
      </w:r>
      <w:r w:rsidRPr="0096768E">
        <w:rPr>
          <w:iCs/>
          <w:sz w:val="16"/>
        </w:rPr>
        <w:t>Professor, Midlands Centre for Criminology and Criminal Justice, Loughborough University, Loughborough, Leicestershire, LE11 3TU</w:t>
      </w:r>
    </w:p>
  </w:footnote>
  <w:footnote w:id="2">
    <w:p w:rsidR="0096768E" w:rsidRPr="0096768E" w:rsidRDefault="0096768E" w:rsidP="0096768E">
      <w:pPr>
        <w:pStyle w:val="FootnoteText"/>
        <w:rPr>
          <w:sz w:val="16"/>
        </w:rPr>
      </w:pPr>
      <w:r w:rsidRPr="0096768E">
        <w:rPr>
          <w:rStyle w:val="FootnoteReference"/>
          <w:sz w:val="16"/>
        </w:rPr>
        <w:footnoteRef/>
      </w:r>
      <w:r w:rsidRPr="0096768E">
        <w:rPr>
          <w:sz w:val="16"/>
        </w:rPr>
        <w:t xml:space="preserve"> </w:t>
      </w:r>
      <w:r w:rsidRPr="0096768E">
        <w:rPr>
          <w:sz w:val="16"/>
        </w:rPr>
        <w:t>The three inquiries I chaired were (</w:t>
      </w:r>
      <w:proofErr w:type="spellStart"/>
      <w:r w:rsidRPr="0096768E">
        <w:rPr>
          <w:sz w:val="16"/>
        </w:rPr>
        <w:t>i</w:t>
      </w:r>
      <w:proofErr w:type="spellEnd"/>
      <w:r w:rsidRPr="0096768E">
        <w:rPr>
          <w:sz w:val="16"/>
        </w:rPr>
        <w:t>) the Committee of</w:t>
      </w:r>
      <w:r w:rsidRPr="0096768E">
        <w:rPr>
          <w:sz w:val="16"/>
        </w:rPr>
        <w:t xml:space="preserve"> </w:t>
      </w:r>
      <w:r w:rsidRPr="0096768E">
        <w:rPr>
          <w:sz w:val="16"/>
        </w:rPr>
        <w:t>Inquiry into Orville Blackwood’s death at Broadmoor</w:t>
      </w:r>
      <w:r w:rsidRPr="0096768E">
        <w:rPr>
          <w:sz w:val="16"/>
        </w:rPr>
        <w:t xml:space="preserve"> </w:t>
      </w:r>
      <w:r w:rsidRPr="0096768E">
        <w:rPr>
          <w:sz w:val="16"/>
        </w:rPr>
        <w:t>Hospital (</w:t>
      </w:r>
      <w:proofErr w:type="spellStart"/>
      <w:r w:rsidRPr="0096768E">
        <w:rPr>
          <w:sz w:val="16"/>
        </w:rPr>
        <w:t>Prins</w:t>
      </w:r>
      <w:proofErr w:type="spellEnd"/>
      <w:r w:rsidRPr="0096768E">
        <w:rPr>
          <w:sz w:val="16"/>
        </w:rPr>
        <w:t>, H., Backer Holst, T., Francis, E. and</w:t>
      </w:r>
      <w:r w:rsidRPr="0096768E">
        <w:rPr>
          <w:sz w:val="16"/>
        </w:rPr>
        <w:t xml:space="preserve"> </w:t>
      </w:r>
      <w:proofErr w:type="spellStart"/>
      <w:r w:rsidRPr="0096768E">
        <w:rPr>
          <w:sz w:val="16"/>
        </w:rPr>
        <w:t>Keitch</w:t>
      </w:r>
      <w:proofErr w:type="spellEnd"/>
      <w:r w:rsidRPr="0096768E">
        <w:rPr>
          <w:sz w:val="16"/>
        </w:rPr>
        <w:t>, I.</w:t>
      </w:r>
      <w:proofErr w:type="gramStart"/>
      <w:r w:rsidRPr="0096768E">
        <w:rPr>
          <w:sz w:val="16"/>
        </w:rPr>
        <w:t>,1993</w:t>
      </w:r>
      <w:proofErr w:type="gramEnd"/>
      <w:r w:rsidRPr="0096768E">
        <w:rPr>
          <w:sz w:val="16"/>
        </w:rPr>
        <w:t>). Report of the Committee of Inquiry</w:t>
      </w:r>
      <w:r w:rsidRPr="0096768E">
        <w:rPr>
          <w:sz w:val="16"/>
        </w:rPr>
        <w:t xml:space="preserve"> </w:t>
      </w:r>
      <w:r w:rsidRPr="0096768E">
        <w:rPr>
          <w:sz w:val="16"/>
        </w:rPr>
        <w:t>into the Death in Broadmoor of Orville Blackwood</w:t>
      </w:r>
      <w:r w:rsidRPr="0096768E">
        <w:rPr>
          <w:sz w:val="16"/>
        </w:rPr>
        <w:t xml:space="preserve"> </w:t>
      </w:r>
      <w:r w:rsidRPr="0096768E">
        <w:rPr>
          <w:sz w:val="16"/>
        </w:rPr>
        <w:t>and a Review of the Deaths of two other Afro-Caribbean Patients: Big, Black and Dangerous?</w:t>
      </w:r>
      <w:r w:rsidRPr="0096768E">
        <w:rPr>
          <w:sz w:val="16"/>
        </w:rPr>
        <w:t xml:space="preserve"> </w:t>
      </w:r>
      <w:proofErr w:type="gramStart"/>
      <w:r w:rsidRPr="0096768E">
        <w:rPr>
          <w:sz w:val="16"/>
        </w:rPr>
        <w:t>Special Hospitals Service Authority.</w:t>
      </w:r>
      <w:proofErr w:type="gramEnd"/>
      <w:r w:rsidRPr="0096768E">
        <w:rPr>
          <w:sz w:val="16"/>
        </w:rPr>
        <w:t xml:space="preserve"> (ii) </w:t>
      </w:r>
      <w:proofErr w:type="spellStart"/>
      <w:r w:rsidRPr="0096768E">
        <w:rPr>
          <w:sz w:val="16"/>
        </w:rPr>
        <w:t>Prins</w:t>
      </w:r>
      <w:proofErr w:type="spellEnd"/>
      <w:r w:rsidRPr="0096768E">
        <w:rPr>
          <w:sz w:val="16"/>
        </w:rPr>
        <w:t>, H.,</w:t>
      </w:r>
      <w:r w:rsidRPr="0096768E">
        <w:rPr>
          <w:sz w:val="16"/>
        </w:rPr>
        <w:t xml:space="preserve"> </w:t>
      </w:r>
      <w:r w:rsidRPr="0096768E">
        <w:rPr>
          <w:sz w:val="16"/>
        </w:rPr>
        <w:t>Marshall, A. and Day, K. (1997). Report of the</w:t>
      </w:r>
      <w:r w:rsidRPr="0096768E">
        <w:rPr>
          <w:sz w:val="16"/>
        </w:rPr>
        <w:t xml:space="preserve"> </w:t>
      </w:r>
      <w:r w:rsidRPr="0096768E">
        <w:rPr>
          <w:sz w:val="16"/>
        </w:rPr>
        <w:t>Independent Panel of Inquiry into the Circumstances</w:t>
      </w:r>
      <w:r w:rsidRPr="0096768E">
        <w:rPr>
          <w:sz w:val="16"/>
        </w:rPr>
        <w:t xml:space="preserve"> </w:t>
      </w:r>
      <w:r w:rsidRPr="0096768E">
        <w:rPr>
          <w:sz w:val="16"/>
        </w:rPr>
        <w:t xml:space="preserve">Surrounding the </w:t>
      </w:r>
      <w:proofErr w:type="spellStart"/>
      <w:r w:rsidRPr="0096768E">
        <w:rPr>
          <w:sz w:val="16"/>
        </w:rPr>
        <w:t>Absconsion</w:t>
      </w:r>
      <w:proofErr w:type="spellEnd"/>
      <w:r w:rsidRPr="0096768E">
        <w:rPr>
          <w:sz w:val="16"/>
        </w:rPr>
        <w:t xml:space="preserve"> of Mr. Holland </w:t>
      </w:r>
      <w:proofErr w:type="gramStart"/>
      <w:r w:rsidRPr="0096768E">
        <w:rPr>
          <w:sz w:val="16"/>
        </w:rPr>
        <w:t>From</w:t>
      </w:r>
      <w:proofErr w:type="gramEnd"/>
      <w:r w:rsidRPr="0096768E">
        <w:rPr>
          <w:sz w:val="16"/>
        </w:rPr>
        <w:t xml:space="preserve"> the</w:t>
      </w:r>
      <w:r w:rsidRPr="0096768E">
        <w:rPr>
          <w:sz w:val="16"/>
        </w:rPr>
        <w:t xml:space="preserve"> </w:t>
      </w:r>
      <w:r w:rsidRPr="0096768E">
        <w:rPr>
          <w:sz w:val="16"/>
        </w:rPr>
        <w:t>Care of the Horizon NHS Trust on 19 August, 1996.</w:t>
      </w:r>
      <w:r w:rsidRPr="0096768E">
        <w:rPr>
          <w:sz w:val="16"/>
        </w:rPr>
        <w:t xml:space="preserve"> </w:t>
      </w:r>
      <w:proofErr w:type="gramStart"/>
      <w:r w:rsidRPr="0096768E">
        <w:rPr>
          <w:sz w:val="16"/>
        </w:rPr>
        <w:t>Horizon NHS Trust.</w:t>
      </w:r>
      <w:proofErr w:type="gramEnd"/>
      <w:r w:rsidRPr="0096768E">
        <w:rPr>
          <w:sz w:val="16"/>
        </w:rPr>
        <w:t xml:space="preserve"> (iii) </w:t>
      </w:r>
      <w:proofErr w:type="spellStart"/>
      <w:r w:rsidRPr="0096768E">
        <w:rPr>
          <w:sz w:val="16"/>
        </w:rPr>
        <w:t>Prins</w:t>
      </w:r>
      <w:proofErr w:type="spellEnd"/>
      <w:r w:rsidRPr="0096768E">
        <w:rPr>
          <w:sz w:val="16"/>
        </w:rPr>
        <w:t>, H., Ashman, M.,</w:t>
      </w:r>
      <w:r>
        <w:rPr>
          <w:sz w:val="16"/>
        </w:rPr>
        <w:t xml:space="preserve"> </w:t>
      </w:r>
      <w:r w:rsidRPr="0096768E">
        <w:rPr>
          <w:sz w:val="16"/>
        </w:rPr>
        <w:t xml:space="preserve">Steele, G. and Swann, M. (1998). </w:t>
      </w:r>
      <w:proofErr w:type="gramStart"/>
      <w:r w:rsidRPr="0096768E">
        <w:rPr>
          <w:sz w:val="16"/>
        </w:rPr>
        <w:t>Report of the</w:t>
      </w:r>
      <w:r w:rsidRPr="0096768E">
        <w:rPr>
          <w:sz w:val="16"/>
        </w:rPr>
        <w:t xml:space="preserve"> </w:t>
      </w:r>
      <w:r w:rsidRPr="0096768E">
        <w:rPr>
          <w:sz w:val="16"/>
        </w:rPr>
        <w:t>Independent Panel of Inquiry into the Care and</w:t>
      </w:r>
      <w:r w:rsidRPr="0096768E">
        <w:rPr>
          <w:sz w:val="16"/>
        </w:rPr>
        <w:t xml:space="preserve"> </w:t>
      </w:r>
      <w:r w:rsidRPr="0096768E">
        <w:rPr>
          <w:sz w:val="16"/>
        </w:rPr>
        <w:t>Treatment of Sanjay Kumar Patel, Leicester Health</w:t>
      </w:r>
      <w:r w:rsidRPr="0096768E">
        <w:rPr>
          <w:sz w:val="16"/>
        </w:rPr>
        <w:t xml:space="preserve"> </w:t>
      </w:r>
      <w:r w:rsidRPr="0096768E">
        <w:rPr>
          <w:sz w:val="16"/>
        </w:rPr>
        <w:t>Authority.</w:t>
      </w:r>
      <w:proofErr w:type="gramEnd"/>
    </w:p>
  </w:footnote>
  <w:footnote w:id="3">
    <w:p w:rsidR="001A2C7C" w:rsidRPr="001A2C7C" w:rsidRDefault="001A2C7C" w:rsidP="001A2C7C">
      <w:pPr>
        <w:pStyle w:val="FootnoteText"/>
        <w:rPr>
          <w:sz w:val="16"/>
        </w:rPr>
      </w:pPr>
      <w:r w:rsidRPr="001A2C7C">
        <w:rPr>
          <w:rStyle w:val="FootnoteReference"/>
          <w:sz w:val="16"/>
          <w:szCs w:val="16"/>
        </w:rPr>
        <w:footnoteRef/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For discussions of inquiries more generally see G.</w:t>
      </w:r>
      <w:r w:rsidRPr="001A2C7C">
        <w:rPr>
          <w:sz w:val="16"/>
          <w:szCs w:val="16"/>
        </w:rPr>
        <w:t xml:space="preserve"> </w:t>
      </w:r>
      <w:proofErr w:type="spellStart"/>
      <w:r w:rsidRPr="001A2C7C">
        <w:rPr>
          <w:sz w:val="16"/>
          <w:szCs w:val="16"/>
        </w:rPr>
        <w:t>Drewry</w:t>
      </w:r>
      <w:proofErr w:type="spellEnd"/>
      <w:r w:rsidRPr="001A2C7C">
        <w:rPr>
          <w:sz w:val="16"/>
          <w:szCs w:val="16"/>
        </w:rPr>
        <w:t xml:space="preserve"> and C. Blake (</w:t>
      </w:r>
      <w:proofErr w:type="spellStart"/>
      <w:proofErr w:type="gramStart"/>
      <w:r w:rsidRPr="001A2C7C">
        <w:rPr>
          <w:sz w:val="16"/>
          <w:szCs w:val="16"/>
        </w:rPr>
        <w:t>eds</w:t>
      </w:r>
      <w:proofErr w:type="spellEnd"/>
      <w:proofErr w:type="gramEnd"/>
      <w:r w:rsidRPr="001A2C7C">
        <w:rPr>
          <w:sz w:val="16"/>
          <w:szCs w:val="16"/>
        </w:rPr>
        <w:t>) (1999) Law and the Spirit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of Inquiry: Essays in Honour of Sir Louis </w:t>
      </w:r>
      <w:proofErr w:type="spellStart"/>
      <w:r w:rsidRPr="001A2C7C">
        <w:rPr>
          <w:sz w:val="16"/>
          <w:szCs w:val="16"/>
        </w:rPr>
        <w:t>Blom</w:t>
      </w:r>
      <w:proofErr w:type="spellEnd"/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Cooper, Kluwer. Clothier, Sir Cecil, Q.C.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‘Ruminations on Inquiries’, in J. </w:t>
      </w:r>
      <w:proofErr w:type="spellStart"/>
      <w:r w:rsidRPr="001A2C7C">
        <w:rPr>
          <w:sz w:val="16"/>
          <w:szCs w:val="16"/>
        </w:rPr>
        <w:t>Peay</w:t>
      </w:r>
      <w:proofErr w:type="spellEnd"/>
      <w:r w:rsidRPr="001A2C7C">
        <w:rPr>
          <w:sz w:val="16"/>
          <w:szCs w:val="16"/>
        </w:rPr>
        <w:t xml:space="preserve"> (</w:t>
      </w:r>
      <w:proofErr w:type="spellStart"/>
      <w:proofErr w:type="gramStart"/>
      <w:r w:rsidRPr="001A2C7C">
        <w:rPr>
          <w:sz w:val="16"/>
          <w:szCs w:val="16"/>
        </w:rPr>
        <w:t>ed</w:t>
      </w:r>
      <w:proofErr w:type="spellEnd"/>
      <w:proofErr w:type="gramEnd"/>
      <w:r w:rsidRPr="001A2C7C">
        <w:rPr>
          <w:sz w:val="16"/>
          <w:szCs w:val="16"/>
        </w:rPr>
        <w:t>) Inquiries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After Homicide, Duckworth. </w:t>
      </w:r>
      <w:proofErr w:type="gramStart"/>
      <w:r w:rsidRPr="001A2C7C">
        <w:rPr>
          <w:sz w:val="16"/>
          <w:szCs w:val="16"/>
        </w:rPr>
        <w:t>On the public versus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private debate see: </w:t>
      </w:r>
      <w:proofErr w:type="spellStart"/>
      <w:r w:rsidRPr="001A2C7C">
        <w:rPr>
          <w:sz w:val="16"/>
          <w:szCs w:val="16"/>
        </w:rPr>
        <w:t>Blom</w:t>
      </w:r>
      <w:proofErr w:type="spellEnd"/>
      <w:r w:rsidRPr="001A2C7C">
        <w:rPr>
          <w:sz w:val="16"/>
          <w:szCs w:val="16"/>
        </w:rPr>
        <w:t>-Cooper, L. Q.C. (1999)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‘Public Inquiries in Mental Health (With Particular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Reference to the Blackwood Case at Broadmoor and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the Patients Complaints of Ashworth Hospital)’.</w:t>
      </w:r>
      <w:proofErr w:type="gramEnd"/>
      <w:r w:rsidRPr="001A2C7C">
        <w:rPr>
          <w:sz w:val="16"/>
          <w:szCs w:val="16"/>
        </w:rPr>
        <w:t xml:space="preserve"> In D.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Webb and R. Harris (</w:t>
      </w:r>
      <w:proofErr w:type="spellStart"/>
      <w:proofErr w:type="gramStart"/>
      <w:r w:rsidRPr="001A2C7C">
        <w:rPr>
          <w:sz w:val="16"/>
          <w:szCs w:val="16"/>
        </w:rPr>
        <w:t>eds</w:t>
      </w:r>
      <w:proofErr w:type="spellEnd"/>
      <w:proofErr w:type="gramEnd"/>
      <w:r w:rsidRPr="001A2C7C">
        <w:rPr>
          <w:sz w:val="16"/>
          <w:szCs w:val="16"/>
        </w:rPr>
        <w:t>) Mentally Disordered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Offenders: Managing People Nobody Owns,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Routledge. </w:t>
      </w:r>
      <w:proofErr w:type="spellStart"/>
      <w:r w:rsidRPr="001A2C7C">
        <w:rPr>
          <w:sz w:val="16"/>
          <w:szCs w:val="16"/>
        </w:rPr>
        <w:t>Prins</w:t>
      </w:r>
      <w:proofErr w:type="spellEnd"/>
      <w:r w:rsidRPr="001A2C7C">
        <w:rPr>
          <w:sz w:val="16"/>
          <w:szCs w:val="16"/>
        </w:rPr>
        <w:t xml:space="preserve">, H. (1999) Will They </w:t>
      </w:r>
      <w:proofErr w:type="gramStart"/>
      <w:r w:rsidRPr="001A2C7C">
        <w:rPr>
          <w:sz w:val="16"/>
          <w:szCs w:val="16"/>
        </w:rPr>
        <w:t>Do</w:t>
      </w:r>
      <w:proofErr w:type="gramEnd"/>
      <w:r w:rsidRPr="001A2C7C">
        <w:rPr>
          <w:sz w:val="16"/>
          <w:szCs w:val="16"/>
        </w:rPr>
        <w:t xml:space="preserve"> it Again?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Risk Assessment in Criminal Justice and Psychiatry,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Routledge (Chapter 4). More generally see: </w:t>
      </w:r>
      <w:proofErr w:type="spellStart"/>
      <w:r w:rsidRPr="001A2C7C">
        <w:rPr>
          <w:sz w:val="16"/>
          <w:szCs w:val="16"/>
        </w:rPr>
        <w:t>Prins</w:t>
      </w:r>
      <w:proofErr w:type="spellEnd"/>
      <w:r w:rsidRPr="001A2C7C">
        <w:rPr>
          <w:sz w:val="16"/>
          <w:szCs w:val="16"/>
        </w:rPr>
        <w:t>, H.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(1998) ‘Inquiries </w:t>
      </w:r>
      <w:proofErr w:type="gramStart"/>
      <w:r w:rsidRPr="001A2C7C">
        <w:rPr>
          <w:sz w:val="16"/>
          <w:szCs w:val="16"/>
        </w:rPr>
        <w:t>After</w:t>
      </w:r>
      <w:proofErr w:type="gramEnd"/>
      <w:r w:rsidRPr="001A2C7C">
        <w:rPr>
          <w:sz w:val="16"/>
          <w:szCs w:val="16"/>
        </w:rPr>
        <w:t xml:space="preserve"> Homicide in England and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Wales’, Medicine, Science and the Law, 38, 211–220.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See also </w:t>
      </w:r>
      <w:proofErr w:type="spellStart"/>
      <w:r w:rsidRPr="001A2C7C">
        <w:rPr>
          <w:sz w:val="16"/>
          <w:szCs w:val="16"/>
        </w:rPr>
        <w:t>Eldergill</w:t>
      </w:r>
      <w:proofErr w:type="spellEnd"/>
      <w:r w:rsidRPr="001A2C7C">
        <w:rPr>
          <w:sz w:val="16"/>
          <w:szCs w:val="16"/>
        </w:rPr>
        <w:t>, A. (1999) ‘Reforming Inquiries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Following Homicides’, Journal of Mental Health Law,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2, 111–136; also Morris, F. (2003) ‘Confidentiality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and the Sharing of Information, Journal of Mental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 xml:space="preserve">Health Law, 9, 38–50. McGrath, M. and </w:t>
      </w:r>
      <w:proofErr w:type="spellStart"/>
      <w:r w:rsidRPr="001A2C7C">
        <w:rPr>
          <w:sz w:val="16"/>
          <w:szCs w:val="16"/>
        </w:rPr>
        <w:t>Oyebode</w:t>
      </w:r>
      <w:proofErr w:type="spellEnd"/>
      <w:r w:rsidRPr="001A2C7C">
        <w:rPr>
          <w:sz w:val="16"/>
          <w:szCs w:val="16"/>
        </w:rPr>
        <w:t>, F.</w:t>
      </w:r>
      <w:r w:rsidRPr="001A2C7C">
        <w:rPr>
          <w:sz w:val="16"/>
          <w:szCs w:val="16"/>
        </w:rPr>
        <w:t xml:space="preserve"> </w:t>
      </w:r>
      <w:r w:rsidRPr="001A2C7C">
        <w:rPr>
          <w:sz w:val="16"/>
          <w:szCs w:val="16"/>
        </w:rPr>
        <w:t>(2002)</w:t>
      </w:r>
      <w:r w:rsidRPr="001A2C7C">
        <w:rPr>
          <w:sz w:val="16"/>
        </w:rPr>
        <w:t xml:space="preserve"> ‘ Qualitative Analysis of Recommendations in</w:t>
      </w:r>
      <w:r w:rsidRPr="001A2C7C">
        <w:rPr>
          <w:sz w:val="16"/>
        </w:rPr>
        <w:t xml:space="preserve"> </w:t>
      </w:r>
      <w:r w:rsidRPr="001A2C7C">
        <w:rPr>
          <w:sz w:val="16"/>
        </w:rPr>
        <w:t>79 Inquiries After Homicide Committed by Persons</w:t>
      </w:r>
      <w:r w:rsidRPr="001A2C7C">
        <w:rPr>
          <w:sz w:val="16"/>
        </w:rPr>
        <w:t xml:space="preserve"> </w:t>
      </w:r>
      <w:r w:rsidRPr="001A2C7C">
        <w:rPr>
          <w:sz w:val="16"/>
        </w:rPr>
        <w:t>With Mental Illness, Journal of Mental Health Law,</w:t>
      </w:r>
      <w:r w:rsidRPr="001A2C7C">
        <w:rPr>
          <w:sz w:val="16"/>
        </w:rPr>
        <w:t xml:space="preserve"> </w:t>
      </w:r>
      <w:r w:rsidRPr="001A2C7C">
        <w:rPr>
          <w:sz w:val="16"/>
        </w:rPr>
        <w:t>8, 262–282. Concerning the lessons to be learned see</w:t>
      </w:r>
      <w:r w:rsidRPr="001A2C7C">
        <w:rPr>
          <w:sz w:val="16"/>
        </w:rPr>
        <w:t xml:space="preserve"> </w:t>
      </w:r>
      <w:proofErr w:type="spellStart"/>
      <w:r w:rsidRPr="001A2C7C">
        <w:rPr>
          <w:sz w:val="16"/>
        </w:rPr>
        <w:t>Petch</w:t>
      </w:r>
      <w:proofErr w:type="spellEnd"/>
      <w:r w:rsidRPr="001A2C7C">
        <w:rPr>
          <w:sz w:val="16"/>
        </w:rPr>
        <w:t>, E. and Bradley, C. (1997), ‘Learning the</w:t>
      </w:r>
      <w:r w:rsidRPr="001A2C7C">
        <w:rPr>
          <w:sz w:val="16"/>
        </w:rPr>
        <w:t xml:space="preserve"> </w:t>
      </w:r>
      <w:r w:rsidRPr="001A2C7C">
        <w:rPr>
          <w:sz w:val="16"/>
        </w:rPr>
        <w:t xml:space="preserve">Lessons </w:t>
      </w:r>
      <w:proofErr w:type="gramStart"/>
      <w:r w:rsidRPr="001A2C7C">
        <w:rPr>
          <w:sz w:val="16"/>
        </w:rPr>
        <w:t>From</w:t>
      </w:r>
      <w:proofErr w:type="gramEnd"/>
      <w:r w:rsidRPr="001A2C7C">
        <w:rPr>
          <w:sz w:val="16"/>
        </w:rPr>
        <w:t xml:space="preserve"> Homicide Inquiries: Adding Insult to</w:t>
      </w:r>
      <w:r w:rsidRPr="001A2C7C">
        <w:rPr>
          <w:sz w:val="16"/>
        </w:rPr>
        <w:t xml:space="preserve"> </w:t>
      </w:r>
      <w:r w:rsidRPr="001A2C7C">
        <w:rPr>
          <w:sz w:val="16"/>
        </w:rPr>
        <w:t>Injury’, Journal of Forensic Psychiatry, 8, 161–184;</w:t>
      </w:r>
      <w:r w:rsidRPr="001A2C7C">
        <w:rPr>
          <w:sz w:val="16"/>
        </w:rPr>
        <w:t xml:space="preserve"> </w:t>
      </w:r>
      <w:r w:rsidRPr="001A2C7C">
        <w:rPr>
          <w:sz w:val="16"/>
        </w:rPr>
        <w:t>Reith, M. (1998) Community Care Tragedies: A</w:t>
      </w:r>
      <w:r w:rsidRPr="001A2C7C">
        <w:rPr>
          <w:sz w:val="16"/>
        </w:rPr>
        <w:t xml:space="preserve"> </w:t>
      </w:r>
      <w:r w:rsidRPr="001A2C7C">
        <w:rPr>
          <w:sz w:val="16"/>
        </w:rPr>
        <w:t>Practice Guide to Mental Health Inquiries, Venture</w:t>
      </w:r>
      <w:r w:rsidRPr="001A2C7C">
        <w:rPr>
          <w:sz w:val="16"/>
        </w:rPr>
        <w:t xml:space="preserve"> </w:t>
      </w:r>
      <w:r w:rsidRPr="001A2C7C">
        <w:rPr>
          <w:sz w:val="16"/>
        </w:rPr>
        <w:t xml:space="preserve">Press. </w:t>
      </w:r>
      <w:proofErr w:type="spellStart"/>
      <w:r w:rsidRPr="001A2C7C">
        <w:rPr>
          <w:sz w:val="16"/>
        </w:rPr>
        <w:t>Walshe</w:t>
      </w:r>
      <w:proofErr w:type="spellEnd"/>
      <w:r w:rsidRPr="001A2C7C">
        <w:rPr>
          <w:sz w:val="16"/>
        </w:rPr>
        <w:t>, K. (2002) Inquiries: Learning From</w:t>
      </w:r>
      <w:r w:rsidRPr="001A2C7C">
        <w:rPr>
          <w:sz w:val="16"/>
        </w:rPr>
        <w:t xml:space="preserve"> </w:t>
      </w:r>
      <w:r w:rsidRPr="001A2C7C">
        <w:rPr>
          <w:sz w:val="16"/>
        </w:rPr>
        <w:t>Failure in the NHS, Manchester Centre For Health</w:t>
      </w:r>
      <w:r w:rsidRPr="001A2C7C">
        <w:rPr>
          <w:sz w:val="16"/>
        </w:rPr>
        <w:t xml:space="preserve"> </w:t>
      </w:r>
      <w:r w:rsidRPr="001A2C7C">
        <w:rPr>
          <w:sz w:val="16"/>
        </w:rPr>
        <w:t>Care Management, University of Manchester.</w:t>
      </w:r>
    </w:p>
  </w:footnote>
  <w:footnote w:id="4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r w:rsidRPr="001E62CD">
        <w:rPr>
          <w:iCs/>
          <w:sz w:val="16"/>
        </w:rPr>
        <w:t>Department of Health, NHS Executive (1994</w:t>
      </w:r>
      <w:proofErr w:type="gramStart"/>
      <w:r w:rsidRPr="001E62CD">
        <w:rPr>
          <w:iCs/>
          <w:sz w:val="16"/>
        </w:rPr>
        <w:t>)Guidelines</w:t>
      </w:r>
      <w:proofErr w:type="gramEnd"/>
      <w:r w:rsidRPr="001E62CD">
        <w:rPr>
          <w:iCs/>
          <w:sz w:val="16"/>
        </w:rPr>
        <w:t xml:space="preserve"> on the Discharge of Mentally Disordered People and their Care in the Community, HSG/94/27, London.</w:t>
      </w:r>
    </w:p>
  </w:footnote>
  <w:footnote w:id="5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proofErr w:type="spellStart"/>
      <w:r w:rsidRPr="001E62CD">
        <w:rPr>
          <w:sz w:val="16"/>
        </w:rPr>
        <w:t>Aarvold</w:t>
      </w:r>
      <w:proofErr w:type="spellEnd"/>
      <w:r w:rsidRPr="001E62CD">
        <w:rPr>
          <w:sz w:val="16"/>
        </w:rPr>
        <w:t>, Sir Carl, Hill, Sir Dennis and Newton, G.</w:t>
      </w:r>
      <w:r w:rsidRPr="001E62CD">
        <w:rPr>
          <w:sz w:val="16"/>
        </w:rPr>
        <w:t xml:space="preserve"> </w:t>
      </w:r>
      <w:r w:rsidRPr="001E62CD">
        <w:rPr>
          <w:sz w:val="16"/>
        </w:rPr>
        <w:t>(1973) Report of the Review of Procedures into the</w:t>
      </w:r>
      <w:r w:rsidRPr="001E62CD">
        <w:rPr>
          <w:sz w:val="16"/>
        </w:rPr>
        <w:t xml:space="preserve"> </w:t>
      </w:r>
      <w:r w:rsidRPr="001E62CD">
        <w:rPr>
          <w:sz w:val="16"/>
        </w:rPr>
        <w:t>Discharge of Psychiatric Patients Subject to Special</w:t>
      </w:r>
      <w:r w:rsidRPr="001E62CD">
        <w:rPr>
          <w:sz w:val="16"/>
        </w:rPr>
        <w:t xml:space="preserve"> </w:t>
      </w:r>
      <w:r w:rsidRPr="001E62CD">
        <w:rPr>
          <w:sz w:val="16"/>
        </w:rPr>
        <w:t xml:space="preserve">Restrictions, </w:t>
      </w:r>
      <w:proofErr w:type="spellStart"/>
      <w:r w:rsidRPr="001E62CD">
        <w:rPr>
          <w:sz w:val="16"/>
        </w:rPr>
        <w:t>Cmnd</w:t>
      </w:r>
      <w:proofErr w:type="spellEnd"/>
      <w:r w:rsidRPr="001E62CD">
        <w:rPr>
          <w:sz w:val="16"/>
        </w:rPr>
        <w:t xml:space="preserve"> 5191, HMSO.</w:t>
      </w:r>
    </w:p>
  </w:footnote>
  <w:footnote w:id="6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proofErr w:type="gramStart"/>
      <w:r w:rsidRPr="001E62CD">
        <w:rPr>
          <w:sz w:val="16"/>
        </w:rPr>
        <w:t xml:space="preserve">Spokes, J.C., Pare, M. and </w:t>
      </w:r>
      <w:proofErr w:type="spellStart"/>
      <w:r w:rsidRPr="001E62CD">
        <w:rPr>
          <w:sz w:val="16"/>
        </w:rPr>
        <w:t>Royle</w:t>
      </w:r>
      <w:proofErr w:type="spellEnd"/>
      <w:r w:rsidRPr="001E62CD">
        <w:rPr>
          <w:sz w:val="16"/>
        </w:rPr>
        <w:t>, D. (1985) Report of</w:t>
      </w:r>
      <w:r w:rsidRPr="001E62CD">
        <w:rPr>
          <w:sz w:val="16"/>
        </w:rPr>
        <w:t xml:space="preserve"> </w:t>
      </w:r>
      <w:r w:rsidRPr="001E62CD">
        <w:rPr>
          <w:sz w:val="16"/>
        </w:rPr>
        <w:t>the Committee of Inquiry into the After-Care of Miss</w:t>
      </w:r>
      <w:r w:rsidRPr="001E62CD">
        <w:rPr>
          <w:sz w:val="16"/>
        </w:rPr>
        <w:t xml:space="preserve"> </w:t>
      </w:r>
      <w:r w:rsidRPr="001E62CD">
        <w:rPr>
          <w:sz w:val="16"/>
        </w:rPr>
        <w:t xml:space="preserve">Sharon Campbell, </w:t>
      </w:r>
      <w:proofErr w:type="spellStart"/>
      <w:r w:rsidRPr="001E62CD">
        <w:rPr>
          <w:sz w:val="16"/>
        </w:rPr>
        <w:t>Cmnd</w:t>
      </w:r>
      <w:proofErr w:type="spellEnd"/>
      <w:r w:rsidRPr="001E62CD">
        <w:rPr>
          <w:sz w:val="16"/>
        </w:rPr>
        <w:t xml:space="preserve"> 440, HMSO.</w:t>
      </w:r>
      <w:proofErr w:type="gramEnd"/>
    </w:p>
  </w:footnote>
  <w:footnote w:id="7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proofErr w:type="gramStart"/>
      <w:r w:rsidRPr="001E62CD">
        <w:rPr>
          <w:sz w:val="16"/>
        </w:rPr>
        <w:t>Unwin,</w:t>
      </w:r>
      <w:proofErr w:type="gramEnd"/>
      <w:r w:rsidRPr="001E62CD">
        <w:rPr>
          <w:sz w:val="16"/>
        </w:rPr>
        <w:t xml:space="preserve"> C., Morgan, D.H. and Smith, B.D.M. (1991)</w:t>
      </w:r>
      <w:r w:rsidRPr="001E62CD">
        <w:rPr>
          <w:sz w:val="16"/>
        </w:rPr>
        <w:t xml:space="preserve"> </w:t>
      </w:r>
      <w:r w:rsidRPr="001E62CD">
        <w:rPr>
          <w:sz w:val="16"/>
        </w:rPr>
        <w:t>Regional Fact Finding Committee of Inquiry into the</w:t>
      </w:r>
      <w:r w:rsidRPr="001E62CD">
        <w:rPr>
          <w:sz w:val="16"/>
        </w:rPr>
        <w:t xml:space="preserve"> </w:t>
      </w:r>
      <w:r w:rsidRPr="001E62CD">
        <w:rPr>
          <w:sz w:val="16"/>
        </w:rPr>
        <w:t>Administration, Care, Treatment and Discharge of</w:t>
      </w:r>
      <w:r w:rsidRPr="001E62CD">
        <w:rPr>
          <w:sz w:val="16"/>
        </w:rPr>
        <w:t xml:space="preserve"> </w:t>
      </w:r>
      <w:r w:rsidRPr="001E62CD">
        <w:rPr>
          <w:sz w:val="16"/>
        </w:rPr>
        <w:t>Carol Barratt, Trent Regional Health Authority.</w:t>
      </w:r>
    </w:p>
  </w:footnote>
  <w:footnote w:id="8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r w:rsidRPr="001E62CD">
        <w:rPr>
          <w:sz w:val="16"/>
        </w:rPr>
        <w:t xml:space="preserve">Dick, D., </w:t>
      </w:r>
      <w:proofErr w:type="spellStart"/>
      <w:r w:rsidRPr="001E62CD">
        <w:rPr>
          <w:sz w:val="16"/>
        </w:rPr>
        <w:t>Shuttleworth</w:t>
      </w:r>
      <w:proofErr w:type="spellEnd"/>
      <w:r w:rsidRPr="001E62CD">
        <w:rPr>
          <w:sz w:val="16"/>
        </w:rPr>
        <w:t>, B. and Charlton, J. (1991)</w:t>
      </w:r>
      <w:r w:rsidRPr="001E62CD">
        <w:rPr>
          <w:sz w:val="16"/>
        </w:rPr>
        <w:t xml:space="preserve"> </w:t>
      </w:r>
      <w:r w:rsidRPr="001E62CD">
        <w:rPr>
          <w:sz w:val="16"/>
        </w:rPr>
        <w:t>Report of the Panel of Inquiry Appointed by the West</w:t>
      </w:r>
      <w:r w:rsidRPr="001E62CD">
        <w:rPr>
          <w:sz w:val="16"/>
        </w:rPr>
        <w:t xml:space="preserve"> </w:t>
      </w:r>
      <w:r w:rsidRPr="001E62CD">
        <w:rPr>
          <w:sz w:val="16"/>
        </w:rPr>
        <w:t>Midlands Regional Health Authority, South</w:t>
      </w:r>
      <w:r w:rsidRPr="001E62CD">
        <w:rPr>
          <w:sz w:val="16"/>
        </w:rPr>
        <w:t xml:space="preserve"> </w:t>
      </w:r>
      <w:r w:rsidRPr="001E62CD">
        <w:rPr>
          <w:sz w:val="16"/>
        </w:rPr>
        <w:t>Birmingham Health Authority and the Special</w:t>
      </w:r>
      <w:r w:rsidRPr="001E62CD">
        <w:rPr>
          <w:sz w:val="16"/>
        </w:rPr>
        <w:t xml:space="preserve"> </w:t>
      </w:r>
      <w:r w:rsidRPr="001E62CD">
        <w:rPr>
          <w:sz w:val="16"/>
        </w:rPr>
        <w:t>Hospitals Services Authority to Investigate the Case of</w:t>
      </w:r>
      <w:r w:rsidRPr="001E62CD">
        <w:rPr>
          <w:sz w:val="16"/>
        </w:rPr>
        <w:t xml:space="preserve"> </w:t>
      </w:r>
      <w:r w:rsidRPr="001E62CD">
        <w:rPr>
          <w:sz w:val="16"/>
        </w:rPr>
        <w:t xml:space="preserve">Kim </w:t>
      </w:r>
      <w:proofErr w:type="spellStart"/>
      <w:r w:rsidRPr="001E62CD">
        <w:rPr>
          <w:sz w:val="16"/>
        </w:rPr>
        <w:t>Kirkman</w:t>
      </w:r>
      <w:proofErr w:type="spellEnd"/>
      <w:r w:rsidRPr="001E62CD">
        <w:rPr>
          <w:sz w:val="16"/>
        </w:rPr>
        <w:t>, West Midlands Health Authority.</w:t>
      </w:r>
    </w:p>
  </w:footnote>
  <w:footnote w:id="9">
    <w:p w:rsidR="001E62CD" w:rsidRPr="001E62CD" w:rsidRDefault="001E62CD" w:rsidP="001E62CD">
      <w:pPr>
        <w:pStyle w:val="FootnoteText"/>
        <w:rPr>
          <w:sz w:val="16"/>
        </w:rPr>
      </w:pPr>
      <w:r w:rsidRPr="001E62CD">
        <w:rPr>
          <w:rStyle w:val="FootnoteReference"/>
          <w:sz w:val="16"/>
        </w:rPr>
        <w:footnoteRef/>
      </w:r>
      <w:r w:rsidRPr="001E62CD">
        <w:rPr>
          <w:sz w:val="16"/>
        </w:rPr>
        <w:t xml:space="preserve"> </w:t>
      </w:r>
      <w:proofErr w:type="spellStart"/>
      <w:proofErr w:type="gramStart"/>
      <w:r w:rsidRPr="001E62CD">
        <w:rPr>
          <w:sz w:val="16"/>
        </w:rPr>
        <w:t>Heginbotham</w:t>
      </w:r>
      <w:proofErr w:type="spellEnd"/>
      <w:r w:rsidRPr="001E62CD">
        <w:rPr>
          <w:sz w:val="16"/>
        </w:rPr>
        <w:t>, C., Carr, J., Hale, R., Walsh, T. and</w:t>
      </w:r>
      <w:r w:rsidRPr="001E62CD">
        <w:rPr>
          <w:sz w:val="16"/>
        </w:rPr>
        <w:t xml:space="preserve"> </w:t>
      </w:r>
      <w:r w:rsidRPr="001E62CD">
        <w:rPr>
          <w:sz w:val="16"/>
        </w:rPr>
        <w:t>Warrant, C. (1994) Report of the Independent Panel</w:t>
      </w:r>
      <w:r w:rsidRPr="001E62CD">
        <w:rPr>
          <w:sz w:val="16"/>
        </w:rPr>
        <w:t xml:space="preserve"> </w:t>
      </w:r>
      <w:r w:rsidRPr="001E62CD">
        <w:rPr>
          <w:sz w:val="16"/>
        </w:rPr>
        <w:t>of Inquiry Examining the Care of Michael Buchanan,</w:t>
      </w:r>
      <w:r w:rsidRPr="001E62CD">
        <w:rPr>
          <w:sz w:val="16"/>
        </w:rPr>
        <w:t xml:space="preserve"> </w:t>
      </w:r>
      <w:r w:rsidRPr="001E62CD">
        <w:rPr>
          <w:sz w:val="16"/>
        </w:rPr>
        <w:t>North-West London Mental Health Trust.</w:t>
      </w:r>
      <w:proofErr w:type="gramEnd"/>
    </w:p>
  </w:footnote>
  <w:footnote w:id="10">
    <w:p w:rsidR="00FE06D0" w:rsidRPr="00FE06D0" w:rsidRDefault="00FE06D0" w:rsidP="00FE06D0">
      <w:pPr>
        <w:pStyle w:val="FootnoteText"/>
        <w:rPr>
          <w:sz w:val="16"/>
        </w:rPr>
      </w:pPr>
      <w:r w:rsidRPr="00FE06D0">
        <w:rPr>
          <w:rStyle w:val="FootnoteReference"/>
          <w:sz w:val="16"/>
        </w:rPr>
        <w:footnoteRef/>
      </w:r>
      <w:r w:rsidRPr="00FE06D0">
        <w:rPr>
          <w:sz w:val="16"/>
        </w:rPr>
        <w:t xml:space="preserve"> </w:t>
      </w:r>
      <w:proofErr w:type="spellStart"/>
      <w:r w:rsidRPr="00FE06D0">
        <w:rPr>
          <w:sz w:val="16"/>
        </w:rPr>
        <w:t>Blom</w:t>
      </w:r>
      <w:proofErr w:type="spellEnd"/>
      <w:r w:rsidRPr="00FE06D0">
        <w:rPr>
          <w:sz w:val="16"/>
        </w:rPr>
        <w:t xml:space="preserve">-Cooper, Sir L. Q.C., </w:t>
      </w:r>
      <w:proofErr w:type="spellStart"/>
      <w:r w:rsidRPr="00FE06D0">
        <w:rPr>
          <w:sz w:val="16"/>
        </w:rPr>
        <w:t>Hally</w:t>
      </w:r>
      <w:proofErr w:type="spellEnd"/>
      <w:r w:rsidRPr="00FE06D0">
        <w:rPr>
          <w:sz w:val="16"/>
        </w:rPr>
        <w:t>, H. and Murphy, E.</w:t>
      </w:r>
      <w:r w:rsidRPr="00FE06D0">
        <w:rPr>
          <w:sz w:val="16"/>
        </w:rPr>
        <w:t xml:space="preserve"> </w:t>
      </w:r>
      <w:r w:rsidRPr="00FE06D0">
        <w:rPr>
          <w:sz w:val="16"/>
        </w:rPr>
        <w:t>(1995) The Falling Shadow: One Patient’s Mental</w:t>
      </w:r>
      <w:r w:rsidRPr="00FE06D0">
        <w:rPr>
          <w:sz w:val="16"/>
        </w:rPr>
        <w:t xml:space="preserve"> </w:t>
      </w:r>
      <w:r w:rsidRPr="00FE06D0">
        <w:rPr>
          <w:sz w:val="16"/>
        </w:rPr>
        <w:t xml:space="preserve">Health Care 1978–1993, Duckworth. </w:t>
      </w:r>
      <w:proofErr w:type="spellStart"/>
      <w:r w:rsidRPr="00FE06D0">
        <w:rPr>
          <w:sz w:val="16"/>
        </w:rPr>
        <w:t>Blom</w:t>
      </w:r>
      <w:proofErr w:type="spellEnd"/>
      <w:r w:rsidRPr="00FE06D0">
        <w:rPr>
          <w:sz w:val="16"/>
        </w:rPr>
        <w:t>-Cooper,</w:t>
      </w:r>
      <w:r w:rsidRPr="00FE06D0">
        <w:rPr>
          <w:sz w:val="16"/>
        </w:rPr>
        <w:t xml:space="preserve"> </w:t>
      </w:r>
      <w:r w:rsidRPr="00FE06D0">
        <w:rPr>
          <w:sz w:val="16"/>
        </w:rPr>
        <w:t xml:space="preserve">Sir L. Q.C., Grounds, A., </w:t>
      </w:r>
      <w:proofErr w:type="spellStart"/>
      <w:r w:rsidRPr="00FE06D0">
        <w:rPr>
          <w:sz w:val="16"/>
        </w:rPr>
        <w:t>Guinan</w:t>
      </w:r>
      <w:proofErr w:type="spellEnd"/>
      <w:r w:rsidRPr="00FE06D0">
        <w:rPr>
          <w:sz w:val="16"/>
        </w:rPr>
        <w:t>, P., Parker, A. and</w:t>
      </w:r>
      <w:r w:rsidRPr="00FE06D0">
        <w:rPr>
          <w:sz w:val="16"/>
        </w:rPr>
        <w:t xml:space="preserve"> </w:t>
      </w:r>
      <w:r w:rsidRPr="00FE06D0">
        <w:rPr>
          <w:sz w:val="16"/>
        </w:rPr>
        <w:t xml:space="preserve">Taylor, M. (1996) </w:t>
      </w:r>
      <w:proofErr w:type="gramStart"/>
      <w:r w:rsidRPr="00FE06D0">
        <w:rPr>
          <w:sz w:val="16"/>
        </w:rPr>
        <w:t>The</w:t>
      </w:r>
      <w:proofErr w:type="gramEnd"/>
      <w:r w:rsidRPr="00FE06D0">
        <w:rPr>
          <w:sz w:val="16"/>
        </w:rPr>
        <w:t xml:space="preserve"> Case of Jason Mitchell, Report</w:t>
      </w:r>
      <w:r w:rsidRPr="00FE06D0">
        <w:rPr>
          <w:sz w:val="16"/>
        </w:rPr>
        <w:t xml:space="preserve"> </w:t>
      </w:r>
      <w:r w:rsidRPr="00FE06D0">
        <w:rPr>
          <w:sz w:val="16"/>
        </w:rPr>
        <w:t>of the Independent Inquiry, Duckworth.</w:t>
      </w:r>
    </w:p>
  </w:footnote>
  <w:footnote w:id="11">
    <w:p w:rsidR="00FE06D0" w:rsidRPr="00FE06D0" w:rsidRDefault="00FE06D0" w:rsidP="00FE06D0">
      <w:pPr>
        <w:pStyle w:val="FootnoteText"/>
        <w:rPr>
          <w:sz w:val="16"/>
        </w:rPr>
      </w:pPr>
      <w:r w:rsidRPr="00FE06D0">
        <w:rPr>
          <w:rStyle w:val="FootnoteReference"/>
          <w:sz w:val="16"/>
        </w:rPr>
        <w:footnoteRef/>
      </w:r>
      <w:r w:rsidRPr="00FE06D0">
        <w:rPr>
          <w:sz w:val="16"/>
        </w:rPr>
        <w:t xml:space="preserve"> </w:t>
      </w:r>
      <w:proofErr w:type="gramStart"/>
      <w:r w:rsidRPr="00FE06D0">
        <w:rPr>
          <w:sz w:val="16"/>
        </w:rPr>
        <w:t xml:space="preserve">Ritchie, J. Q.C., Dick, D. and </w:t>
      </w:r>
      <w:proofErr w:type="spellStart"/>
      <w:r w:rsidRPr="00FE06D0">
        <w:rPr>
          <w:sz w:val="16"/>
        </w:rPr>
        <w:t>Lingham</w:t>
      </w:r>
      <w:proofErr w:type="spellEnd"/>
      <w:r w:rsidRPr="00FE06D0">
        <w:rPr>
          <w:sz w:val="16"/>
        </w:rPr>
        <w:t>, R. (1994)</w:t>
      </w:r>
      <w:r w:rsidRPr="00FE06D0">
        <w:rPr>
          <w:sz w:val="16"/>
        </w:rPr>
        <w:t xml:space="preserve"> </w:t>
      </w:r>
      <w:r w:rsidRPr="00FE06D0">
        <w:rPr>
          <w:sz w:val="16"/>
        </w:rPr>
        <w:t>Report of the Inquiry into the Care and Treatment of</w:t>
      </w:r>
      <w:r w:rsidRPr="00FE06D0">
        <w:rPr>
          <w:sz w:val="16"/>
        </w:rPr>
        <w:t xml:space="preserve"> </w:t>
      </w:r>
      <w:r w:rsidRPr="00FE06D0">
        <w:rPr>
          <w:sz w:val="16"/>
        </w:rPr>
        <w:t xml:space="preserve">Christopher </w:t>
      </w:r>
      <w:proofErr w:type="spellStart"/>
      <w:r w:rsidRPr="00FE06D0">
        <w:rPr>
          <w:sz w:val="16"/>
        </w:rPr>
        <w:t>Clunis</w:t>
      </w:r>
      <w:proofErr w:type="spellEnd"/>
      <w:r w:rsidRPr="00FE06D0">
        <w:rPr>
          <w:sz w:val="16"/>
        </w:rPr>
        <w:t>, HMSO.</w:t>
      </w:r>
      <w:proofErr w:type="gramEnd"/>
    </w:p>
  </w:footnote>
  <w:footnote w:id="12">
    <w:p w:rsidR="00FE06D0" w:rsidRPr="00FE06D0" w:rsidRDefault="00FE06D0" w:rsidP="00FE06D0">
      <w:pPr>
        <w:pStyle w:val="FootnoteText"/>
        <w:rPr>
          <w:sz w:val="16"/>
        </w:rPr>
      </w:pPr>
      <w:r w:rsidRPr="00FE06D0">
        <w:rPr>
          <w:rStyle w:val="FootnoteReference"/>
          <w:sz w:val="16"/>
        </w:rPr>
        <w:footnoteRef/>
      </w:r>
      <w:r w:rsidRPr="00FE06D0">
        <w:rPr>
          <w:sz w:val="16"/>
        </w:rPr>
        <w:t xml:space="preserve"> </w:t>
      </w:r>
      <w:r w:rsidRPr="00FE06D0">
        <w:rPr>
          <w:sz w:val="16"/>
        </w:rPr>
        <w:t>Mackay, R., Badger, G.</w:t>
      </w:r>
      <w:proofErr w:type="gramStart"/>
      <w:r w:rsidRPr="00FE06D0">
        <w:rPr>
          <w:sz w:val="16"/>
        </w:rPr>
        <w:t>,,</w:t>
      </w:r>
      <w:proofErr w:type="gramEnd"/>
      <w:r w:rsidRPr="00FE06D0">
        <w:rPr>
          <w:sz w:val="16"/>
        </w:rPr>
        <w:t xml:space="preserve"> </w:t>
      </w:r>
      <w:proofErr w:type="spellStart"/>
      <w:r w:rsidRPr="00FE06D0">
        <w:rPr>
          <w:sz w:val="16"/>
        </w:rPr>
        <w:t>Damle</w:t>
      </w:r>
      <w:proofErr w:type="spellEnd"/>
      <w:r w:rsidRPr="00FE06D0">
        <w:rPr>
          <w:sz w:val="16"/>
        </w:rPr>
        <w:t>, A., and Long, R.</w:t>
      </w:r>
      <w:r w:rsidRPr="00FE06D0">
        <w:rPr>
          <w:sz w:val="16"/>
        </w:rPr>
        <w:t xml:space="preserve"> </w:t>
      </w:r>
      <w:r w:rsidRPr="00FE06D0">
        <w:rPr>
          <w:sz w:val="16"/>
        </w:rPr>
        <w:t>(2001) Report of the Independent Inquiry into the</w:t>
      </w:r>
      <w:r w:rsidRPr="00FE06D0">
        <w:rPr>
          <w:sz w:val="16"/>
        </w:rPr>
        <w:t xml:space="preserve"> </w:t>
      </w:r>
      <w:r w:rsidRPr="00FE06D0">
        <w:rPr>
          <w:sz w:val="16"/>
        </w:rPr>
        <w:t>Care and Treatment of Benjamin Rathbone,</w:t>
      </w:r>
      <w:r w:rsidRPr="00FE06D0">
        <w:rPr>
          <w:sz w:val="16"/>
        </w:rPr>
        <w:t xml:space="preserve"> </w:t>
      </w:r>
      <w:r w:rsidRPr="00FE06D0">
        <w:rPr>
          <w:sz w:val="16"/>
        </w:rPr>
        <w:t>Leicestershire Health Authority.</w:t>
      </w:r>
    </w:p>
  </w:footnote>
  <w:footnote w:id="13">
    <w:p w:rsidR="00FE06D0" w:rsidRPr="00FE06D0" w:rsidRDefault="00FE06D0">
      <w:pPr>
        <w:pStyle w:val="FootnoteText"/>
        <w:rPr>
          <w:sz w:val="16"/>
        </w:rPr>
      </w:pPr>
      <w:r w:rsidRPr="00FE06D0">
        <w:rPr>
          <w:rStyle w:val="FootnoteReference"/>
          <w:sz w:val="16"/>
        </w:rPr>
        <w:footnoteRef/>
      </w:r>
      <w:r w:rsidRPr="00FE06D0">
        <w:rPr>
          <w:sz w:val="16"/>
        </w:rPr>
        <w:t xml:space="preserve"> NHS Federation (2001) Briefing Note, Issue 49, May.</w:t>
      </w:r>
    </w:p>
  </w:footnote>
  <w:footnote w:id="14">
    <w:p w:rsidR="00FE06D0" w:rsidRPr="00FE06D0" w:rsidRDefault="00FE06D0" w:rsidP="00FE06D0">
      <w:pPr>
        <w:pStyle w:val="FootnoteText"/>
        <w:rPr>
          <w:sz w:val="16"/>
        </w:rPr>
      </w:pPr>
      <w:r w:rsidRPr="00FE06D0">
        <w:rPr>
          <w:rStyle w:val="FootnoteReference"/>
          <w:sz w:val="16"/>
        </w:rPr>
        <w:footnoteRef/>
      </w:r>
      <w:r w:rsidRPr="00FE06D0">
        <w:rPr>
          <w:sz w:val="16"/>
        </w:rPr>
        <w:t xml:space="preserve"> </w:t>
      </w:r>
      <w:r w:rsidRPr="00FE06D0">
        <w:rPr>
          <w:sz w:val="16"/>
        </w:rPr>
        <w:t>One of my respondents opted to talk around their</w:t>
      </w:r>
      <w:r w:rsidRPr="00FE06D0">
        <w:rPr>
          <w:sz w:val="16"/>
        </w:rPr>
        <w:t xml:space="preserve"> </w:t>
      </w:r>
      <w:r w:rsidRPr="00FE06D0">
        <w:rPr>
          <w:sz w:val="16"/>
        </w:rPr>
        <w:t>answers, so my questions formed the basis of an</w:t>
      </w:r>
      <w:r w:rsidRPr="00FE06D0">
        <w:rPr>
          <w:sz w:val="16"/>
        </w:rPr>
        <w:t xml:space="preserve"> </w:t>
      </w:r>
      <w:r w:rsidRPr="00FE06D0">
        <w:rPr>
          <w:sz w:val="16"/>
        </w:rPr>
        <w:t>extended interview during which I made notes of their</w:t>
      </w:r>
      <w:r w:rsidRPr="00FE06D0">
        <w:rPr>
          <w:sz w:val="16"/>
        </w:rPr>
        <w:t xml:space="preserve"> </w:t>
      </w:r>
      <w:r w:rsidRPr="00FE06D0">
        <w:rPr>
          <w:sz w:val="16"/>
        </w:rPr>
        <w:t>responses.</w:t>
      </w:r>
    </w:p>
  </w:footnote>
  <w:footnote w:id="15">
    <w:p w:rsidR="00FE06D0" w:rsidRPr="00455F3D" w:rsidRDefault="00FE06D0" w:rsidP="00FE06D0">
      <w:pPr>
        <w:pStyle w:val="FootnoteText"/>
        <w:rPr>
          <w:sz w:val="16"/>
        </w:rPr>
      </w:pPr>
      <w:r w:rsidRPr="00455F3D">
        <w:rPr>
          <w:rStyle w:val="FootnoteReference"/>
          <w:sz w:val="16"/>
        </w:rPr>
        <w:footnoteRef/>
      </w:r>
      <w:r w:rsidRPr="00455F3D">
        <w:rPr>
          <w:sz w:val="16"/>
        </w:rPr>
        <w:t xml:space="preserve"> </w:t>
      </w:r>
      <w:r w:rsidRPr="00455F3D">
        <w:rPr>
          <w:sz w:val="16"/>
        </w:rPr>
        <w:t>In my own case, in the Blackwood inquiry, I was not the first choice for chairman; the nominee of the SHSA was not</w:t>
      </w:r>
      <w:r w:rsidRPr="00455F3D">
        <w:rPr>
          <w:sz w:val="16"/>
        </w:rPr>
        <w:t xml:space="preserve"> </w:t>
      </w:r>
      <w:r w:rsidRPr="00455F3D">
        <w:rPr>
          <w:sz w:val="16"/>
        </w:rPr>
        <w:t>considered by the Central Government Authority to have sufficient independence. Nominations would seem to be</w:t>
      </w:r>
      <w:r w:rsidRPr="00455F3D">
        <w:rPr>
          <w:sz w:val="16"/>
        </w:rPr>
        <w:t xml:space="preserve"> </w:t>
      </w:r>
      <w:r w:rsidRPr="00455F3D">
        <w:rPr>
          <w:sz w:val="16"/>
        </w:rPr>
        <w:t>somewhat serendipitous, as the answers to Question 1 indicate.</w:t>
      </w:r>
    </w:p>
  </w:footnote>
  <w:footnote w:id="16">
    <w:p w:rsidR="00455F3D" w:rsidRPr="00455F3D" w:rsidRDefault="00455F3D" w:rsidP="00455F3D">
      <w:pPr>
        <w:pStyle w:val="FootnoteText"/>
        <w:rPr>
          <w:sz w:val="16"/>
        </w:rPr>
      </w:pPr>
      <w:r w:rsidRPr="00455F3D">
        <w:rPr>
          <w:rStyle w:val="FootnoteReference"/>
          <w:sz w:val="16"/>
        </w:rPr>
        <w:footnoteRef/>
      </w:r>
      <w:r w:rsidRPr="00455F3D">
        <w:rPr>
          <w:sz w:val="16"/>
        </w:rPr>
        <w:t xml:space="preserve"> </w:t>
      </w:r>
      <w:r w:rsidRPr="00455F3D">
        <w:rPr>
          <w:sz w:val="16"/>
        </w:rPr>
        <w:t>This would seem to be the case as is shown by the appeal of Paul and Audrey Edwards to the European Court of Human</w:t>
      </w:r>
      <w:r w:rsidRPr="00455F3D">
        <w:rPr>
          <w:sz w:val="16"/>
        </w:rPr>
        <w:t xml:space="preserve"> </w:t>
      </w:r>
      <w:r w:rsidRPr="00455F3D">
        <w:rPr>
          <w:sz w:val="16"/>
        </w:rPr>
        <w:t>Rights in respect of the killing of their mentally ill son whilst on remand in prison. (</w:t>
      </w:r>
      <w:proofErr w:type="gramStart"/>
      <w:r w:rsidRPr="00455F3D">
        <w:rPr>
          <w:sz w:val="16"/>
        </w:rPr>
        <w:t>Edwards</w:t>
      </w:r>
      <w:proofErr w:type="gramEnd"/>
      <w:r w:rsidRPr="00455F3D">
        <w:rPr>
          <w:sz w:val="16"/>
        </w:rPr>
        <w:t xml:space="preserve"> v. </w:t>
      </w:r>
      <w:proofErr w:type="gramStart"/>
      <w:r w:rsidRPr="00455F3D">
        <w:rPr>
          <w:sz w:val="16"/>
        </w:rPr>
        <w:t>The United Kingdom.</w:t>
      </w:r>
      <w:proofErr w:type="gramEnd"/>
      <w:r w:rsidRPr="00455F3D">
        <w:rPr>
          <w:sz w:val="16"/>
        </w:rPr>
        <w:t xml:space="preserve"> </w:t>
      </w:r>
      <w:proofErr w:type="gramStart"/>
      <w:r w:rsidRPr="00455F3D">
        <w:rPr>
          <w:sz w:val="16"/>
        </w:rPr>
        <w:t>application</w:t>
      </w:r>
      <w:proofErr w:type="gramEnd"/>
      <w:r w:rsidRPr="00455F3D">
        <w:rPr>
          <w:sz w:val="16"/>
        </w:rPr>
        <w:t xml:space="preserve"> No. 46477/99, 14, March 2002). The reference was in respect of the decision not to hold the inquiry into his</w:t>
      </w:r>
      <w:r w:rsidRPr="00455F3D">
        <w:rPr>
          <w:sz w:val="16"/>
        </w:rPr>
        <w:t xml:space="preserve"> </w:t>
      </w:r>
      <w:r w:rsidRPr="00455F3D">
        <w:rPr>
          <w:sz w:val="16"/>
        </w:rPr>
        <w:t xml:space="preserve">death in public. Coonan, K. Q.C., </w:t>
      </w:r>
      <w:proofErr w:type="spellStart"/>
      <w:r w:rsidRPr="00455F3D">
        <w:rPr>
          <w:sz w:val="16"/>
        </w:rPr>
        <w:t>Bluglass</w:t>
      </w:r>
      <w:proofErr w:type="spellEnd"/>
      <w:r w:rsidRPr="00455F3D">
        <w:rPr>
          <w:sz w:val="16"/>
        </w:rPr>
        <w:t>, R., Halliday, G., Jenkins, M. and Kelly, O. (1998) Report into the Care</w:t>
      </w:r>
      <w:r w:rsidRPr="00455F3D">
        <w:rPr>
          <w:sz w:val="16"/>
        </w:rPr>
        <w:t xml:space="preserve"> </w:t>
      </w:r>
      <w:r w:rsidRPr="00455F3D">
        <w:rPr>
          <w:sz w:val="16"/>
        </w:rPr>
        <w:t xml:space="preserve">and Treatment of Christopher Edwards and Richard </w:t>
      </w:r>
      <w:proofErr w:type="spellStart"/>
      <w:r w:rsidRPr="00455F3D">
        <w:rPr>
          <w:sz w:val="16"/>
        </w:rPr>
        <w:t>Linford</w:t>
      </w:r>
      <w:proofErr w:type="spellEnd"/>
      <w:r w:rsidRPr="00455F3D">
        <w:rPr>
          <w:sz w:val="16"/>
        </w:rPr>
        <w:t>, North-East Essex Health Authority, Essex County Council,</w:t>
      </w:r>
      <w:r w:rsidRPr="00455F3D">
        <w:rPr>
          <w:sz w:val="16"/>
        </w:rPr>
        <w:t xml:space="preserve"> </w:t>
      </w:r>
      <w:r w:rsidRPr="00455F3D">
        <w:rPr>
          <w:sz w:val="16"/>
        </w:rPr>
        <w:t>H.M. Prison Service and Essex Police.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17B"/>
    <w:multiLevelType w:val="hybridMultilevel"/>
    <w:tmpl w:val="9392D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77"/>
    <w:rsid w:val="001A2C7C"/>
    <w:rsid w:val="001E62CD"/>
    <w:rsid w:val="00455F3D"/>
    <w:rsid w:val="005878A3"/>
    <w:rsid w:val="00823FE9"/>
    <w:rsid w:val="0096768E"/>
    <w:rsid w:val="00B5032B"/>
    <w:rsid w:val="00BE1F78"/>
    <w:rsid w:val="00CF0A77"/>
    <w:rsid w:val="00EC7A50"/>
    <w:rsid w:val="00FC4CC9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6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0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6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CB7F-26D6-4B0A-A65E-44673460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9</cp:revision>
  <dcterms:created xsi:type="dcterms:W3CDTF">2014-10-15T09:09:00Z</dcterms:created>
  <dcterms:modified xsi:type="dcterms:W3CDTF">2014-10-15T09:53:00Z</dcterms:modified>
</cp:coreProperties>
</file>