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92" w:rsidRPr="00051092" w:rsidRDefault="00051092" w:rsidP="00051092">
      <w:pPr>
        <w:rPr>
          <w:sz w:val="56"/>
          <w:szCs w:val="56"/>
        </w:rPr>
      </w:pPr>
      <w:r w:rsidRPr="00051092">
        <w:rPr>
          <w:sz w:val="56"/>
          <w:szCs w:val="56"/>
        </w:rPr>
        <w:t>Is this a revolution? The impact of the Human Rights Act on Mental Health Law</w:t>
      </w:r>
    </w:p>
    <w:p w:rsidR="00051092" w:rsidRPr="00051092" w:rsidRDefault="00E03890" w:rsidP="00051092">
      <w:pPr>
        <w:rPr>
          <w:i/>
          <w:iCs/>
          <w:sz w:val="28"/>
        </w:rPr>
      </w:pPr>
      <w:r>
        <w:rPr>
          <w:i/>
          <w:iCs/>
          <w:sz w:val="28"/>
        </w:rPr>
        <w:t>Paul Bowen</w:t>
      </w:r>
      <w:r>
        <w:rPr>
          <w:rStyle w:val="FootnoteReference"/>
          <w:i/>
          <w:iCs/>
          <w:sz w:val="28"/>
        </w:rPr>
        <w:footnoteReference w:customMarkFollows="1" w:id="1"/>
        <w:t>*</w:t>
      </w:r>
    </w:p>
    <w:p w:rsidR="00051092" w:rsidRPr="00051092" w:rsidRDefault="00051092" w:rsidP="00051092">
      <w:pPr>
        <w:rPr>
          <w:i/>
          <w:iCs/>
        </w:rPr>
      </w:pPr>
    </w:p>
    <w:p w:rsidR="00052E94" w:rsidRDefault="00051092" w:rsidP="00051092">
      <w:r w:rsidRPr="00051092">
        <w:t xml:space="preserve">In ‘Almost a Revolution: Mental Health Law and the Limits of Change’, </w:t>
      </w:r>
      <w:proofErr w:type="spellStart"/>
      <w:r w:rsidRPr="00051092">
        <w:t>Prof.</w:t>
      </w:r>
      <w:proofErr w:type="spellEnd"/>
      <w:r w:rsidRPr="00051092">
        <w:t xml:space="preserve"> Paul </w:t>
      </w:r>
      <w:proofErr w:type="spellStart"/>
      <w:r w:rsidRPr="00051092">
        <w:t>Applebaum</w:t>
      </w:r>
      <w:proofErr w:type="spellEnd"/>
      <w:r w:rsidRPr="00051092">
        <w:t>,</w:t>
      </w:r>
      <w:r>
        <w:t xml:space="preserve"> </w:t>
      </w:r>
      <w:r w:rsidRPr="00051092">
        <w:t>writing in 1994, describes a period of tumultuous change in the United States during the late 1960s</w:t>
      </w:r>
      <w:r>
        <w:t xml:space="preserve"> </w:t>
      </w:r>
      <w:r w:rsidRPr="00051092">
        <w:t>in civil rights and mental health law and which lasted nearly three decades</w:t>
      </w:r>
      <w:r w:rsidR="002245E9">
        <w:rPr>
          <w:rStyle w:val="FootnoteReference"/>
        </w:rPr>
        <w:footnoteReference w:id="2"/>
      </w:r>
      <w:r w:rsidRPr="00051092">
        <w:t>. At the end of that</w:t>
      </w:r>
      <w:r>
        <w:t xml:space="preserve"> </w:t>
      </w:r>
      <w:r w:rsidRPr="00051092">
        <w:t>period, he concluded, there had been little real and substantial change to mental health law in the</w:t>
      </w:r>
      <w:r>
        <w:t xml:space="preserve"> </w:t>
      </w:r>
      <w:r w:rsidRPr="00051092">
        <w:t>United States. This article looks at some of the changes to mental health law that have already been</w:t>
      </w:r>
      <w:r>
        <w:t xml:space="preserve"> </w:t>
      </w:r>
      <w:r w:rsidRPr="00051092">
        <w:t>wrought in England &amp; Wales by the Human Rights Act 1998 and briefly considers its potential for</w:t>
      </w:r>
      <w:r>
        <w:t xml:space="preserve"> </w:t>
      </w:r>
      <w:r w:rsidRPr="00051092">
        <w:t>creating real and substantial change in the longer term.</w:t>
      </w:r>
    </w:p>
    <w:p w:rsidR="00051092" w:rsidRPr="00051092" w:rsidRDefault="00051092" w:rsidP="00051092">
      <w:r w:rsidRPr="00051092">
        <w:t>Current legislation governing the detention and treatment of those with mental disorder – the</w:t>
      </w:r>
      <w:r>
        <w:t xml:space="preserve"> </w:t>
      </w:r>
      <w:r w:rsidRPr="00051092">
        <w:t>Mental Health Act 1983 – is widely recognized as being out of date, based as it is largely upon its</w:t>
      </w:r>
      <w:r>
        <w:t xml:space="preserve"> </w:t>
      </w:r>
      <w:r w:rsidRPr="00051092">
        <w:t>predecessor, the Mental Health Act 1959. New legislation is proposed, much of which is highly</w:t>
      </w:r>
      <w:r>
        <w:t xml:space="preserve"> </w:t>
      </w:r>
      <w:r w:rsidRPr="00051092">
        <w:t>controversial, demonstrating that while there may be a perception by significant elements in</w:t>
      </w:r>
      <w:r>
        <w:t xml:space="preserve"> </w:t>
      </w:r>
      <w:r w:rsidRPr="00051092">
        <w:t>society that change is required, there is by no means unanimity as to the direction in which that</w:t>
      </w:r>
      <w:r>
        <w:t xml:space="preserve"> </w:t>
      </w:r>
      <w:r w:rsidRPr="00051092">
        <w:t>change should take. Perhaps less controversially, but no less necessary, Incapacity legislation is also</w:t>
      </w:r>
      <w:r>
        <w:t xml:space="preserve"> </w:t>
      </w:r>
      <w:r w:rsidRPr="00051092">
        <w:t>likely soon to be introduced, after many years of urging from the Law Commission, the Courts</w:t>
      </w:r>
      <w:r>
        <w:t xml:space="preserve"> </w:t>
      </w:r>
      <w:r w:rsidRPr="00051092">
        <w:t>and interested groups.</w:t>
      </w:r>
    </w:p>
    <w:p w:rsidR="00D82E29" w:rsidRPr="00D82E29" w:rsidRDefault="00051092" w:rsidP="00D82E29">
      <w:r w:rsidRPr="00051092">
        <w:t>On 2 October 2000 the Human Rights Act 1998 (HRA) came into force. The United Kingdom has</w:t>
      </w:r>
      <w:r>
        <w:t xml:space="preserve"> </w:t>
      </w:r>
      <w:r w:rsidRPr="00051092">
        <w:t>been a signatory to the European Convention on Human Rights 1950 (the Convention) since its</w:t>
      </w:r>
      <w:r>
        <w:t xml:space="preserve"> </w:t>
      </w:r>
      <w:r w:rsidRPr="00051092">
        <w:t>inception – indeed, was the first to ratify the Convention, on 8 March, 1950 – and the Convention</w:t>
      </w:r>
      <w:r>
        <w:t xml:space="preserve"> </w:t>
      </w:r>
      <w:r w:rsidRPr="00051092">
        <w:t xml:space="preserve">has </w:t>
      </w:r>
      <w:proofErr w:type="spellStart"/>
      <w:r w:rsidRPr="00051092">
        <w:t>lead</w:t>
      </w:r>
      <w:proofErr w:type="spellEnd"/>
      <w:r w:rsidRPr="00051092">
        <w:t xml:space="preserve"> to significant changes prior to its incorporation through the HRA. Most notable, perhaps,</w:t>
      </w:r>
      <w:r>
        <w:t xml:space="preserve"> </w:t>
      </w:r>
      <w:r w:rsidRPr="00051092">
        <w:t xml:space="preserve">is the seminal case of </w:t>
      </w:r>
      <w:r w:rsidRPr="00051092">
        <w:rPr>
          <w:i/>
          <w:iCs/>
        </w:rPr>
        <w:t>X v United Kingdom</w:t>
      </w:r>
      <w:r w:rsidR="002245E9">
        <w:rPr>
          <w:rStyle w:val="FootnoteReference"/>
          <w:i/>
          <w:iCs/>
        </w:rPr>
        <w:footnoteReference w:id="3"/>
      </w:r>
      <w:r w:rsidRPr="00051092">
        <w:t xml:space="preserve"> which established that, in order to comply with Article</w:t>
      </w:r>
      <w:r>
        <w:t xml:space="preserve"> </w:t>
      </w:r>
      <w:r w:rsidRPr="00051092">
        <w:t>5(4), a Mental Health Review Tribunal must have power to order a patient’s release from hospital,</w:t>
      </w:r>
      <w:r>
        <w:t xml:space="preserve"> </w:t>
      </w:r>
      <w:r w:rsidRPr="00051092">
        <w:t>even one who has committed serious criminal offences. This lead to a change in the law introduced</w:t>
      </w:r>
      <w:r>
        <w:t xml:space="preserve"> </w:t>
      </w:r>
      <w:r w:rsidR="00D82E29" w:rsidRPr="00D82E29">
        <w:t>by the Mental Health (Amendment) Act 1982 whereby the Tribunal’s power of recommendation</w:t>
      </w:r>
      <w:r w:rsidR="00D82E29">
        <w:t xml:space="preserve"> </w:t>
      </w:r>
      <w:r w:rsidR="00D82E29" w:rsidRPr="00D82E29">
        <w:t>to the Home Secretary became a power to discharge in the face of objections from that minister.</w:t>
      </w:r>
    </w:p>
    <w:p w:rsidR="00D82E29" w:rsidRPr="00D82E29" w:rsidRDefault="00D82E29" w:rsidP="00D82E29">
      <w:r w:rsidRPr="00D82E29">
        <w:t>But that case is also an illustration of the shortcomings of the Convention prior to its</w:t>
      </w:r>
      <w:r>
        <w:t xml:space="preserve"> </w:t>
      </w:r>
      <w:r w:rsidRPr="00D82E29">
        <w:t xml:space="preserve">incorporation through the HRA, as it was </w:t>
      </w:r>
      <w:r w:rsidRPr="00D82E29">
        <w:rPr>
          <w:i/>
          <w:iCs/>
        </w:rPr>
        <w:t xml:space="preserve">only </w:t>
      </w:r>
      <w:r w:rsidRPr="00D82E29">
        <w:t>through the introduction of primary legislation that</w:t>
      </w:r>
      <w:r>
        <w:t xml:space="preserve"> </w:t>
      </w:r>
      <w:r w:rsidRPr="00D82E29">
        <w:t>the law could be changed so as to comply with the Convention. The impact of the Convention on</w:t>
      </w:r>
      <w:r>
        <w:t xml:space="preserve"> </w:t>
      </w:r>
      <w:r w:rsidRPr="00D82E29">
        <w:t>domestic law was limited by the constitutional principle of the sovereignty of Parliament.</w:t>
      </w:r>
      <w:r>
        <w:t xml:space="preserve"> </w:t>
      </w:r>
      <w:r w:rsidRPr="00D82E29">
        <w:t xml:space="preserve">As a matter of international </w:t>
      </w:r>
      <w:r w:rsidRPr="00D82E29">
        <w:lastRenderedPageBreak/>
        <w:t>law the executive may bind the state to abide by the terms of</w:t>
      </w:r>
      <w:r>
        <w:t xml:space="preserve"> </w:t>
      </w:r>
      <w:r w:rsidRPr="00D82E29">
        <w:t>international treaties, but the legislature alone can give effect to those terms in domestic law by</w:t>
      </w:r>
      <w:r>
        <w:t xml:space="preserve"> </w:t>
      </w:r>
      <w:r w:rsidRPr="00D82E29">
        <w:t>passing legislation, which it has now done, by introducing the HRA. Accordingly, in the absence</w:t>
      </w:r>
      <w:r>
        <w:t xml:space="preserve"> </w:t>
      </w:r>
      <w:r w:rsidRPr="00D82E29">
        <w:t>of such enacting legislation, individuals could not enforce their Convention rights directly through</w:t>
      </w:r>
      <w:r>
        <w:t xml:space="preserve"> </w:t>
      </w:r>
      <w:r w:rsidRPr="00D82E29">
        <w:t>domestic courts, which were obliged to uphold primary legislation, and could find it unlawful or</w:t>
      </w:r>
      <w:r>
        <w:t xml:space="preserve"> </w:t>
      </w:r>
      <w:r w:rsidRPr="00D82E29">
        <w:t>invalid, notwithstanding any conflict with the United Kingdom’s Convention obligations</w:t>
      </w:r>
      <w:r>
        <w:rPr>
          <w:rStyle w:val="FootnoteReference"/>
        </w:rPr>
        <w:footnoteReference w:id="4"/>
      </w:r>
      <w:r w:rsidRPr="00D82E29">
        <w:t>.</w:t>
      </w:r>
      <w:r>
        <w:t xml:space="preserve"> </w:t>
      </w:r>
      <w:r w:rsidRPr="00D82E29">
        <w:t>Accordingly, although the Courts applied the presumption that Parliament has enacted legislation</w:t>
      </w:r>
      <w:r>
        <w:t xml:space="preserve"> </w:t>
      </w:r>
      <w:r w:rsidRPr="00D82E29">
        <w:t>so as to comply with the United Kingdom’s Convention obligations</w:t>
      </w:r>
      <w:r>
        <w:rPr>
          <w:rStyle w:val="FootnoteReference"/>
        </w:rPr>
        <w:footnoteReference w:id="5"/>
      </w:r>
      <w:r w:rsidRPr="00D82E29">
        <w:t>, that presumption had to</w:t>
      </w:r>
      <w:r>
        <w:t xml:space="preserve"> </w:t>
      </w:r>
      <w:r w:rsidRPr="00D82E29">
        <w:t>yield to express statutory wording, even if that violated Convention rights.</w:t>
      </w:r>
      <w:r>
        <w:t xml:space="preserve"> </w:t>
      </w:r>
    </w:p>
    <w:p w:rsidR="00D82E29" w:rsidRPr="00D82E29" w:rsidRDefault="00D82E29" w:rsidP="00D82E29">
      <w:r w:rsidRPr="00D82E29">
        <w:t>The HRA, however, has introduced three fundamental changes to the law. First, it confers upon</w:t>
      </w:r>
      <w:r>
        <w:t xml:space="preserve"> </w:t>
      </w:r>
      <w:r w:rsidRPr="00D82E29">
        <w:t>individuals the right to enforce Convention rights directly through the domestic courts. Section 6</w:t>
      </w:r>
      <w:r>
        <w:t xml:space="preserve"> </w:t>
      </w:r>
      <w:r w:rsidRPr="00D82E29">
        <w:t>provides ‘It is unlawful for a public authority to act in a way which is incompatible with a</w:t>
      </w:r>
      <w:r>
        <w:t xml:space="preserve"> </w:t>
      </w:r>
      <w:r w:rsidRPr="00D82E29">
        <w:t>Convention right’. An aggrieved individual is no longer confined to invoking an analogous</w:t>
      </w:r>
      <w:r>
        <w:t xml:space="preserve"> </w:t>
      </w:r>
      <w:r w:rsidRPr="00D82E29">
        <w:t>common law right (where one existed) or to taking his case to Strasbourg: by section 7 he may</w:t>
      </w:r>
      <w:r>
        <w:t xml:space="preserve"> </w:t>
      </w:r>
      <w:r w:rsidRPr="00D82E29">
        <w:t>directly rely upon the Convention rights contained in the Schedule to the HRA, whether by</w:t>
      </w:r>
      <w:r>
        <w:t xml:space="preserve"> </w:t>
      </w:r>
      <w:r w:rsidRPr="00D82E29">
        <w:t>bringing proceedings against a public authority or by raising it in other proceedings to which he is</w:t>
      </w:r>
      <w:r>
        <w:t xml:space="preserve"> </w:t>
      </w:r>
      <w:r w:rsidRPr="00D82E29">
        <w:t>a party, most notably by way of a defence to civil or criminal proceedings. Second, by section 3 the</w:t>
      </w:r>
      <w:r>
        <w:t xml:space="preserve"> </w:t>
      </w:r>
      <w:r w:rsidRPr="00D82E29">
        <w:t>HRA imposes a strong interpretative obligation upon the Courts to ‘read and give effect to’</w:t>
      </w:r>
      <w:r>
        <w:t xml:space="preserve"> </w:t>
      </w:r>
      <w:r w:rsidRPr="00D82E29">
        <w:t>Convention rights in a way which is compatible with the Convention rights. By contrast with the</w:t>
      </w:r>
      <w:r>
        <w:t xml:space="preserve"> </w:t>
      </w:r>
      <w:r w:rsidRPr="00D82E29">
        <w:t>position prior to October 2000, Courts must construe legislation in a Convention compatible</w:t>
      </w:r>
      <w:r>
        <w:t xml:space="preserve"> </w:t>
      </w:r>
      <w:r w:rsidRPr="00D82E29">
        <w:t>manner even where there is no ambiguity; indeed, provided it does not lead to an absurd result.</w:t>
      </w:r>
      <w:r>
        <w:t xml:space="preserve"> </w:t>
      </w:r>
      <w:r w:rsidRPr="00D82E29">
        <w:t>Third, and last, while the principle of Parliamentary sovereignty is preserved in that Courts cannot</w:t>
      </w:r>
      <w:r>
        <w:t xml:space="preserve"> </w:t>
      </w:r>
      <w:r w:rsidRPr="00D82E29">
        <w:t>strike down incompatible legislation, by section 4 HRA they can make a ‘declaration of</w:t>
      </w:r>
      <w:r>
        <w:t xml:space="preserve"> </w:t>
      </w:r>
      <w:r w:rsidRPr="00D82E29">
        <w:t>incompatibility’ in respect of a provision that cannot be ‘read and given effect to’ under section 3</w:t>
      </w:r>
      <w:r>
        <w:t xml:space="preserve"> </w:t>
      </w:r>
      <w:r w:rsidRPr="00D82E29">
        <w:t>in a way that complies with the Convention. While the HRA has its limitations, which are</w:t>
      </w:r>
      <w:r>
        <w:t xml:space="preserve"> </w:t>
      </w:r>
      <w:r w:rsidRPr="00D82E29">
        <w:t xml:space="preserve">becoming more apparent as time goes by, we do now have </w:t>
      </w:r>
      <w:proofErr w:type="gramStart"/>
      <w:r w:rsidRPr="00D82E29">
        <w:t>a</w:t>
      </w:r>
      <w:proofErr w:type="gramEnd"/>
      <w:r w:rsidRPr="00D82E29">
        <w:t xml:space="preserve"> ‘a body of theory that can be applied</w:t>
      </w:r>
      <w:r>
        <w:t xml:space="preserve"> </w:t>
      </w:r>
      <w:r w:rsidRPr="00D82E29">
        <w:t>to extend or alter the law in the desired direction’, if not as far as some would like.</w:t>
      </w:r>
    </w:p>
    <w:p w:rsidR="00D82E29" w:rsidRPr="00D82E29" w:rsidRDefault="00D82E29" w:rsidP="00D82E29">
      <w:r w:rsidRPr="00D82E29">
        <w:t>In Scottish cases, the Scotland Act 1999 goes further, enabling Courts (including the Privy Council,</w:t>
      </w:r>
      <w:r>
        <w:t xml:space="preserve"> </w:t>
      </w:r>
      <w:r w:rsidRPr="00D82E29">
        <w:t>as the highest Court of Appeal) to strike down legislation of the Scottish Parliament when it is</w:t>
      </w:r>
      <w:r>
        <w:t xml:space="preserve"> </w:t>
      </w:r>
      <w:r w:rsidRPr="00D82E29">
        <w:t>incompatible with Convention rights.</w:t>
      </w:r>
    </w:p>
    <w:p w:rsidR="00051092" w:rsidRDefault="00D82E29" w:rsidP="00D82E29">
      <w:r w:rsidRPr="00D82E29">
        <w:t>We are now more than three years on from the coming into force of the HRA. Mental Health has</w:t>
      </w:r>
      <w:r>
        <w:t xml:space="preserve"> </w:t>
      </w:r>
      <w:r w:rsidRPr="00D82E29">
        <w:t>proved to be one of the most fruitful areas of challenge under the Act. At the time of writing there</w:t>
      </w:r>
      <w:r>
        <w:t xml:space="preserve"> </w:t>
      </w:r>
      <w:r w:rsidRPr="00D82E29">
        <w:t>have been 10 declarations of incompatibility, three of which have related to the MHA, and one of</w:t>
      </w:r>
      <w:r>
        <w:t xml:space="preserve"> </w:t>
      </w:r>
      <w:r w:rsidRPr="00D82E29">
        <w:t xml:space="preserve">which has </w:t>
      </w:r>
      <w:proofErr w:type="spellStart"/>
      <w:r w:rsidRPr="00D82E29">
        <w:t>lead</w:t>
      </w:r>
      <w:proofErr w:type="spellEnd"/>
      <w:r w:rsidRPr="00D82E29">
        <w:t xml:space="preserve"> to the only remedial legislation yet to be introduced under section 10 of the Act.</w:t>
      </w:r>
      <w:r>
        <w:rPr>
          <w:rStyle w:val="FootnoteReference"/>
        </w:rPr>
        <w:footnoteReference w:id="6"/>
      </w:r>
    </w:p>
    <w:p w:rsidR="001E4624" w:rsidRPr="001E4624" w:rsidRDefault="001E4624" w:rsidP="001E4624">
      <w:r w:rsidRPr="001E4624">
        <w:t>The following provisions have been declared incompatible: the reverse burden of proof under</w:t>
      </w:r>
      <w:r>
        <w:t xml:space="preserve"> </w:t>
      </w:r>
      <w:r w:rsidRPr="001E4624">
        <w:t xml:space="preserve">section 72/ 73 (see </w:t>
      </w:r>
      <w:r w:rsidRPr="001E4624">
        <w:rPr>
          <w:i/>
          <w:iCs/>
        </w:rPr>
        <w:t>R (H) v Mental Health Review Tribunal</w:t>
      </w:r>
      <w:r>
        <w:rPr>
          <w:rStyle w:val="FootnoteReference"/>
          <w:i/>
          <w:iCs/>
        </w:rPr>
        <w:footnoteReference w:id="7"/>
      </w:r>
      <w:r w:rsidRPr="001E4624">
        <w:t>); sections 26 and 29 MHA (nearest</w:t>
      </w:r>
      <w:r>
        <w:t xml:space="preserve"> </w:t>
      </w:r>
      <w:r w:rsidRPr="001E4624">
        <w:t>relative provisions) (</w:t>
      </w:r>
      <w:r w:rsidRPr="001E4624">
        <w:rPr>
          <w:i/>
          <w:iCs/>
        </w:rPr>
        <w:t>R (M) v Health Secretary</w:t>
      </w:r>
      <w:r>
        <w:rPr>
          <w:rStyle w:val="FootnoteReference"/>
          <w:i/>
          <w:iCs/>
        </w:rPr>
        <w:footnoteReference w:id="8"/>
      </w:r>
      <w:r w:rsidRPr="001E4624">
        <w:t>); and section 74 MHA (absence of any power in the</w:t>
      </w:r>
      <w:r>
        <w:t xml:space="preserve"> </w:t>
      </w:r>
      <w:r w:rsidRPr="001E4624">
        <w:lastRenderedPageBreak/>
        <w:t xml:space="preserve">Tribunal to release a transferred post-tariff discretionary lifer: </w:t>
      </w:r>
      <w:r w:rsidRPr="001E4624">
        <w:rPr>
          <w:i/>
          <w:iCs/>
        </w:rPr>
        <w:t>R (D) v Home Secretary</w:t>
      </w:r>
      <w:r>
        <w:rPr>
          <w:rStyle w:val="FootnoteReference"/>
          <w:i/>
          <w:iCs/>
        </w:rPr>
        <w:footnoteReference w:id="9"/>
      </w:r>
      <w:r w:rsidRPr="001E4624">
        <w:t>). Others are</w:t>
      </w:r>
      <w:r>
        <w:t xml:space="preserve"> </w:t>
      </w:r>
      <w:r w:rsidRPr="001E4624">
        <w:t>likely to follow.</w:t>
      </w:r>
    </w:p>
    <w:p w:rsidR="001E4624" w:rsidRPr="001E4624" w:rsidRDefault="001E4624" w:rsidP="001E4624">
      <w:r w:rsidRPr="001E4624">
        <w:t>But declarations of incompatibility are only a very small part of the process of change. There has</w:t>
      </w:r>
      <w:r>
        <w:t xml:space="preserve"> </w:t>
      </w:r>
      <w:r w:rsidRPr="001E4624">
        <w:t>been a great deal of activity in the Courts, particularly in applications for judicial review, some of</w:t>
      </w:r>
      <w:r>
        <w:t xml:space="preserve"> </w:t>
      </w:r>
      <w:r w:rsidRPr="001E4624">
        <w:t xml:space="preserve">which has </w:t>
      </w:r>
      <w:proofErr w:type="spellStart"/>
      <w:r w:rsidRPr="001E4624">
        <w:t>lead</w:t>
      </w:r>
      <w:proofErr w:type="spellEnd"/>
      <w:r w:rsidRPr="001E4624">
        <w:t xml:space="preserve"> to enhanced protection for those with mental disorders, and much which has not.</w:t>
      </w:r>
    </w:p>
    <w:p w:rsidR="001E4624" w:rsidRPr="001E4624" w:rsidRDefault="001E4624" w:rsidP="001E4624">
      <w:r w:rsidRPr="001E4624">
        <w:t>I am going to focus on five areas in this paper:</w:t>
      </w:r>
    </w:p>
    <w:p w:rsidR="001E4624" w:rsidRDefault="001E4624" w:rsidP="001E4624">
      <w:pPr>
        <w:pStyle w:val="ListParagraph"/>
        <w:numPr>
          <w:ilvl w:val="0"/>
          <w:numId w:val="1"/>
        </w:numPr>
      </w:pPr>
      <w:r w:rsidRPr="001E4624">
        <w:t>Detention and discharge</w:t>
      </w:r>
    </w:p>
    <w:p w:rsidR="001E4624" w:rsidRDefault="001E4624" w:rsidP="001E4624">
      <w:pPr>
        <w:pStyle w:val="ListParagraph"/>
        <w:numPr>
          <w:ilvl w:val="0"/>
          <w:numId w:val="1"/>
        </w:numPr>
      </w:pPr>
      <w:r w:rsidRPr="001E4624">
        <w:t>Compulsory treatment</w:t>
      </w:r>
    </w:p>
    <w:p w:rsidR="001E4624" w:rsidRDefault="001E4624" w:rsidP="001E4624">
      <w:pPr>
        <w:pStyle w:val="ListParagraph"/>
        <w:numPr>
          <w:ilvl w:val="0"/>
          <w:numId w:val="1"/>
        </w:numPr>
      </w:pPr>
      <w:r w:rsidRPr="001E4624">
        <w:t>Seclusion</w:t>
      </w:r>
    </w:p>
    <w:p w:rsidR="001E4624" w:rsidRDefault="001E4624" w:rsidP="001E4624">
      <w:pPr>
        <w:pStyle w:val="ListParagraph"/>
        <w:numPr>
          <w:ilvl w:val="0"/>
          <w:numId w:val="1"/>
        </w:numPr>
      </w:pPr>
      <w:r w:rsidRPr="001E4624">
        <w:t>Other conditions of detention</w:t>
      </w:r>
    </w:p>
    <w:p w:rsidR="001E4624" w:rsidRPr="001E4624" w:rsidRDefault="001E4624" w:rsidP="001E4624">
      <w:pPr>
        <w:pStyle w:val="ListParagraph"/>
        <w:numPr>
          <w:ilvl w:val="0"/>
          <w:numId w:val="1"/>
        </w:numPr>
      </w:pPr>
      <w:r w:rsidRPr="001E4624">
        <w:t>Protection of confidential information.</w:t>
      </w:r>
    </w:p>
    <w:p w:rsidR="001E4624" w:rsidRDefault="001E4624" w:rsidP="001E4624">
      <w:pPr>
        <w:rPr>
          <w:b/>
          <w:bCs/>
        </w:rPr>
      </w:pPr>
    </w:p>
    <w:p w:rsidR="001E4624" w:rsidRPr="001E4624" w:rsidRDefault="001E4624" w:rsidP="001E4624">
      <w:pPr>
        <w:rPr>
          <w:b/>
          <w:bCs/>
        </w:rPr>
      </w:pPr>
      <w:r w:rsidRPr="001E4624">
        <w:rPr>
          <w:b/>
          <w:bCs/>
        </w:rPr>
        <w:t>Detention &amp; discharge</w:t>
      </w:r>
    </w:p>
    <w:p w:rsidR="001E4624" w:rsidRPr="001E4624" w:rsidRDefault="001E4624" w:rsidP="001E4624">
      <w:r w:rsidRPr="001E4624">
        <w:t>The clearest developments have been in relation to Article 5, with some significant enhancements</w:t>
      </w:r>
      <w:r>
        <w:t xml:space="preserve"> </w:t>
      </w:r>
      <w:r w:rsidRPr="001E4624">
        <w:t>to the existing procedural safeguards provided by the Mental Health Review Tribunal.</w:t>
      </w:r>
    </w:p>
    <w:p w:rsidR="001E4624" w:rsidRPr="001E4624" w:rsidRDefault="001E4624" w:rsidP="001E4624">
      <w:r w:rsidRPr="001E4624">
        <w:t>The reverse burden of proof has been declared incompatible with Article 5 and reversed by</w:t>
      </w:r>
      <w:r>
        <w:t xml:space="preserve"> </w:t>
      </w:r>
      <w:r w:rsidRPr="001E4624">
        <w:t>remedial legislation (</w:t>
      </w:r>
      <w:r w:rsidRPr="001E4624">
        <w:rPr>
          <w:i/>
          <w:iCs/>
        </w:rPr>
        <w:t>R (H) v Mental Health Review Tribunal</w:t>
      </w:r>
      <w:r>
        <w:rPr>
          <w:rStyle w:val="FootnoteReference"/>
          <w:i/>
          <w:iCs/>
        </w:rPr>
        <w:footnoteReference w:id="10"/>
      </w:r>
      <w:r w:rsidRPr="001E4624">
        <w:t>), subsequently affirmed by the ECHR</w:t>
      </w:r>
      <w:r>
        <w:t xml:space="preserve"> </w:t>
      </w:r>
      <w:r w:rsidRPr="001E4624">
        <w:t xml:space="preserve">in </w:t>
      </w:r>
      <w:r w:rsidRPr="001E4624">
        <w:rPr>
          <w:i/>
          <w:iCs/>
        </w:rPr>
        <w:t xml:space="preserve">Hutchison Reid v United Kingdom </w:t>
      </w:r>
      <w:r w:rsidRPr="001E4624">
        <w:t>20 February 2003.</w:t>
      </w:r>
    </w:p>
    <w:p w:rsidR="001E4624" w:rsidRPr="001E4624" w:rsidRDefault="001E4624" w:rsidP="001E4624">
      <w:r w:rsidRPr="001E4624">
        <w:t>Undue delay by the Home Office in granting leave of absence to a patient who has been conditionally</w:t>
      </w:r>
      <w:r>
        <w:t xml:space="preserve"> </w:t>
      </w:r>
      <w:r w:rsidRPr="001E4624">
        <w:t>discharged by a Tribunal, but deferred, may violate Article 5 (</w:t>
      </w:r>
      <w:r w:rsidRPr="001E4624">
        <w:rPr>
          <w:i/>
          <w:iCs/>
        </w:rPr>
        <w:t>R (RA) v Home Secretary</w:t>
      </w:r>
      <w:r>
        <w:rPr>
          <w:rStyle w:val="FootnoteReference"/>
          <w:i/>
          <w:iCs/>
        </w:rPr>
        <w:footnoteReference w:id="11"/>
      </w:r>
      <w:r w:rsidRPr="001E4624">
        <w:t>.</w:t>
      </w:r>
    </w:p>
    <w:p w:rsidR="001E4624" w:rsidRPr="001E4624" w:rsidRDefault="001E4624" w:rsidP="001E4624">
      <w:r w:rsidRPr="001E4624">
        <w:t xml:space="preserve">A series of cases brought in relation to delay in the arrangement of MHRT’s have </w:t>
      </w:r>
      <w:proofErr w:type="spellStart"/>
      <w:r w:rsidRPr="001E4624">
        <w:t>lead</w:t>
      </w:r>
      <w:proofErr w:type="spellEnd"/>
      <w:r w:rsidRPr="001E4624">
        <w:t xml:space="preserve"> to findings</w:t>
      </w:r>
      <w:r>
        <w:t xml:space="preserve"> </w:t>
      </w:r>
      <w:r w:rsidRPr="001E4624">
        <w:t>of violations of the ‘speediness’ requirement of Article 5(4), although the level of damages paid</w:t>
      </w:r>
      <w:r>
        <w:t xml:space="preserve"> </w:t>
      </w:r>
      <w:r w:rsidRPr="001E4624">
        <w:t>out has been fairly low (</w:t>
      </w:r>
      <w:r w:rsidRPr="001E4624">
        <w:rPr>
          <w:i/>
          <w:iCs/>
        </w:rPr>
        <w:t>KB and others v MHRT</w:t>
      </w:r>
      <w:r>
        <w:rPr>
          <w:rStyle w:val="FootnoteReference"/>
          <w:i/>
          <w:iCs/>
        </w:rPr>
        <w:footnoteReference w:id="12"/>
      </w:r>
      <w:r w:rsidRPr="001E4624">
        <w:t>).</w:t>
      </w:r>
    </w:p>
    <w:p w:rsidR="001E4624" w:rsidRDefault="001E4624" w:rsidP="001E4624">
      <w:r w:rsidRPr="001E4624">
        <w:t>The Court of Appeal has affirmed the power of the Tribunal to discharge a patient from high</w:t>
      </w:r>
      <w:r>
        <w:t xml:space="preserve"> </w:t>
      </w:r>
      <w:r w:rsidRPr="001E4624">
        <w:t>secure accommodation via ‘stages’, by ordering their discharge on condition of residence either in</w:t>
      </w:r>
      <w:r>
        <w:t xml:space="preserve"> </w:t>
      </w:r>
      <w:r w:rsidRPr="001E4624">
        <w:t>another hospital or in hostel accommodation with suitable levels of security, provided those</w:t>
      </w:r>
      <w:r>
        <w:t xml:space="preserve"> </w:t>
      </w:r>
      <w:r w:rsidRPr="001E4624">
        <w:t xml:space="preserve">conditions do not amount to a ‘deprivation of liberty’: see </w:t>
      </w:r>
      <w:r w:rsidRPr="001E4624">
        <w:rPr>
          <w:i/>
          <w:iCs/>
        </w:rPr>
        <w:t>R (SSHD) v MHRT, PH interested party</w:t>
      </w:r>
      <w:r>
        <w:rPr>
          <w:rStyle w:val="FootnoteReference"/>
          <w:i/>
          <w:iCs/>
        </w:rPr>
        <w:footnoteReference w:id="13"/>
      </w:r>
      <w:r w:rsidRPr="001E4624">
        <w:t>.</w:t>
      </w:r>
      <w:r>
        <w:t xml:space="preserve"> </w:t>
      </w:r>
      <w:r w:rsidRPr="001E4624">
        <w:t>The Home Secretary argued that the Tribunal’s decision amounted to an order for transfer, rather</w:t>
      </w:r>
      <w:r>
        <w:t xml:space="preserve"> </w:t>
      </w:r>
      <w:r w:rsidRPr="001E4624">
        <w:t>than discharge, which it had no power to make. Not so, said the Court of Appeal; the fact that the</w:t>
      </w:r>
      <w:r>
        <w:t xml:space="preserve"> </w:t>
      </w:r>
      <w:r w:rsidRPr="001E4624">
        <w:t xml:space="preserve">conditions were imposed so as to </w:t>
      </w:r>
      <w:r w:rsidRPr="001E4624">
        <w:rPr>
          <w:i/>
          <w:iCs/>
        </w:rPr>
        <w:t xml:space="preserve">increase </w:t>
      </w:r>
      <w:r w:rsidRPr="001E4624">
        <w:t>the patient’s freedom, by allowing his release from a high</w:t>
      </w:r>
      <w:r>
        <w:t xml:space="preserve"> </w:t>
      </w:r>
      <w:r w:rsidRPr="001E4624">
        <w:t>secure hospital, was a key factor in their finding that the order would not result in PH continuing</w:t>
      </w:r>
      <w:r>
        <w:t xml:space="preserve"> </w:t>
      </w:r>
      <w:r w:rsidRPr="001E4624">
        <w:t>to be ‘detained’ and was, therefore, lawful.</w:t>
      </w:r>
    </w:p>
    <w:p w:rsidR="00D2388E" w:rsidRPr="00D2388E" w:rsidRDefault="00D2388E" w:rsidP="00D2388E">
      <w:r w:rsidRPr="00D2388E">
        <w:t>However, a number of challenges in relation to the procedural protections of Article 5 have failed.</w:t>
      </w:r>
    </w:p>
    <w:p w:rsidR="00D2388E" w:rsidRPr="00D2388E" w:rsidRDefault="00D2388E" w:rsidP="00D2388E">
      <w:r w:rsidRPr="00D2388E">
        <w:lastRenderedPageBreak/>
        <w:t>The dual role of the medical member as both witness and judge, although clarified (</w:t>
      </w:r>
      <w:r w:rsidRPr="00D2388E">
        <w:rPr>
          <w:i/>
          <w:iCs/>
        </w:rPr>
        <w:t>ex p.</w:t>
      </w:r>
      <w:r>
        <w:rPr>
          <w:i/>
          <w:iCs/>
        </w:rPr>
        <w:t xml:space="preserve"> </w:t>
      </w:r>
      <w:proofErr w:type="spellStart"/>
      <w:r w:rsidRPr="00D2388E">
        <w:rPr>
          <w:i/>
          <w:iCs/>
        </w:rPr>
        <w:t>Hannaway</w:t>
      </w:r>
      <w:proofErr w:type="spellEnd"/>
      <w:r w:rsidRPr="00D2388E">
        <w:t>), has nevertheless been found not to be incompatible with Article 5 (</w:t>
      </w:r>
      <w:r w:rsidRPr="00D2388E">
        <w:rPr>
          <w:i/>
          <w:iCs/>
        </w:rPr>
        <w:t>R (S) v MHRT</w:t>
      </w:r>
      <w:r>
        <w:rPr>
          <w:rStyle w:val="FootnoteReference"/>
          <w:i/>
          <w:iCs/>
        </w:rPr>
        <w:footnoteReference w:id="14"/>
      </w:r>
      <w:r w:rsidRPr="00D2388E">
        <w:t>).</w:t>
      </w:r>
    </w:p>
    <w:p w:rsidR="00D2388E" w:rsidRPr="00D2388E" w:rsidRDefault="00D2388E" w:rsidP="00D2388E">
      <w:r w:rsidRPr="00D2388E">
        <w:t>The vexed question remains of who is bound by the decision of a Mental Health Review Tribunal.</w:t>
      </w:r>
      <w:r>
        <w:t xml:space="preserve"> </w:t>
      </w:r>
      <w:r w:rsidRPr="00D2388E">
        <w:t>A series of cases has now considered two linked questions: first, are doctors and social workers bound</w:t>
      </w:r>
      <w:r>
        <w:t xml:space="preserve"> </w:t>
      </w:r>
      <w:r w:rsidRPr="00D2388E">
        <w:t>by a Tribunal’s decision to discharge so that they cannot lawfully detain a patient if they disagree with</w:t>
      </w:r>
      <w:r>
        <w:t xml:space="preserve"> </w:t>
      </w:r>
      <w:r w:rsidRPr="00D2388E">
        <w:t>the Tribunal’s decision</w:t>
      </w:r>
      <w:r>
        <w:rPr>
          <w:rStyle w:val="FootnoteReference"/>
        </w:rPr>
        <w:footnoteReference w:id="15"/>
      </w:r>
      <w:r w:rsidRPr="00D2388E">
        <w:t>; and, second, are other statutory agencies (in particular section 117 Health &amp;</w:t>
      </w:r>
      <w:r>
        <w:t xml:space="preserve"> </w:t>
      </w:r>
      <w:r w:rsidRPr="00D2388E">
        <w:t>Social Service Authorities) bound by a decision to discharge so that they act unlawfully if they fail to</w:t>
      </w:r>
      <w:r>
        <w:t xml:space="preserve"> </w:t>
      </w:r>
      <w:r w:rsidRPr="00D2388E">
        <w:t>provide the services necessary to implement a patient’s discharge</w:t>
      </w:r>
      <w:r>
        <w:rPr>
          <w:rStyle w:val="FootnoteReference"/>
        </w:rPr>
        <w:footnoteReference w:id="16"/>
      </w:r>
      <w:r w:rsidRPr="00D2388E">
        <w:t>. The House of Lords has now</w:t>
      </w:r>
      <w:r>
        <w:t xml:space="preserve"> </w:t>
      </w:r>
      <w:r w:rsidRPr="00D2388E">
        <w:t>confirmed that the answers to each, in turn, are (a) yes, if there has been a relevant change in</w:t>
      </w:r>
      <w:r>
        <w:t xml:space="preserve"> </w:t>
      </w:r>
      <w:r w:rsidRPr="00D2388E">
        <w:t>circumstances</w:t>
      </w:r>
      <w:r>
        <w:rPr>
          <w:rStyle w:val="FootnoteReference"/>
        </w:rPr>
        <w:footnoteReference w:id="17"/>
      </w:r>
      <w:r w:rsidRPr="00D2388E">
        <w:t>; and (b) no, there is no positive duty under the Convention to provide accommodation</w:t>
      </w:r>
      <w:r>
        <w:t xml:space="preserve"> </w:t>
      </w:r>
      <w:r w:rsidRPr="00D2388E">
        <w:t>or treatment that will enable a detained patient to be discharged into the community</w:t>
      </w:r>
      <w:r>
        <w:rPr>
          <w:rStyle w:val="FootnoteReference"/>
        </w:rPr>
        <w:footnoteReference w:id="18"/>
      </w:r>
      <w:r w:rsidRPr="00D2388E">
        <w:t>.</w:t>
      </w:r>
    </w:p>
    <w:p w:rsidR="00D2388E" w:rsidRPr="00D2388E" w:rsidRDefault="00D2388E" w:rsidP="00D2388E">
      <w:r w:rsidRPr="00D2388E">
        <w:t xml:space="preserve">The Tribunal remains powerless to order a restricted patient to be </w:t>
      </w:r>
      <w:r w:rsidRPr="00D2388E">
        <w:rPr>
          <w:i/>
          <w:iCs/>
        </w:rPr>
        <w:t xml:space="preserve">transferred </w:t>
      </w:r>
      <w:r w:rsidRPr="00D2388E">
        <w:t>from one hospital to</w:t>
      </w:r>
      <w:r>
        <w:t xml:space="preserve"> </w:t>
      </w:r>
      <w:r w:rsidRPr="00D2388E">
        <w:t>another, either as a necessary precursor to discharge</w:t>
      </w:r>
      <w:r>
        <w:rPr>
          <w:rStyle w:val="FootnoteReference"/>
        </w:rPr>
        <w:footnoteReference w:id="19"/>
      </w:r>
      <w:r w:rsidRPr="00D2388E">
        <w:t xml:space="preserve"> or to ensure the patient is close to his</w:t>
      </w:r>
      <w:r>
        <w:t xml:space="preserve"> </w:t>
      </w:r>
      <w:r w:rsidRPr="00D2388E">
        <w:t>family</w:t>
      </w:r>
      <w:r>
        <w:rPr>
          <w:rStyle w:val="FootnoteReference"/>
        </w:rPr>
        <w:footnoteReference w:id="20"/>
      </w:r>
      <w:r w:rsidRPr="00D2388E">
        <w:t>.</w:t>
      </w:r>
    </w:p>
    <w:p w:rsidR="00D2388E" w:rsidRPr="00D2388E" w:rsidRDefault="00D2388E" w:rsidP="00D2388E">
      <w:r w:rsidRPr="00D2388E">
        <w:t xml:space="preserve">Both the Privy Council in the Scottish case of </w:t>
      </w:r>
      <w:r w:rsidRPr="00D2388E">
        <w:rPr>
          <w:i/>
          <w:iCs/>
        </w:rPr>
        <w:t>Anderson, Doherty &amp; Reid v Scottish Ministers</w:t>
      </w:r>
      <w:r>
        <w:rPr>
          <w:rStyle w:val="FootnoteReference"/>
          <w:i/>
          <w:iCs/>
        </w:rPr>
        <w:footnoteReference w:id="21"/>
      </w:r>
      <w:r w:rsidRPr="00D2388E">
        <w:t>, and</w:t>
      </w:r>
      <w:r>
        <w:t xml:space="preserve"> </w:t>
      </w:r>
      <w:r w:rsidRPr="00D2388E">
        <w:t xml:space="preserve">the ECHR in </w:t>
      </w:r>
      <w:r w:rsidRPr="00D2388E">
        <w:rPr>
          <w:i/>
          <w:iCs/>
        </w:rPr>
        <w:t>Hutchison Reid v UK</w:t>
      </w:r>
      <w:r>
        <w:rPr>
          <w:rStyle w:val="FootnoteReference"/>
          <w:i/>
          <w:iCs/>
        </w:rPr>
        <w:footnoteReference w:id="22"/>
      </w:r>
      <w:r w:rsidRPr="00D2388E">
        <w:t>, have confirmed that it is not a violation of Article 5 to detain</w:t>
      </w:r>
      <w:r>
        <w:t xml:space="preserve"> </w:t>
      </w:r>
      <w:r w:rsidRPr="00D2388E">
        <w:t>a mentally disordered individual on the grounds of dangerousness, even if they are considered to</w:t>
      </w:r>
      <w:r>
        <w:t xml:space="preserve"> </w:t>
      </w:r>
      <w:r w:rsidRPr="00D2388E">
        <w:t>be ‘untreatable’. A person may be detained under Article 5(1</w:t>
      </w:r>
      <w:proofErr w:type="gramStart"/>
      <w:r w:rsidRPr="00D2388E">
        <w:t>)(</w:t>
      </w:r>
      <w:proofErr w:type="gramEnd"/>
      <w:r w:rsidRPr="00D2388E">
        <w:t>e) where they suffer from a</w:t>
      </w:r>
      <w:r>
        <w:t xml:space="preserve"> </w:t>
      </w:r>
      <w:r w:rsidRPr="00D2388E">
        <w:t>qualifying mental disorder even if there is no treatment available for that disorder:</w:t>
      </w:r>
    </w:p>
    <w:p w:rsidR="00D2388E" w:rsidRPr="00D2388E" w:rsidRDefault="00D2388E" w:rsidP="00D2388E">
      <w:pPr>
        <w:ind w:left="567" w:right="521"/>
        <w:rPr>
          <w:i/>
          <w:iCs/>
        </w:rPr>
      </w:pPr>
      <w:r w:rsidRPr="00D2388E">
        <w:rPr>
          <w:i/>
          <w:iCs/>
        </w:rPr>
        <w:t>‘Such confinement may be necessary not only where a person needs therapy, medication or other clinical</w:t>
      </w:r>
      <w:r>
        <w:rPr>
          <w:i/>
          <w:iCs/>
        </w:rPr>
        <w:t xml:space="preserve"> </w:t>
      </w:r>
      <w:r w:rsidRPr="00D2388E">
        <w:rPr>
          <w:i/>
          <w:iCs/>
        </w:rPr>
        <w:t>treatment to cure or alleviate his condition, but also where the person needs control and supervision to</w:t>
      </w:r>
      <w:r>
        <w:rPr>
          <w:i/>
          <w:iCs/>
        </w:rPr>
        <w:t xml:space="preserve"> </w:t>
      </w:r>
      <w:r w:rsidRPr="00D2388E">
        <w:rPr>
          <w:i/>
          <w:iCs/>
        </w:rPr>
        <w:t>prevent him, for example, causing harm to himself or other persons (Hutchison Reid v United Kingdom,</w:t>
      </w:r>
      <w:r>
        <w:rPr>
          <w:i/>
          <w:iCs/>
        </w:rPr>
        <w:t xml:space="preserve"> </w:t>
      </w:r>
      <w:r w:rsidRPr="00D2388E">
        <w:rPr>
          <w:i/>
          <w:iCs/>
        </w:rPr>
        <w:t xml:space="preserve">ibid, §51; </w:t>
      </w:r>
      <w:proofErr w:type="spellStart"/>
      <w:r w:rsidRPr="00D2388E">
        <w:rPr>
          <w:i/>
          <w:iCs/>
        </w:rPr>
        <w:t>Witold</w:t>
      </w:r>
      <w:proofErr w:type="spellEnd"/>
      <w:r w:rsidRPr="00D2388E">
        <w:rPr>
          <w:i/>
          <w:iCs/>
        </w:rPr>
        <w:t xml:space="preserve"> </w:t>
      </w:r>
      <w:proofErr w:type="spellStart"/>
      <w:r w:rsidRPr="00D2388E">
        <w:rPr>
          <w:i/>
          <w:iCs/>
        </w:rPr>
        <w:t>Litwa</w:t>
      </w:r>
      <w:proofErr w:type="spellEnd"/>
      <w:r w:rsidRPr="00D2388E">
        <w:rPr>
          <w:i/>
          <w:iCs/>
        </w:rPr>
        <w:t xml:space="preserve"> v. Poland, (2000) 33 EHRR 53, § 60).</w:t>
      </w:r>
    </w:p>
    <w:p w:rsidR="00D2388E" w:rsidRPr="00D2388E" w:rsidRDefault="00D2388E" w:rsidP="00D2388E">
      <w:r w:rsidRPr="00D2388E">
        <w:t>It is likely, then, that the proposals in the Mental Health Bill 2002 for removing the ‘treatability’</w:t>
      </w:r>
      <w:r>
        <w:t xml:space="preserve"> </w:t>
      </w:r>
      <w:r w:rsidRPr="00D2388E">
        <w:t>requirement for psychopathic patients will survive the HRA.</w:t>
      </w:r>
    </w:p>
    <w:p w:rsidR="007351A9" w:rsidRDefault="00D2388E" w:rsidP="00D2388E">
      <w:r w:rsidRPr="00D2388E">
        <w:t xml:space="preserve">Although a case preceding the coming into force of the HRA, the </w:t>
      </w:r>
      <w:proofErr w:type="spellStart"/>
      <w:r w:rsidRPr="00D2388E">
        <w:rPr>
          <w:i/>
          <w:iCs/>
        </w:rPr>
        <w:t>Bournewood</w:t>
      </w:r>
      <w:proofErr w:type="spellEnd"/>
      <w:r w:rsidRPr="00D2388E">
        <w:rPr>
          <w:i/>
          <w:iCs/>
        </w:rPr>
        <w:t xml:space="preserve"> </w:t>
      </w:r>
      <w:r w:rsidRPr="00D2388E">
        <w:t>case nevertheless</w:t>
      </w:r>
      <w:r>
        <w:t xml:space="preserve"> </w:t>
      </w:r>
      <w:r w:rsidRPr="00D2388E">
        <w:t>represents a failure by the Courts through the existing law to safeguard vulnerable mentally</w:t>
      </w:r>
      <w:r>
        <w:t xml:space="preserve"> </w:t>
      </w:r>
      <w:r w:rsidRPr="00D2388E">
        <w:t xml:space="preserve">disabled patients. In </w:t>
      </w:r>
      <w:r w:rsidRPr="00D2388E">
        <w:rPr>
          <w:i/>
          <w:iCs/>
        </w:rPr>
        <w:t xml:space="preserve">R (L) v </w:t>
      </w:r>
      <w:proofErr w:type="spellStart"/>
      <w:r w:rsidRPr="00D2388E">
        <w:rPr>
          <w:i/>
          <w:iCs/>
        </w:rPr>
        <w:t>Bournewood</w:t>
      </w:r>
      <w:proofErr w:type="spellEnd"/>
      <w:r w:rsidRPr="00D2388E">
        <w:rPr>
          <w:i/>
          <w:iCs/>
        </w:rPr>
        <w:t xml:space="preserve"> Community Mental Health NHS Trust</w:t>
      </w:r>
      <w:r>
        <w:rPr>
          <w:rStyle w:val="FootnoteReference"/>
          <w:i/>
          <w:iCs/>
        </w:rPr>
        <w:footnoteReference w:id="23"/>
      </w:r>
      <w:r w:rsidRPr="00D2388E">
        <w:t>, the House of Lords</w:t>
      </w:r>
      <w:r>
        <w:t xml:space="preserve"> </w:t>
      </w:r>
      <w:r w:rsidRPr="00D2388E">
        <w:t>overturned the Court of Appeal in finding that so-called ‘</w:t>
      </w:r>
      <w:proofErr w:type="spellStart"/>
      <w:r w:rsidRPr="00D2388E">
        <w:t>Bournewood</w:t>
      </w:r>
      <w:proofErr w:type="spellEnd"/>
      <w:r w:rsidRPr="00D2388E">
        <w:t xml:space="preserve"> patients’, i.e. who lack</w:t>
      </w:r>
      <w:r>
        <w:t xml:space="preserve"> </w:t>
      </w:r>
      <w:r w:rsidRPr="00D2388E">
        <w:t>capacity but do not object to their detention or treatment, do not need to be formally detained</w:t>
      </w:r>
      <w:r>
        <w:t xml:space="preserve"> </w:t>
      </w:r>
      <w:r w:rsidRPr="00D2388E">
        <w:t>under the MHA, notwithstanding that they are therefore left with inadequate legal protections.</w:t>
      </w:r>
      <w:r>
        <w:t xml:space="preserve"> </w:t>
      </w:r>
      <w:r w:rsidRPr="00D2388E">
        <w:t xml:space="preserve">In </w:t>
      </w:r>
      <w:r w:rsidRPr="00D2388E">
        <w:lastRenderedPageBreak/>
        <w:t>May 2003 the ECHR conducted a final hearing of the case bought on behalf of Mr. L under</w:t>
      </w:r>
      <w:r>
        <w:t xml:space="preserve"> </w:t>
      </w:r>
      <w:r w:rsidRPr="00D2388E">
        <w:t>Article 5, and judgment is awaited.</w:t>
      </w:r>
    </w:p>
    <w:p w:rsidR="00CB3B57" w:rsidRDefault="00CB3B57" w:rsidP="00D2388E"/>
    <w:p w:rsidR="00CB3B57" w:rsidRPr="00CB3B57" w:rsidRDefault="00CB3B57" w:rsidP="00CB3B57">
      <w:pPr>
        <w:rPr>
          <w:b/>
          <w:bCs/>
        </w:rPr>
      </w:pPr>
      <w:r w:rsidRPr="00CB3B57">
        <w:rPr>
          <w:b/>
          <w:bCs/>
        </w:rPr>
        <w:t>Treatment</w:t>
      </w:r>
    </w:p>
    <w:p w:rsidR="00CB3B57" w:rsidRPr="00CB3B57" w:rsidRDefault="00CB3B57" w:rsidP="00CB3B57">
      <w:r w:rsidRPr="00CB3B57">
        <w:t xml:space="preserve">As to compulsory treatment, there have been a number of significant cases. In </w:t>
      </w:r>
      <w:r w:rsidRPr="00CB3B57">
        <w:rPr>
          <w:i/>
          <w:iCs/>
        </w:rPr>
        <w:t>R (Wilkinson) v</w:t>
      </w:r>
      <w:r>
        <w:rPr>
          <w:i/>
          <w:iCs/>
        </w:rPr>
        <w:t xml:space="preserve"> </w:t>
      </w:r>
      <w:r w:rsidRPr="00CB3B57">
        <w:rPr>
          <w:i/>
          <w:iCs/>
        </w:rPr>
        <w:t>Broadmoor</w:t>
      </w:r>
      <w:r w:rsidR="00E952A3">
        <w:rPr>
          <w:rStyle w:val="FootnoteReference"/>
          <w:i/>
          <w:iCs/>
        </w:rPr>
        <w:footnoteReference w:id="24"/>
      </w:r>
      <w:r w:rsidRPr="00CB3B57">
        <w:t xml:space="preserve"> the Court of Appeal accepted that a combination of Articles 2, 3, 6 &amp; 8 entitled a</w:t>
      </w:r>
      <w:r>
        <w:t xml:space="preserve"> </w:t>
      </w:r>
      <w:r w:rsidRPr="00CB3B57">
        <w:t xml:space="preserve">patient to a determination by a court of the lawfulness of compulsory treatment </w:t>
      </w:r>
      <w:r w:rsidRPr="00CB3B57">
        <w:rPr>
          <w:i/>
          <w:iCs/>
        </w:rPr>
        <w:t xml:space="preserve">in advance </w:t>
      </w:r>
      <w:r w:rsidRPr="00CB3B57">
        <w:t>of the</w:t>
      </w:r>
      <w:r>
        <w:t xml:space="preserve"> </w:t>
      </w:r>
      <w:r w:rsidRPr="00CB3B57">
        <w:t>treatment being given. Moreover, because domestic law created no statutory right to such a</w:t>
      </w:r>
      <w:r>
        <w:t xml:space="preserve"> </w:t>
      </w:r>
      <w:r w:rsidRPr="00CB3B57">
        <w:t>hearing, the Administrative Court on judicial review was required to reach its own views on the</w:t>
      </w:r>
      <w:r>
        <w:t xml:space="preserve"> </w:t>
      </w:r>
      <w:r w:rsidRPr="00CB3B57">
        <w:rPr>
          <w:i/>
          <w:iCs/>
        </w:rPr>
        <w:t>merits</w:t>
      </w:r>
      <w:r w:rsidRPr="00CB3B57">
        <w:t>, where the treating doctor was required to prove to a high standard that the treatment was</w:t>
      </w:r>
      <w:r>
        <w:t xml:space="preserve"> </w:t>
      </w:r>
      <w:r w:rsidRPr="00CB3B57">
        <w:t>medically necessary. In doing so, it would be necessary for the Court to hear live evidence with</w:t>
      </w:r>
      <w:r>
        <w:t xml:space="preserve"> </w:t>
      </w:r>
      <w:r w:rsidRPr="00CB3B57">
        <w:t>cross-examination.</w:t>
      </w:r>
    </w:p>
    <w:p w:rsidR="00CB3B57" w:rsidRPr="00CB3B57" w:rsidRDefault="00CB3B57" w:rsidP="00CB3B57">
      <w:r w:rsidRPr="00CB3B57">
        <w:rPr>
          <w:i/>
          <w:iCs/>
        </w:rPr>
        <w:t xml:space="preserve">Wilkinson </w:t>
      </w:r>
      <w:r w:rsidRPr="00CB3B57">
        <w:t xml:space="preserve">was followed by the case of </w:t>
      </w:r>
      <w:r w:rsidRPr="00CB3B57">
        <w:rPr>
          <w:i/>
          <w:iCs/>
        </w:rPr>
        <w:t>R (</w:t>
      </w:r>
      <w:proofErr w:type="spellStart"/>
      <w:r w:rsidRPr="00CB3B57">
        <w:rPr>
          <w:i/>
          <w:iCs/>
        </w:rPr>
        <w:t>Wooder</w:t>
      </w:r>
      <w:proofErr w:type="spellEnd"/>
      <w:r w:rsidRPr="00CB3B57">
        <w:rPr>
          <w:i/>
          <w:iCs/>
        </w:rPr>
        <w:t xml:space="preserve">) v </w:t>
      </w:r>
      <w:proofErr w:type="spellStart"/>
      <w:r w:rsidRPr="00CB3B57">
        <w:rPr>
          <w:i/>
          <w:iCs/>
        </w:rPr>
        <w:t>Dr.</w:t>
      </w:r>
      <w:proofErr w:type="spellEnd"/>
      <w:r w:rsidRPr="00CB3B57">
        <w:rPr>
          <w:i/>
          <w:iCs/>
        </w:rPr>
        <w:t xml:space="preserve"> </w:t>
      </w:r>
      <w:proofErr w:type="spellStart"/>
      <w:r w:rsidRPr="00CB3B57">
        <w:rPr>
          <w:i/>
          <w:iCs/>
        </w:rPr>
        <w:t>Feggetter</w:t>
      </w:r>
      <w:proofErr w:type="spellEnd"/>
      <w:r w:rsidR="00E952A3">
        <w:rPr>
          <w:rStyle w:val="FootnoteReference"/>
          <w:i/>
          <w:iCs/>
        </w:rPr>
        <w:footnoteReference w:id="25"/>
      </w:r>
      <w:r w:rsidRPr="00CB3B57">
        <w:t>, in which the Court of Appeal</w:t>
      </w:r>
      <w:r w:rsidR="00E952A3">
        <w:t xml:space="preserve"> </w:t>
      </w:r>
      <w:r w:rsidRPr="00CB3B57">
        <w:t>ruled that, given the fundamental rights engaged by a decision to compulsorily treat an individual</w:t>
      </w:r>
      <w:r w:rsidR="00E952A3">
        <w:t xml:space="preserve"> </w:t>
      </w:r>
      <w:r w:rsidRPr="00CB3B57">
        <w:t>(notably Articles 3 &amp; 8), a SOAD is required to give reasons for his decision for endorsing an</w:t>
      </w:r>
      <w:r w:rsidR="00E952A3">
        <w:t xml:space="preserve"> </w:t>
      </w:r>
      <w:r w:rsidRPr="00CB3B57">
        <w:t>RMO’s treatment plan under section 58.</w:t>
      </w:r>
    </w:p>
    <w:p w:rsidR="00CB3B57" w:rsidRPr="00CB3B57" w:rsidRDefault="00CB3B57" w:rsidP="00CB3B57">
      <w:r w:rsidRPr="00CB3B57">
        <w:t xml:space="preserve">A subsequent decision of the CA, </w:t>
      </w:r>
      <w:r w:rsidRPr="00CB3B57">
        <w:rPr>
          <w:i/>
          <w:iCs/>
        </w:rPr>
        <w:t>N v DR M</w:t>
      </w:r>
      <w:r w:rsidRPr="00CB3B57">
        <w:t>, has watered down the impact of those judgments,</w:t>
      </w:r>
      <w:r w:rsidR="00E952A3">
        <w:t xml:space="preserve"> </w:t>
      </w:r>
      <w:r w:rsidRPr="00CB3B57">
        <w:t xml:space="preserve">particularly </w:t>
      </w:r>
      <w:r w:rsidRPr="00CB3B57">
        <w:rPr>
          <w:i/>
          <w:iCs/>
        </w:rPr>
        <w:t>Wilkinson</w:t>
      </w:r>
      <w:r w:rsidRPr="00CB3B57">
        <w:t>, by expressing the view that it will rarely, if ever, be necessary to hear live</w:t>
      </w:r>
      <w:r w:rsidR="00E952A3">
        <w:t xml:space="preserve"> </w:t>
      </w:r>
      <w:r w:rsidRPr="00CB3B57">
        <w:t>evidence on a challenge to a treatment decision, and that such a right cannot be derived from</w:t>
      </w:r>
      <w:r w:rsidR="00E952A3">
        <w:t xml:space="preserve"> </w:t>
      </w:r>
      <w:r w:rsidRPr="00CB3B57">
        <w:t>Article 6 ECHR. However, the Court did emphasise the high standard of proof required to</w:t>
      </w:r>
      <w:r w:rsidR="00E952A3">
        <w:t xml:space="preserve"> </w:t>
      </w:r>
      <w:r w:rsidRPr="00CB3B57">
        <w:t>demonstrate medical necessity.</w:t>
      </w:r>
    </w:p>
    <w:p w:rsidR="00CB3B57" w:rsidRPr="00CB3B57" w:rsidRDefault="00CB3B57" w:rsidP="00CB3B57">
      <w:r w:rsidRPr="00CB3B57">
        <w:t xml:space="preserve">Most recently the Court of Appeal in </w:t>
      </w:r>
      <w:r w:rsidRPr="00CB3B57">
        <w:rPr>
          <w:i/>
          <w:iCs/>
        </w:rPr>
        <w:t>R (B) v Ashworth HA</w:t>
      </w:r>
      <w:r w:rsidR="00E952A3">
        <w:rPr>
          <w:rStyle w:val="FootnoteReference"/>
          <w:i/>
          <w:iCs/>
        </w:rPr>
        <w:footnoteReference w:id="26"/>
      </w:r>
      <w:r w:rsidRPr="00CB3B57">
        <w:t>, in a perhaps surprising decision, held</w:t>
      </w:r>
      <w:r w:rsidR="00E952A3">
        <w:t xml:space="preserve"> </w:t>
      </w:r>
      <w:r w:rsidRPr="00CB3B57">
        <w:t>that a patient may only be compulsorily treated under the MHA Part IV in respect of the mental</w:t>
      </w:r>
      <w:r w:rsidR="00E952A3">
        <w:t xml:space="preserve"> </w:t>
      </w:r>
      <w:r w:rsidRPr="00CB3B57">
        <w:t>disorder from which he is classified as suffering. Although not explicitly reasoned as a human</w:t>
      </w:r>
      <w:r w:rsidR="00E952A3">
        <w:t xml:space="preserve"> </w:t>
      </w:r>
      <w:r w:rsidRPr="00CB3B57">
        <w:t>rights decision, the case imposes some limitations upon the circumstances in which treatment may</w:t>
      </w:r>
      <w:r w:rsidR="00E952A3">
        <w:t xml:space="preserve"> </w:t>
      </w:r>
      <w:r w:rsidRPr="00CB3B57">
        <w:t>be imposed without consent (although it is not clear, in practice, how significant those limitations</w:t>
      </w:r>
      <w:r w:rsidR="00E952A3">
        <w:t xml:space="preserve"> </w:t>
      </w:r>
      <w:r w:rsidRPr="00CB3B57">
        <w:t>will prove to be, given that the Court of Appeal confirmed that where necessary the common law</w:t>
      </w:r>
      <w:r w:rsidR="00E952A3">
        <w:t xml:space="preserve"> </w:t>
      </w:r>
      <w:r w:rsidRPr="00CB3B57">
        <w:t>could be invoked to provide treatment for disorders that the patient was not classified as suffering</w:t>
      </w:r>
      <w:r w:rsidR="00E952A3">
        <w:t xml:space="preserve"> </w:t>
      </w:r>
      <w:r w:rsidRPr="00CB3B57">
        <w:t>from). Nevertheless, it is likely that in respect of many patients, particularly those in Special</w:t>
      </w:r>
      <w:r w:rsidR="00E952A3">
        <w:t xml:space="preserve"> </w:t>
      </w:r>
      <w:r w:rsidRPr="00CB3B57">
        <w:t>Hospitals, there will be an increase in applications to reclassify brought by the hospital before</w:t>
      </w:r>
      <w:r w:rsidR="00E952A3">
        <w:t xml:space="preserve"> </w:t>
      </w:r>
      <w:r w:rsidRPr="00CB3B57">
        <w:t>Tribunals. The House of Lords has recently given leave to Ashworth HA to appeal this judgement.</w:t>
      </w:r>
    </w:p>
    <w:p w:rsidR="00CB3B57" w:rsidRDefault="00CB3B57" w:rsidP="00CB3B57">
      <w:r w:rsidRPr="00CB3B57">
        <w:t xml:space="preserve">I have only mentioned those aspects of the case law that have </w:t>
      </w:r>
      <w:proofErr w:type="spellStart"/>
      <w:r w:rsidRPr="00CB3B57">
        <w:t>lead</w:t>
      </w:r>
      <w:proofErr w:type="spellEnd"/>
      <w:r w:rsidRPr="00CB3B57">
        <w:t xml:space="preserve"> to an increase in </w:t>
      </w:r>
      <w:r w:rsidRPr="00CB3B57">
        <w:rPr>
          <w:i/>
          <w:iCs/>
        </w:rPr>
        <w:t>procedural</w:t>
      </w:r>
      <w:r w:rsidR="00E952A3">
        <w:rPr>
          <w:i/>
          <w:iCs/>
        </w:rPr>
        <w:t xml:space="preserve"> </w:t>
      </w:r>
      <w:r w:rsidRPr="00CB3B57">
        <w:t>protection against arbitrary or mistaken treatment. Of potentially greater significance is the</w:t>
      </w:r>
      <w:r w:rsidR="00E952A3">
        <w:t xml:space="preserve"> </w:t>
      </w:r>
      <w:r w:rsidRPr="00CB3B57">
        <w:t xml:space="preserve">proposition, advanced in </w:t>
      </w:r>
      <w:r w:rsidRPr="00CB3B57">
        <w:rPr>
          <w:i/>
          <w:iCs/>
        </w:rPr>
        <w:t>Wilkinson</w:t>
      </w:r>
      <w:r w:rsidRPr="00CB3B57">
        <w:t>, and accepted (in part) by one of the judges (Simon Brown LJ),</w:t>
      </w:r>
      <w:r w:rsidR="00E952A3">
        <w:t xml:space="preserve"> </w:t>
      </w:r>
      <w:r w:rsidRPr="00CB3B57">
        <w:t xml:space="preserve">that a detained patient who retains </w:t>
      </w:r>
      <w:r w:rsidRPr="00CB3B57">
        <w:rPr>
          <w:i/>
          <w:iCs/>
        </w:rPr>
        <w:t xml:space="preserve">capacity </w:t>
      </w:r>
      <w:r w:rsidRPr="00CB3B57">
        <w:t>to refuse treatment should remain entitled to refuse</w:t>
      </w:r>
      <w:r w:rsidR="00E952A3">
        <w:t xml:space="preserve"> </w:t>
      </w:r>
      <w:r w:rsidRPr="00CB3B57">
        <w:t>treatment even if he is detained under the MHA, as the right of autonomy of self-determination</w:t>
      </w:r>
      <w:r w:rsidR="00E952A3">
        <w:t xml:space="preserve"> </w:t>
      </w:r>
      <w:r w:rsidRPr="00CB3B57">
        <w:t>is one protected by Articles 3, or 8, or 6. This right of autonomy or self-determination has since</w:t>
      </w:r>
      <w:r w:rsidR="00E952A3">
        <w:t xml:space="preserve"> </w:t>
      </w:r>
      <w:r w:rsidRPr="00CB3B57">
        <w:t xml:space="preserve">been </w:t>
      </w:r>
      <w:r w:rsidRPr="00CB3B57">
        <w:lastRenderedPageBreak/>
        <w:t xml:space="preserve">explicitly recognized as a component of Article 8 by the ECHR in </w:t>
      </w:r>
      <w:r w:rsidRPr="00CB3B57">
        <w:rPr>
          <w:i/>
          <w:iCs/>
        </w:rPr>
        <w:t>Pretty v UK</w:t>
      </w:r>
      <w:r w:rsidR="00E952A3">
        <w:rPr>
          <w:rStyle w:val="FootnoteReference"/>
          <w:i/>
          <w:iCs/>
        </w:rPr>
        <w:footnoteReference w:id="27"/>
      </w:r>
      <w:r w:rsidRPr="00CB3B57">
        <w:t>, albeit in a</w:t>
      </w:r>
      <w:r w:rsidR="00E952A3">
        <w:t xml:space="preserve"> </w:t>
      </w:r>
      <w:r w:rsidRPr="00CB3B57">
        <w:t>slightly different context, and is likely to form the basis of future challenges to compulsory</w:t>
      </w:r>
      <w:r w:rsidR="00E952A3">
        <w:t xml:space="preserve"> </w:t>
      </w:r>
      <w:r w:rsidRPr="00CB3B57">
        <w:t>treatment and detention of patients who, despite the existence of a mental disorder, retain the</w:t>
      </w:r>
      <w:r w:rsidR="00E952A3">
        <w:t xml:space="preserve"> </w:t>
      </w:r>
      <w:r w:rsidRPr="00CB3B57">
        <w:t>capacity to make decisions about their future and who would rather suffer the effects of their</w:t>
      </w:r>
      <w:r w:rsidR="00E952A3">
        <w:t xml:space="preserve"> </w:t>
      </w:r>
      <w:r w:rsidRPr="00CB3B57">
        <w:t>illness than the effects of their treatment.</w:t>
      </w:r>
    </w:p>
    <w:p w:rsidR="00884291" w:rsidRPr="00884291" w:rsidRDefault="00884291" w:rsidP="00884291">
      <w:r w:rsidRPr="00884291">
        <w:t>It is difficult to predict which way the Courts will go on this issue. A recent decision of the Scottish</w:t>
      </w:r>
      <w:r>
        <w:t xml:space="preserve"> </w:t>
      </w:r>
      <w:r w:rsidRPr="00884291">
        <w:t xml:space="preserve">Court of Session, </w:t>
      </w:r>
      <w:r w:rsidRPr="00884291">
        <w:rPr>
          <w:i/>
          <w:iCs/>
        </w:rPr>
        <w:t>Petition of WM for Judicial Review</w:t>
      </w:r>
      <w:r w:rsidRPr="00884291">
        <w:t>, Court of Session, 11 July 2002, rejected the</w:t>
      </w:r>
      <w:r>
        <w:t xml:space="preserve"> </w:t>
      </w:r>
      <w:r w:rsidRPr="00884291">
        <w:t xml:space="preserve">argument; on the other hand, in </w:t>
      </w:r>
      <w:proofErr w:type="spellStart"/>
      <w:r w:rsidRPr="00884291">
        <w:rPr>
          <w:i/>
          <w:iCs/>
        </w:rPr>
        <w:t>Starson</w:t>
      </w:r>
      <w:proofErr w:type="spellEnd"/>
      <w:r w:rsidRPr="00884291">
        <w:rPr>
          <w:i/>
          <w:iCs/>
        </w:rPr>
        <w:t xml:space="preserve"> v Swayze</w:t>
      </w:r>
      <w:r>
        <w:rPr>
          <w:rStyle w:val="FootnoteReference"/>
          <w:i/>
          <w:iCs/>
        </w:rPr>
        <w:footnoteReference w:id="28"/>
      </w:r>
      <w:r w:rsidRPr="00884291">
        <w:t>, the Ontario Court of Appeal affirmed the right</w:t>
      </w:r>
      <w:r>
        <w:t xml:space="preserve"> </w:t>
      </w:r>
      <w:r w:rsidRPr="00884291">
        <w:t>of the competent individual to refuse treatment, which was upheld on appeal to the Canadian</w:t>
      </w:r>
      <w:r>
        <w:t xml:space="preserve"> </w:t>
      </w:r>
      <w:r w:rsidRPr="00884291">
        <w:t>Supreme Court. In the United States the Supreme Court has never directly addressed the issue,</w:t>
      </w:r>
      <w:r>
        <w:t xml:space="preserve"> </w:t>
      </w:r>
      <w:r w:rsidRPr="00884291">
        <w:t>but relevant decisions of the federal courts (including the Supreme Court) have tended to adopt a</w:t>
      </w:r>
      <w:r>
        <w:t xml:space="preserve"> </w:t>
      </w:r>
      <w:r w:rsidRPr="00884291">
        <w:t>conservative, treatment-driven approach, although state courts have been more proactive in</w:t>
      </w:r>
      <w:r>
        <w:t xml:space="preserve"> </w:t>
      </w:r>
      <w:r w:rsidRPr="00884291">
        <w:t>protecting the rights of the competent to refuse treatment</w:t>
      </w:r>
      <w:r>
        <w:rPr>
          <w:rStyle w:val="FootnoteReference"/>
        </w:rPr>
        <w:footnoteReference w:id="29"/>
      </w:r>
      <w:r w:rsidRPr="00884291">
        <w:t>. The issue is squarely raised in an</w:t>
      </w:r>
      <w:r>
        <w:t xml:space="preserve"> </w:t>
      </w:r>
      <w:r w:rsidRPr="00884291">
        <w:t xml:space="preserve">application brought by Mr. Wilkinson to the European Court of Human Rights, </w:t>
      </w:r>
      <w:r w:rsidRPr="00884291">
        <w:rPr>
          <w:i/>
          <w:iCs/>
        </w:rPr>
        <w:t>Wilkinson v United</w:t>
      </w:r>
      <w:r>
        <w:rPr>
          <w:i/>
          <w:iCs/>
        </w:rPr>
        <w:t xml:space="preserve"> </w:t>
      </w:r>
      <w:r w:rsidRPr="00884291">
        <w:rPr>
          <w:i/>
          <w:iCs/>
        </w:rPr>
        <w:t>Kingdom</w:t>
      </w:r>
      <w:r w:rsidRPr="00884291">
        <w:t>, but the case has yet to reach the admissibility stage.</w:t>
      </w:r>
    </w:p>
    <w:p w:rsidR="00884291" w:rsidRDefault="00884291" w:rsidP="00884291">
      <w:r w:rsidRPr="00884291">
        <w:t>The failure to provide suitable treatment to those suffering from mental disorder is also capable of</w:t>
      </w:r>
      <w:r>
        <w:t xml:space="preserve"> </w:t>
      </w:r>
      <w:r w:rsidRPr="00884291">
        <w:t>giving rise to violations of Convention rights. Complex issues are raised by the transfer between</w:t>
      </w:r>
      <w:r>
        <w:t xml:space="preserve"> </w:t>
      </w:r>
      <w:r w:rsidRPr="00884291">
        <w:t>prison and hospital of convicted prisoners who are suffering from mental illness. A recent</w:t>
      </w:r>
      <w:r>
        <w:t xml:space="preserve"> </w:t>
      </w:r>
      <w:r w:rsidRPr="00884291">
        <w:t>challenge was brought by a transferred life sentence prisoner, detained under sections 47 &amp; 49, to</w:t>
      </w:r>
      <w:r>
        <w:t xml:space="preserve"> </w:t>
      </w:r>
      <w:r w:rsidRPr="00884291">
        <w:t>his return to prison under section 50 on the grounds that he remained so mentally ill that to return</w:t>
      </w:r>
      <w:r>
        <w:t xml:space="preserve"> </w:t>
      </w:r>
      <w:r w:rsidRPr="00884291">
        <w:t>him to prison would constitute inhuman and degrading treatment, contrary to Article 3</w:t>
      </w:r>
      <w:r>
        <w:rPr>
          <w:rStyle w:val="FootnoteReference"/>
        </w:rPr>
        <w:footnoteReference w:id="30"/>
      </w:r>
      <w:r w:rsidRPr="00884291">
        <w:t>. He also</w:t>
      </w:r>
      <w:r>
        <w:t xml:space="preserve"> </w:t>
      </w:r>
      <w:r w:rsidRPr="00884291">
        <w:t>claimed that he remained of ‘unsound mind’ within the meaning of Article 5(1</w:t>
      </w:r>
      <w:proofErr w:type="gramStart"/>
      <w:r w:rsidRPr="00884291">
        <w:t>)(</w:t>
      </w:r>
      <w:proofErr w:type="gramEnd"/>
      <w:r w:rsidRPr="00884291">
        <w:t>e) and thus his</w:t>
      </w:r>
      <w:r>
        <w:t xml:space="preserve"> </w:t>
      </w:r>
      <w:r w:rsidRPr="00884291">
        <w:t>detention anywhere other than in a ‘hospital, clinic or other appropriate institution’ was unlawful.</w:t>
      </w:r>
      <w:r>
        <w:t xml:space="preserve"> </w:t>
      </w:r>
      <w:r w:rsidRPr="00884291">
        <w:t>The prisoner was diagnosed as suffering from paranoid schizophrenia which was controlled by</w:t>
      </w:r>
      <w:r>
        <w:t xml:space="preserve"> </w:t>
      </w:r>
      <w:r w:rsidRPr="00884291">
        <w:t>medication. However, on two previous occasions his condition had relapsed while in prison and an</w:t>
      </w:r>
      <w:r>
        <w:t xml:space="preserve"> </w:t>
      </w:r>
      <w:r w:rsidRPr="00884291">
        <w:t>independent psychiatrist gave evidence that it was almost inevitable that his condition would</w:t>
      </w:r>
      <w:r>
        <w:t xml:space="preserve"> </w:t>
      </w:r>
      <w:r w:rsidRPr="00884291">
        <w:t>deteriorate once again if returned to prison. The Administrative Court, while accepting in</w:t>
      </w:r>
      <w:r>
        <w:t xml:space="preserve"> </w:t>
      </w:r>
      <w:r w:rsidRPr="00884291">
        <w:t>principle that the detention of a mentally ill individual in prison might violate both Articles 3 and</w:t>
      </w:r>
      <w:r>
        <w:t xml:space="preserve"> </w:t>
      </w:r>
      <w:r w:rsidRPr="00884291">
        <w:t>5, rejected the challenge on the basis that the Secretary of State was entitled to rely upon the</w:t>
      </w:r>
      <w:r>
        <w:t xml:space="preserve"> </w:t>
      </w:r>
      <w:r w:rsidRPr="00884291">
        <w:t>patient’s doctor’s opinion that suitable treatment was available for the patient in prison. The</w:t>
      </w:r>
      <w:r>
        <w:t xml:space="preserve"> </w:t>
      </w:r>
      <w:r w:rsidRPr="00884291">
        <w:t>Court’s role was limited to one of review of that decision; it was not required to determine for</w:t>
      </w:r>
      <w:r>
        <w:t xml:space="preserve"> </w:t>
      </w:r>
      <w:r w:rsidRPr="00884291">
        <w:t>itself whether, on the facts, the patient would receive appropriate treatment while in prison.</w:t>
      </w:r>
    </w:p>
    <w:p w:rsidR="00884291" w:rsidRPr="00884291" w:rsidRDefault="00884291" w:rsidP="00884291"/>
    <w:p w:rsidR="00884291" w:rsidRPr="00884291" w:rsidRDefault="00884291" w:rsidP="00884291">
      <w:pPr>
        <w:rPr>
          <w:b/>
          <w:bCs/>
        </w:rPr>
      </w:pPr>
      <w:r w:rsidRPr="00884291">
        <w:rPr>
          <w:b/>
          <w:bCs/>
        </w:rPr>
        <w:t>Seclusion</w:t>
      </w:r>
    </w:p>
    <w:p w:rsidR="00717260" w:rsidRDefault="00884291" w:rsidP="00717260">
      <w:r w:rsidRPr="00884291">
        <w:t xml:space="preserve">As to the use of </w:t>
      </w:r>
      <w:r w:rsidRPr="00884291">
        <w:rPr>
          <w:i/>
          <w:iCs/>
        </w:rPr>
        <w:t>seclusion</w:t>
      </w:r>
      <w:r w:rsidRPr="00884291">
        <w:t>, in two cases decided in 2002 the Administrative Court reached rather</w:t>
      </w:r>
      <w:r>
        <w:t xml:space="preserve"> </w:t>
      </w:r>
      <w:r w:rsidRPr="00884291">
        <w:t>disappointing conclusions as to the effect of the Convention rights on the practice of seclusion,</w:t>
      </w:r>
      <w:r>
        <w:t xml:space="preserve"> </w:t>
      </w:r>
      <w:r w:rsidRPr="00884291">
        <w:t>finding that to seclude the patient in circumstances where the Code of Practice was not complied</w:t>
      </w:r>
      <w:r>
        <w:t xml:space="preserve"> </w:t>
      </w:r>
      <w:r w:rsidRPr="00884291">
        <w:lastRenderedPageBreak/>
        <w:t>with did not give rise to a breach of either Articles 3, 5 or 8 (</w:t>
      </w:r>
      <w:r w:rsidRPr="00884291">
        <w:rPr>
          <w:i/>
          <w:iCs/>
        </w:rPr>
        <w:t xml:space="preserve">R (Col. </w:t>
      </w:r>
      <w:proofErr w:type="spellStart"/>
      <w:r w:rsidRPr="00884291">
        <w:rPr>
          <w:i/>
          <w:iCs/>
        </w:rPr>
        <w:t>Munjaz</w:t>
      </w:r>
      <w:proofErr w:type="spellEnd"/>
      <w:r w:rsidRPr="00884291">
        <w:rPr>
          <w:i/>
          <w:iCs/>
        </w:rPr>
        <w:t>) v Ashworth HA</w:t>
      </w:r>
      <w:r>
        <w:rPr>
          <w:rStyle w:val="FootnoteReference"/>
          <w:i/>
          <w:iCs/>
        </w:rPr>
        <w:footnoteReference w:id="31"/>
      </w:r>
      <w:r w:rsidRPr="00884291">
        <w:t>;</w:t>
      </w:r>
      <w:r>
        <w:t xml:space="preserve"> </w:t>
      </w:r>
      <w:r w:rsidRPr="00884291">
        <w:rPr>
          <w:i/>
          <w:iCs/>
        </w:rPr>
        <w:t>S v Airedale NHS Trust</w:t>
      </w:r>
      <w:r>
        <w:rPr>
          <w:rStyle w:val="FootnoteReference"/>
          <w:i/>
          <w:iCs/>
        </w:rPr>
        <w:footnoteReference w:id="32"/>
      </w:r>
      <w:r w:rsidRPr="00884291">
        <w:t>). The Court of Appeal considered the cases in a conjoined appeal on 16</w:t>
      </w:r>
      <w:r w:rsidRPr="00884291">
        <w:rPr>
          <w:vertAlign w:val="superscript"/>
        </w:rPr>
        <w:t>th</w:t>
      </w:r>
      <w:r>
        <w:t xml:space="preserve"> </w:t>
      </w:r>
      <w:r w:rsidRPr="00884291">
        <w:t>July 2003 and overturned the two earlier High Court rulings</w:t>
      </w:r>
      <w:r>
        <w:rPr>
          <w:rStyle w:val="FootnoteReference"/>
        </w:rPr>
        <w:footnoteReference w:id="33"/>
      </w:r>
      <w:r w:rsidRPr="00884291">
        <w:t>. The appeal court held that seclusion</w:t>
      </w:r>
      <w:r>
        <w:t xml:space="preserve"> </w:t>
      </w:r>
      <w:r w:rsidRPr="00884291">
        <w:t>that did not comply with the Code of Practice was in breach of Articles 3 &amp; 8. The Convention</w:t>
      </w:r>
      <w:r>
        <w:t xml:space="preserve"> </w:t>
      </w:r>
      <w:r w:rsidRPr="00884291">
        <w:t>requirement of ‘legality’ was only met through adherence to the Code of Practice. The Court went</w:t>
      </w:r>
      <w:r>
        <w:t xml:space="preserve"> </w:t>
      </w:r>
      <w:r w:rsidRPr="00884291">
        <w:t>on to say that the Code should not be departed with as a matter of policy and should be observed</w:t>
      </w:r>
      <w:r w:rsidR="00717260">
        <w:t xml:space="preserve"> </w:t>
      </w:r>
      <w:r w:rsidR="00717260" w:rsidRPr="00717260">
        <w:t>by all hospitals unless they have good reason for departing from it in relation to an individual</w:t>
      </w:r>
      <w:r w:rsidR="00717260">
        <w:t xml:space="preserve"> </w:t>
      </w:r>
      <w:r w:rsidR="00717260" w:rsidRPr="00717260">
        <w:t>patient or groups of patients with well-defined characteristics. The House of Lords has recently</w:t>
      </w:r>
      <w:r w:rsidR="00717260">
        <w:t xml:space="preserve"> </w:t>
      </w:r>
      <w:r w:rsidR="00717260" w:rsidRPr="00717260">
        <w:t>granted Mersey Care NHS Trust leave to appeal.</w:t>
      </w:r>
    </w:p>
    <w:p w:rsidR="00717260" w:rsidRPr="00717260" w:rsidRDefault="00717260" w:rsidP="00717260"/>
    <w:p w:rsidR="00717260" w:rsidRPr="00717260" w:rsidRDefault="00717260" w:rsidP="00717260">
      <w:pPr>
        <w:rPr>
          <w:b/>
          <w:bCs/>
        </w:rPr>
      </w:pPr>
      <w:r w:rsidRPr="00717260">
        <w:rPr>
          <w:b/>
          <w:bCs/>
        </w:rPr>
        <w:t>Other conditions of detention</w:t>
      </w:r>
    </w:p>
    <w:p w:rsidR="00717260" w:rsidRPr="00717260" w:rsidRDefault="00717260" w:rsidP="00717260">
      <w:r w:rsidRPr="00717260">
        <w:t xml:space="preserve">As to other </w:t>
      </w:r>
      <w:r w:rsidRPr="00717260">
        <w:rPr>
          <w:i/>
          <w:iCs/>
        </w:rPr>
        <w:t>conditions of detention</w:t>
      </w:r>
      <w:r w:rsidRPr="00717260">
        <w:t>, there has yet to be a successful challenge under either Articles</w:t>
      </w:r>
      <w:r>
        <w:t xml:space="preserve"> </w:t>
      </w:r>
      <w:r w:rsidRPr="00717260">
        <w:t>3 or 8 to the conditions of detention in any of the detaining hospitals. Challenges have failed to</w:t>
      </w:r>
      <w:r>
        <w:t xml:space="preserve"> </w:t>
      </w:r>
      <w:r w:rsidRPr="00717260">
        <w:t>the policy of a Special hospital not to issue condoms (</w:t>
      </w:r>
      <w:r w:rsidRPr="00717260">
        <w:rPr>
          <w:i/>
          <w:iCs/>
        </w:rPr>
        <w:t>R (RH) v A Hospital Authority</w:t>
      </w:r>
      <w:r w:rsidRPr="00717260">
        <w:t>, 30 October</w:t>
      </w:r>
      <w:r>
        <w:t xml:space="preserve"> </w:t>
      </w:r>
      <w:r w:rsidRPr="00717260">
        <w:t>2001), a refusal to permit a patient to dress as a woman (</w:t>
      </w:r>
      <w:r w:rsidRPr="00717260">
        <w:rPr>
          <w:i/>
          <w:iCs/>
        </w:rPr>
        <w:t>E v Ashworth</w:t>
      </w:r>
      <w:r w:rsidR="0080194F">
        <w:rPr>
          <w:rStyle w:val="FootnoteReference"/>
          <w:i/>
          <w:iCs/>
        </w:rPr>
        <w:footnoteReference w:id="34"/>
      </w:r>
      <w:r w:rsidRPr="00717260">
        <w:t>), the introduction of</w:t>
      </w:r>
      <w:r>
        <w:t xml:space="preserve"> </w:t>
      </w:r>
      <w:r w:rsidRPr="00717260">
        <w:t>random telephone monitoring in special hospitals (</w:t>
      </w:r>
      <w:r w:rsidRPr="00717260">
        <w:rPr>
          <w:i/>
          <w:iCs/>
        </w:rPr>
        <w:t>R (N) v Ashworth</w:t>
      </w:r>
      <w:r w:rsidR="0080194F">
        <w:rPr>
          <w:rStyle w:val="FootnoteReference"/>
          <w:i/>
          <w:iCs/>
        </w:rPr>
        <w:footnoteReference w:id="35"/>
      </w:r>
      <w:r w:rsidRPr="00717260">
        <w:t>), and the restriction on visits</w:t>
      </w:r>
      <w:r>
        <w:t xml:space="preserve"> </w:t>
      </w:r>
      <w:r w:rsidRPr="00717260">
        <w:t>by children to patients in special hospitals (</w:t>
      </w:r>
      <w:r w:rsidRPr="00717260">
        <w:rPr>
          <w:i/>
          <w:iCs/>
        </w:rPr>
        <w:t>R (L) v Secretary of State for Health</w:t>
      </w:r>
      <w:r w:rsidR="0080194F">
        <w:rPr>
          <w:rStyle w:val="FootnoteReference"/>
          <w:i/>
          <w:iCs/>
        </w:rPr>
        <w:footnoteReference w:id="36"/>
      </w:r>
      <w:r w:rsidRPr="00717260">
        <w:t>). However, this is</w:t>
      </w:r>
      <w:r>
        <w:t xml:space="preserve"> </w:t>
      </w:r>
      <w:r w:rsidRPr="00717260">
        <w:t>an area that is likely to see an increase in challenges as litigators become more sophisticated in the</w:t>
      </w:r>
      <w:r>
        <w:t xml:space="preserve"> </w:t>
      </w:r>
      <w:r w:rsidRPr="00717260">
        <w:t>means employed to mount such challenges, so as to adduce greater evidence as to the prevailing</w:t>
      </w:r>
      <w:r>
        <w:t xml:space="preserve"> </w:t>
      </w:r>
      <w:r w:rsidRPr="00717260">
        <w:t>standards in other hospitals and in other countries, and as judges become more comfortable with</w:t>
      </w:r>
      <w:r>
        <w:t xml:space="preserve"> </w:t>
      </w:r>
      <w:r w:rsidRPr="00717260">
        <w:t>making decisions of a kind that previously fell outside their remit altogether.</w:t>
      </w:r>
    </w:p>
    <w:p w:rsidR="00717260" w:rsidRDefault="00717260" w:rsidP="00717260">
      <w:pPr>
        <w:rPr>
          <w:b/>
          <w:bCs/>
        </w:rPr>
      </w:pPr>
    </w:p>
    <w:p w:rsidR="00717260" w:rsidRPr="00717260" w:rsidRDefault="00717260" w:rsidP="00717260">
      <w:pPr>
        <w:rPr>
          <w:b/>
          <w:bCs/>
        </w:rPr>
      </w:pPr>
      <w:r w:rsidRPr="00717260">
        <w:rPr>
          <w:b/>
          <w:bCs/>
        </w:rPr>
        <w:t>Confidential information</w:t>
      </w:r>
    </w:p>
    <w:p w:rsidR="00717260" w:rsidRPr="00717260" w:rsidRDefault="00717260" w:rsidP="00717260">
      <w:r w:rsidRPr="00717260">
        <w:t xml:space="preserve">The Admin Court has recently affirmed the ECHR decision in </w:t>
      </w:r>
      <w:r w:rsidRPr="00717260">
        <w:rPr>
          <w:i/>
          <w:iCs/>
        </w:rPr>
        <w:t>JT v UK</w:t>
      </w:r>
      <w:r w:rsidR="0080194F">
        <w:rPr>
          <w:rStyle w:val="FootnoteReference"/>
          <w:i/>
          <w:iCs/>
        </w:rPr>
        <w:footnoteReference w:id="37"/>
      </w:r>
      <w:r w:rsidRPr="00717260">
        <w:t xml:space="preserve"> to the effect that the</w:t>
      </w:r>
      <w:r>
        <w:t xml:space="preserve"> </w:t>
      </w:r>
      <w:r w:rsidRPr="00717260">
        <w:t>disclosure of confidential medical information to the nearest relative, in circumstances where the</w:t>
      </w:r>
      <w:r>
        <w:t xml:space="preserve"> </w:t>
      </w:r>
      <w:r w:rsidRPr="00717260">
        <w:t>patient objects, violates Article 8 (</w:t>
      </w:r>
      <w:proofErr w:type="gramStart"/>
      <w:r w:rsidRPr="00717260">
        <w:rPr>
          <w:i/>
          <w:iCs/>
        </w:rPr>
        <w:t>R(</w:t>
      </w:r>
      <w:proofErr w:type="gramEnd"/>
      <w:r w:rsidRPr="00717260">
        <w:rPr>
          <w:i/>
          <w:iCs/>
        </w:rPr>
        <w:t>M) v Health Secretary</w:t>
      </w:r>
      <w:r w:rsidR="0080194F">
        <w:rPr>
          <w:rStyle w:val="FootnoteReference"/>
          <w:i/>
          <w:iCs/>
        </w:rPr>
        <w:footnoteReference w:id="38"/>
      </w:r>
      <w:r w:rsidRPr="00717260">
        <w:t>). A declaration of incompatibility has</w:t>
      </w:r>
      <w:r>
        <w:t xml:space="preserve"> </w:t>
      </w:r>
      <w:r w:rsidRPr="00717260">
        <w:t>now been made in relation to sections 26 and 29.</w:t>
      </w:r>
    </w:p>
    <w:p w:rsidR="00717260" w:rsidRDefault="00717260" w:rsidP="00717260">
      <w:pPr>
        <w:rPr>
          <w:b/>
          <w:bCs/>
        </w:rPr>
      </w:pPr>
    </w:p>
    <w:p w:rsidR="00717260" w:rsidRPr="00717260" w:rsidRDefault="00717260" w:rsidP="00717260">
      <w:pPr>
        <w:rPr>
          <w:b/>
          <w:bCs/>
        </w:rPr>
      </w:pPr>
      <w:r w:rsidRPr="00717260">
        <w:rPr>
          <w:b/>
          <w:bCs/>
        </w:rPr>
        <w:t>Where next?</w:t>
      </w:r>
    </w:p>
    <w:p w:rsidR="00717260" w:rsidRPr="00717260" w:rsidRDefault="00717260" w:rsidP="00717260">
      <w:r w:rsidRPr="00717260">
        <w:t>The law is in a state of flux, and it is difficult to predict where it will end. However, it is likely that</w:t>
      </w:r>
      <w:r>
        <w:t xml:space="preserve"> </w:t>
      </w:r>
      <w:r w:rsidRPr="00717260">
        <w:t>more is yet to be said by the Courts (both here and in Strasbourg) on the following issues:</w:t>
      </w:r>
    </w:p>
    <w:p w:rsidR="00717260" w:rsidRDefault="00717260" w:rsidP="00717260">
      <w:pPr>
        <w:pStyle w:val="ListParagraph"/>
        <w:numPr>
          <w:ilvl w:val="0"/>
          <w:numId w:val="2"/>
        </w:numPr>
      </w:pPr>
      <w:r w:rsidRPr="00717260">
        <w:lastRenderedPageBreak/>
        <w:t>Powers and procedures of the Mental Health Review Tribunal. I expect challenges to the</w:t>
      </w:r>
      <w:r>
        <w:t xml:space="preserve"> </w:t>
      </w:r>
      <w:r w:rsidRPr="00717260">
        <w:t>standard of proof in Tribunal proceedings: the current civil standard may be too low; the</w:t>
      </w:r>
      <w:r>
        <w:t xml:space="preserve"> </w:t>
      </w:r>
      <w:r w:rsidRPr="00717260">
        <w:t>use of hearsay evidence will be more tightly regulated; the qualifications of those giving</w:t>
      </w:r>
      <w:r>
        <w:t xml:space="preserve"> </w:t>
      </w:r>
      <w:r w:rsidRPr="00717260">
        <w:t>evidence in support of a patient’s continuing detention will be more anxiously scrutinized.</w:t>
      </w:r>
    </w:p>
    <w:p w:rsidR="00717260" w:rsidRDefault="00717260" w:rsidP="00717260">
      <w:pPr>
        <w:pStyle w:val="ListParagraph"/>
        <w:numPr>
          <w:ilvl w:val="0"/>
          <w:numId w:val="2"/>
        </w:numPr>
      </w:pPr>
      <w:r w:rsidRPr="00717260">
        <w:t>Whether Article 5 and/ or 8 requires the tribunal to have power to transfer patients to lower</w:t>
      </w:r>
      <w:r>
        <w:t xml:space="preserve"> </w:t>
      </w:r>
      <w:r w:rsidRPr="00717260">
        <w:t>security, or grant leave of absence, as a necessary precursor to discharge.</w:t>
      </w:r>
    </w:p>
    <w:p w:rsidR="00717260" w:rsidRDefault="00717260" w:rsidP="00717260">
      <w:pPr>
        <w:pStyle w:val="ListParagraph"/>
        <w:numPr>
          <w:ilvl w:val="0"/>
          <w:numId w:val="2"/>
        </w:numPr>
      </w:pPr>
      <w:r w:rsidRPr="00717260">
        <w:t>Whether decisions of the Tribunal to discharge are binding on subsequent clinicians</w:t>
      </w:r>
      <w:r>
        <w:t xml:space="preserve"> </w:t>
      </w:r>
      <w:r w:rsidRPr="00717260">
        <w:t>(including those in the community) in the absence of compelling reasons.</w:t>
      </w:r>
    </w:p>
    <w:p w:rsidR="00717260" w:rsidRDefault="00717260" w:rsidP="00717260">
      <w:pPr>
        <w:pStyle w:val="ListParagraph"/>
        <w:numPr>
          <w:ilvl w:val="0"/>
          <w:numId w:val="2"/>
        </w:numPr>
      </w:pPr>
      <w:r>
        <w:t>W</w:t>
      </w:r>
      <w:r w:rsidRPr="00717260">
        <w:t>hether positive obligations may be derived from Article 5(1) upon public authorities to</w:t>
      </w:r>
      <w:r>
        <w:t xml:space="preserve"> </w:t>
      </w:r>
      <w:r w:rsidRPr="00717260">
        <w:t>provide both in-patient and after-care treatment which will enable patients to be discharged.</w:t>
      </w:r>
    </w:p>
    <w:p w:rsidR="00717260" w:rsidRDefault="00717260" w:rsidP="00717260">
      <w:pPr>
        <w:pStyle w:val="ListParagraph"/>
        <w:numPr>
          <w:ilvl w:val="0"/>
          <w:numId w:val="2"/>
        </w:numPr>
      </w:pPr>
      <w:proofErr w:type="spellStart"/>
      <w:r w:rsidRPr="00717260">
        <w:t>Bournewood</w:t>
      </w:r>
      <w:proofErr w:type="spellEnd"/>
      <w:r w:rsidRPr="00717260">
        <w:t>: whether compliant incapacitated adults are to be given greater safeguards</w:t>
      </w:r>
      <w:r>
        <w:t xml:space="preserve"> </w:t>
      </w:r>
      <w:r w:rsidRPr="00717260">
        <w:t>against arbitrary and mistaken detention or treatment.</w:t>
      </w:r>
    </w:p>
    <w:p w:rsidR="00884291" w:rsidRDefault="00717260" w:rsidP="00717260">
      <w:pPr>
        <w:pStyle w:val="ListParagraph"/>
        <w:numPr>
          <w:ilvl w:val="0"/>
          <w:numId w:val="2"/>
        </w:numPr>
      </w:pPr>
      <w:r w:rsidRPr="00717260">
        <w:t>Whether the right of autonomy entitles a competent patient to refuse treatment other than</w:t>
      </w:r>
      <w:r>
        <w:t xml:space="preserve"> </w:t>
      </w:r>
      <w:r w:rsidRPr="00717260">
        <w:t>in circumstances where he is a threat to others.</w:t>
      </w:r>
    </w:p>
    <w:p w:rsidR="0080194F" w:rsidRDefault="0080194F" w:rsidP="0080194F"/>
    <w:p w:rsidR="0080194F" w:rsidRPr="0080194F" w:rsidRDefault="0080194F" w:rsidP="0080194F">
      <w:pPr>
        <w:rPr>
          <w:b/>
          <w:bCs/>
        </w:rPr>
      </w:pPr>
      <w:r w:rsidRPr="0080194F">
        <w:rPr>
          <w:b/>
          <w:bCs/>
        </w:rPr>
        <w:t>Conclusion</w:t>
      </w:r>
    </w:p>
    <w:p w:rsidR="0080194F" w:rsidRPr="0080194F" w:rsidRDefault="0080194F" w:rsidP="0080194F">
      <w:r w:rsidRPr="0080194F">
        <w:t>In conclusion, however, I consider it unlikely that the HRA will lead to a ‘revolution’ in mental</w:t>
      </w:r>
      <w:r>
        <w:t xml:space="preserve"> </w:t>
      </w:r>
      <w:r w:rsidRPr="0080194F">
        <w:t>health law, for three reasons. First, the constitutional doctrine of the separation of powers obliges</w:t>
      </w:r>
      <w:r>
        <w:t xml:space="preserve"> </w:t>
      </w:r>
      <w:r w:rsidRPr="0080194F">
        <w:t>the judiciary to allow a certain discretionary area of judgment to our elected representatives and</w:t>
      </w:r>
      <w:r>
        <w:t xml:space="preserve"> </w:t>
      </w:r>
      <w:r w:rsidRPr="0080194F">
        <w:t>those upon whom Parliament confers statutory powers. That principle remains largely unaffected</w:t>
      </w:r>
      <w:r>
        <w:t xml:space="preserve"> </w:t>
      </w:r>
      <w:r w:rsidRPr="0080194F">
        <w:t>by the HRA, particularly in cases involving the allocation of scarce public resources, although the</w:t>
      </w:r>
      <w:r>
        <w:t xml:space="preserve"> </w:t>
      </w:r>
      <w:r w:rsidRPr="0080194F">
        <w:t>width of that discretion has undoubtedly narrowed. Second, the search for solutions that comply</w:t>
      </w:r>
      <w:r>
        <w:t xml:space="preserve"> </w:t>
      </w:r>
      <w:r w:rsidRPr="0080194F">
        <w:t>with Convention rights involves a balancing exercise between individual rights and the interests of</w:t>
      </w:r>
      <w:r>
        <w:t xml:space="preserve"> </w:t>
      </w:r>
      <w:r w:rsidRPr="0080194F">
        <w:t xml:space="preserve">the wider community (see </w:t>
      </w:r>
      <w:r w:rsidRPr="0080194F">
        <w:rPr>
          <w:i/>
          <w:iCs/>
        </w:rPr>
        <w:t>Sheffield and Horsham v UK</w:t>
      </w:r>
      <w:r>
        <w:rPr>
          <w:rStyle w:val="FootnoteReference"/>
          <w:i/>
          <w:iCs/>
        </w:rPr>
        <w:footnoteReference w:id="39"/>
      </w:r>
      <w:r w:rsidRPr="0080194F">
        <w:t>):</w:t>
      </w:r>
    </w:p>
    <w:p w:rsidR="0080194F" w:rsidRPr="0080194F" w:rsidRDefault="0080194F" w:rsidP="0080194F">
      <w:pPr>
        <w:ind w:left="567" w:right="521"/>
      </w:pPr>
      <w:r w:rsidRPr="0080194F">
        <w:t>‘</w:t>
      </w:r>
      <w:r w:rsidRPr="0080194F">
        <w:rPr>
          <w:i/>
          <w:iCs/>
        </w:rPr>
        <w:t>In determining whether or not a positive obligation exists, regard must be had to the fair balance that</w:t>
      </w:r>
      <w:r>
        <w:rPr>
          <w:i/>
          <w:iCs/>
        </w:rPr>
        <w:t xml:space="preserve"> </w:t>
      </w:r>
      <w:r w:rsidRPr="0080194F">
        <w:rPr>
          <w:i/>
          <w:iCs/>
        </w:rPr>
        <w:t>has to struck between the general interests of the community and the interests of the individual, the</w:t>
      </w:r>
      <w:r>
        <w:rPr>
          <w:i/>
          <w:iCs/>
        </w:rPr>
        <w:t xml:space="preserve"> </w:t>
      </w:r>
      <w:r w:rsidRPr="0080194F">
        <w:rPr>
          <w:i/>
          <w:iCs/>
        </w:rPr>
        <w:t>search for which balance is inherent in the whole of the Convention</w:t>
      </w:r>
      <w:r w:rsidRPr="0080194F">
        <w:t>’.</w:t>
      </w:r>
    </w:p>
    <w:p w:rsidR="0080194F" w:rsidRPr="0080194F" w:rsidRDefault="0080194F" w:rsidP="0080194F">
      <w:r w:rsidRPr="0080194F">
        <w:t>Any shifts in that balance are likely to be incremental rather than seismic. Third, the HRA cannot</w:t>
      </w:r>
      <w:r>
        <w:t xml:space="preserve"> </w:t>
      </w:r>
      <w:r w:rsidRPr="0080194F">
        <w:t>always provide an effective remedy where domestic law fails to meet up to the standards of the</w:t>
      </w:r>
      <w:r>
        <w:t xml:space="preserve"> </w:t>
      </w:r>
      <w:r w:rsidRPr="0080194F">
        <w:t>Convention. Where the failure is a result of an incompatible provision of primary legislation, the</w:t>
      </w:r>
      <w:r>
        <w:t xml:space="preserve"> </w:t>
      </w:r>
      <w:r w:rsidRPr="0080194F">
        <w:t>Courts’ power under section 4 HRA is limited to making a declaration of incompatibility which</w:t>
      </w:r>
      <w:r>
        <w:t xml:space="preserve"> </w:t>
      </w:r>
      <w:r w:rsidRPr="0080194F">
        <w:t>does not bind the Government to take steps to remedy the incompatibility. Moreover, where the</w:t>
      </w:r>
      <w:r>
        <w:t xml:space="preserve"> </w:t>
      </w:r>
      <w:r w:rsidRPr="0080194F">
        <w:t>lack of adequate protection stems from a gap in the law the Court is powerless to intervene: a</w:t>
      </w:r>
      <w:r>
        <w:t xml:space="preserve"> </w:t>
      </w:r>
      <w:r w:rsidRPr="0080194F">
        <w:t>declaration of incompatibility may only be made in respect of a specific provision of primary</w:t>
      </w:r>
      <w:r>
        <w:t xml:space="preserve"> </w:t>
      </w:r>
      <w:r w:rsidRPr="0080194F">
        <w:t>legislation</w:t>
      </w:r>
      <w:r>
        <w:rPr>
          <w:rStyle w:val="FootnoteReference"/>
        </w:rPr>
        <w:footnoteReference w:id="40"/>
      </w:r>
      <w:r w:rsidRPr="0080194F">
        <w:t xml:space="preserve"> and no challenge may be brought to a failure of the Executive to introduce or lay</w:t>
      </w:r>
      <w:r>
        <w:t xml:space="preserve"> </w:t>
      </w:r>
      <w:r w:rsidRPr="0080194F">
        <w:t>before Parliament a proposal for legislation or to make any primary legislation: HRA 1998, section</w:t>
      </w:r>
      <w:r>
        <w:t xml:space="preserve"> </w:t>
      </w:r>
      <w:r w:rsidRPr="0080194F">
        <w:t>6(6). The sovereignty of Parliament to legislate is unaffected.</w:t>
      </w:r>
    </w:p>
    <w:p w:rsidR="0080194F" w:rsidRDefault="0080194F" w:rsidP="0080194F">
      <w:r w:rsidRPr="0080194F">
        <w:lastRenderedPageBreak/>
        <w:t>Although the Human Rights Act has proved to be an effective means of highlighting the potential</w:t>
      </w:r>
      <w:r>
        <w:t xml:space="preserve"> </w:t>
      </w:r>
      <w:r w:rsidRPr="0080194F">
        <w:t>for human rights violations involved in the detention and treatment of the mentally disordered,</w:t>
      </w:r>
      <w:r>
        <w:t xml:space="preserve"> </w:t>
      </w:r>
      <w:r w:rsidRPr="0080194F">
        <w:t>substantial reform is likely to occur only by democratic means through Parliament. We must</w:t>
      </w:r>
      <w:r>
        <w:t xml:space="preserve"> </w:t>
      </w:r>
      <w:r w:rsidRPr="0080194F">
        <w:t>continue to wait for a new Mental Health Act and a new Incapacity Act.</w:t>
      </w:r>
    </w:p>
    <w:sectPr w:rsidR="00801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90" w:rsidRDefault="00E03890" w:rsidP="00E03890">
      <w:pPr>
        <w:spacing w:after="0" w:line="240" w:lineRule="auto"/>
      </w:pPr>
      <w:r>
        <w:separator/>
      </w:r>
    </w:p>
  </w:endnote>
  <w:endnote w:type="continuationSeparator" w:id="0">
    <w:p w:rsidR="00E03890" w:rsidRDefault="00E03890" w:rsidP="00E0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90" w:rsidRDefault="00E03890" w:rsidP="00E03890">
      <w:pPr>
        <w:spacing w:after="0" w:line="240" w:lineRule="auto"/>
      </w:pPr>
      <w:r>
        <w:separator/>
      </w:r>
    </w:p>
  </w:footnote>
  <w:footnote w:type="continuationSeparator" w:id="0">
    <w:p w:rsidR="00E03890" w:rsidRDefault="00E03890" w:rsidP="00E03890">
      <w:pPr>
        <w:spacing w:after="0" w:line="240" w:lineRule="auto"/>
      </w:pPr>
      <w:r>
        <w:continuationSeparator/>
      </w:r>
    </w:p>
  </w:footnote>
  <w:footnote w:id="1">
    <w:p w:rsidR="00E03890" w:rsidRPr="00D82E29" w:rsidRDefault="00E03890">
      <w:pPr>
        <w:pStyle w:val="FootnoteText"/>
        <w:rPr>
          <w:sz w:val="16"/>
        </w:rPr>
      </w:pPr>
      <w:r w:rsidRPr="00D82E29">
        <w:rPr>
          <w:rStyle w:val="FootnoteReference"/>
          <w:sz w:val="16"/>
        </w:rPr>
        <w:t>*</w:t>
      </w:r>
      <w:r w:rsidRPr="00D82E29">
        <w:rPr>
          <w:sz w:val="16"/>
        </w:rPr>
        <w:t xml:space="preserve"> Barrister, Doughty Street Chambers, London</w:t>
      </w:r>
    </w:p>
  </w:footnote>
  <w:footnote w:id="2">
    <w:p w:rsidR="002245E9" w:rsidRPr="00D82E29" w:rsidRDefault="002245E9">
      <w:pPr>
        <w:pStyle w:val="FootnoteText"/>
        <w:rPr>
          <w:sz w:val="16"/>
        </w:rPr>
      </w:pPr>
      <w:r w:rsidRPr="00D82E29">
        <w:rPr>
          <w:rStyle w:val="FootnoteReference"/>
          <w:sz w:val="16"/>
        </w:rPr>
        <w:footnoteRef/>
      </w:r>
      <w:r w:rsidRPr="00D82E29">
        <w:rPr>
          <w:sz w:val="16"/>
        </w:rPr>
        <w:t xml:space="preserve"> </w:t>
      </w:r>
      <w:proofErr w:type="spellStart"/>
      <w:r w:rsidRPr="00D82E29">
        <w:rPr>
          <w:sz w:val="16"/>
        </w:rPr>
        <w:t>Applebaum</w:t>
      </w:r>
      <w:proofErr w:type="spellEnd"/>
      <w:r w:rsidRPr="00D82E29">
        <w:rPr>
          <w:sz w:val="16"/>
        </w:rPr>
        <w:t xml:space="preserve"> P, ‘Almost a Revolution: Mental Health Law and the Limits of change’, (Oxford University Press) (1994)</w:t>
      </w:r>
    </w:p>
  </w:footnote>
  <w:footnote w:id="3">
    <w:p w:rsidR="002245E9" w:rsidRPr="00D82E29" w:rsidRDefault="002245E9">
      <w:pPr>
        <w:pStyle w:val="FootnoteText"/>
        <w:rPr>
          <w:sz w:val="16"/>
        </w:rPr>
      </w:pPr>
      <w:r w:rsidRPr="00D82E29">
        <w:rPr>
          <w:rStyle w:val="FootnoteReference"/>
          <w:sz w:val="16"/>
        </w:rPr>
        <w:footnoteRef/>
      </w:r>
      <w:r w:rsidRPr="00D82E29">
        <w:rPr>
          <w:sz w:val="16"/>
        </w:rPr>
        <w:t xml:space="preserve"> (1981) EHRR 181</w:t>
      </w:r>
    </w:p>
  </w:footnote>
  <w:footnote w:id="4">
    <w:p w:rsidR="00D82E29" w:rsidRPr="001E4624" w:rsidRDefault="00D82E29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see, e.g., R v Home Secretary, ex p </w:t>
      </w:r>
      <w:proofErr w:type="spellStart"/>
      <w:r w:rsidRPr="001E4624">
        <w:rPr>
          <w:sz w:val="16"/>
        </w:rPr>
        <w:t>Brind</w:t>
      </w:r>
      <w:proofErr w:type="spellEnd"/>
      <w:r w:rsidRPr="001E4624">
        <w:rPr>
          <w:sz w:val="16"/>
        </w:rPr>
        <w:t xml:space="preserve"> [1991] A.C. 696, per Lord Bridge at 747</w:t>
      </w:r>
    </w:p>
  </w:footnote>
  <w:footnote w:id="5">
    <w:p w:rsidR="00D82E29" w:rsidRPr="001E4624" w:rsidRDefault="00D82E29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see, e.g., </w:t>
      </w:r>
      <w:proofErr w:type="spellStart"/>
      <w:r w:rsidRPr="001E4624">
        <w:rPr>
          <w:sz w:val="16"/>
        </w:rPr>
        <w:t>Lonrho</w:t>
      </w:r>
      <w:proofErr w:type="spellEnd"/>
      <w:r w:rsidRPr="001E4624">
        <w:rPr>
          <w:sz w:val="16"/>
        </w:rPr>
        <w:t xml:space="preserve"> Plc [1990] 2 AC 154, per Lord Bridge at 208</w:t>
      </w:r>
    </w:p>
  </w:footnote>
  <w:footnote w:id="6">
    <w:p w:rsidR="00D82E29" w:rsidRPr="001E4624" w:rsidRDefault="00D82E29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The Mental Health Act 1983 (Remedial) Order 2001</w:t>
      </w:r>
    </w:p>
  </w:footnote>
  <w:footnote w:id="7">
    <w:p w:rsidR="001E4624" w:rsidRPr="001E4624" w:rsidRDefault="001E4624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[2002] QB 1</w:t>
      </w:r>
    </w:p>
  </w:footnote>
  <w:footnote w:id="8">
    <w:p w:rsidR="001E4624" w:rsidRPr="001E4624" w:rsidRDefault="001E4624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[2003] EWHC 1094 Admin</w:t>
      </w:r>
    </w:p>
  </w:footnote>
  <w:footnote w:id="9">
    <w:p w:rsidR="001E4624" w:rsidRPr="001E4624" w:rsidRDefault="001E4624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[2003] 1 WLR 1315</w:t>
      </w:r>
    </w:p>
  </w:footnote>
  <w:footnote w:id="10">
    <w:p w:rsidR="001E4624" w:rsidRPr="001E4624" w:rsidRDefault="001E4624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[2002] QB 1</w:t>
      </w:r>
    </w:p>
  </w:footnote>
  <w:footnote w:id="11">
    <w:p w:rsidR="001E4624" w:rsidRPr="001E4624" w:rsidRDefault="001E4624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[2002] EWHC 1618 (Admin)</w:t>
      </w:r>
    </w:p>
  </w:footnote>
  <w:footnote w:id="12">
    <w:p w:rsidR="001E4624" w:rsidRPr="001E4624" w:rsidRDefault="001E4624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[2003] EWHC 193 (Admin)</w:t>
      </w:r>
    </w:p>
  </w:footnote>
  <w:footnote w:id="13">
    <w:p w:rsidR="001E4624" w:rsidRPr="001E4624" w:rsidRDefault="001E4624">
      <w:pPr>
        <w:pStyle w:val="FootnoteText"/>
        <w:rPr>
          <w:sz w:val="16"/>
        </w:rPr>
      </w:pPr>
      <w:r w:rsidRPr="001E4624">
        <w:rPr>
          <w:rStyle w:val="FootnoteReference"/>
          <w:sz w:val="16"/>
        </w:rPr>
        <w:footnoteRef/>
      </w:r>
      <w:r w:rsidRPr="001E4624">
        <w:rPr>
          <w:sz w:val="16"/>
        </w:rPr>
        <w:t xml:space="preserve"> [2002] EWCA </w:t>
      </w:r>
      <w:proofErr w:type="spellStart"/>
      <w:r w:rsidRPr="001E4624">
        <w:rPr>
          <w:sz w:val="16"/>
        </w:rPr>
        <w:t>Civ</w:t>
      </w:r>
      <w:proofErr w:type="spellEnd"/>
      <w:r w:rsidRPr="001E4624">
        <w:rPr>
          <w:sz w:val="16"/>
        </w:rPr>
        <w:t xml:space="preserve"> 1868</w:t>
      </w:r>
    </w:p>
  </w:footnote>
  <w:footnote w:id="14">
    <w:p w:rsidR="00D2388E" w:rsidRPr="00D2388E" w:rsidRDefault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[2002] EWHC 2522</w:t>
      </w:r>
    </w:p>
  </w:footnote>
  <w:footnote w:id="15">
    <w:p w:rsidR="00D2388E" w:rsidRPr="00D2388E" w:rsidRDefault="00D2388E" w:rsidP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</w:t>
      </w:r>
      <w:r w:rsidRPr="00D2388E">
        <w:rPr>
          <w:sz w:val="16"/>
        </w:rPr>
        <w:t>see Von Brandenburg [2002] QB 235 and R (H) v</w:t>
      </w:r>
      <w:r w:rsidRPr="00D2388E">
        <w:rPr>
          <w:sz w:val="16"/>
        </w:rPr>
        <w:t xml:space="preserve"> </w:t>
      </w:r>
      <w:r w:rsidRPr="00D2388E">
        <w:rPr>
          <w:sz w:val="16"/>
        </w:rPr>
        <w:t xml:space="preserve">Ashworth [2002] EWCA </w:t>
      </w:r>
      <w:proofErr w:type="spellStart"/>
      <w:r w:rsidRPr="00D2388E">
        <w:rPr>
          <w:sz w:val="16"/>
        </w:rPr>
        <w:t>Civ</w:t>
      </w:r>
      <w:proofErr w:type="spellEnd"/>
      <w:r w:rsidRPr="00D2388E">
        <w:rPr>
          <w:sz w:val="16"/>
        </w:rPr>
        <w:t xml:space="preserve"> 923</w:t>
      </w:r>
    </w:p>
  </w:footnote>
  <w:footnote w:id="16">
    <w:p w:rsidR="00D2388E" w:rsidRPr="00D2388E" w:rsidRDefault="00D2388E" w:rsidP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</w:t>
      </w:r>
      <w:r w:rsidRPr="00D2388E">
        <w:rPr>
          <w:sz w:val="16"/>
        </w:rPr>
        <w:t>R (K) v Camden &amp; Islington HA [2002] QB 198 and</w:t>
      </w:r>
      <w:r w:rsidRPr="00D2388E">
        <w:rPr>
          <w:sz w:val="16"/>
        </w:rPr>
        <w:t xml:space="preserve"> </w:t>
      </w:r>
      <w:r w:rsidRPr="00D2388E">
        <w:rPr>
          <w:sz w:val="16"/>
        </w:rPr>
        <w:t>R (H) v Home Secretary [2003] 3 QB 320</w:t>
      </w:r>
    </w:p>
  </w:footnote>
  <w:footnote w:id="17">
    <w:p w:rsidR="00D2388E" w:rsidRPr="00D2388E" w:rsidRDefault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Von Brandenburg [2003] 3 WLR 1265</w:t>
      </w:r>
    </w:p>
  </w:footnote>
  <w:footnote w:id="18">
    <w:p w:rsidR="00D2388E" w:rsidRPr="00D2388E" w:rsidRDefault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R (H) v Home Secretary [2003] 3 WLR 1278</w:t>
      </w:r>
    </w:p>
  </w:footnote>
  <w:footnote w:id="19">
    <w:p w:rsidR="00D2388E" w:rsidRPr="00D2388E" w:rsidRDefault="00D2388E" w:rsidP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</w:t>
      </w:r>
      <w:r w:rsidRPr="00D2388E">
        <w:rPr>
          <w:sz w:val="16"/>
        </w:rPr>
        <w:t>R (SSHD) v MHRT, (MW &amp; FO intervening) [2001]</w:t>
      </w:r>
      <w:r w:rsidRPr="00D2388E">
        <w:rPr>
          <w:sz w:val="16"/>
        </w:rPr>
        <w:t xml:space="preserve"> </w:t>
      </w:r>
      <w:r w:rsidRPr="00D2388E">
        <w:rPr>
          <w:sz w:val="16"/>
        </w:rPr>
        <w:t>ACD 62</w:t>
      </w:r>
    </w:p>
  </w:footnote>
  <w:footnote w:id="20">
    <w:p w:rsidR="00D2388E" w:rsidRPr="00D2388E" w:rsidRDefault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R (H) v MHRT [2002] EWHC 1128 (Admin)</w:t>
      </w:r>
    </w:p>
  </w:footnote>
  <w:footnote w:id="21">
    <w:p w:rsidR="00D2388E" w:rsidRPr="00D2388E" w:rsidRDefault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[2002] 3 WLR 1460</w:t>
      </w:r>
    </w:p>
  </w:footnote>
  <w:footnote w:id="22">
    <w:p w:rsidR="00D2388E" w:rsidRPr="00D2388E" w:rsidRDefault="00D2388E" w:rsidP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</w:t>
      </w:r>
      <w:r w:rsidRPr="00D2388E">
        <w:rPr>
          <w:sz w:val="16"/>
        </w:rPr>
        <w:t>Application 50272/99, Times Law Reports 26</w:t>
      </w:r>
      <w:r w:rsidRPr="00D2388E">
        <w:rPr>
          <w:sz w:val="16"/>
          <w:vertAlign w:val="superscript"/>
        </w:rPr>
        <w:t>th</w:t>
      </w:r>
      <w:r w:rsidRPr="00D2388E">
        <w:rPr>
          <w:sz w:val="16"/>
        </w:rPr>
        <w:t xml:space="preserve"> </w:t>
      </w:r>
      <w:r w:rsidRPr="00D2388E">
        <w:rPr>
          <w:sz w:val="16"/>
        </w:rPr>
        <w:t>February 2003</w:t>
      </w:r>
    </w:p>
  </w:footnote>
  <w:footnote w:id="23">
    <w:p w:rsidR="00D2388E" w:rsidRPr="00D2388E" w:rsidRDefault="00D2388E">
      <w:pPr>
        <w:pStyle w:val="FootnoteText"/>
        <w:rPr>
          <w:sz w:val="16"/>
        </w:rPr>
      </w:pPr>
      <w:r w:rsidRPr="00D2388E">
        <w:rPr>
          <w:rStyle w:val="FootnoteReference"/>
          <w:sz w:val="16"/>
        </w:rPr>
        <w:footnoteRef/>
      </w:r>
      <w:r w:rsidRPr="00D2388E">
        <w:rPr>
          <w:sz w:val="16"/>
        </w:rPr>
        <w:t xml:space="preserve"> [1999] AC 458</w:t>
      </w:r>
    </w:p>
  </w:footnote>
  <w:footnote w:id="24">
    <w:p w:rsidR="00E952A3" w:rsidRPr="00E952A3" w:rsidRDefault="00E952A3">
      <w:pPr>
        <w:pStyle w:val="FootnoteText"/>
        <w:rPr>
          <w:sz w:val="16"/>
        </w:rPr>
      </w:pPr>
      <w:r w:rsidRPr="00E952A3">
        <w:rPr>
          <w:rStyle w:val="FootnoteReference"/>
          <w:sz w:val="16"/>
        </w:rPr>
        <w:footnoteRef/>
      </w:r>
      <w:r w:rsidRPr="00E952A3">
        <w:rPr>
          <w:sz w:val="16"/>
        </w:rPr>
        <w:t xml:space="preserve"> [2002] 1 WLR 419</w:t>
      </w:r>
    </w:p>
  </w:footnote>
  <w:footnote w:id="25">
    <w:p w:rsidR="00E952A3" w:rsidRPr="00E952A3" w:rsidRDefault="00E952A3">
      <w:pPr>
        <w:pStyle w:val="FootnoteText"/>
        <w:rPr>
          <w:sz w:val="16"/>
        </w:rPr>
      </w:pPr>
      <w:r w:rsidRPr="00E952A3">
        <w:rPr>
          <w:rStyle w:val="FootnoteReference"/>
          <w:sz w:val="16"/>
        </w:rPr>
        <w:footnoteRef/>
      </w:r>
      <w:r w:rsidRPr="00E952A3">
        <w:rPr>
          <w:sz w:val="16"/>
        </w:rPr>
        <w:t xml:space="preserve"> [2002] 3 WLR 591</w:t>
      </w:r>
    </w:p>
  </w:footnote>
  <w:footnote w:id="26">
    <w:p w:rsidR="00E952A3" w:rsidRPr="00E952A3" w:rsidRDefault="00E952A3">
      <w:pPr>
        <w:pStyle w:val="FootnoteText"/>
        <w:rPr>
          <w:sz w:val="16"/>
        </w:rPr>
      </w:pPr>
      <w:r w:rsidRPr="00E952A3">
        <w:rPr>
          <w:rStyle w:val="FootnoteReference"/>
          <w:sz w:val="16"/>
        </w:rPr>
        <w:footnoteRef/>
      </w:r>
      <w:r w:rsidRPr="00E952A3">
        <w:rPr>
          <w:sz w:val="16"/>
        </w:rPr>
        <w:t xml:space="preserve"> [2003] EWCA </w:t>
      </w:r>
      <w:proofErr w:type="spellStart"/>
      <w:r w:rsidRPr="00E952A3">
        <w:rPr>
          <w:sz w:val="16"/>
        </w:rPr>
        <w:t>Civ</w:t>
      </w:r>
      <w:proofErr w:type="spellEnd"/>
      <w:r w:rsidRPr="00E952A3">
        <w:rPr>
          <w:sz w:val="16"/>
        </w:rPr>
        <w:t xml:space="preserve"> 547</w:t>
      </w:r>
    </w:p>
  </w:footnote>
  <w:footnote w:id="27">
    <w:p w:rsidR="00E952A3" w:rsidRPr="00717260" w:rsidRDefault="00E952A3">
      <w:pPr>
        <w:pStyle w:val="FootnoteText"/>
        <w:rPr>
          <w:sz w:val="16"/>
        </w:rPr>
      </w:pPr>
      <w:r w:rsidRPr="00717260">
        <w:rPr>
          <w:rStyle w:val="FootnoteReference"/>
          <w:sz w:val="16"/>
        </w:rPr>
        <w:footnoteRef/>
      </w:r>
      <w:r w:rsidRPr="00717260">
        <w:rPr>
          <w:sz w:val="16"/>
        </w:rPr>
        <w:t xml:space="preserve"> [2002] 2 FLR 45</w:t>
      </w:r>
    </w:p>
  </w:footnote>
  <w:footnote w:id="28">
    <w:p w:rsidR="00884291" w:rsidRPr="00717260" w:rsidRDefault="00884291">
      <w:pPr>
        <w:pStyle w:val="FootnoteText"/>
        <w:rPr>
          <w:sz w:val="16"/>
        </w:rPr>
      </w:pPr>
      <w:r w:rsidRPr="00717260">
        <w:rPr>
          <w:rStyle w:val="FootnoteReference"/>
          <w:sz w:val="16"/>
        </w:rPr>
        <w:footnoteRef/>
      </w:r>
      <w:r w:rsidRPr="00717260">
        <w:rPr>
          <w:sz w:val="16"/>
        </w:rPr>
        <w:t xml:space="preserve"> (2001) 201 DLR (4th) 123</w:t>
      </w:r>
    </w:p>
  </w:footnote>
  <w:footnote w:id="29">
    <w:p w:rsidR="00884291" w:rsidRPr="00717260" w:rsidRDefault="00884291" w:rsidP="00884291">
      <w:pPr>
        <w:pStyle w:val="FootnoteText"/>
        <w:rPr>
          <w:sz w:val="16"/>
        </w:rPr>
      </w:pPr>
      <w:r w:rsidRPr="00717260">
        <w:rPr>
          <w:rStyle w:val="FootnoteReference"/>
          <w:sz w:val="16"/>
        </w:rPr>
        <w:footnoteRef/>
      </w:r>
      <w:r w:rsidRPr="00717260">
        <w:rPr>
          <w:sz w:val="16"/>
        </w:rPr>
        <w:t xml:space="preserve"> </w:t>
      </w:r>
      <w:proofErr w:type="spellStart"/>
      <w:r w:rsidRPr="00717260">
        <w:rPr>
          <w:sz w:val="16"/>
        </w:rPr>
        <w:t>Applebaum</w:t>
      </w:r>
      <w:proofErr w:type="spellEnd"/>
      <w:r w:rsidRPr="00717260">
        <w:rPr>
          <w:sz w:val="16"/>
        </w:rPr>
        <w:t xml:space="preserve"> P, ‘Almost a Revolution: Mental Health</w:t>
      </w:r>
      <w:r w:rsidRPr="00717260">
        <w:rPr>
          <w:sz w:val="16"/>
        </w:rPr>
        <w:t xml:space="preserve"> </w:t>
      </w:r>
      <w:r w:rsidRPr="00717260">
        <w:rPr>
          <w:sz w:val="16"/>
        </w:rPr>
        <w:t>Law and the Limits of Change’, 1994, pp. 131–132)</w:t>
      </w:r>
    </w:p>
  </w:footnote>
  <w:footnote w:id="30">
    <w:p w:rsidR="00884291" w:rsidRPr="00717260" w:rsidRDefault="00884291" w:rsidP="00884291">
      <w:pPr>
        <w:pStyle w:val="FootnoteText"/>
        <w:rPr>
          <w:sz w:val="16"/>
        </w:rPr>
      </w:pPr>
      <w:r w:rsidRPr="00717260">
        <w:rPr>
          <w:rStyle w:val="FootnoteReference"/>
          <w:sz w:val="16"/>
        </w:rPr>
        <w:footnoteRef/>
      </w:r>
      <w:r w:rsidRPr="00717260">
        <w:rPr>
          <w:sz w:val="16"/>
        </w:rPr>
        <w:t xml:space="preserve"> </w:t>
      </w:r>
      <w:r w:rsidRPr="00717260">
        <w:rPr>
          <w:sz w:val="16"/>
        </w:rPr>
        <w:t>R (R) v. Shetty and Home Secretary [2003] EWHC</w:t>
      </w:r>
      <w:r w:rsidRPr="00717260">
        <w:rPr>
          <w:sz w:val="16"/>
        </w:rPr>
        <w:t xml:space="preserve"> </w:t>
      </w:r>
      <w:r w:rsidRPr="00717260">
        <w:rPr>
          <w:sz w:val="16"/>
        </w:rPr>
        <w:t>3022 (Admin); see also R (Morley) v Nottinghamshire</w:t>
      </w:r>
      <w:r w:rsidRPr="00717260">
        <w:rPr>
          <w:sz w:val="16"/>
        </w:rPr>
        <w:t xml:space="preserve"> </w:t>
      </w:r>
      <w:r w:rsidRPr="00717260">
        <w:rPr>
          <w:sz w:val="16"/>
        </w:rPr>
        <w:t>Healthcare NHS Trust (2003) 1 All ER 784</w:t>
      </w:r>
    </w:p>
  </w:footnote>
  <w:footnote w:id="31">
    <w:p w:rsidR="00884291" w:rsidRPr="0080194F" w:rsidRDefault="00884291">
      <w:pPr>
        <w:pStyle w:val="FootnoteText"/>
        <w:rPr>
          <w:sz w:val="16"/>
          <w:szCs w:val="16"/>
        </w:rPr>
      </w:pPr>
      <w:r w:rsidRPr="0080194F">
        <w:rPr>
          <w:rStyle w:val="FootnoteReference"/>
          <w:sz w:val="16"/>
          <w:szCs w:val="16"/>
        </w:rPr>
        <w:footnoteRef/>
      </w:r>
      <w:r w:rsidRPr="0080194F">
        <w:rPr>
          <w:sz w:val="16"/>
          <w:szCs w:val="16"/>
        </w:rPr>
        <w:t xml:space="preserve"> [2002] EWHC 1521 Admin</w:t>
      </w:r>
    </w:p>
  </w:footnote>
  <w:footnote w:id="32">
    <w:p w:rsidR="00884291" w:rsidRPr="0080194F" w:rsidRDefault="00884291">
      <w:pPr>
        <w:pStyle w:val="FootnoteText"/>
        <w:rPr>
          <w:sz w:val="16"/>
          <w:szCs w:val="16"/>
        </w:rPr>
      </w:pPr>
      <w:r w:rsidRPr="0080194F">
        <w:rPr>
          <w:rStyle w:val="FootnoteReference"/>
          <w:sz w:val="16"/>
          <w:szCs w:val="16"/>
        </w:rPr>
        <w:footnoteRef/>
      </w:r>
      <w:r w:rsidRPr="0080194F">
        <w:rPr>
          <w:sz w:val="16"/>
          <w:szCs w:val="16"/>
        </w:rPr>
        <w:t xml:space="preserve"> (2003) Lloyd’s Rep Med 21</w:t>
      </w:r>
    </w:p>
  </w:footnote>
  <w:footnote w:id="33">
    <w:p w:rsidR="00884291" w:rsidRPr="0080194F" w:rsidRDefault="00884291" w:rsidP="00884291">
      <w:pPr>
        <w:pStyle w:val="FootnoteText"/>
        <w:rPr>
          <w:sz w:val="16"/>
          <w:szCs w:val="16"/>
        </w:rPr>
      </w:pPr>
      <w:r w:rsidRPr="0080194F">
        <w:rPr>
          <w:rStyle w:val="FootnoteReference"/>
          <w:sz w:val="16"/>
          <w:szCs w:val="16"/>
        </w:rPr>
        <w:footnoteRef/>
      </w:r>
      <w:r w:rsidRPr="0080194F">
        <w:rPr>
          <w:sz w:val="16"/>
          <w:szCs w:val="16"/>
        </w:rPr>
        <w:t xml:space="preserve"> </w:t>
      </w:r>
      <w:r w:rsidRPr="0080194F">
        <w:rPr>
          <w:sz w:val="16"/>
          <w:szCs w:val="16"/>
        </w:rPr>
        <w:t xml:space="preserve">R (on the application of </w:t>
      </w:r>
      <w:proofErr w:type="spellStart"/>
      <w:r w:rsidRPr="0080194F">
        <w:rPr>
          <w:sz w:val="16"/>
          <w:szCs w:val="16"/>
        </w:rPr>
        <w:t>Munjaz</w:t>
      </w:r>
      <w:proofErr w:type="spellEnd"/>
      <w:r w:rsidRPr="0080194F">
        <w:rPr>
          <w:sz w:val="16"/>
          <w:szCs w:val="16"/>
        </w:rPr>
        <w:t>) v Mersey Care NHS</w:t>
      </w:r>
      <w:r w:rsidRPr="0080194F">
        <w:rPr>
          <w:sz w:val="16"/>
          <w:szCs w:val="16"/>
        </w:rPr>
        <w:t xml:space="preserve"> </w:t>
      </w:r>
      <w:r w:rsidRPr="0080194F">
        <w:rPr>
          <w:sz w:val="16"/>
          <w:szCs w:val="16"/>
        </w:rPr>
        <w:t>Trust; R (on the application of S) v Airedale NHS</w:t>
      </w:r>
      <w:r w:rsidRPr="0080194F">
        <w:rPr>
          <w:sz w:val="16"/>
          <w:szCs w:val="16"/>
        </w:rPr>
        <w:t xml:space="preserve"> </w:t>
      </w:r>
      <w:r w:rsidRPr="0080194F">
        <w:rPr>
          <w:sz w:val="16"/>
          <w:szCs w:val="16"/>
        </w:rPr>
        <w:t xml:space="preserve">Trust [2003] EWCA </w:t>
      </w:r>
      <w:proofErr w:type="spellStart"/>
      <w:r w:rsidRPr="0080194F">
        <w:rPr>
          <w:sz w:val="16"/>
          <w:szCs w:val="16"/>
        </w:rPr>
        <w:t>Civ</w:t>
      </w:r>
      <w:proofErr w:type="spellEnd"/>
      <w:r w:rsidRPr="0080194F">
        <w:rPr>
          <w:sz w:val="16"/>
          <w:szCs w:val="16"/>
        </w:rPr>
        <w:t xml:space="preserve"> 1036</w:t>
      </w:r>
    </w:p>
  </w:footnote>
  <w:footnote w:id="34">
    <w:p w:rsidR="0080194F" w:rsidRPr="0080194F" w:rsidRDefault="0080194F">
      <w:pPr>
        <w:pStyle w:val="FootnoteText"/>
        <w:rPr>
          <w:sz w:val="16"/>
          <w:szCs w:val="16"/>
        </w:rPr>
      </w:pPr>
      <w:r w:rsidRPr="0080194F">
        <w:rPr>
          <w:rStyle w:val="FootnoteReference"/>
          <w:sz w:val="16"/>
          <w:szCs w:val="16"/>
        </w:rPr>
        <w:footnoteRef/>
      </w:r>
      <w:r w:rsidRPr="0080194F">
        <w:rPr>
          <w:sz w:val="16"/>
          <w:szCs w:val="16"/>
        </w:rPr>
        <w:t xml:space="preserve"> [2001] EWHC 1089 Admin</w:t>
      </w:r>
    </w:p>
  </w:footnote>
  <w:footnote w:id="35">
    <w:p w:rsidR="0080194F" w:rsidRPr="0080194F" w:rsidRDefault="0080194F">
      <w:pPr>
        <w:pStyle w:val="FootnoteText"/>
        <w:rPr>
          <w:sz w:val="16"/>
          <w:szCs w:val="16"/>
        </w:rPr>
      </w:pPr>
      <w:r w:rsidRPr="0080194F">
        <w:rPr>
          <w:rStyle w:val="FootnoteReference"/>
          <w:sz w:val="16"/>
          <w:szCs w:val="16"/>
        </w:rPr>
        <w:footnoteRef/>
      </w:r>
      <w:r w:rsidRPr="0080194F">
        <w:rPr>
          <w:sz w:val="16"/>
          <w:szCs w:val="16"/>
        </w:rPr>
        <w:t xml:space="preserve"> [2001] HRLR 46</w:t>
      </w:r>
    </w:p>
  </w:footnote>
  <w:footnote w:id="36">
    <w:p w:rsidR="0080194F" w:rsidRPr="0080194F" w:rsidRDefault="0080194F">
      <w:pPr>
        <w:pStyle w:val="FootnoteText"/>
        <w:rPr>
          <w:sz w:val="16"/>
          <w:szCs w:val="16"/>
        </w:rPr>
      </w:pPr>
      <w:r w:rsidRPr="0080194F">
        <w:rPr>
          <w:rStyle w:val="FootnoteReference"/>
          <w:sz w:val="16"/>
          <w:szCs w:val="16"/>
        </w:rPr>
        <w:footnoteRef/>
      </w:r>
      <w:r w:rsidRPr="0080194F">
        <w:rPr>
          <w:sz w:val="16"/>
          <w:szCs w:val="16"/>
        </w:rPr>
        <w:t xml:space="preserve"> (2000) 58 BMLR 101</w:t>
      </w:r>
    </w:p>
  </w:footnote>
  <w:footnote w:id="37">
    <w:p w:rsidR="0080194F" w:rsidRPr="0080194F" w:rsidRDefault="0080194F">
      <w:pPr>
        <w:pStyle w:val="FootnoteText"/>
        <w:rPr>
          <w:sz w:val="16"/>
          <w:szCs w:val="16"/>
        </w:rPr>
      </w:pPr>
      <w:r w:rsidRPr="0080194F">
        <w:rPr>
          <w:rStyle w:val="FootnoteReference"/>
          <w:sz w:val="16"/>
          <w:szCs w:val="16"/>
        </w:rPr>
        <w:footnoteRef/>
      </w:r>
      <w:r w:rsidRPr="0080194F">
        <w:rPr>
          <w:sz w:val="16"/>
          <w:szCs w:val="16"/>
        </w:rPr>
        <w:t xml:space="preserve"> [2000] 1 FLR 909</w:t>
      </w:r>
    </w:p>
  </w:footnote>
  <w:footnote w:id="38">
    <w:p w:rsidR="0080194F" w:rsidRPr="0080194F" w:rsidRDefault="0080194F">
      <w:pPr>
        <w:pStyle w:val="FootnoteText"/>
        <w:rPr>
          <w:sz w:val="16"/>
          <w:szCs w:val="16"/>
        </w:rPr>
      </w:pPr>
      <w:r w:rsidRPr="0080194F">
        <w:rPr>
          <w:rStyle w:val="FootnoteReference"/>
          <w:sz w:val="16"/>
          <w:szCs w:val="16"/>
        </w:rPr>
        <w:footnoteRef/>
      </w:r>
      <w:r w:rsidRPr="0080194F">
        <w:rPr>
          <w:sz w:val="16"/>
          <w:szCs w:val="16"/>
        </w:rPr>
        <w:t xml:space="preserve"> [2003] EWHC 1094 Admin</w:t>
      </w:r>
    </w:p>
  </w:footnote>
  <w:footnote w:id="39">
    <w:p w:rsidR="0080194F" w:rsidRPr="0080194F" w:rsidRDefault="0080194F">
      <w:pPr>
        <w:pStyle w:val="FootnoteText"/>
        <w:rPr>
          <w:sz w:val="16"/>
        </w:rPr>
      </w:pPr>
      <w:r w:rsidRPr="0080194F">
        <w:rPr>
          <w:rStyle w:val="FootnoteReference"/>
          <w:sz w:val="16"/>
        </w:rPr>
        <w:footnoteRef/>
      </w:r>
      <w:r w:rsidRPr="0080194F">
        <w:rPr>
          <w:sz w:val="16"/>
        </w:rPr>
        <w:t xml:space="preserve"> (1998) 27 EHRR 163, at 191, para 52</w:t>
      </w:r>
    </w:p>
  </w:footnote>
  <w:footnote w:id="40">
    <w:p w:rsidR="0080194F" w:rsidRPr="0080194F" w:rsidRDefault="0080194F">
      <w:pPr>
        <w:pStyle w:val="FootnoteText"/>
        <w:rPr>
          <w:sz w:val="16"/>
        </w:rPr>
      </w:pPr>
      <w:r w:rsidRPr="0080194F">
        <w:rPr>
          <w:rStyle w:val="FootnoteReference"/>
          <w:sz w:val="16"/>
        </w:rPr>
        <w:footnoteRef/>
      </w:r>
      <w:r w:rsidRPr="0080194F">
        <w:rPr>
          <w:sz w:val="16"/>
        </w:rPr>
        <w:t xml:space="preserve"> Re. S (Minors) (Care Order: Implementation of Care Plan) [2002] 2 AC 291, §§85–86 per Lord Nicholls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7BC3"/>
    <w:multiLevelType w:val="hybridMultilevel"/>
    <w:tmpl w:val="86C0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3654E"/>
    <w:multiLevelType w:val="hybridMultilevel"/>
    <w:tmpl w:val="7DAE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92"/>
    <w:rsid w:val="00051092"/>
    <w:rsid w:val="00052E94"/>
    <w:rsid w:val="001E4624"/>
    <w:rsid w:val="002245E9"/>
    <w:rsid w:val="00717260"/>
    <w:rsid w:val="007351A9"/>
    <w:rsid w:val="0080194F"/>
    <w:rsid w:val="00884291"/>
    <w:rsid w:val="00CB3B57"/>
    <w:rsid w:val="00D2388E"/>
    <w:rsid w:val="00D82E29"/>
    <w:rsid w:val="00E03890"/>
    <w:rsid w:val="00E9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038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8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8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4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038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8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8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8108-57A4-4DC2-A0B6-AA8E97FD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3529</Words>
  <Characters>20118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8</cp:revision>
  <dcterms:created xsi:type="dcterms:W3CDTF">2014-10-15T15:06:00Z</dcterms:created>
  <dcterms:modified xsi:type="dcterms:W3CDTF">2014-10-15T15:56:00Z</dcterms:modified>
</cp:coreProperties>
</file>