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DB" w:rsidRPr="00E839DB" w:rsidRDefault="00E839DB" w:rsidP="00E839DB">
      <w:pPr>
        <w:rPr>
          <w:sz w:val="56"/>
          <w:szCs w:val="56"/>
        </w:rPr>
      </w:pPr>
      <w:r w:rsidRPr="00E839DB">
        <w:rPr>
          <w:sz w:val="56"/>
          <w:szCs w:val="56"/>
        </w:rPr>
        <w:t>Placed Amongst Strangers – the Tenth Biennial Report (2001–2003) of the Mental Health Act Commission</w:t>
      </w:r>
    </w:p>
    <w:p w:rsidR="00E839DB" w:rsidRPr="00E839DB" w:rsidRDefault="00571AE5" w:rsidP="00E839DB">
      <w:pPr>
        <w:rPr>
          <w:i/>
          <w:iCs/>
          <w:sz w:val="28"/>
        </w:rPr>
      </w:pPr>
      <w:r>
        <w:rPr>
          <w:i/>
          <w:iCs/>
          <w:sz w:val="28"/>
        </w:rPr>
        <w:t xml:space="preserve">Mat </w:t>
      </w:r>
      <w:proofErr w:type="spellStart"/>
      <w:r>
        <w:rPr>
          <w:i/>
          <w:iCs/>
          <w:sz w:val="28"/>
        </w:rPr>
        <w:t>Kinton</w:t>
      </w:r>
      <w:proofErr w:type="spellEnd"/>
      <w:r>
        <w:rPr>
          <w:rStyle w:val="FootnoteReference"/>
          <w:i/>
          <w:iCs/>
          <w:sz w:val="28"/>
        </w:rPr>
        <w:footnoteReference w:customMarkFollows="1" w:id="1"/>
        <w:t>*</w:t>
      </w:r>
    </w:p>
    <w:p w:rsidR="00E839DB" w:rsidRDefault="00E839DB" w:rsidP="00E839DB"/>
    <w:p w:rsidR="00E839DB" w:rsidRPr="00E839DB" w:rsidRDefault="00E839DB" w:rsidP="00E839DB">
      <w:r w:rsidRPr="00E839DB">
        <w:t>The Mental Health Act Commission’s Tenth Biennial Report was laid before Parliament and</w:t>
      </w:r>
      <w:r>
        <w:t xml:space="preserve"> </w:t>
      </w:r>
      <w:r w:rsidRPr="00E839DB">
        <w:t>published in December 2003. The report covers two years’ activity – financial years 2001 to 2003</w:t>
      </w:r>
      <w:r>
        <w:t xml:space="preserve"> </w:t>
      </w:r>
      <w:r w:rsidRPr="00E839DB">
        <w:t>– monitoring the operation of the Mental Health Act 1983 as it relates to the detention and</w:t>
      </w:r>
      <w:r>
        <w:t xml:space="preserve"> </w:t>
      </w:r>
      <w:r w:rsidRPr="00E839DB">
        <w:t>treatment of patients. In twenty chapters it deals with a range of issues pertinent to the care of</w:t>
      </w:r>
      <w:r>
        <w:t xml:space="preserve"> </w:t>
      </w:r>
      <w:r w:rsidRPr="00E839DB">
        <w:t>mental health patients subject to compulsory treatment.</w:t>
      </w:r>
    </w:p>
    <w:p w:rsidR="00E839DB" w:rsidRDefault="00E839DB" w:rsidP="00E839DB">
      <w:r w:rsidRPr="00E839DB">
        <w:t>I will not attempt here to list systematically the points made by our report. Readers of this journal</w:t>
      </w:r>
      <w:r>
        <w:t xml:space="preserve"> </w:t>
      </w:r>
      <w:r w:rsidRPr="00E839DB">
        <w:t>are likely already to have thumbed a copy of the report itself, or accessed it on the Commission</w:t>
      </w:r>
      <w:r>
        <w:t xml:space="preserve"> </w:t>
      </w:r>
      <w:r w:rsidRPr="00E839DB">
        <w:t>website</w:t>
      </w:r>
      <w:r w:rsidR="00571AE5">
        <w:rPr>
          <w:rStyle w:val="FootnoteReference"/>
        </w:rPr>
        <w:footnoteReference w:id="2"/>
      </w:r>
      <w:r w:rsidRPr="00E839DB">
        <w:t>, and, if not, I hope that this article will encourage them to do so. Instead, I will seek to</w:t>
      </w:r>
      <w:r>
        <w:t xml:space="preserve"> </w:t>
      </w:r>
      <w:r w:rsidRPr="00E839DB">
        <w:t xml:space="preserve">explain in more general terms the context and themes of the </w:t>
      </w:r>
      <w:proofErr w:type="gramStart"/>
      <w:r w:rsidRPr="00E839DB">
        <w:t>report,</w:t>
      </w:r>
      <w:proofErr w:type="gramEnd"/>
      <w:r w:rsidRPr="00E839DB">
        <w:t xml:space="preserve"> and what we would wish to</w:t>
      </w:r>
      <w:r>
        <w:t xml:space="preserve"> </w:t>
      </w:r>
      <w:r w:rsidRPr="00E839DB">
        <w:t>see as its desired outcome.</w:t>
      </w:r>
    </w:p>
    <w:p w:rsidR="00E839DB" w:rsidRPr="00E839DB" w:rsidRDefault="00E839DB" w:rsidP="00E839DB"/>
    <w:p w:rsidR="00E839DB" w:rsidRPr="00E839DB" w:rsidRDefault="00E839DB" w:rsidP="00E839DB">
      <w:pPr>
        <w:rPr>
          <w:b/>
          <w:bCs/>
        </w:rPr>
      </w:pPr>
      <w:r w:rsidRPr="00E839DB">
        <w:rPr>
          <w:b/>
          <w:bCs/>
        </w:rPr>
        <w:t>The context of the report</w:t>
      </w:r>
    </w:p>
    <w:p w:rsidR="00571AE5" w:rsidRPr="00571AE5" w:rsidRDefault="00E839DB" w:rsidP="00571AE5">
      <w:r w:rsidRPr="00E839DB">
        <w:t>Everybody with a concern in mental health services, particularly in relation to patients who may</w:t>
      </w:r>
      <w:r w:rsidR="00571AE5">
        <w:t xml:space="preserve"> </w:t>
      </w:r>
      <w:r w:rsidRPr="00E839DB">
        <w:t>be compelled to accept treatment, has a general sense of the purpose of the Mental Health Act</w:t>
      </w:r>
      <w:r w:rsidR="00571AE5">
        <w:t xml:space="preserve"> </w:t>
      </w:r>
      <w:r w:rsidRPr="00E839DB">
        <w:t>Commission. The legal remit of the Commission is stated in the Mental Health Act 1983, which</w:t>
      </w:r>
      <w:r w:rsidR="00571AE5">
        <w:t xml:space="preserve"> </w:t>
      </w:r>
      <w:r w:rsidRPr="00E839DB">
        <w:t>requires the body to ‘monitor the exercise of the powers and discharge of duties conferred or</w:t>
      </w:r>
      <w:r w:rsidR="00571AE5">
        <w:t xml:space="preserve"> </w:t>
      </w:r>
      <w:r w:rsidRPr="00E839DB">
        <w:t>imposed’ by that Act in respect of the detention of patients for psychiatric care and treatment</w:t>
      </w:r>
      <w:r w:rsidR="00571AE5">
        <w:rPr>
          <w:rStyle w:val="FootnoteReference"/>
        </w:rPr>
        <w:footnoteReference w:id="3"/>
      </w:r>
      <w:r w:rsidRPr="00E839DB">
        <w:t>.</w:t>
      </w:r>
      <w:r w:rsidR="00571AE5">
        <w:t xml:space="preserve"> </w:t>
      </w:r>
      <w:r w:rsidRPr="00E839DB">
        <w:t>Mental health professionals who encounter visiting Commissioners will know that such</w:t>
      </w:r>
      <w:r w:rsidR="00571AE5">
        <w:t xml:space="preserve"> </w:t>
      </w:r>
      <w:r w:rsidRPr="00E839DB">
        <w:t>‘monitoring’ focuses primarily on meeting in private with such patients, as required by statute, and</w:t>
      </w:r>
      <w:r w:rsidR="00571AE5">
        <w:t xml:space="preserve"> </w:t>
      </w:r>
      <w:r w:rsidR="00571AE5" w:rsidRPr="00571AE5">
        <w:t>includes the examination of documents and other evidence of practice in the use of the Act to</w:t>
      </w:r>
      <w:r w:rsidR="00571AE5">
        <w:t xml:space="preserve"> </w:t>
      </w:r>
      <w:r w:rsidR="00571AE5" w:rsidRPr="00571AE5">
        <w:t>detain and treat patients, culminating in a report to the hospital managers on the Commission’s</w:t>
      </w:r>
      <w:r w:rsidR="00571AE5">
        <w:t xml:space="preserve"> </w:t>
      </w:r>
      <w:r w:rsidR="00571AE5" w:rsidRPr="00571AE5">
        <w:t>findings. The Commission’s own gloss on this activity is that it is in the business of ‘safeguarding</w:t>
      </w:r>
      <w:r w:rsidR="00571AE5">
        <w:t xml:space="preserve"> </w:t>
      </w:r>
      <w:r w:rsidR="00571AE5" w:rsidRPr="00571AE5">
        <w:t>the interests of detained patients’</w:t>
      </w:r>
      <w:r w:rsidR="00FB0A0F">
        <w:rPr>
          <w:rStyle w:val="FootnoteReference"/>
        </w:rPr>
        <w:footnoteReference w:id="4"/>
      </w:r>
      <w:r w:rsidR="00571AE5" w:rsidRPr="00571AE5">
        <w:t>. This is certainly the most apparent use of such a body, and one</w:t>
      </w:r>
      <w:r w:rsidR="00571AE5">
        <w:t xml:space="preserve"> </w:t>
      </w:r>
      <w:r w:rsidR="00571AE5" w:rsidRPr="00571AE5">
        <w:t xml:space="preserve">that can indeed </w:t>
      </w:r>
      <w:r w:rsidR="00571AE5" w:rsidRPr="00571AE5">
        <w:lastRenderedPageBreak/>
        <w:t>be traced back to Government intentions when the Commission’s establishment</w:t>
      </w:r>
      <w:r w:rsidR="00571AE5">
        <w:t xml:space="preserve"> </w:t>
      </w:r>
      <w:r w:rsidR="00571AE5" w:rsidRPr="00571AE5">
        <w:t>was suggested in the early 1980s</w:t>
      </w:r>
      <w:r w:rsidR="001B7D2E">
        <w:rPr>
          <w:rStyle w:val="FootnoteReference"/>
        </w:rPr>
        <w:footnoteReference w:id="5"/>
      </w:r>
      <w:r w:rsidR="00571AE5" w:rsidRPr="00571AE5">
        <w:t>.</w:t>
      </w:r>
    </w:p>
    <w:p w:rsidR="00571AE5" w:rsidRPr="00571AE5" w:rsidRDefault="00571AE5" w:rsidP="00571AE5">
      <w:r w:rsidRPr="00571AE5">
        <w:t>There is, however, an obverse aspect to the Commission’s role as the defender of detained patients’</w:t>
      </w:r>
      <w:r>
        <w:t xml:space="preserve"> </w:t>
      </w:r>
      <w:r w:rsidRPr="00571AE5">
        <w:t>interests. The Commission forms part of a framework of checks and balances that helps to</w:t>
      </w:r>
      <w:r>
        <w:t xml:space="preserve"> </w:t>
      </w:r>
      <w:r w:rsidRPr="00571AE5">
        <w:t>legitimise what is otherwise a rather extended use of State power: the civil detention of mentally</w:t>
      </w:r>
      <w:r>
        <w:t xml:space="preserve"> </w:t>
      </w:r>
      <w:r w:rsidRPr="00571AE5">
        <w:t>disordered people</w:t>
      </w:r>
      <w:r w:rsidR="001B7D2E">
        <w:rPr>
          <w:rStyle w:val="FootnoteReference"/>
        </w:rPr>
        <w:footnoteReference w:id="6"/>
      </w:r>
      <w:r w:rsidRPr="00571AE5">
        <w:t>. It is one of the means by which the State meets its obligation ‘to know enough</w:t>
      </w:r>
      <w:r>
        <w:t xml:space="preserve"> </w:t>
      </w:r>
      <w:r w:rsidRPr="00571AE5">
        <w:t>about its patient...to provide effective protection’ to that patient</w:t>
      </w:r>
      <w:r w:rsidR="001B7D2E">
        <w:rPr>
          <w:rStyle w:val="FootnoteReference"/>
        </w:rPr>
        <w:footnoteReference w:id="7"/>
      </w:r>
      <w:r w:rsidRPr="00571AE5">
        <w:t xml:space="preserve"> (others are the Code of Practice,</w:t>
      </w:r>
      <w:r>
        <w:t xml:space="preserve"> </w:t>
      </w:r>
      <w:r w:rsidRPr="00571AE5">
        <w:t>which provides guidance on the use of the powers that are monitored by the Commission, and the</w:t>
      </w:r>
      <w:r>
        <w:t xml:space="preserve"> </w:t>
      </w:r>
      <w:r w:rsidRPr="00571AE5">
        <w:t>Mental Health Review Tribunal, whose remit is rather more sharply focussed on the legitimacy of</w:t>
      </w:r>
      <w:r>
        <w:t xml:space="preserve"> </w:t>
      </w:r>
      <w:r w:rsidRPr="00571AE5">
        <w:t>continuing to subject individual patients to the general powers of the Act). Without these elements</w:t>
      </w:r>
      <w:r>
        <w:t xml:space="preserve"> </w:t>
      </w:r>
      <w:r w:rsidRPr="00571AE5">
        <w:t>of patient protection, such healthcare interventions of the State could fail requirements of the</w:t>
      </w:r>
      <w:r>
        <w:t xml:space="preserve"> </w:t>
      </w:r>
      <w:r w:rsidRPr="00571AE5">
        <w:t>European Convention on Human Rights (ECHR).</w:t>
      </w:r>
    </w:p>
    <w:p w:rsidR="00C35200" w:rsidRDefault="00571AE5" w:rsidP="00571AE5">
      <w:r w:rsidRPr="00571AE5">
        <w:t>This Tenth Biennial Report may not be the last ever produced by the Commission in its current</w:t>
      </w:r>
      <w:r>
        <w:t xml:space="preserve"> </w:t>
      </w:r>
      <w:r w:rsidRPr="00571AE5">
        <w:t>establishment – the eventual repeal of the 1983 Act upon which its existence depends is almost</w:t>
      </w:r>
      <w:r>
        <w:t xml:space="preserve"> </w:t>
      </w:r>
      <w:r w:rsidRPr="00571AE5">
        <w:t>certainly too far away to expect a change in monitoring arrangements within the next two years –</w:t>
      </w:r>
      <w:r>
        <w:t xml:space="preserve"> </w:t>
      </w:r>
      <w:r w:rsidRPr="00571AE5">
        <w:t>but it has been written under the assumption that we are upon the brink of potentially radical</w:t>
      </w:r>
      <w:r>
        <w:t xml:space="preserve"> </w:t>
      </w:r>
      <w:r w:rsidRPr="00571AE5">
        <w:t>change in arrangements for monitoring the use of mental health legislation. In particular,</w:t>
      </w:r>
      <w:r>
        <w:t xml:space="preserve"> </w:t>
      </w:r>
      <w:r w:rsidRPr="00571AE5">
        <w:t>Government has announced that it intends, upon the eventual repeal of the 1983 Act, to put such</w:t>
      </w:r>
      <w:r>
        <w:t xml:space="preserve"> </w:t>
      </w:r>
      <w:r w:rsidRPr="00571AE5">
        <w:t>monitoring into the hands of the soon to be established Commission for Healthcare Audit and</w:t>
      </w:r>
      <w:r>
        <w:t xml:space="preserve"> </w:t>
      </w:r>
      <w:r w:rsidRPr="00571AE5">
        <w:t>Inspection (CHAI). The Mental Health Act Commission is sympathetic to the need for such</w:t>
      </w:r>
      <w:r>
        <w:t xml:space="preserve"> </w:t>
      </w:r>
      <w:r w:rsidRPr="00571AE5">
        <w:t>rationalisation of health service bodies, provided that the core statutory function and duties</w:t>
      </w:r>
      <w:r>
        <w:t xml:space="preserve"> </w:t>
      </w:r>
      <w:r w:rsidRPr="00571AE5">
        <w:t>towards patients subject to care under the State’s compulsion, including and especially visiting</w:t>
      </w:r>
      <w:r>
        <w:t xml:space="preserve"> </w:t>
      </w:r>
      <w:r w:rsidRPr="00571AE5">
        <w:t>practices, are not lost in such arrangements. The proposals for the next Mental Health Act would</w:t>
      </w:r>
      <w:r>
        <w:t xml:space="preserve"> </w:t>
      </w:r>
      <w:r w:rsidRPr="00571AE5">
        <w:t>create a conceptual shift in the role of the Tribunal, so that instead of functioning simply as an</w:t>
      </w:r>
      <w:r>
        <w:t xml:space="preserve"> </w:t>
      </w:r>
      <w:r w:rsidRPr="00571AE5">
        <w:t>appeal body concerned with review and exit from compulsion, it will provide authority for</w:t>
      </w:r>
      <w:r>
        <w:t xml:space="preserve"> </w:t>
      </w:r>
      <w:r w:rsidRPr="00571AE5">
        <w:t>compulsion. With this aspect of patient protection changed, some equivalent of the Mental Health</w:t>
      </w:r>
      <w:r>
        <w:t xml:space="preserve"> </w:t>
      </w:r>
      <w:r w:rsidRPr="00571AE5">
        <w:t>Act Commission’s monitoring function by a suitably independent and properly focussed body</w:t>
      </w:r>
      <w:r>
        <w:t xml:space="preserve"> </w:t>
      </w:r>
      <w:r w:rsidRPr="00571AE5">
        <w:t>may be not only an ethical requirement for protecting vulnerable patients, but also necessary for</w:t>
      </w:r>
      <w:r>
        <w:t xml:space="preserve"> </w:t>
      </w:r>
      <w:r w:rsidRPr="00571AE5">
        <w:t>the legitimacy of civil detention itself.</w:t>
      </w:r>
    </w:p>
    <w:p w:rsidR="001B7D2E" w:rsidRDefault="001B7D2E" w:rsidP="00571AE5"/>
    <w:p w:rsidR="001B7D2E" w:rsidRPr="001B7D2E" w:rsidRDefault="001B7D2E" w:rsidP="001B7D2E">
      <w:pPr>
        <w:rPr>
          <w:b/>
          <w:bCs/>
        </w:rPr>
      </w:pPr>
      <w:r w:rsidRPr="001B7D2E">
        <w:rPr>
          <w:b/>
          <w:bCs/>
        </w:rPr>
        <w:t>The core themes of the report: ‘Placed amongst strangers’</w:t>
      </w:r>
    </w:p>
    <w:p w:rsidR="001B7D2E" w:rsidRPr="001B7D2E" w:rsidRDefault="001B7D2E" w:rsidP="001B7D2E">
      <w:r w:rsidRPr="001B7D2E">
        <w:t>We have taken as the title of the Tenth Biennial Report the words of John Perceval, who was</w:t>
      </w:r>
      <w:r>
        <w:t xml:space="preserve"> </w:t>
      </w:r>
      <w:r w:rsidRPr="001B7D2E">
        <w:t>committed to an asylum in the 1830s, and detained for a period of 18 months. Notwithstanding</w:t>
      </w:r>
      <w:r>
        <w:t xml:space="preserve"> </w:t>
      </w:r>
      <w:r w:rsidRPr="001B7D2E">
        <w:t>the emphasis on ‘modernisation’ in mental health services and developments in psychiatry in the</w:t>
      </w:r>
      <w:r>
        <w:t xml:space="preserve"> </w:t>
      </w:r>
      <w:r w:rsidRPr="001B7D2E">
        <w:t>last 170 years, it is remarkable how relevant Perceval’s concerns are to detention under current</w:t>
      </w:r>
      <w:r>
        <w:t xml:space="preserve"> </w:t>
      </w:r>
      <w:r w:rsidRPr="001B7D2E">
        <w:t xml:space="preserve">mental </w:t>
      </w:r>
      <w:r w:rsidRPr="001B7D2E">
        <w:lastRenderedPageBreak/>
        <w:t>health legislation</w:t>
      </w:r>
      <w:r w:rsidR="00425F1C">
        <w:rPr>
          <w:rStyle w:val="FootnoteReference"/>
        </w:rPr>
        <w:footnoteReference w:id="8"/>
      </w:r>
      <w:r w:rsidRPr="001B7D2E">
        <w:t>. The following passage from Perceval is an edited version of that which</w:t>
      </w:r>
      <w:r>
        <w:t xml:space="preserve"> </w:t>
      </w:r>
      <w:r w:rsidRPr="001B7D2E">
        <w:t>prefaces the report:</w:t>
      </w:r>
    </w:p>
    <w:p w:rsidR="001B7D2E" w:rsidRPr="001B7D2E" w:rsidRDefault="001B7D2E" w:rsidP="001B7D2E">
      <w:r w:rsidRPr="001B7D2E">
        <w:rPr>
          <w:i/>
          <w:iCs/>
        </w:rPr>
        <w:t xml:space="preserve">Instead of my understanding being addressed... I was… </w:t>
      </w:r>
      <w:r w:rsidRPr="001B7D2E">
        <w:rPr>
          <w:b/>
          <w:bCs/>
          <w:i/>
          <w:iCs/>
        </w:rPr>
        <w:t>placed amongst strangers</w:t>
      </w:r>
      <w:r w:rsidRPr="001B7D2E">
        <w:rPr>
          <w:i/>
          <w:iCs/>
        </w:rPr>
        <w:t>, without introduction,</w:t>
      </w:r>
      <w:r>
        <w:rPr>
          <w:i/>
          <w:iCs/>
        </w:rPr>
        <w:t xml:space="preserve"> </w:t>
      </w:r>
      <w:r w:rsidRPr="001B7D2E">
        <w:rPr>
          <w:i/>
          <w:iCs/>
        </w:rPr>
        <w:t>explanation or exhortation. Instead of great scrupulousness being observed in depriving me of my liberty or</w:t>
      </w:r>
      <w:r>
        <w:rPr>
          <w:i/>
          <w:iCs/>
        </w:rPr>
        <w:t xml:space="preserve"> </w:t>
      </w:r>
      <w:r w:rsidRPr="001B7D2E">
        <w:rPr>
          <w:i/>
          <w:iCs/>
        </w:rPr>
        <w:t>privilege, and of the exercise of so much choice and judgment as might be conceded to me with safety – on</w:t>
      </w:r>
      <w:r>
        <w:rPr>
          <w:i/>
          <w:iCs/>
        </w:rPr>
        <w:t xml:space="preserve"> </w:t>
      </w:r>
      <w:r w:rsidRPr="001B7D2E">
        <w:rPr>
          <w:i/>
          <w:iCs/>
        </w:rPr>
        <w:t>the just ground, that for the safety of society my most valuable rights were already taken away – on every</w:t>
      </w:r>
      <w:r>
        <w:rPr>
          <w:i/>
          <w:iCs/>
        </w:rPr>
        <w:t xml:space="preserve"> </w:t>
      </w:r>
      <w:r w:rsidRPr="001B7D2E">
        <w:rPr>
          <w:i/>
          <w:iCs/>
        </w:rPr>
        <w:t>occasion ... the assumed premise immediately acted upon was that ... my few remaining privileges to be</w:t>
      </w:r>
      <w:r>
        <w:rPr>
          <w:i/>
          <w:iCs/>
        </w:rPr>
        <w:t xml:space="preserve"> </w:t>
      </w:r>
      <w:r w:rsidRPr="001B7D2E">
        <w:rPr>
          <w:i/>
          <w:iCs/>
        </w:rPr>
        <w:t>infringed upon for the convenience of others. Yet I was in a state of mind not likely to acknowledge even</w:t>
      </w:r>
      <w:r>
        <w:rPr>
          <w:i/>
          <w:iCs/>
        </w:rPr>
        <w:t xml:space="preserve"> </w:t>
      </w:r>
      <w:r w:rsidRPr="001B7D2E">
        <w:rPr>
          <w:i/>
          <w:iCs/>
        </w:rPr>
        <w:t>the justice of my confinement…and jealous of any further invasion of my natural and social rights; but this</w:t>
      </w:r>
      <w:r>
        <w:rPr>
          <w:i/>
          <w:iCs/>
        </w:rPr>
        <w:t xml:space="preserve"> </w:t>
      </w:r>
      <w:r w:rsidRPr="001B7D2E">
        <w:rPr>
          <w:i/>
          <w:iCs/>
        </w:rPr>
        <w:t>was a matter that never entered into their consideration</w:t>
      </w:r>
      <w:r w:rsidR="003F5EE8">
        <w:rPr>
          <w:rStyle w:val="FootnoteReference"/>
          <w:i/>
          <w:iCs/>
        </w:rPr>
        <w:footnoteReference w:id="9"/>
      </w:r>
      <w:r w:rsidRPr="001B7D2E">
        <w:t>.</w:t>
      </w:r>
    </w:p>
    <w:p w:rsidR="001B7D2E" w:rsidRDefault="001B7D2E" w:rsidP="001B7D2E">
      <w:r w:rsidRPr="001B7D2E">
        <w:t>In many ways the core themes of the Tenth Biennial Report are encapsulated in that statement.</w:t>
      </w:r>
      <w:r>
        <w:t xml:space="preserve"> </w:t>
      </w:r>
      <w:r w:rsidRPr="001B7D2E">
        <w:t>Noting the disempowerment of being forcibly removed into the company of others that is</w:t>
      </w:r>
      <w:r>
        <w:t xml:space="preserve"> </w:t>
      </w:r>
      <w:r w:rsidRPr="001B7D2E">
        <w:t>common to all detained psychiatric patients, Perceval complains that he is not involved in any</w:t>
      </w:r>
      <w:r>
        <w:t xml:space="preserve"> </w:t>
      </w:r>
      <w:r w:rsidRPr="001B7D2E">
        <w:t>decisions about his care and treatment, and uses the language of rights to set out his objections.</w:t>
      </w:r>
      <w:r>
        <w:t xml:space="preserve"> </w:t>
      </w:r>
      <w:r w:rsidRPr="001B7D2E">
        <w:t>However much we may think that healthcare for the mentally disordered has ‘moved on’ from</w:t>
      </w:r>
      <w:r>
        <w:t xml:space="preserve"> </w:t>
      </w:r>
      <w:r w:rsidRPr="001B7D2E">
        <w:t>Perceval’s time, his words still describe the task of real ‘modernisation’ that has yet to be achieved.</w:t>
      </w:r>
    </w:p>
    <w:p w:rsidR="00425F1C" w:rsidRPr="001B7D2E" w:rsidRDefault="00425F1C" w:rsidP="001B7D2E"/>
    <w:p w:rsidR="001B7D2E" w:rsidRPr="001B7D2E" w:rsidRDefault="001B7D2E" w:rsidP="001B7D2E">
      <w:pPr>
        <w:rPr>
          <w:b/>
          <w:bCs/>
        </w:rPr>
      </w:pPr>
      <w:r w:rsidRPr="001B7D2E">
        <w:rPr>
          <w:b/>
          <w:bCs/>
        </w:rPr>
        <w:t>The human rights challenge to mental health service provision.</w:t>
      </w:r>
    </w:p>
    <w:p w:rsidR="001B7D2E" w:rsidRDefault="001B7D2E" w:rsidP="001B7D2E">
      <w:r w:rsidRPr="001B7D2E">
        <w:t>The Commission’s Ninth Biennial Report of 2001 was primarily addressed to mental health service</w:t>
      </w:r>
      <w:r w:rsidR="00425F1C">
        <w:t xml:space="preserve"> </w:t>
      </w:r>
      <w:r w:rsidRPr="001B7D2E">
        <w:t>providers and sought to contribute to a standards framework for the care and treatment of patients</w:t>
      </w:r>
      <w:r w:rsidR="00425F1C">
        <w:t xml:space="preserve"> </w:t>
      </w:r>
      <w:r w:rsidRPr="001B7D2E">
        <w:t>under the Act. We are pleased that many service providers continue to use the recommendations of</w:t>
      </w:r>
      <w:r w:rsidR="00425F1C">
        <w:t xml:space="preserve"> </w:t>
      </w:r>
      <w:r w:rsidRPr="001B7D2E">
        <w:t>that report in their own organisational risk assessments. Although about a third of the</w:t>
      </w:r>
      <w:r w:rsidR="00425F1C">
        <w:t xml:space="preserve"> </w:t>
      </w:r>
      <w:r w:rsidRPr="001B7D2E">
        <w:t>recommendations of the Tenth Biennial Report are similarly relevant to service providers, the</w:t>
      </w:r>
      <w:r w:rsidR="00425F1C">
        <w:t xml:space="preserve"> </w:t>
      </w:r>
      <w:r w:rsidRPr="001B7D2E">
        <w:t>report as a whole seeks to speak directly to Government and two-thirds of its recommendations are</w:t>
      </w:r>
      <w:r w:rsidR="00425F1C">
        <w:t xml:space="preserve"> </w:t>
      </w:r>
      <w:r w:rsidRPr="001B7D2E">
        <w:t>directly addressed to the Secretary of State for Health and his department. There are a number of</w:t>
      </w:r>
      <w:r w:rsidR="00425F1C">
        <w:t xml:space="preserve"> </w:t>
      </w:r>
      <w:r w:rsidRPr="001B7D2E">
        <w:t>reasons for this shift of emphasis, not least of which is the fact that, although the Commission’s</w:t>
      </w:r>
      <w:r w:rsidR="00425F1C">
        <w:t xml:space="preserve"> </w:t>
      </w:r>
      <w:r w:rsidRPr="001B7D2E">
        <w:t>Biennial Reports have a wide readership for which they serve a number of purposes, they are in the</w:t>
      </w:r>
      <w:r w:rsidR="00425F1C">
        <w:t xml:space="preserve"> </w:t>
      </w:r>
      <w:r w:rsidRPr="001B7D2E">
        <w:t>first instance reports to Government, required by law to be set before Parliament by the Secretary</w:t>
      </w:r>
      <w:r w:rsidR="00425F1C">
        <w:t xml:space="preserve"> </w:t>
      </w:r>
      <w:r w:rsidRPr="001B7D2E">
        <w:t>of State</w:t>
      </w:r>
      <w:r w:rsidR="003F5EE8">
        <w:rPr>
          <w:rStyle w:val="FootnoteReference"/>
        </w:rPr>
        <w:footnoteReference w:id="10"/>
      </w:r>
      <w:r w:rsidRPr="001B7D2E">
        <w:t>, and this report’s publication falls within the parliamentary session during which it is likely</w:t>
      </w:r>
      <w:r w:rsidR="00425F1C">
        <w:t xml:space="preserve"> </w:t>
      </w:r>
      <w:r w:rsidRPr="001B7D2E">
        <w:t>the Government will introduce the latest draft of the Mental Health Bill.</w:t>
      </w:r>
    </w:p>
    <w:p w:rsidR="00A17D60" w:rsidRPr="00A17D60" w:rsidRDefault="00A17D60" w:rsidP="00A17D60">
      <w:r w:rsidRPr="00A17D60">
        <w:t>The Commission takes the view that fostering a truly human rights based culture in the provision</w:t>
      </w:r>
      <w:r>
        <w:t xml:space="preserve"> </w:t>
      </w:r>
      <w:r w:rsidRPr="00A17D60">
        <w:t>of mental health services involving compulsion will require positive action led by Government.</w:t>
      </w:r>
      <w:r>
        <w:t xml:space="preserve"> </w:t>
      </w:r>
      <w:r w:rsidRPr="00A17D60">
        <w:t>The Human Rights Act 1998 has created a duty on all public authorities to operate their powers</w:t>
      </w:r>
      <w:r>
        <w:t xml:space="preserve"> </w:t>
      </w:r>
      <w:r w:rsidRPr="00A17D60">
        <w:lastRenderedPageBreak/>
        <w:t>according to the principles and specific articles of the European Convention of Human Rights</w:t>
      </w:r>
      <w:r>
        <w:t xml:space="preserve"> </w:t>
      </w:r>
      <w:r w:rsidRPr="00A17D60">
        <w:t>(ECHR)</w:t>
      </w:r>
      <w:r>
        <w:rPr>
          <w:rStyle w:val="FootnoteReference"/>
        </w:rPr>
        <w:footnoteReference w:id="11"/>
      </w:r>
      <w:r w:rsidRPr="00A17D60">
        <w:t>. As a number of other bodies have already reported, including Parliament’s own Joint</w:t>
      </w:r>
      <w:r>
        <w:t xml:space="preserve"> </w:t>
      </w:r>
      <w:r w:rsidRPr="00A17D60">
        <w:t>Committee on Human Rights (which took evidence from the Mental Health Act Commission),</w:t>
      </w:r>
      <w:r>
        <w:t xml:space="preserve"> </w:t>
      </w:r>
      <w:r w:rsidRPr="00A17D60">
        <w:t>insofar as this requires public authorities to be pro-active in their development of services that</w:t>
      </w:r>
      <w:r>
        <w:t xml:space="preserve"> </w:t>
      </w:r>
      <w:r w:rsidRPr="00A17D60">
        <w:t>promote human rights principles, the 1998 Act has only partially been implemented, and, without</w:t>
      </w:r>
      <w:r>
        <w:t xml:space="preserve"> </w:t>
      </w:r>
      <w:r w:rsidRPr="00A17D60">
        <w:t>intervention, the high-water mark of its effect in this respect may have been passed</w:t>
      </w:r>
      <w:r>
        <w:rPr>
          <w:rStyle w:val="FootnoteReference"/>
        </w:rPr>
        <w:footnoteReference w:id="12"/>
      </w:r>
      <w:r w:rsidRPr="00A17D60">
        <w:t>.</w:t>
      </w:r>
    </w:p>
    <w:p w:rsidR="00A17D60" w:rsidRPr="00A17D60" w:rsidRDefault="00A17D60" w:rsidP="00A17D60">
      <w:r w:rsidRPr="00A17D60">
        <w:t>The Commission notes that the thrust of Government policy appears to be that health and social</w:t>
      </w:r>
      <w:r>
        <w:t xml:space="preserve"> </w:t>
      </w:r>
      <w:r w:rsidRPr="00A17D60">
        <w:t>authorities should become more locally accountable, and that this implies a lessening of</w:t>
      </w:r>
      <w:r>
        <w:t xml:space="preserve"> </w:t>
      </w:r>
      <w:r w:rsidRPr="00A17D60">
        <w:t>prescriptive guidance from central government. We agree with the aim of encouraging nursing,</w:t>
      </w:r>
      <w:r>
        <w:t xml:space="preserve"> </w:t>
      </w:r>
      <w:r w:rsidRPr="00A17D60">
        <w:t>psychology and other professional leadership, and the fostering of grassroots pioneers in local</w:t>
      </w:r>
      <w:r>
        <w:t xml:space="preserve"> </w:t>
      </w:r>
      <w:r w:rsidRPr="00A17D60">
        <w:t>services, to revitalise the notion of human rights as positive entitlements that are considered on a</w:t>
      </w:r>
      <w:r>
        <w:t xml:space="preserve"> </w:t>
      </w:r>
      <w:r w:rsidRPr="00A17D60">
        <w:t>day-to-day level in service development. But, particularly in relation to the restriction of</w:t>
      </w:r>
      <w:r>
        <w:t xml:space="preserve"> </w:t>
      </w:r>
      <w:r w:rsidRPr="00A17D60">
        <w:t>fundamental human rights as a health or safety measure on the authority of the State, the</w:t>
      </w:r>
      <w:r>
        <w:t xml:space="preserve"> </w:t>
      </w:r>
      <w:r w:rsidRPr="00A17D60">
        <w:t xml:space="preserve">Commission views any divestiture of </w:t>
      </w:r>
      <w:r w:rsidRPr="00A17D60">
        <w:rPr>
          <w:i/>
          <w:iCs/>
        </w:rPr>
        <w:t xml:space="preserve">responsibility </w:t>
      </w:r>
      <w:r w:rsidRPr="00A17D60">
        <w:t>by Government as inappropriate, both in legal</w:t>
      </w:r>
      <w:r>
        <w:t xml:space="preserve"> </w:t>
      </w:r>
      <w:r w:rsidRPr="00A17D60">
        <w:t>terms and in a wider ethical sense. For practitioners to attain the confidence to move beyond a</w:t>
      </w:r>
      <w:r>
        <w:t xml:space="preserve"> </w:t>
      </w:r>
      <w:r w:rsidRPr="00A17D60">
        <w:t>defensive approach to human rights they must have the support of adequate and authoritative</w:t>
      </w:r>
      <w:r>
        <w:t xml:space="preserve"> </w:t>
      </w:r>
      <w:r w:rsidRPr="00A17D60">
        <w:t>guidance on legal and practice issues. The Commission believes it to be the task of Government,</w:t>
      </w:r>
      <w:r>
        <w:t xml:space="preserve"> </w:t>
      </w:r>
      <w:r w:rsidRPr="00A17D60">
        <w:t>in addition to ensuring that the legal framework provides the certainty and transparency required</w:t>
      </w:r>
      <w:r>
        <w:t xml:space="preserve"> </w:t>
      </w:r>
      <w:r w:rsidRPr="00A17D60">
        <w:t>to meet ECHR principles, to provide such guidance.</w:t>
      </w:r>
    </w:p>
    <w:p w:rsidR="00A17D60" w:rsidRPr="00A17D60" w:rsidRDefault="00A17D60" w:rsidP="00A17D60">
      <w:r w:rsidRPr="00A17D60">
        <w:t>During the writing of the Commission’s report, these issues were tested by the Court of Appeal.</w:t>
      </w:r>
      <w:r>
        <w:t xml:space="preserve"> </w:t>
      </w:r>
      <w:r w:rsidRPr="00A17D60">
        <w:t xml:space="preserve">The cases of </w:t>
      </w:r>
      <w:r w:rsidRPr="00A17D60">
        <w:rPr>
          <w:i/>
          <w:iCs/>
        </w:rPr>
        <w:t xml:space="preserve">R (on the application of Colonel </w:t>
      </w:r>
      <w:proofErr w:type="spellStart"/>
      <w:r w:rsidRPr="00A17D60">
        <w:rPr>
          <w:i/>
          <w:iCs/>
        </w:rPr>
        <w:t>Munjaz</w:t>
      </w:r>
      <w:proofErr w:type="spellEnd"/>
      <w:r w:rsidRPr="00A17D60">
        <w:rPr>
          <w:i/>
          <w:iCs/>
        </w:rPr>
        <w:t xml:space="preserve">) v Mersey Care NHS Trust &amp; Another </w:t>
      </w:r>
      <w:r w:rsidRPr="00A17D60">
        <w:t>and</w:t>
      </w:r>
      <w:r>
        <w:t xml:space="preserve"> </w:t>
      </w:r>
      <w:r w:rsidRPr="00A17D60">
        <w:rPr>
          <w:i/>
          <w:iCs/>
        </w:rPr>
        <w:t>S v Airedale NHS Trust</w:t>
      </w:r>
      <w:r>
        <w:rPr>
          <w:rStyle w:val="FootnoteReference"/>
          <w:i/>
          <w:iCs/>
        </w:rPr>
        <w:footnoteReference w:id="13"/>
      </w:r>
      <w:r w:rsidRPr="00A17D60">
        <w:t xml:space="preserve"> underlined the State’s general responsibility for the treatment of those</w:t>
      </w:r>
      <w:r>
        <w:t xml:space="preserve"> </w:t>
      </w:r>
      <w:r w:rsidRPr="00A17D60">
        <w:t xml:space="preserve">whom it has deprived of their liberty, as mentioned above. The </w:t>
      </w:r>
      <w:proofErr w:type="spellStart"/>
      <w:r w:rsidRPr="00A17D60">
        <w:rPr>
          <w:i/>
          <w:iCs/>
        </w:rPr>
        <w:t>Munjaz</w:t>
      </w:r>
      <w:proofErr w:type="spellEnd"/>
      <w:r w:rsidRPr="00A17D60">
        <w:rPr>
          <w:i/>
          <w:iCs/>
        </w:rPr>
        <w:t xml:space="preserve"> </w:t>
      </w:r>
      <w:r w:rsidRPr="00A17D60">
        <w:t>judgment was based upon</w:t>
      </w:r>
      <w:r>
        <w:t xml:space="preserve"> </w:t>
      </w:r>
      <w:r w:rsidRPr="00A17D60">
        <w:t>the determination that the State is under a requirement to know enough about those it detains to</w:t>
      </w:r>
      <w:r>
        <w:t xml:space="preserve"> </w:t>
      </w:r>
      <w:r w:rsidRPr="00A17D60">
        <w:t>afford them protection, and that the law allowing such detention must have transparency and</w:t>
      </w:r>
      <w:r>
        <w:t xml:space="preserve"> </w:t>
      </w:r>
      <w:r w:rsidRPr="00A17D60">
        <w:t>predictability in its results, so as to avoid arbitrary use of powers and the disproportionate</w:t>
      </w:r>
      <w:r>
        <w:t xml:space="preserve"> </w:t>
      </w:r>
      <w:r w:rsidRPr="00A17D60">
        <w:t>infringement of human rights. Where the law is insufficiently clear (as in the case of seclusion</w:t>
      </w:r>
      <w:r>
        <w:t xml:space="preserve"> </w:t>
      </w:r>
      <w:r w:rsidRPr="00A17D60">
        <w:t>powers, which are nowhere mentioned explicitly in the 1983 Act), the judgment ruled that guidance</w:t>
      </w:r>
      <w:r>
        <w:t xml:space="preserve"> </w:t>
      </w:r>
      <w:r w:rsidRPr="00A17D60">
        <w:t>such as that provided by the Government in its Code of Practice must be read as providing the</w:t>
      </w:r>
      <w:r>
        <w:t xml:space="preserve"> </w:t>
      </w:r>
      <w:r w:rsidRPr="00A17D60">
        <w:t>necessary clarity for such powers</w:t>
      </w:r>
      <w:r>
        <w:rPr>
          <w:rStyle w:val="FootnoteReference"/>
        </w:rPr>
        <w:footnoteReference w:id="14"/>
      </w:r>
      <w:r w:rsidRPr="00A17D60">
        <w:t>, and that the State, having provided guidance on the use of its</w:t>
      </w:r>
      <w:r>
        <w:t xml:space="preserve"> </w:t>
      </w:r>
      <w:r w:rsidRPr="00A17D60">
        <w:t>powers to persons acting under its authority, must afford that guidance a status consistent with its</w:t>
      </w:r>
      <w:r>
        <w:t xml:space="preserve"> </w:t>
      </w:r>
      <w:r w:rsidRPr="00A17D60">
        <w:t>purpose</w:t>
      </w:r>
      <w:r>
        <w:rPr>
          <w:rStyle w:val="FootnoteReference"/>
        </w:rPr>
        <w:footnoteReference w:id="15"/>
      </w:r>
      <w:r w:rsidRPr="00A17D60">
        <w:t>. The immediate effect of this ruling was to raise the legal profile of the Code of Practice,</w:t>
      </w:r>
      <w:r>
        <w:t xml:space="preserve"> </w:t>
      </w:r>
      <w:r w:rsidRPr="00A17D60">
        <w:t>in that practices that are not consistent with its guidance may fail ECHR requirements and be</w:t>
      </w:r>
      <w:r>
        <w:t xml:space="preserve"> </w:t>
      </w:r>
      <w:r w:rsidRPr="00A17D60">
        <w:t>unlawful on such grounds. Practitioners are now required to follow the Code of Practice guidance</w:t>
      </w:r>
      <w:r>
        <w:t xml:space="preserve"> </w:t>
      </w:r>
      <w:r w:rsidRPr="00A17D60">
        <w:t>unless they have good reasons not to do so based upon the clinical need of the patient concerned</w:t>
      </w:r>
      <w:r w:rsidR="00241822">
        <w:rPr>
          <w:rStyle w:val="FootnoteReference"/>
        </w:rPr>
        <w:footnoteReference w:id="16"/>
      </w:r>
      <w:r w:rsidRPr="00A17D60">
        <w:t>.</w:t>
      </w:r>
      <w:r>
        <w:t xml:space="preserve"> </w:t>
      </w:r>
      <w:r w:rsidRPr="00A17D60">
        <w:t xml:space="preserve">In the </w:t>
      </w:r>
      <w:r w:rsidRPr="00A17D60">
        <w:lastRenderedPageBreak/>
        <w:t>longer term, the ruling has perhaps set a precedent regarding governmental responsibilities</w:t>
      </w:r>
      <w:r>
        <w:t xml:space="preserve"> </w:t>
      </w:r>
      <w:r w:rsidRPr="00A17D60">
        <w:t>that will be seen as a landmark human rights case.</w:t>
      </w:r>
    </w:p>
    <w:p w:rsidR="00A17D60" w:rsidRPr="00A17D60" w:rsidRDefault="00A17D60" w:rsidP="00A17D60">
      <w:pPr>
        <w:rPr>
          <w:b/>
          <w:bCs/>
        </w:rPr>
      </w:pPr>
      <w:r w:rsidRPr="00A17D60">
        <w:rPr>
          <w:b/>
          <w:bCs/>
        </w:rPr>
        <w:t>Creating and maintaining a human rights focus in developing psychiatric services</w:t>
      </w:r>
    </w:p>
    <w:p w:rsidR="00A17D60" w:rsidRPr="00A17D60" w:rsidRDefault="00A17D60" w:rsidP="00A17D60">
      <w:r w:rsidRPr="00A17D60">
        <w:t>There remains much to do to bring about a psychiatric service that fully respects human rights</w:t>
      </w:r>
      <w:r>
        <w:t xml:space="preserve"> </w:t>
      </w:r>
      <w:r w:rsidRPr="00A17D60">
        <w:t>values. Patients are still compelled to reside on wards that are acknowledged by those responsible</w:t>
      </w:r>
      <w:r>
        <w:t xml:space="preserve"> </w:t>
      </w:r>
      <w:r w:rsidRPr="00A17D60">
        <w:t>for them to be substandard, frightening and even dangerous. The majority of patients who are</w:t>
      </w:r>
      <w:r>
        <w:t xml:space="preserve"> </w:t>
      </w:r>
      <w:r w:rsidRPr="00A17D60">
        <w:t>compelled to reside on such wards are subject to such compulsion for reasons of their own health</w:t>
      </w:r>
      <w:r>
        <w:t xml:space="preserve"> </w:t>
      </w:r>
      <w:r w:rsidRPr="00A17D60">
        <w:t>or safety. It seems possible that the courts will, at some point, accept a human rights-based</w:t>
      </w:r>
      <w:r>
        <w:t xml:space="preserve"> </w:t>
      </w:r>
      <w:r w:rsidRPr="00A17D60">
        <w:t>challenge to the lawfulness of such a detention on the grounds that the services provided under</w:t>
      </w:r>
      <w:r>
        <w:t xml:space="preserve"> </w:t>
      </w:r>
      <w:r w:rsidRPr="00A17D60">
        <w:t>compulsion have neither addressed nor provided for the health or safety of the patient concerned.</w:t>
      </w:r>
    </w:p>
    <w:p w:rsidR="00A17D60" w:rsidRPr="00A17D60" w:rsidRDefault="00A17D60" w:rsidP="00A17D60">
      <w:r w:rsidRPr="00A17D60">
        <w:t>The Commission understands and welcomes the apparent intention of Government to make</w:t>
      </w:r>
      <w:r>
        <w:t xml:space="preserve"> </w:t>
      </w:r>
      <w:r w:rsidRPr="00A17D60">
        <w:t>mental health care ‘a little less institutional and a little more diverse’ through the provision of</w:t>
      </w:r>
      <w:r>
        <w:t xml:space="preserve"> </w:t>
      </w:r>
      <w:r w:rsidRPr="00A17D60">
        <w:t>smaller inpatient units with closer links to the community</w:t>
      </w:r>
      <w:r w:rsidR="00241822">
        <w:rPr>
          <w:rStyle w:val="FootnoteReference"/>
        </w:rPr>
        <w:footnoteReference w:id="17"/>
      </w:r>
      <w:r w:rsidRPr="00A17D60">
        <w:t>. It is easy to see how such a service</w:t>
      </w:r>
      <w:r>
        <w:t xml:space="preserve"> </w:t>
      </w:r>
      <w:r w:rsidRPr="00A17D60">
        <w:t>could solve some of the most obvious problems inherent in acute inpatient care as presently</w:t>
      </w:r>
      <w:r>
        <w:t xml:space="preserve"> </w:t>
      </w:r>
      <w:r w:rsidRPr="00A17D60">
        <w:t>organised. There are, however, particular and perhaps obvious risks inherent in having physically</w:t>
      </w:r>
      <w:r>
        <w:t xml:space="preserve"> </w:t>
      </w:r>
      <w:r w:rsidRPr="00A17D60">
        <w:t>decentralised structures of smaller inpatient units operating powers of compulsion on behalf of</w:t>
      </w:r>
      <w:r>
        <w:t xml:space="preserve"> </w:t>
      </w:r>
      <w:r w:rsidRPr="00A17D60">
        <w:t>the State. One such risk is the spreading of available medical and other expertise too thinly, so that</w:t>
      </w:r>
      <w:r>
        <w:t xml:space="preserve"> </w:t>
      </w:r>
      <w:r w:rsidRPr="00A17D60">
        <w:t>no inpatient units could realistically have immediate access to a doctor when emergencies arise.</w:t>
      </w:r>
      <w:r>
        <w:t xml:space="preserve"> </w:t>
      </w:r>
      <w:r w:rsidRPr="00A17D60">
        <w:t>Where patients are detained for their own safety, this may raise a similar ethical and potential legal</w:t>
      </w:r>
      <w:r>
        <w:t xml:space="preserve"> </w:t>
      </w:r>
      <w:r w:rsidRPr="00A17D60">
        <w:t>dilemma to that faced by mental health professionals whose admission wards fall below acceptable</w:t>
      </w:r>
      <w:r>
        <w:t xml:space="preserve"> </w:t>
      </w:r>
      <w:r w:rsidRPr="00A17D60">
        <w:t>standards under the current system. Under the proposals for future legislation, the increased</w:t>
      </w:r>
      <w:r>
        <w:t xml:space="preserve"> </w:t>
      </w:r>
      <w:r w:rsidRPr="00A17D60">
        <w:t>demands on medical staff posed by the Tribunal system may exacerbate these difficulties at a time</w:t>
      </w:r>
      <w:r>
        <w:t xml:space="preserve"> </w:t>
      </w:r>
      <w:r w:rsidRPr="00A17D60">
        <w:t>when ‘legalism’ and ‘</w:t>
      </w:r>
      <w:proofErr w:type="spellStart"/>
      <w:r w:rsidRPr="00A17D60">
        <w:t>clinicalism</w:t>
      </w:r>
      <w:proofErr w:type="spellEnd"/>
      <w:r w:rsidRPr="00A17D60">
        <w:t>’ are likely to come increasingly into conflict.</w:t>
      </w:r>
    </w:p>
    <w:p w:rsidR="00A17D60" w:rsidRDefault="00A17D60" w:rsidP="00A17D60">
      <w:r w:rsidRPr="00A17D60">
        <w:t>A less obvious risk of decentralised structures, and indeed the potential converse of positive</w:t>
      </w:r>
      <w:r>
        <w:t xml:space="preserve"> </w:t>
      </w:r>
      <w:r w:rsidRPr="00A17D60">
        <w:t>attempts to make the provision of mental health services ‘patient-centred’, is what a “less</w:t>
      </w:r>
      <w:r>
        <w:t xml:space="preserve"> </w:t>
      </w:r>
      <w:r w:rsidRPr="00A17D60">
        <w:t>institutional” framework could mean for the practice of compulsion. The danger of emphasising the</w:t>
      </w:r>
      <w:r>
        <w:t xml:space="preserve"> </w:t>
      </w:r>
      <w:r w:rsidRPr="00A17D60">
        <w:t>need for less formal structures of care is that these may disguise or detract from underlying realities</w:t>
      </w:r>
      <w:r>
        <w:t xml:space="preserve"> </w:t>
      </w:r>
      <w:r w:rsidRPr="00A17D60">
        <w:t>of coercion. Throughout its existence, the Commission has expressed its concern over patients who,</w:t>
      </w:r>
      <w:r>
        <w:t xml:space="preserve"> </w:t>
      </w:r>
      <w:r w:rsidRPr="00A17D60">
        <w:t>under current mental health legislation, are “</w:t>
      </w:r>
      <w:r w:rsidRPr="00A17D60">
        <w:rPr>
          <w:i/>
          <w:iCs/>
        </w:rPr>
        <w:t>de facto</w:t>
      </w:r>
      <w:r w:rsidRPr="00A17D60">
        <w:t>” detained in hospitals with none of the</w:t>
      </w:r>
      <w:r>
        <w:t xml:space="preserve"> </w:t>
      </w:r>
      <w:r w:rsidRPr="00A17D60">
        <w:t>protections of the law, including Commission oversight and monitoring. We have similar concerns</w:t>
      </w:r>
      <w:r>
        <w:t xml:space="preserve"> </w:t>
      </w:r>
      <w:r w:rsidRPr="00A17D60">
        <w:t>that, under envisaged structures of mental health care, and in the absence of sufficient central</w:t>
      </w:r>
      <w:r>
        <w:t xml:space="preserve"> </w:t>
      </w:r>
      <w:r w:rsidRPr="00A17D60">
        <w:t>guidance and monitoring, laudable aims of less formality with greater immediacy of response and</w:t>
      </w:r>
      <w:r>
        <w:t xml:space="preserve"> </w:t>
      </w:r>
      <w:r w:rsidRPr="00A17D60">
        <w:t>availability of appropriate care could lead, in practice, to the casual and unregulated application of</w:t>
      </w:r>
      <w:r>
        <w:t xml:space="preserve"> </w:t>
      </w:r>
      <w:r w:rsidRPr="00A17D60">
        <w:t>powers of coercion. We believe that this would increase the dangers to patients, not only of arbitrary</w:t>
      </w:r>
      <w:r>
        <w:t xml:space="preserve"> </w:t>
      </w:r>
      <w:r w:rsidRPr="00A17D60">
        <w:t>and unfair interference with their rights, but of dangerous or potentially abusive practice</w:t>
      </w:r>
      <w:r w:rsidR="00241822">
        <w:rPr>
          <w:rStyle w:val="FootnoteReference"/>
        </w:rPr>
        <w:footnoteReference w:id="18"/>
      </w:r>
      <w:r w:rsidRPr="00A17D60">
        <w:t>.</w:t>
      </w:r>
    </w:p>
    <w:p w:rsidR="00241822" w:rsidRDefault="00241822" w:rsidP="00A17D60"/>
    <w:p w:rsidR="00241822" w:rsidRPr="00241822" w:rsidRDefault="00241822" w:rsidP="00241822">
      <w:pPr>
        <w:rPr>
          <w:b/>
          <w:bCs/>
        </w:rPr>
      </w:pPr>
      <w:r w:rsidRPr="00241822">
        <w:rPr>
          <w:b/>
          <w:bCs/>
        </w:rPr>
        <w:t>A human rights culture in the coercion of psychiatric patients</w:t>
      </w:r>
    </w:p>
    <w:p w:rsidR="00241822" w:rsidRPr="00241822" w:rsidRDefault="00241822" w:rsidP="00241822">
      <w:r w:rsidRPr="00241822">
        <w:lastRenderedPageBreak/>
        <w:t>The Commission acknowledges that a culture of human rights cannot be imposed upon services</w:t>
      </w:r>
      <w:r>
        <w:t xml:space="preserve"> </w:t>
      </w:r>
      <w:r w:rsidRPr="00241822">
        <w:t>from above, but that Government nevertheless has an essential role in establishing the boundaries</w:t>
      </w:r>
      <w:r>
        <w:t xml:space="preserve"> </w:t>
      </w:r>
      <w:r w:rsidRPr="00241822">
        <w:t xml:space="preserve">within which services work. By establishing such </w:t>
      </w:r>
      <w:proofErr w:type="gramStart"/>
      <w:r w:rsidRPr="00241822">
        <w:t>ground-rules,</w:t>
      </w:r>
      <w:proofErr w:type="gramEnd"/>
      <w:r w:rsidRPr="00241822">
        <w:t xml:space="preserve"> and by doing so with a particular</w:t>
      </w:r>
      <w:r>
        <w:t xml:space="preserve"> </w:t>
      </w:r>
      <w:r w:rsidRPr="00241822">
        <w:t>regard to human rights issues, Government can at least partially fulfil its obligation to ensure that</w:t>
      </w:r>
      <w:r>
        <w:t xml:space="preserve"> </w:t>
      </w:r>
      <w:r w:rsidRPr="00241822">
        <w:t>powers used in its name are implemented in accordance with principles of the European</w:t>
      </w:r>
      <w:r>
        <w:t xml:space="preserve"> </w:t>
      </w:r>
      <w:r w:rsidRPr="00241822">
        <w:t>Convention.</w:t>
      </w:r>
    </w:p>
    <w:p w:rsidR="00241822" w:rsidRPr="00241822" w:rsidRDefault="00241822" w:rsidP="00241822">
      <w:r w:rsidRPr="00241822">
        <w:t>Clearly, one consequence of this argument is the Commission’s view that the next Mental Health</w:t>
      </w:r>
      <w:r>
        <w:t xml:space="preserve"> </w:t>
      </w:r>
      <w:r w:rsidRPr="00241822">
        <w:t>Act needs to be clearer in its aims and thresholds for compulsion than was evident from the draft</w:t>
      </w:r>
      <w:r>
        <w:t xml:space="preserve"> </w:t>
      </w:r>
      <w:r w:rsidRPr="00241822">
        <w:t>Bill published in 2002. The Commission argues for the next draft of future mental health law to</w:t>
      </w:r>
      <w:r>
        <w:t xml:space="preserve"> </w:t>
      </w:r>
      <w:r w:rsidRPr="00241822">
        <w:t>express principles of use explicitly on the face of primary legislation. We continue to press for</w:t>
      </w:r>
      <w:r>
        <w:t xml:space="preserve"> </w:t>
      </w:r>
      <w:r w:rsidRPr="00241822">
        <w:t>more clarity about specific powers and duties provided by the law. We would like, for example, to</w:t>
      </w:r>
      <w:r>
        <w:t xml:space="preserve"> </w:t>
      </w:r>
      <w:r w:rsidRPr="00241822">
        <w:t>see statutory regulation of complex areas of patient management (including seclusion and</w:t>
      </w:r>
      <w:r>
        <w:t xml:space="preserve"> </w:t>
      </w:r>
      <w:r w:rsidRPr="00241822">
        <w:t>restraint). We call for the judiciary’s recent reading of the status of a Mental Health Act Code of</w:t>
      </w:r>
      <w:r>
        <w:t xml:space="preserve"> </w:t>
      </w:r>
      <w:r w:rsidRPr="00241822">
        <w:t>Practice</w:t>
      </w:r>
      <w:r w:rsidR="00A237A2">
        <w:rPr>
          <w:rStyle w:val="FootnoteReference"/>
        </w:rPr>
        <w:footnoteReference w:id="19"/>
      </w:r>
      <w:r w:rsidRPr="00241822">
        <w:t xml:space="preserve"> to be protected through primary legislation.</w:t>
      </w:r>
    </w:p>
    <w:p w:rsidR="00241822" w:rsidRPr="00241822" w:rsidRDefault="00241822" w:rsidP="00241822">
      <w:r w:rsidRPr="00241822">
        <w:t>The Commission’s report centres, of course, on our findings in relation to the exercise of the</w:t>
      </w:r>
      <w:r w:rsidR="00A237A2">
        <w:t xml:space="preserve"> </w:t>
      </w:r>
      <w:r w:rsidRPr="00241822">
        <w:t>current law. Trends of use in the Act over the last twenty years are examined, and areas of current</w:t>
      </w:r>
      <w:r w:rsidR="00A237A2">
        <w:t xml:space="preserve"> </w:t>
      </w:r>
      <w:r w:rsidRPr="00241822">
        <w:t>law are identified as insufficiently clear, requiring action or guidance from Government. We note</w:t>
      </w:r>
      <w:r w:rsidR="00A237A2">
        <w:t xml:space="preserve"> </w:t>
      </w:r>
      <w:r w:rsidRPr="00241822">
        <w:t>for example that the use of section 3 has increased rapidly over the last ten years at the ‘expense’</w:t>
      </w:r>
      <w:r w:rsidR="00A237A2">
        <w:t xml:space="preserve"> </w:t>
      </w:r>
      <w:r w:rsidRPr="00241822">
        <w:t>of section 2, and that there appears to have been a rise in the use of emergency admissions during</w:t>
      </w:r>
      <w:r w:rsidR="00A237A2">
        <w:t xml:space="preserve"> </w:t>
      </w:r>
      <w:r w:rsidRPr="00241822">
        <w:t>the last four years, following a long period in which the use of section 4 fell steadily. We also note</w:t>
      </w:r>
      <w:r w:rsidR="00A237A2">
        <w:t xml:space="preserve"> </w:t>
      </w:r>
      <w:r w:rsidRPr="00241822">
        <w:t>the rise in second opinions to some 9,000 per annum, of which 3% (five patients per week) result</w:t>
      </w:r>
      <w:r w:rsidR="00A237A2">
        <w:t xml:space="preserve"> </w:t>
      </w:r>
      <w:r w:rsidRPr="00241822">
        <w:t>in a significant change to the care plan under consideration.</w:t>
      </w:r>
    </w:p>
    <w:p w:rsidR="00241822" w:rsidRDefault="00241822" w:rsidP="00241822">
      <w:r w:rsidRPr="00241822">
        <w:t>We particularly call upon Government to address outstanding incompatibilities that have been</w:t>
      </w:r>
      <w:r w:rsidR="00A237A2">
        <w:t xml:space="preserve"> </w:t>
      </w:r>
      <w:r w:rsidRPr="00241822">
        <w:t>declared between the Mental Health Act 1983 and the Human Rights Act 1998, and not to leave</w:t>
      </w:r>
      <w:r w:rsidR="00A237A2">
        <w:t xml:space="preserve"> </w:t>
      </w:r>
      <w:r w:rsidRPr="00241822">
        <w:t>these to the uncertainties of a future legislative programme. We applaud Government initiatives in</w:t>
      </w:r>
      <w:r w:rsidR="00A237A2">
        <w:t xml:space="preserve"> </w:t>
      </w:r>
      <w:r w:rsidRPr="00241822">
        <w:t>addressing inequalities in service provision to Black and minority ethnic patients, women and</w:t>
      </w:r>
      <w:r w:rsidR="00A237A2">
        <w:t xml:space="preserve"> </w:t>
      </w:r>
      <w:r w:rsidRPr="00241822">
        <w:t>children, but urge continued effort in respect of these and other specific groups of patients who</w:t>
      </w:r>
      <w:r w:rsidR="00A237A2">
        <w:t xml:space="preserve"> </w:t>
      </w:r>
      <w:r w:rsidRPr="00241822">
        <w:t>are additionally vulnerable in psychiatric services. We urge Government to allow flexibility in the</w:t>
      </w:r>
      <w:r w:rsidR="00A237A2">
        <w:t xml:space="preserve"> </w:t>
      </w:r>
      <w:r w:rsidRPr="00241822">
        <w:t>implementation of its current and future Security Directions in relation to high secure care, and</w:t>
      </w:r>
      <w:r w:rsidR="00A237A2">
        <w:t xml:space="preserve"> </w:t>
      </w:r>
      <w:r w:rsidRPr="00241822">
        <w:t>suggest that, in not doing so at present, Government is at risk of legal challenge based upon clear</w:t>
      </w:r>
      <w:r w:rsidR="00A237A2">
        <w:t xml:space="preserve"> </w:t>
      </w:r>
      <w:r w:rsidRPr="00241822">
        <w:t>precedents in case law</w:t>
      </w:r>
      <w:r w:rsidR="00A237A2">
        <w:rPr>
          <w:rStyle w:val="FootnoteReference"/>
        </w:rPr>
        <w:footnoteReference w:id="20"/>
      </w:r>
      <w:r w:rsidRPr="00241822">
        <w:t>.</w:t>
      </w:r>
    </w:p>
    <w:p w:rsidR="00A237A2" w:rsidRDefault="00A237A2" w:rsidP="00241822"/>
    <w:p w:rsidR="00A237A2" w:rsidRPr="00A237A2" w:rsidRDefault="00A237A2" w:rsidP="00A237A2">
      <w:pPr>
        <w:rPr>
          <w:b/>
          <w:bCs/>
        </w:rPr>
      </w:pPr>
      <w:r w:rsidRPr="00A237A2">
        <w:rPr>
          <w:b/>
          <w:bCs/>
        </w:rPr>
        <w:t>Psychiatric services and the ‘choice’ agenda of Government reform</w:t>
      </w:r>
    </w:p>
    <w:p w:rsidR="00A237A2" w:rsidRPr="00A237A2" w:rsidRDefault="00A237A2" w:rsidP="00A237A2">
      <w:r w:rsidRPr="00A237A2">
        <w:t>The current emphasis by Government on patient choice and participation in care has inherent</w:t>
      </w:r>
      <w:r>
        <w:t xml:space="preserve"> </w:t>
      </w:r>
      <w:r w:rsidRPr="00A237A2">
        <w:t>dangers for those patients who are subject to compulsory care and treatment under mental health</w:t>
      </w:r>
      <w:r>
        <w:t xml:space="preserve"> </w:t>
      </w:r>
      <w:r w:rsidRPr="00A237A2">
        <w:t>legislation. Patients who are denied choice in whether to engage with services – or when to</w:t>
      </w:r>
      <w:r>
        <w:t xml:space="preserve"> </w:t>
      </w:r>
      <w:r w:rsidRPr="00A237A2">
        <w:t>disengage with them – are disadvantaged as ‘consumers’ of health care in any system where there</w:t>
      </w:r>
      <w:r>
        <w:t xml:space="preserve"> </w:t>
      </w:r>
      <w:r w:rsidRPr="00A237A2">
        <w:t xml:space="preserve">is </w:t>
      </w:r>
      <w:r w:rsidRPr="00A237A2">
        <w:lastRenderedPageBreak/>
        <w:t>a contest for restricted resources. It is arguable that such disadvantages are already evident in</w:t>
      </w:r>
      <w:r>
        <w:t xml:space="preserve"> </w:t>
      </w:r>
      <w:r w:rsidRPr="00A237A2">
        <w:t>mental health services’ ‘Cinderella’ reputation, and by the historic under-funding of some acute</w:t>
      </w:r>
      <w:r>
        <w:t xml:space="preserve"> </w:t>
      </w:r>
      <w:r w:rsidRPr="00A237A2">
        <w:t>psychiatric inpatient wards, where a high percentage of patients are detained under the Mental</w:t>
      </w:r>
      <w:r>
        <w:t xml:space="preserve"> </w:t>
      </w:r>
      <w:r w:rsidRPr="00A237A2">
        <w:t>Health Act 1983. Government has, however, given a commitment to improve the patient</w:t>
      </w:r>
      <w:r>
        <w:t xml:space="preserve"> </w:t>
      </w:r>
      <w:r w:rsidRPr="00A237A2">
        <w:t>environment on these acute wards, and shows a willingness to intervene in promoting better</w:t>
      </w:r>
      <w:r>
        <w:t xml:space="preserve"> </w:t>
      </w:r>
      <w:r w:rsidRPr="00A237A2">
        <w:t>standards of care and treatment.</w:t>
      </w:r>
    </w:p>
    <w:p w:rsidR="00A237A2" w:rsidRPr="00A237A2" w:rsidRDefault="00A237A2" w:rsidP="00A237A2">
      <w:r w:rsidRPr="00A237A2">
        <w:t>The potential disadvantages to psychiatric patients of the choice agenda may therefore be avoided</w:t>
      </w:r>
      <w:r>
        <w:t xml:space="preserve"> </w:t>
      </w:r>
      <w:r w:rsidRPr="00A237A2">
        <w:t>with the correct safeguards and checks appropriate to public services. Furthermore, a renewed</w:t>
      </w:r>
      <w:r>
        <w:t xml:space="preserve"> </w:t>
      </w:r>
      <w:r w:rsidRPr="00A237A2">
        <w:t>emphasis on patient choice and involvement in decision-making could provide the impetus for the</w:t>
      </w:r>
      <w:r>
        <w:t xml:space="preserve"> </w:t>
      </w:r>
      <w:r w:rsidRPr="00A237A2">
        <w:t>cultural change required in the treatment of psychiatric patients that I touched upon above when</w:t>
      </w:r>
      <w:r>
        <w:t xml:space="preserve"> </w:t>
      </w:r>
      <w:r w:rsidRPr="00A237A2">
        <w:t xml:space="preserve">discussing the core themes of the report and its title, </w:t>
      </w:r>
      <w:r w:rsidRPr="00A237A2">
        <w:rPr>
          <w:i/>
          <w:iCs/>
        </w:rPr>
        <w:t>Placed amongst strangers</w:t>
      </w:r>
      <w:r w:rsidRPr="00A237A2">
        <w:t>. Real choice for</w:t>
      </w:r>
      <w:r>
        <w:t xml:space="preserve"> </w:t>
      </w:r>
      <w:r w:rsidRPr="00A237A2">
        <w:t>patients, whether they are detained or not, must be based upon their genuine involvement in</w:t>
      </w:r>
      <w:r>
        <w:t xml:space="preserve"> </w:t>
      </w:r>
      <w:r w:rsidRPr="00A237A2">
        <w:t>drawing up their care plans and in making decision about their treatment options. Even within a</w:t>
      </w:r>
      <w:r>
        <w:t xml:space="preserve"> </w:t>
      </w:r>
      <w:r w:rsidRPr="00A237A2">
        <w:t>context of compulsion, and even with patients whose mental capacity to make decisions is</w:t>
      </w:r>
      <w:r>
        <w:t xml:space="preserve"> </w:t>
      </w:r>
      <w:r w:rsidRPr="00A237A2">
        <w:t xml:space="preserve">impeded by their </w:t>
      </w:r>
      <w:proofErr w:type="gramStart"/>
      <w:r w:rsidRPr="00A237A2">
        <w:t>illness,</w:t>
      </w:r>
      <w:proofErr w:type="gramEnd"/>
      <w:r w:rsidRPr="00A237A2">
        <w:t xml:space="preserve"> there is usually some scope for patients to exercise preferences if they are</w:t>
      </w:r>
      <w:r>
        <w:t xml:space="preserve"> </w:t>
      </w:r>
      <w:r w:rsidRPr="00A237A2">
        <w:t>provided with appropriate opportunity and information.</w:t>
      </w:r>
    </w:p>
    <w:p w:rsidR="00A237A2" w:rsidRPr="00A237A2" w:rsidRDefault="00A237A2" w:rsidP="00A237A2">
      <w:r w:rsidRPr="00A237A2">
        <w:t>We devote a chapter of the Tenth Biennial Report to outlining the concept of values-based practice as</w:t>
      </w:r>
      <w:r>
        <w:t xml:space="preserve"> </w:t>
      </w:r>
      <w:r w:rsidRPr="00A237A2">
        <w:t>a means by which patients can be involved in treatment planning even within the context of</w:t>
      </w:r>
      <w:r>
        <w:t xml:space="preserve"> </w:t>
      </w:r>
      <w:r w:rsidRPr="00A237A2">
        <w:t>compulsion</w:t>
      </w:r>
      <w:r>
        <w:rPr>
          <w:rStyle w:val="FootnoteReference"/>
        </w:rPr>
        <w:footnoteReference w:id="21"/>
      </w:r>
      <w:r w:rsidRPr="00A237A2">
        <w:t>. We are pleased that values-based practice has the support of Government and is being</w:t>
      </w:r>
      <w:r>
        <w:t xml:space="preserve"> </w:t>
      </w:r>
      <w:r w:rsidRPr="00A237A2">
        <w:t>promoted by the National Institute for Mental Health in England (NIMHE). This should build upon</w:t>
      </w:r>
      <w:r>
        <w:t xml:space="preserve"> </w:t>
      </w:r>
      <w:r w:rsidRPr="00A237A2">
        <w:t>existing policy structures: patient-involvement in care planning is, of course, already a key expectation</w:t>
      </w:r>
      <w:r>
        <w:t xml:space="preserve"> </w:t>
      </w:r>
      <w:r w:rsidRPr="00A237A2">
        <w:t>of the Care Programme Approach (CPA), which was established over a decade ago and updated in</w:t>
      </w:r>
      <w:r>
        <w:t xml:space="preserve"> </w:t>
      </w:r>
      <w:r w:rsidRPr="00A237A2">
        <w:t>2000</w:t>
      </w:r>
      <w:r>
        <w:rPr>
          <w:rStyle w:val="FootnoteReference"/>
        </w:rPr>
        <w:footnoteReference w:id="22"/>
      </w:r>
      <w:r w:rsidRPr="00A237A2">
        <w:t>. But despite many examples of good practice, CPA has still not yet been adopted properly and</w:t>
      </w:r>
      <w:r>
        <w:t xml:space="preserve"> </w:t>
      </w:r>
      <w:r w:rsidRPr="00A237A2">
        <w:t>effectively across all mental health services. Commissioners too often report that they meet with</w:t>
      </w:r>
      <w:r>
        <w:t xml:space="preserve"> </w:t>
      </w:r>
      <w:r w:rsidRPr="00A237A2">
        <w:t>detained patients who appear to have had little involvement in, and have scant understanding of, the</w:t>
      </w:r>
      <w:r>
        <w:t xml:space="preserve"> </w:t>
      </w:r>
      <w:r w:rsidRPr="00A237A2">
        <w:t>details of their care plan, and certainly have not been provided with a written copy of it.</w:t>
      </w:r>
    </w:p>
    <w:p w:rsidR="00A237A2" w:rsidRDefault="00A237A2" w:rsidP="00A237A2">
      <w:r w:rsidRPr="00A237A2">
        <w:t>The choice agenda should also fuel ongoing work aimed at providing appropriate and responsive</w:t>
      </w:r>
      <w:r>
        <w:t xml:space="preserve"> </w:t>
      </w:r>
      <w:r w:rsidRPr="00A237A2">
        <w:t>services that are culturally competent, sensitive to diversity of personal need and capable of</w:t>
      </w:r>
      <w:r>
        <w:t xml:space="preserve"> </w:t>
      </w:r>
      <w:r w:rsidRPr="00A237A2">
        <w:t>providing effective treatment. No values-based practice can be indifferent to diversity issues, and</w:t>
      </w:r>
      <w:r>
        <w:t xml:space="preserve"> </w:t>
      </w:r>
      <w:r w:rsidRPr="00A237A2">
        <w:t>the Commission is proud of its role bringing these into the foreground in mental health services</w:t>
      </w:r>
      <w:r>
        <w:t xml:space="preserve"> </w:t>
      </w:r>
      <w:r w:rsidRPr="00A237A2">
        <w:t>policy</w:t>
      </w:r>
      <w:r>
        <w:rPr>
          <w:rStyle w:val="FootnoteReference"/>
        </w:rPr>
        <w:footnoteReference w:id="23"/>
      </w:r>
      <w:r w:rsidRPr="00A237A2">
        <w:t>.</w:t>
      </w:r>
    </w:p>
    <w:p w:rsidR="000E3628" w:rsidRPr="000E3628" w:rsidRDefault="000E3628" w:rsidP="000E3628">
      <w:r w:rsidRPr="000E3628">
        <w:t>In promoting patient involvement in care planning, Government (and the Commission or its</w:t>
      </w:r>
      <w:r>
        <w:t xml:space="preserve"> </w:t>
      </w:r>
      <w:r w:rsidRPr="000E3628">
        <w:t>successor body) will have the law on its side. The courts’ reading of existing statutory powers of</w:t>
      </w:r>
      <w:r>
        <w:t xml:space="preserve"> </w:t>
      </w:r>
      <w:r w:rsidRPr="000E3628">
        <w:t>compulsion in mental health care in the light of ECHR principles has strengthened the legal</w:t>
      </w:r>
      <w:r>
        <w:t xml:space="preserve"> </w:t>
      </w:r>
      <w:r w:rsidRPr="000E3628">
        <w:t>necessity of taking patient’s views into account in decision-making</w:t>
      </w:r>
      <w:r>
        <w:rPr>
          <w:rStyle w:val="FootnoteReference"/>
        </w:rPr>
        <w:footnoteReference w:id="24"/>
      </w:r>
      <w:r w:rsidRPr="000E3628">
        <w:t>. The added legal weight given</w:t>
      </w:r>
      <w:r>
        <w:t xml:space="preserve"> </w:t>
      </w:r>
      <w:r w:rsidRPr="000E3628">
        <w:t xml:space="preserve">to the Code </w:t>
      </w:r>
      <w:r w:rsidRPr="000E3628">
        <w:lastRenderedPageBreak/>
        <w:t xml:space="preserve">of Practice’s guidance by the judgment in </w:t>
      </w:r>
      <w:proofErr w:type="spellStart"/>
      <w:r w:rsidRPr="000E3628">
        <w:rPr>
          <w:i/>
          <w:iCs/>
        </w:rPr>
        <w:t>Munjaz</w:t>
      </w:r>
      <w:proofErr w:type="spellEnd"/>
      <w:r w:rsidRPr="000E3628">
        <w:rPr>
          <w:i/>
          <w:iCs/>
        </w:rPr>
        <w:t xml:space="preserve"> </w:t>
      </w:r>
      <w:r w:rsidRPr="000E3628">
        <w:t>reinforces the need of practitioners</w:t>
      </w:r>
      <w:r>
        <w:t xml:space="preserve"> </w:t>
      </w:r>
      <w:r w:rsidRPr="000E3628">
        <w:t>to have a proper regard to patients’ views and mental capacity when providing treatment and care</w:t>
      </w:r>
      <w:r>
        <w:t xml:space="preserve"> </w:t>
      </w:r>
      <w:r w:rsidRPr="000E3628">
        <w:t>under the 1983 Act, and to keep appropriate records of determinations of a patient’s mental</w:t>
      </w:r>
      <w:r>
        <w:t xml:space="preserve"> </w:t>
      </w:r>
      <w:r w:rsidRPr="000E3628">
        <w:t>capacity and discussions regarding consent to treatment in the patient’s notes</w:t>
      </w:r>
      <w:r>
        <w:rPr>
          <w:rStyle w:val="FootnoteReference"/>
        </w:rPr>
        <w:footnoteReference w:id="25"/>
      </w:r>
      <w:r w:rsidRPr="000E3628">
        <w:t>. In September</w:t>
      </w:r>
      <w:r>
        <w:t xml:space="preserve"> </w:t>
      </w:r>
      <w:r w:rsidRPr="000E3628">
        <w:t xml:space="preserve">2003, just as our report went to press, the judgment in the case of </w:t>
      </w:r>
      <w:r w:rsidRPr="000E3628">
        <w:rPr>
          <w:i/>
          <w:iCs/>
        </w:rPr>
        <w:t>R (on the application of PS) v</w:t>
      </w:r>
      <w:r>
        <w:rPr>
          <w:i/>
          <w:iCs/>
        </w:rPr>
        <w:t xml:space="preserve"> </w:t>
      </w:r>
      <w:proofErr w:type="spellStart"/>
      <w:r w:rsidRPr="000E3628">
        <w:rPr>
          <w:i/>
          <w:iCs/>
        </w:rPr>
        <w:t>Dr.</w:t>
      </w:r>
      <w:proofErr w:type="spellEnd"/>
      <w:r w:rsidRPr="000E3628">
        <w:rPr>
          <w:i/>
          <w:iCs/>
        </w:rPr>
        <w:t xml:space="preserve"> G and </w:t>
      </w:r>
      <w:proofErr w:type="spellStart"/>
      <w:r w:rsidRPr="000E3628">
        <w:rPr>
          <w:i/>
          <w:iCs/>
        </w:rPr>
        <w:t>Dr.</w:t>
      </w:r>
      <w:proofErr w:type="spellEnd"/>
      <w:r w:rsidRPr="000E3628">
        <w:rPr>
          <w:i/>
          <w:iCs/>
        </w:rPr>
        <w:t xml:space="preserve"> W </w:t>
      </w:r>
      <w:r w:rsidRPr="000E3628">
        <w:t>determined that even where statutory powers provided by the 1983 Act allow for</w:t>
      </w:r>
      <w:r>
        <w:t xml:space="preserve"> </w:t>
      </w:r>
      <w:r w:rsidRPr="000E3628">
        <w:t>the imposition of care and treatment against a patient’s capacitated refusal, such imposition must</w:t>
      </w:r>
      <w:r>
        <w:t xml:space="preserve"> </w:t>
      </w:r>
      <w:r w:rsidRPr="000E3628">
        <w:t>be necessary according to the common-law tests of whether it is in the best interests of the patient</w:t>
      </w:r>
      <w:r>
        <w:t xml:space="preserve"> </w:t>
      </w:r>
      <w:r w:rsidRPr="000E3628">
        <w:t>if it is not to infringe human rights established under the European Convention</w:t>
      </w:r>
      <w:r>
        <w:rPr>
          <w:rStyle w:val="FootnoteReference"/>
        </w:rPr>
        <w:footnoteReference w:id="26"/>
      </w:r>
      <w:r w:rsidRPr="000E3628">
        <w:t>. To demonstrate</w:t>
      </w:r>
      <w:r>
        <w:t xml:space="preserve"> </w:t>
      </w:r>
      <w:r w:rsidRPr="000E3628">
        <w:t>the necessity of their actions, professionals must take into account and give proper weight to the</w:t>
      </w:r>
      <w:r>
        <w:t xml:space="preserve"> </w:t>
      </w:r>
      <w:r w:rsidRPr="000E3628">
        <w:t>patient’s views on treatment, defined to encompass nursing care and rehabilitation under medical</w:t>
      </w:r>
      <w:r>
        <w:t xml:space="preserve"> </w:t>
      </w:r>
      <w:r w:rsidRPr="000E3628">
        <w:t>supervision</w:t>
      </w:r>
      <w:r>
        <w:rPr>
          <w:rStyle w:val="FootnoteReference"/>
        </w:rPr>
        <w:footnoteReference w:id="27"/>
      </w:r>
      <w:r w:rsidRPr="000E3628">
        <w:t>, including any alternatives to proposed interventions. Decisions taken by</w:t>
      </w:r>
      <w:r>
        <w:t xml:space="preserve"> </w:t>
      </w:r>
      <w:r w:rsidRPr="000E3628">
        <w:t>professionals will have to be increasingly sensitive to patients’ views, and to patients’ mental</w:t>
      </w:r>
      <w:r>
        <w:t xml:space="preserve"> </w:t>
      </w:r>
      <w:r w:rsidRPr="000E3628">
        <w:t>capacity when stating such views</w:t>
      </w:r>
      <w:r>
        <w:rPr>
          <w:rStyle w:val="FootnoteReference"/>
        </w:rPr>
        <w:footnoteReference w:id="28"/>
      </w:r>
      <w:r w:rsidRPr="000E3628">
        <w:t>.</w:t>
      </w:r>
    </w:p>
    <w:p w:rsidR="000E3628" w:rsidRDefault="000E3628" w:rsidP="000E3628">
      <w:r w:rsidRPr="000E3628">
        <w:t>Such legal changes alone may provide a lever for changes in practice, if only through the adoption</w:t>
      </w:r>
      <w:r>
        <w:t xml:space="preserve"> </w:t>
      </w:r>
      <w:r w:rsidRPr="000E3628">
        <w:t>of minimum standards of consultation and recording as a form of defensive medico-legal practice.</w:t>
      </w:r>
      <w:r>
        <w:t xml:space="preserve"> </w:t>
      </w:r>
      <w:r w:rsidRPr="000E3628">
        <w:t>However, if services are encouraged to look beyond such a reactive approach, there are much</w:t>
      </w:r>
      <w:r>
        <w:t xml:space="preserve"> </w:t>
      </w:r>
      <w:r w:rsidRPr="000E3628">
        <w:t>broader opportunities for the establishment of a truly human rights based mental health service in</w:t>
      </w:r>
      <w:r>
        <w:t xml:space="preserve"> </w:t>
      </w:r>
      <w:r w:rsidRPr="000E3628">
        <w:t>the dying days of the 1983 Act.</w:t>
      </w:r>
      <w:bookmarkStart w:id="0" w:name="_GoBack"/>
      <w:bookmarkEnd w:id="0"/>
    </w:p>
    <w:sectPr w:rsidR="000E3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AE5" w:rsidRDefault="00571AE5" w:rsidP="00571AE5">
      <w:pPr>
        <w:spacing w:after="0" w:line="240" w:lineRule="auto"/>
      </w:pPr>
      <w:r>
        <w:separator/>
      </w:r>
    </w:p>
  </w:endnote>
  <w:endnote w:type="continuationSeparator" w:id="0">
    <w:p w:rsidR="00571AE5" w:rsidRDefault="00571AE5" w:rsidP="0057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AE5" w:rsidRDefault="00571AE5" w:rsidP="00571AE5">
      <w:pPr>
        <w:spacing w:after="0" w:line="240" w:lineRule="auto"/>
      </w:pPr>
      <w:r>
        <w:separator/>
      </w:r>
    </w:p>
  </w:footnote>
  <w:footnote w:type="continuationSeparator" w:id="0">
    <w:p w:rsidR="00571AE5" w:rsidRDefault="00571AE5" w:rsidP="00571AE5">
      <w:pPr>
        <w:spacing w:after="0" w:line="240" w:lineRule="auto"/>
      </w:pPr>
      <w:r>
        <w:continuationSeparator/>
      </w:r>
    </w:p>
  </w:footnote>
  <w:footnote w:id="1">
    <w:p w:rsidR="00571AE5" w:rsidRPr="001B7D2E" w:rsidRDefault="00571AE5">
      <w:pPr>
        <w:pStyle w:val="FootnoteText"/>
        <w:rPr>
          <w:sz w:val="16"/>
        </w:rPr>
      </w:pPr>
      <w:r w:rsidRPr="001B7D2E">
        <w:rPr>
          <w:rStyle w:val="FootnoteReference"/>
          <w:sz w:val="16"/>
        </w:rPr>
        <w:t>*</w:t>
      </w:r>
      <w:r w:rsidRPr="001B7D2E">
        <w:rPr>
          <w:sz w:val="16"/>
        </w:rPr>
        <w:t xml:space="preserve"> Senior Policy Analyst, Mental Health Act Commission</w:t>
      </w:r>
    </w:p>
  </w:footnote>
  <w:footnote w:id="2">
    <w:p w:rsidR="00571AE5" w:rsidRPr="001B7D2E" w:rsidRDefault="00571AE5">
      <w:pPr>
        <w:pStyle w:val="FootnoteText"/>
        <w:rPr>
          <w:sz w:val="16"/>
        </w:rPr>
      </w:pPr>
      <w:r w:rsidRPr="001B7D2E">
        <w:rPr>
          <w:rStyle w:val="FootnoteReference"/>
          <w:sz w:val="16"/>
        </w:rPr>
        <w:footnoteRef/>
      </w:r>
      <w:r w:rsidRPr="001B7D2E">
        <w:rPr>
          <w:sz w:val="16"/>
        </w:rPr>
        <w:t xml:space="preserve"> </w:t>
      </w:r>
      <w:hyperlink r:id="rId1" w:history="1">
        <w:r w:rsidRPr="001B7D2E">
          <w:rPr>
            <w:rStyle w:val="Hyperlink"/>
            <w:sz w:val="16"/>
          </w:rPr>
          <w:t>www.mhac.trent.nhs.uk</w:t>
        </w:r>
      </w:hyperlink>
      <w:r w:rsidRPr="001B7D2E">
        <w:rPr>
          <w:sz w:val="16"/>
        </w:rPr>
        <w:t xml:space="preserve"> </w:t>
      </w:r>
    </w:p>
  </w:footnote>
  <w:footnote w:id="3">
    <w:p w:rsidR="00571AE5" w:rsidRPr="001B7D2E" w:rsidRDefault="00571AE5">
      <w:pPr>
        <w:pStyle w:val="FootnoteText"/>
        <w:rPr>
          <w:sz w:val="16"/>
        </w:rPr>
      </w:pPr>
      <w:r w:rsidRPr="001B7D2E">
        <w:rPr>
          <w:rStyle w:val="FootnoteReference"/>
          <w:sz w:val="16"/>
        </w:rPr>
        <w:footnoteRef/>
      </w:r>
      <w:r w:rsidRPr="001B7D2E">
        <w:rPr>
          <w:sz w:val="16"/>
        </w:rPr>
        <w:t xml:space="preserve"> Mental Health Act 1983, s 120(1)</w:t>
      </w:r>
    </w:p>
  </w:footnote>
  <w:footnote w:id="4">
    <w:p w:rsidR="00FB0A0F" w:rsidRPr="001B7D2E" w:rsidRDefault="00FB0A0F" w:rsidP="00FB0A0F">
      <w:pPr>
        <w:pStyle w:val="FootnoteText"/>
        <w:rPr>
          <w:sz w:val="16"/>
        </w:rPr>
      </w:pPr>
      <w:r w:rsidRPr="001B7D2E">
        <w:rPr>
          <w:rStyle w:val="FootnoteReference"/>
          <w:sz w:val="16"/>
        </w:rPr>
        <w:footnoteRef/>
      </w:r>
      <w:r w:rsidRPr="001B7D2E">
        <w:rPr>
          <w:sz w:val="16"/>
        </w:rPr>
        <w:t xml:space="preserve"> </w:t>
      </w:r>
      <w:r w:rsidRPr="001B7D2E">
        <w:rPr>
          <w:sz w:val="16"/>
        </w:rPr>
        <w:t>Mental Health Act Commission, mission statement</w:t>
      </w:r>
      <w:r w:rsidRPr="001B7D2E">
        <w:rPr>
          <w:sz w:val="16"/>
        </w:rPr>
        <w:t xml:space="preserve"> </w:t>
      </w:r>
      <w:r w:rsidRPr="001B7D2E">
        <w:rPr>
          <w:sz w:val="16"/>
        </w:rPr>
        <w:t>adopted in 1999. This statement has been criticised by</w:t>
      </w:r>
      <w:r w:rsidRPr="001B7D2E">
        <w:rPr>
          <w:sz w:val="16"/>
        </w:rPr>
        <w:t xml:space="preserve"> </w:t>
      </w:r>
      <w:r w:rsidRPr="001B7D2E">
        <w:rPr>
          <w:sz w:val="16"/>
        </w:rPr>
        <w:t>some legal commentators (see, in particular Richard</w:t>
      </w:r>
      <w:r w:rsidRPr="001B7D2E">
        <w:rPr>
          <w:sz w:val="16"/>
        </w:rPr>
        <w:t xml:space="preserve"> </w:t>
      </w:r>
      <w:r w:rsidRPr="001B7D2E">
        <w:rPr>
          <w:sz w:val="16"/>
        </w:rPr>
        <w:t>Jones (2003) Mental Health Act Manual, Eighth</w:t>
      </w:r>
      <w:r w:rsidRPr="001B7D2E">
        <w:rPr>
          <w:sz w:val="16"/>
        </w:rPr>
        <w:t xml:space="preserve"> </w:t>
      </w:r>
      <w:r w:rsidRPr="001B7D2E">
        <w:rPr>
          <w:sz w:val="16"/>
        </w:rPr>
        <w:t>Edition, London: Sweet &amp; Maxwell, page 467) as</w:t>
      </w:r>
      <w:r w:rsidRPr="001B7D2E">
        <w:rPr>
          <w:sz w:val="16"/>
        </w:rPr>
        <w:t xml:space="preserve"> </w:t>
      </w:r>
      <w:r w:rsidRPr="001B7D2E">
        <w:rPr>
          <w:sz w:val="16"/>
        </w:rPr>
        <w:t>insufficiently precise in relation to the Commission’s</w:t>
      </w:r>
      <w:r w:rsidRPr="001B7D2E">
        <w:rPr>
          <w:sz w:val="16"/>
        </w:rPr>
        <w:t xml:space="preserve"> </w:t>
      </w:r>
      <w:r w:rsidRPr="001B7D2E">
        <w:rPr>
          <w:sz w:val="16"/>
        </w:rPr>
        <w:t>legal remit, but the Commission remains unapologetic</w:t>
      </w:r>
      <w:r w:rsidRPr="001B7D2E">
        <w:rPr>
          <w:sz w:val="16"/>
        </w:rPr>
        <w:t xml:space="preserve"> </w:t>
      </w:r>
      <w:r w:rsidRPr="001B7D2E">
        <w:rPr>
          <w:sz w:val="16"/>
        </w:rPr>
        <w:t>in its focus.</w:t>
      </w:r>
    </w:p>
  </w:footnote>
  <w:footnote w:id="5">
    <w:p w:rsidR="001B7D2E" w:rsidRPr="001B7D2E" w:rsidRDefault="001B7D2E" w:rsidP="001B7D2E">
      <w:pPr>
        <w:pStyle w:val="FootnoteText"/>
        <w:rPr>
          <w:sz w:val="16"/>
        </w:rPr>
      </w:pPr>
      <w:r w:rsidRPr="001B7D2E">
        <w:rPr>
          <w:rStyle w:val="FootnoteReference"/>
          <w:sz w:val="16"/>
        </w:rPr>
        <w:footnoteRef/>
      </w:r>
      <w:r w:rsidRPr="001B7D2E">
        <w:rPr>
          <w:sz w:val="16"/>
        </w:rPr>
        <w:t xml:space="preserve"> </w:t>
      </w:r>
      <w:r w:rsidRPr="001B7D2E">
        <w:rPr>
          <w:sz w:val="16"/>
        </w:rPr>
        <w:t>Department of Health and Social Security, Home</w:t>
      </w:r>
      <w:r w:rsidRPr="001B7D2E">
        <w:rPr>
          <w:sz w:val="16"/>
        </w:rPr>
        <w:t xml:space="preserve"> </w:t>
      </w:r>
      <w:r w:rsidRPr="001B7D2E">
        <w:rPr>
          <w:sz w:val="16"/>
        </w:rPr>
        <w:t>Office, Welsh Office, Lord Chancellor’s Department</w:t>
      </w:r>
      <w:r w:rsidRPr="001B7D2E">
        <w:rPr>
          <w:sz w:val="16"/>
        </w:rPr>
        <w:t xml:space="preserve"> </w:t>
      </w:r>
      <w:r w:rsidRPr="001B7D2E">
        <w:rPr>
          <w:sz w:val="16"/>
        </w:rPr>
        <w:t xml:space="preserve">(1981) Reform of Mental Health Legislation </w:t>
      </w:r>
      <w:proofErr w:type="spellStart"/>
      <w:r w:rsidRPr="001B7D2E">
        <w:rPr>
          <w:sz w:val="16"/>
        </w:rPr>
        <w:t>Cmnd</w:t>
      </w:r>
      <w:proofErr w:type="spellEnd"/>
      <w:r w:rsidRPr="001B7D2E">
        <w:rPr>
          <w:sz w:val="16"/>
        </w:rPr>
        <w:t xml:space="preserve"> </w:t>
      </w:r>
      <w:r w:rsidRPr="001B7D2E">
        <w:rPr>
          <w:sz w:val="16"/>
        </w:rPr>
        <w:t>8405. London: HMSO, November 1981, para 34.</w:t>
      </w:r>
    </w:p>
  </w:footnote>
  <w:footnote w:id="6">
    <w:p w:rsidR="001B7D2E" w:rsidRPr="001B7D2E" w:rsidRDefault="001B7D2E" w:rsidP="001B7D2E">
      <w:pPr>
        <w:pStyle w:val="FootnoteText"/>
        <w:rPr>
          <w:sz w:val="16"/>
        </w:rPr>
      </w:pPr>
      <w:r w:rsidRPr="001B7D2E">
        <w:rPr>
          <w:rStyle w:val="FootnoteReference"/>
          <w:sz w:val="16"/>
        </w:rPr>
        <w:footnoteRef/>
      </w:r>
      <w:r w:rsidRPr="001B7D2E">
        <w:rPr>
          <w:sz w:val="16"/>
        </w:rPr>
        <w:t xml:space="preserve"> </w:t>
      </w:r>
      <w:r w:rsidRPr="001B7D2E">
        <w:rPr>
          <w:sz w:val="16"/>
        </w:rPr>
        <w:t>The Commission’s remit does, of course, also extend to</w:t>
      </w:r>
      <w:r w:rsidRPr="001B7D2E">
        <w:rPr>
          <w:sz w:val="16"/>
        </w:rPr>
        <w:t xml:space="preserve"> </w:t>
      </w:r>
      <w:r w:rsidRPr="001B7D2E">
        <w:rPr>
          <w:sz w:val="16"/>
        </w:rPr>
        <w:t>the use of the 1983 Act in a criminal justice context,</w:t>
      </w:r>
      <w:r w:rsidRPr="001B7D2E">
        <w:rPr>
          <w:sz w:val="16"/>
        </w:rPr>
        <w:t xml:space="preserve"> </w:t>
      </w:r>
      <w:r w:rsidRPr="001B7D2E">
        <w:rPr>
          <w:sz w:val="16"/>
        </w:rPr>
        <w:t>whose legitimacy less obviously relies on any system of</w:t>
      </w:r>
      <w:r w:rsidRPr="001B7D2E">
        <w:rPr>
          <w:sz w:val="16"/>
        </w:rPr>
        <w:t xml:space="preserve"> </w:t>
      </w:r>
      <w:r w:rsidRPr="001B7D2E">
        <w:rPr>
          <w:sz w:val="16"/>
        </w:rPr>
        <w:t>external safeguards. However, detention under the</w:t>
      </w:r>
      <w:r w:rsidRPr="001B7D2E">
        <w:rPr>
          <w:sz w:val="16"/>
        </w:rPr>
        <w:t xml:space="preserve"> </w:t>
      </w:r>
      <w:r w:rsidRPr="001B7D2E">
        <w:rPr>
          <w:sz w:val="16"/>
        </w:rPr>
        <w:t>criminal justice powers of the 1983 Act takes place in</w:t>
      </w:r>
      <w:r w:rsidRPr="001B7D2E">
        <w:rPr>
          <w:sz w:val="16"/>
        </w:rPr>
        <w:t xml:space="preserve"> </w:t>
      </w:r>
      <w:r w:rsidRPr="001B7D2E">
        <w:rPr>
          <w:sz w:val="16"/>
        </w:rPr>
        <w:t>hospital rather than prison, and is justified as</w:t>
      </w:r>
      <w:r w:rsidRPr="001B7D2E">
        <w:rPr>
          <w:sz w:val="16"/>
        </w:rPr>
        <w:t xml:space="preserve"> </w:t>
      </w:r>
      <w:r w:rsidRPr="001B7D2E">
        <w:rPr>
          <w:sz w:val="16"/>
        </w:rPr>
        <w:t>treatment rather than punishment, so any clear</w:t>
      </w:r>
      <w:r w:rsidRPr="001B7D2E">
        <w:rPr>
          <w:sz w:val="16"/>
        </w:rPr>
        <w:t xml:space="preserve"> </w:t>
      </w:r>
      <w:r w:rsidRPr="001B7D2E">
        <w:rPr>
          <w:sz w:val="16"/>
        </w:rPr>
        <w:t>distinction between civil and criminal justice use of the</w:t>
      </w:r>
      <w:r w:rsidRPr="001B7D2E">
        <w:rPr>
          <w:sz w:val="16"/>
        </w:rPr>
        <w:t xml:space="preserve"> </w:t>
      </w:r>
      <w:r w:rsidRPr="001B7D2E">
        <w:rPr>
          <w:sz w:val="16"/>
        </w:rPr>
        <w:t>Act’s powers is questionable.</w:t>
      </w:r>
    </w:p>
  </w:footnote>
  <w:footnote w:id="7">
    <w:p w:rsidR="001B7D2E" w:rsidRPr="001B7D2E" w:rsidRDefault="001B7D2E" w:rsidP="001B7D2E">
      <w:pPr>
        <w:pStyle w:val="FootnoteText"/>
        <w:rPr>
          <w:sz w:val="16"/>
        </w:rPr>
      </w:pPr>
      <w:r w:rsidRPr="001B7D2E">
        <w:rPr>
          <w:rStyle w:val="FootnoteReference"/>
          <w:sz w:val="16"/>
        </w:rPr>
        <w:footnoteRef/>
      </w:r>
      <w:r w:rsidRPr="001B7D2E">
        <w:rPr>
          <w:sz w:val="16"/>
        </w:rPr>
        <w:t xml:space="preserve"> </w:t>
      </w:r>
      <w:proofErr w:type="gramStart"/>
      <w:r w:rsidRPr="001B7D2E">
        <w:rPr>
          <w:sz w:val="16"/>
        </w:rPr>
        <w:t xml:space="preserve">R (on the application of Colonel </w:t>
      </w:r>
      <w:proofErr w:type="spellStart"/>
      <w:r w:rsidRPr="001B7D2E">
        <w:rPr>
          <w:sz w:val="16"/>
        </w:rPr>
        <w:t>Munjaz</w:t>
      </w:r>
      <w:proofErr w:type="spellEnd"/>
      <w:r w:rsidRPr="001B7D2E">
        <w:rPr>
          <w:sz w:val="16"/>
        </w:rPr>
        <w:t>) v Mersey</w:t>
      </w:r>
      <w:r w:rsidRPr="001B7D2E">
        <w:rPr>
          <w:sz w:val="16"/>
        </w:rPr>
        <w:t xml:space="preserve"> </w:t>
      </w:r>
      <w:r w:rsidRPr="001B7D2E">
        <w:rPr>
          <w:sz w:val="16"/>
        </w:rPr>
        <w:t>Care NHS Trust &amp; Another; S v Airedale NHS Trust</w:t>
      </w:r>
      <w:r w:rsidRPr="001B7D2E">
        <w:rPr>
          <w:sz w:val="16"/>
        </w:rPr>
        <w:t xml:space="preserve"> </w:t>
      </w:r>
      <w:r w:rsidRPr="001B7D2E">
        <w:rPr>
          <w:sz w:val="16"/>
        </w:rPr>
        <w:t xml:space="preserve">[2003] EWCA </w:t>
      </w:r>
      <w:proofErr w:type="spellStart"/>
      <w:r w:rsidRPr="001B7D2E">
        <w:rPr>
          <w:sz w:val="16"/>
        </w:rPr>
        <w:t>Civ</w:t>
      </w:r>
      <w:proofErr w:type="spellEnd"/>
      <w:r w:rsidRPr="001B7D2E">
        <w:rPr>
          <w:sz w:val="16"/>
        </w:rPr>
        <w:t xml:space="preserve"> 1036 at para 58.</w:t>
      </w:r>
      <w:proofErr w:type="gramEnd"/>
    </w:p>
  </w:footnote>
  <w:footnote w:id="8">
    <w:p w:rsidR="00425F1C" w:rsidRPr="003F5EE8" w:rsidRDefault="00425F1C" w:rsidP="00425F1C">
      <w:pPr>
        <w:pStyle w:val="FootnoteText"/>
        <w:rPr>
          <w:sz w:val="16"/>
        </w:rPr>
      </w:pPr>
      <w:r w:rsidRPr="003F5EE8">
        <w:rPr>
          <w:rStyle w:val="FootnoteReference"/>
          <w:sz w:val="16"/>
        </w:rPr>
        <w:footnoteRef/>
      </w:r>
      <w:r w:rsidRPr="003F5EE8">
        <w:rPr>
          <w:sz w:val="16"/>
        </w:rPr>
        <w:t xml:space="preserve"> </w:t>
      </w:r>
      <w:r w:rsidRPr="003F5EE8">
        <w:rPr>
          <w:sz w:val="16"/>
        </w:rPr>
        <w:t>This is not the only example of a historical precedent to</w:t>
      </w:r>
      <w:r w:rsidRPr="003F5EE8">
        <w:rPr>
          <w:sz w:val="16"/>
        </w:rPr>
        <w:t xml:space="preserve"> </w:t>
      </w:r>
      <w:r w:rsidRPr="003F5EE8">
        <w:rPr>
          <w:sz w:val="16"/>
        </w:rPr>
        <w:t xml:space="preserve">contemporary concerns highlighted by the report. </w:t>
      </w:r>
      <w:r w:rsidRPr="003F5EE8">
        <w:rPr>
          <w:sz w:val="16"/>
        </w:rPr>
        <w:t xml:space="preserve"> T</w:t>
      </w:r>
      <w:r w:rsidRPr="003F5EE8">
        <w:rPr>
          <w:sz w:val="16"/>
        </w:rPr>
        <w:t>he</w:t>
      </w:r>
      <w:r w:rsidRPr="003F5EE8">
        <w:rPr>
          <w:sz w:val="16"/>
        </w:rPr>
        <w:t xml:space="preserve"> </w:t>
      </w:r>
      <w:r w:rsidRPr="003F5EE8">
        <w:rPr>
          <w:sz w:val="16"/>
        </w:rPr>
        <w:t>report highlights a Lunacy Commission ‘tribunal’</w:t>
      </w:r>
      <w:r w:rsidRPr="003F5EE8">
        <w:rPr>
          <w:sz w:val="16"/>
        </w:rPr>
        <w:t xml:space="preserve"> </w:t>
      </w:r>
      <w:r w:rsidRPr="003F5EE8">
        <w:rPr>
          <w:sz w:val="16"/>
        </w:rPr>
        <w:t>hearing of a patient’s appeal against detention in 1838</w:t>
      </w:r>
      <w:r w:rsidRPr="003F5EE8">
        <w:rPr>
          <w:sz w:val="16"/>
        </w:rPr>
        <w:t xml:space="preserve"> </w:t>
      </w:r>
      <w:r w:rsidRPr="003F5EE8">
        <w:rPr>
          <w:sz w:val="16"/>
        </w:rPr>
        <w:t>which, over two days and ending on a majority vote,</w:t>
      </w:r>
      <w:r w:rsidRPr="003F5EE8">
        <w:rPr>
          <w:sz w:val="16"/>
        </w:rPr>
        <w:t xml:space="preserve"> </w:t>
      </w:r>
      <w:r w:rsidRPr="003F5EE8">
        <w:rPr>
          <w:sz w:val="16"/>
        </w:rPr>
        <w:t>debated and rejected the ‘preventive’ detention of a</w:t>
      </w:r>
      <w:r w:rsidRPr="003F5EE8">
        <w:rPr>
          <w:sz w:val="16"/>
        </w:rPr>
        <w:t xml:space="preserve"> </w:t>
      </w:r>
      <w:r w:rsidRPr="003F5EE8">
        <w:rPr>
          <w:sz w:val="16"/>
        </w:rPr>
        <w:t>patient who, in today’s legal terminology, would be</w:t>
      </w:r>
      <w:r w:rsidRPr="003F5EE8">
        <w:rPr>
          <w:sz w:val="16"/>
        </w:rPr>
        <w:t xml:space="preserve"> </w:t>
      </w:r>
      <w:r w:rsidRPr="003F5EE8">
        <w:rPr>
          <w:sz w:val="16"/>
        </w:rPr>
        <w:t>classed as having a psychopathic disorder (see MHAC</w:t>
      </w:r>
      <w:r w:rsidRPr="003F5EE8">
        <w:rPr>
          <w:sz w:val="16"/>
        </w:rPr>
        <w:t xml:space="preserve"> </w:t>
      </w:r>
      <w:r w:rsidRPr="003F5EE8">
        <w:rPr>
          <w:sz w:val="16"/>
        </w:rPr>
        <w:t>(2003) Tenth Biennial Report, p 83).</w:t>
      </w:r>
    </w:p>
  </w:footnote>
  <w:footnote w:id="9">
    <w:p w:rsidR="003F5EE8" w:rsidRPr="003F5EE8" w:rsidRDefault="003F5EE8" w:rsidP="003F5EE8">
      <w:pPr>
        <w:pStyle w:val="FootnoteText"/>
        <w:rPr>
          <w:sz w:val="16"/>
        </w:rPr>
      </w:pPr>
      <w:r w:rsidRPr="003F5EE8">
        <w:rPr>
          <w:rStyle w:val="FootnoteReference"/>
          <w:sz w:val="16"/>
        </w:rPr>
        <w:footnoteRef/>
      </w:r>
      <w:r w:rsidRPr="003F5EE8">
        <w:rPr>
          <w:sz w:val="16"/>
        </w:rPr>
        <w:t xml:space="preserve"> </w:t>
      </w:r>
      <w:r w:rsidRPr="003F5EE8">
        <w:rPr>
          <w:sz w:val="16"/>
        </w:rPr>
        <w:t>Perceval J (1840) A Narrative of the Treatment</w:t>
      </w:r>
      <w:r w:rsidRPr="003F5EE8">
        <w:rPr>
          <w:sz w:val="16"/>
        </w:rPr>
        <w:t xml:space="preserve"> </w:t>
      </w:r>
      <w:r w:rsidRPr="003F5EE8">
        <w:rPr>
          <w:sz w:val="16"/>
        </w:rPr>
        <w:t>Experienced by a Gentleman, During a State of</w:t>
      </w:r>
      <w:r w:rsidRPr="003F5EE8">
        <w:rPr>
          <w:sz w:val="16"/>
        </w:rPr>
        <w:t xml:space="preserve"> </w:t>
      </w:r>
      <w:r w:rsidRPr="003F5EE8">
        <w:rPr>
          <w:sz w:val="16"/>
        </w:rPr>
        <w:t>Mental Derangement; Designed to Explain the Causes</w:t>
      </w:r>
      <w:r w:rsidRPr="003F5EE8">
        <w:rPr>
          <w:sz w:val="16"/>
        </w:rPr>
        <w:t xml:space="preserve"> </w:t>
      </w:r>
      <w:r w:rsidRPr="003F5EE8">
        <w:rPr>
          <w:sz w:val="16"/>
        </w:rPr>
        <w:t>and the Nature of Insanity, and to Expose the</w:t>
      </w:r>
      <w:r w:rsidRPr="003F5EE8">
        <w:rPr>
          <w:sz w:val="16"/>
        </w:rPr>
        <w:t xml:space="preserve"> </w:t>
      </w:r>
      <w:r w:rsidRPr="003F5EE8">
        <w:rPr>
          <w:sz w:val="16"/>
        </w:rPr>
        <w:t>Injudicious Conduct Pursued Towards Many</w:t>
      </w:r>
      <w:r w:rsidRPr="003F5EE8">
        <w:rPr>
          <w:sz w:val="16"/>
        </w:rPr>
        <w:t xml:space="preserve"> </w:t>
      </w:r>
      <w:r w:rsidRPr="003F5EE8">
        <w:rPr>
          <w:sz w:val="16"/>
        </w:rPr>
        <w:t>Unfortunate Sufferers Under That Calamity. A fuller</w:t>
      </w:r>
      <w:r w:rsidRPr="003F5EE8">
        <w:rPr>
          <w:sz w:val="16"/>
        </w:rPr>
        <w:t xml:space="preserve"> </w:t>
      </w:r>
      <w:r w:rsidRPr="003F5EE8">
        <w:rPr>
          <w:sz w:val="16"/>
        </w:rPr>
        <w:t>version of this quotation, taken from Peterson D [</w:t>
      </w:r>
      <w:proofErr w:type="spellStart"/>
      <w:proofErr w:type="gramStart"/>
      <w:r w:rsidRPr="003F5EE8">
        <w:rPr>
          <w:sz w:val="16"/>
        </w:rPr>
        <w:t>ed</w:t>
      </w:r>
      <w:proofErr w:type="spellEnd"/>
      <w:proofErr w:type="gramEnd"/>
      <w:r w:rsidRPr="003F5EE8">
        <w:rPr>
          <w:sz w:val="16"/>
        </w:rPr>
        <w:t>]</w:t>
      </w:r>
      <w:r w:rsidRPr="003F5EE8">
        <w:rPr>
          <w:sz w:val="16"/>
        </w:rPr>
        <w:t xml:space="preserve"> </w:t>
      </w:r>
      <w:r w:rsidRPr="003F5EE8">
        <w:rPr>
          <w:sz w:val="16"/>
        </w:rPr>
        <w:t>(1982) A Mad People’s History of Madness,</w:t>
      </w:r>
      <w:r w:rsidRPr="003F5EE8">
        <w:rPr>
          <w:sz w:val="16"/>
        </w:rPr>
        <w:t xml:space="preserve"> </w:t>
      </w:r>
      <w:r w:rsidRPr="003F5EE8">
        <w:rPr>
          <w:sz w:val="16"/>
        </w:rPr>
        <w:t>University of Pittsburgh 1982 p96-10, is at page 22 of</w:t>
      </w:r>
      <w:r w:rsidRPr="003F5EE8">
        <w:rPr>
          <w:sz w:val="16"/>
        </w:rPr>
        <w:t xml:space="preserve"> </w:t>
      </w:r>
      <w:r w:rsidRPr="003F5EE8">
        <w:rPr>
          <w:sz w:val="16"/>
        </w:rPr>
        <w:t>the Commission’s Tenth Biennial Report.</w:t>
      </w:r>
    </w:p>
  </w:footnote>
  <w:footnote w:id="10">
    <w:p w:rsidR="003F5EE8" w:rsidRPr="003F5EE8" w:rsidRDefault="003F5EE8">
      <w:pPr>
        <w:pStyle w:val="FootnoteText"/>
        <w:rPr>
          <w:sz w:val="16"/>
        </w:rPr>
      </w:pPr>
      <w:r w:rsidRPr="003F5EE8">
        <w:rPr>
          <w:rStyle w:val="FootnoteReference"/>
          <w:sz w:val="16"/>
        </w:rPr>
        <w:footnoteRef/>
      </w:r>
      <w:r w:rsidRPr="003F5EE8">
        <w:rPr>
          <w:sz w:val="16"/>
        </w:rPr>
        <w:t xml:space="preserve"> Section 121(10) Mental Health Act 1983</w:t>
      </w:r>
    </w:p>
  </w:footnote>
  <w:footnote w:id="11">
    <w:p w:rsidR="00A17D60" w:rsidRPr="00A17D60" w:rsidRDefault="00A17D60" w:rsidP="00A17D60">
      <w:pPr>
        <w:pStyle w:val="FootnoteText"/>
        <w:rPr>
          <w:sz w:val="16"/>
        </w:rPr>
      </w:pPr>
      <w:r w:rsidRPr="00A17D60">
        <w:rPr>
          <w:rStyle w:val="FootnoteReference"/>
          <w:sz w:val="16"/>
        </w:rPr>
        <w:footnoteRef/>
      </w:r>
      <w:r w:rsidRPr="00A17D60">
        <w:rPr>
          <w:sz w:val="16"/>
        </w:rPr>
        <w:t xml:space="preserve"> </w:t>
      </w:r>
      <w:r w:rsidRPr="00A17D60">
        <w:rPr>
          <w:sz w:val="16"/>
        </w:rPr>
        <w:t xml:space="preserve">‘… </w:t>
      </w:r>
      <w:proofErr w:type="gramStart"/>
      <w:r w:rsidRPr="00A17D60">
        <w:rPr>
          <w:sz w:val="16"/>
        </w:rPr>
        <w:t>so</w:t>
      </w:r>
      <w:proofErr w:type="gramEnd"/>
      <w:r w:rsidRPr="00A17D60">
        <w:rPr>
          <w:sz w:val="16"/>
        </w:rPr>
        <w:t xml:space="preserve"> far as it is possible to do so…’ (section 3 Human</w:t>
      </w:r>
      <w:r w:rsidRPr="00A17D60">
        <w:rPr>
          <w:sz w:val="16"/>
        </w:rPr>
        <w:t xml:space="preserve"> </w:t>
      </w:r>
      <w:r w:rsidRPr="00A17D60">
        <w:rPr>
          <w:sz w:val="16"/>
        </w:rPr>
        <w:t>Rights Act 1998)</w:t>
      </w:r>
    </w:p>
  </w:footnote>
  <w:footnote w:id="12">
    <w:p w:rsidR="00A17D60" w:rsidRPr="00A17D60" w:rsidRDefault="00A17D60" w:rsidP="00A17D60">
      <w:pPr>
        <w:pStyle w:val="FootnoteText"/>
        <w:rPr>
          <w:sz w:val="16"/>
        </w:rPr>
      </w:pPr>
      <w:r w:rsidRPr="00A17D60">
        <w:rPr>
          <w:rStyle w:val="FootnoteReference"/>
          <w:sz w:val="16"/>
        </w:rPr>
        <w:footnoteRef/>
      </w:r>
      <w:r w:rsidRPr="00A17D60">
        <w:rPr>
          <w:sz w:val="16"/>
        </w:rPr>
        <w:t xml:space="preserve"> </w:t>
      </w:r>
      <w:r w:rsidRPr="00A17D60">
        <w:rPr>
          <w:sz w:val="16"/>
        </w:rPr>
        <w:t>Joint Committee on Human Rights (2003) The Case</w:t>
      </w:r>
      <w:r w:rsidRPr="00A17D60">
        <w:rPr>
          <w:sz w:val="16"/>
        </w:rPr>
        <w:t xml:space="preserve"> </w:t>
      </w:r>
      <w:r w:rsidRPr="00A17D60">
        <w:rPr>
          <w:sz w:val="16"/>
        </w:rPr>
        <w:t>for a Human Rights Commission: Sixth Report of</w:t>
      </w:r>
      <w:r w:rsidRPr="00A17D60">
        <w:rPr>
          <w:sz w:val="16"/>
        </w:rPr>
        <w:t xml:space="preserve"> </w:t>
      </w:r>
      <w:r w:rsidRPr="00A17D60">
        <w:rPr>
          <w:sz w:val="16"/>
        </w:rPr>
        <w:t>Session 2002–03, Volume 1. HL Paper 67-I,</w:t>
      </w:r>
      <w:r w:rsidRPr="00A17D60">
        <w:rPr>
          <w:sz w:val="16"/>
        </w:rPr>
        <w:t xml:space="preserve"> </w:t>
      </w:r>
      <w:r w:rsidRPr="00A17D60">
        <w:rPr>
          <w:sz w:val="16"/>
        </w:rPr>
        <w:t xml:space="preserve">HC 489-I. London, </w:t>
      </w:r>
      <w:proofErr w:type="gramStart"/>
      <w:r w:rsidRPr="00A17D60">
        <w:rPr>
          <w:sz w:val="16"/>
        </w:rPr>
        <w:t>The</w:t>
      </w:r>
      <w:proofErr w:type="gramEnd"/>
      <w:r w:rsidRPr="00A17D60">
        <w:rPr>
          <w:sz w:val="16"/>
        </w:rPr>
        <w:t xml:space="preserve"> Stationery Office, March</w:t>
      </w:r>
      <w:r w:rsidRPr="00A17D60">
        <w:rPr>
          <w:sz w:val="16"/>
        </w:rPr>
        <w:t xml:space="preserve"> </w:t>
      </w:r>
      <w:r w:rsidRPr="00A17D60">
        <w:rPr>
          <w:sz w:val="16"/>
        </w:rPr>
        <w:t>2003. Pages 6-7. See also Audit Commission (2003)</w:t>
      </w:r>
      <w:r w:rsidRPr="00A17D60">
        <w:rPr>
          <w:sz w:val="16"/>
        </w:rPr>
        <w:t xml:space="preserve"> </w:t>
      </w:r>
      <w:r w:rsidRPr="00A17D60">
        <w:rPr>
          <w:sz w:val="16"/>
        </w:rPr>
        <w:t>Human Rights: improving public service delivery,</w:t>
      </w:r>
      <w:r w:rsidRPr="00A17D60">
        <w:rPr>
          <w:sz w:val="16"/>
        </w:rPr>
        <w:t xml:space="preserve"> </w:t>
      </w:r>
      <w:r w:rsidRPr="00A17D60">
        <w:rPr>
          <w:sz w:val="16"/>
        </w:rPr>
        <w:t>London: Audit Commission, October 2003; British</w:t>
      </w:r>
      <w:r w:rsidRPr="00A17D60">
        <w:rPr>
          <w:sz w:val="16"/>
        </w:rPr>
        <w:t xml:space="preserve"> </w:t>
      </w:r>
      <w:r w:rsidRPr="00A17D60">
        <w:rPr>
          <w:sz w:val="16"/>
        </w:rPr>
        <w:t>Institute for Human Rights (2002) Something for</w:t>
      </w:r>
      <w:r w:rsidRPr="00A17D60">
        <w:rPr>
          <w:sz w:val="16"/>
        </w:rPr>
        <w:t xml:space="preserve"> </w:t>
      </w:r>
      <w:r w:rsidRPr="00A17D60">
        <w:rPr>
          <w:sz w:val="16"/>
        </w:rPr>
        <w:t>Everyone: The impact of the Human Rights Act and</w:t>
      </w:r>
      <w:r w:rsidRPr="00A17D60">
        <w:rPr>
          <w:sz w:val="16"/>
        </w:rPr>
        <w:t xml:space="preserve"> </w:t>
      </w:r>
      <w:r w:rsidRPr="00A17D60">
        <w:rPr>
          <w:sz w:val="16"/>
        </w:rPr>
        <w:t>the need for a Human Rights Commission, London:</w:t>
      </w:r>
      <w:r w:rsidRPr="00A17D60">
        <w:rPr>
          <w:sz w:val="16"/>
        </w:rPr>
        <w:t xml:space="preserve"> </w:t>
      </w:r>
      <w:r w:rsidRPr="00A17D60">
        <w:rPr>
          <w:sz w:val="16"/>
        </w:rPr>
        <w:t>British Institute for Human Rights.</w:t>
      </w:r>
    </w:p>
  </w:footnote>
  <w:footnote w:id="13">
    <w:p w:rsidR="00A17D60" w:rsidRPr="00A17D60" w:rsidRDefault="00A17D60" w:rsidP="00A17D60">
      <w:pPr>
        <w:pStyle w:val="FootnoteText"/>
        <w:rPr>
          <w:sz w:val="16"/>
        </w:rPr>
      </w:pPr>
      <w:r w:rsidRPr="00A17D60">
        <w:rPr>
          <w:rStyle w:val="FootnoteReference"/>
          <w:sz w:val="16"/>
        </w:rPr>
        <w:footnoteRef/>
      </w:r>
      <w:r w:rsidRPr="00A17D60">
        <w:rPr>
          <w:sz w:val="16"/>
        </w:rPr>
        <w:t xml:space="preserve"> </w:t>
      </w:r>
      <w:proofErr w:type="gramStart"/>
      <w:r w:rsidRPr="00A17D60">
        <w:rPr>
          <w:sz w:val="16"/>
        </w:rPr>
        <w:t xml:space="preserve">[2003] EWCA </w:t>
      </w:r>
      <w:proofErr w:type="spellStart"/>
      <w:r w:rsidRPr="00A17D60">
        <w:rPr>
          <w:sz w:val="16"/>
        </w:rPr>
        <w:t>Civ</w:t>
      </w:r>
      <w:proofErr w:type="spellEnd"/>
      <w:r w:rsidRPr="00A17D60">
        <w:rPr>
          <w:sz w:val="16"/>
        </w:rPr>
        <w:t xml:space="preserve"> 1036.</w:t>
      </w:r>
      <w:proofErr w:type="gramEnd"/>
      <w:r w:rsidRPr="00A17D60">
        <w:rPr>
          <w:sz w:val="16"/>
        </w:rPr>
        <w:t xml:space="preserve"> The case is reviewed by</w:t>
      </w:r>
      <w:r w:rsidRPr="00A17D60">
        <w:rPr>
          <w:sz w:val="16"/>
        </w:rPr>
        <w:t xml:space="preserve"> </w:t>
      </w:r>
      <w:r w:rsidRPr="00A17D60">
        <w:rPr>
          <w:sz w:val="16"/>
        </w:rPr>
        <w:t>Anna Harding in this issue of the JMHL.</w:t>
      </w:r>
    </w:p>
  </w:footnote>
  <w:footnote w:id="14">
    <w:p w:rsidR="00A17D60" w:rsidRPr="00A17D60" w:rsidRDefault="00A17D60">
      <w:pPr>
        <w:pStyle w:val="FootnoteText"/>
        <w:rPr>
          <w:sz w:val="16"/>
        </w:rPr>
      </w:pPr>
      <w:r w:rsidRPr="00A17D60">
        <w:rPr>
          <w:rStyle w:val="FootnoteReference"/>
          <w:sz w:val="16"/>
        </w:rPr>
        <w:footnoteRef/>
      </w:r>
      <w:r w:rsidRPr="00A17D60">
        <w:rPr>
          <w:sz w:val="16"/>
        </w:rPr>
        <w:t xml:space="preserve"> </w:t>
      </w:r>
      <w:proofErr w:type="spellStart"/>
      <w:r w:rsidRPr="00A17D60">
        <w:rPr>
          <w:sz w:val="16"/>
        </w:rPr>
        <w:t>Munjaz</w:t>
      </w:r>
      <w:proofErr w:type="spellEnd"/>
      <w:r w:rsidRPr="00A17D60">
        <w:rPr>
          <w:sz w:val="16"/>
        </w:rPr>
        <w:t xml:space="preserve"> paras 65, 74</w:t>
      </w:r>
    </w:p>
  </w:footnote>
  <w:footnote w:id="15">
    <w:p w:rsidR="00A17D60" w:rsidRPr="00A17D60" w:rsidRDefault="00A17D60">
      <w:pPr>
        <w:pStyle w:val="FootnoteText"/>
        <w:rPr>
          <w:sz w:val="16"/>
        </w:rPr>
      </w:pPr>
      <w:r w:rsidRPr="00A17D60">
        <w:rPr>
          <w:rStyle w:val="FootnoteReference"/>
          <w:sz w:val="16"/>
        </w:rPr>
        <w:footnoteRef/>
      </w:r>
      <w:r w:rsidRPr="00A17D60">
        <w:rPr>
          <w:sz w:val="16"/>
        </w:rPr>
        <w:t xml:space="preserve"> </w:t>
      </w:r>
      <w:proofErr w:type="spellStart"/>
      <w:r w:rsidRPr="00A17D60">
        <w:rPr>
          <w:sz w:val="16"/>
        </w:rPr>
        <w:t>Munjaz</w:t>
      </w:r>
      <w:proofErr w:type="spellEnd"/>
      <w:r w:rsidRPr="00A17D60">
        <w:rPr>
          <w:sz w:val="16"/>
        </w:rPr>
        <w:t>, paras 60, 71–6</w:t>
      </w:r>
    </w:p>
  </w:footnote>
  <w:footnote w:id="16">
    <w:p w:rsidR="00241822" w:rsidRDefault="00241822" w:rsidP="00241822">
      <w:pPr>
        <w:pStyle w:val="FootnoteText"/>
      </w:pPr>
      <w:r w:rsidRPr="00241822">
        <w:rPr>
          <w:rStyle w:val="FootnoteReference"/>
          <w:sz w:val="16"/>
        </w:rPr>
        <w:footnoteRef/>
      </w:r>
      <w:r w:rsidRPr="00241822">
        <w:rPr>
          <w:sz w:val="16"/>
        </w:rPr>
        <w:t xml:space="preserve"> </w:t>
      </w:r>
      <w:r w:rsidRPr="00241822">
        <w:rPr>
          <w:sz w:val="16"/>
        </w:rPr>
        <w:t>In a departmental briefing post-</w:t>
      </w:r>
      <w:proofErr w:type="spellStart"/>
      <w:r w:rsidRPr="00241822">
        <w:rPr>
          <w:sz w:val="16"/>
        </w:rPr>
        <w:t>Munjaz</w:t>
      </w:r>
      <w:proofErr w:type="spellEnd"/>
      <w:r w:rsidRPr="00241822">
        <w:rPr>
          <w:sz w:val="16"/>
        </w:rPr>
        <w:t>, the Department</w:t>
      </w:r>
      <w:r w:rsidRPr="00241822">
        <w:rPr>
          <w:sz w:val="16"/>
        </w:rPr>
        <w:t xml:space="preserve"> </w:t>
      </w:r>
      <w:r w:rsidRPr="00241822">
        <w:rPr>
          <w:sz w:val="16"/>
        </w:rPr>
        <w:t>of Health stated “Although the declaration … was</w:t>
      </w:r>
      <w:r w:rsidRPr="00241822">
        <w:rPr>
          <w:sz w:val="16"/>
        </w:rPr>
        <w:t xml:space="preserve"> </w:t>
      </w:r>
      <w:r w:rsidRPr="00241822">
        <w:rPr>
          <w:sz w:val="16"/>
        </w:rPr>
        <w:t>limited to those parts of the Code that covered seclusion,</w:t>
      </w:r>
      <w:r w:rsidRPr="00241822">
        <w:rPr>
          <w:sz w:val="16"/>
        </w:rPr>
        <w:t xml:space="preserve"> </w:t>
      </w:r>
      <w:r w:rsidRPr="00241822">
        <w:rPr>
          <w:sz w:val="16"/>
        </w:rPr>
        <w:t>the Department takes the view that the Court’s analysis of</w:t>
      </w:r>
      <w:r w:rsidRPr="00241822">
        <w:rPr>
          <w:sz w:val="16"/>
        </w:rPr>
        <w:t xml:space="preserve"> </w:t>
      </w:r>
      <w:r w:rsidRPr="00241822">
        <w:rPr>
          <w:sz w:val="16"/>
        </w:rPr>
        <w:t>the legal status of the Code is applicable to all aspects of</w:t>
      </w:r>
      <w:r w:rsidRPr="00241822">
        <w:rPr>
          <w:sz w:val="16"/>
        </w:rPr>
        <w:t xml:space="preserve"> </w:t>
      </w:r>
      <w:r w:rsidRPr="00241822">
        <w:rPr>
          <w:sz w:val="16"/>
        </w:rPr>
        <w:t>it.” Also see MHAC Guidance Note 1/</w:t>
      </w:r>
      <w:r w:rsidRPr="00241822">
        <w:rPr>
          <w:sz w:val="16"/>
          <w:szCs w:val="16"/>
        </w:rPr>
        <w:t>04 ‘The status of</w:t>
      </w:r>
      <w:r w:rsidRPr="00241822">
        <w:rPr>
          <w:sz w:val="16"/>
          <w:szCs w:val="16"/>
        </w:rPr>
        <w:t xml:space="preserve"> </w:t>
      </w:r>
      <w:r w:rsidRPr="00241822">
        <w:rPr>
          <w:sz w:val="16"/>
          <w:szCs w:val="16"/>
        </w:rPr>
        <w:t xml:space="preserve">the Code of Practice following the </w:t>
      </w:r>
      <w:proofErr w:type="spellStart"/>
      <w:r w:rsidRPr="00241822">
        <w:rPr>
          <w:sz w:val="16"/>
          <w:szCs w:val="16"/>
        </w:rPr>
        <w:t>Munjaz</w:t>
      </w:r>
      <w:proofErr w:type="spellEnd"/>
      <w:r w:rsidRPr="00241822">
        <w:rPr>
          <w:sz w:val="16"/>
          <w:szCs w:val="16"/>
        </w:rPr>
        <w:t xml:space="preserve"> judgment’</w:t>
      </w:r>
      <w:r w:rsidRPr="00241822">
        <w:rPr>
          <w:sz w:val="16"/>
          <w:szCs w:val="16"/>
        </w:rPr>
        <w:t xml:space="preserve"> </w:t>
      </w:r>
      <w:r w:rsidRPr="00241822">
        <w:rPr>
          <w:sz w:val="16"/>
          <w:szCs w:val="16"/>
        </w:rPr>
        <w:t xml:space="preserve">available </w:t>
      </w:r>
      <w:proofErr w:type="spellStart"/>
      <w:r w:rsidRPr="00241822">
        <w:rPr>
          <w:sz w:val="16"/>
          <w:szCs w:val="16"/>
        </w:rPr>
        <w:t>form</w:t>
      </w:r>
      <w:proofErr w:type="spellEnd"/>
      <w:r w:rsidRPr="00241822">
        <w:rPr>
          <w:sz w:val="16"/>
          <w:szCs w:val="16"/>
        </w:rPr>
        <w:t xml:space="preserve"> the Commission and its web-site.</w:t>
      </w:r>
    </w:p>
  </w:footnote>
  <w:footnote w:id="17">
    <w:p w:rsidR="00241822" w:rsidRPr="00241822" w:rsidRDefault="00241822" w:rsidP="00241822">
      <w:pPr>
        <w:pStyle w:val="FootnoteText"/>
        <w:rPr>
          <w:sz w:val="16"/>
        </w:rPr>
      </w:pPr>
      <w:r w:rsidRPr="00241822">
        <w:rPr>
          <w:rStyle w:val="FootnoteReference"/>
          <w:sz w:val="16"/>
        </w:rPr>
        <w:footnoteRef/>
      </w:r>
      <w:r w:rsidRPr="00241822">
        <w:rPr>
          <w:sz w:val="16"/>
        </w:rPr>
        <w:t xml:space="preserve"> </w:t>
      </w:r>
      <w:proofErr w:type="gramStart"/>
      <w:r w:rsidRPr="00241822">
        <w:rPr>
          <w:sz w:val="16"/>
        </w:rPr>
        <w:t>Professor Louis Appleby (National Director for</w:t>
      </w:r>
      <w:r w:rsidRPr="00241822">
        <w:rPr>
          <w:sz w:val="16"/>
        </w:rPr>
        <w:t xml:space="preserve"> </w:t>
      </w:r>
      <w:r w:rsidRPr="00241822">
        <w:rPr>
          <w:sz w:val="16"/>
        </w:rPr>
        <w:t>Mental Health) giving evidence to the David Bennett</w:t>
      </w:r>
      <w:r w:rsidRPr="00241822">
        <w:rPr>
          <w:sz w:val="16"/>
        </w:rPr>
        <w:t xml:space="preserve"> </w:t>
      </w:r>
      <w:r w:rsidRPr="00241822">
        <w:rPr>
          <w:sz w:val="16"/>
        </w:rPr>
        <w:t>inquiry [2003].</w:t>
      </w:r>
      <w:proofErr w:type="gramEnd"/>
      <w:r w:rsidRPr="00241822">
        <w:rPr>
          <w:sz w:val="16"/>
        </w:rPr>
        <w:t xml:space="preserve"> </w:t>
      </w:r>
      <w:proofErr w:type="gramStart"/>
      <w:r w:rsidRPr="00241822">
        <w:rPr>
          <w:sz w:val="16"/>
        </w:rPr>
        <w:t>Inquiry transcript II.6-650.</w:t>
      </w:r>
      <w:proofErr w:type="gramEnd"/>
    </w:p>
  </w:footnote>
  <w:footnote w:id="18">
    <w:p w:rsidR="00241822" w:rsidRPr="00241822" w:rsidRDefault="00241822" w:rsidP="00241822">
      <w:pPr>
        <w:pStyle w:val="FootnoteText"/>
        <w:rPr>
          <w:sz w:val="16"/>
        </w:rPr>
      </w:pPr>
      <w:r w:rsidRPr="00241822">
        <w:rPr>
          <w:rStyle w:val="FootnoteReference"/>
          <w:sz w:val="16"/>
        </w:rPr>
        <w:footnoteRef/>
      </w:r>
      <w:r w:rsidRPr="00241822">
        <w:rPr>
          <w:sz w:val="16"/>
        </w:rPr>
        <w:t xml:space="preserve"> </w:t>
      </w:r>
      <w:r w:rsidRPr="00241822">
        <w:rPr>
          <w:sz w:val="16"/>
        </w:rPr>
        <w:t>The position of prisoners under present legislation is a</w:t>
      </w:r>
      <w:r w:rsidRPr="00241822">
        <w:rPr>
          <w:sz w:val="16"/>
        </w:rPr>
        <w:t xml:space="preserve"> </w:t>
      </w:r>
      <w:r w:rsidRPr="00241822">
        <w:rPr>
          <w:sz w:val="16"/>
        </w:rPr>
        <w:t>telling example of the dangers of a ‘casual’ approach</w:t>
      </w:r>
      <w:r w:rsidRPr="00241822">
        <w:rPr>
          <w:sz w:val="16"/>
        </w:rPr>
        <w:t xml:space="preserve"> </w:t>
      </w:r>
      <w:r w:rsidRPr="00241822">
        <w:rPr>
          <w:sz w:val="16"/>
        </w:rPr>
        <w:t xml:space="preserve">to compulsion. See </w:t>
      </w:r>
      <w:proofErr w:type="spellStart"/>
      <w:r w:rsidRPr="00241822">
        <w:rPr>
          <w:sz w:val="16"/>
        </w:rPr>
        <w:t>Kinton</w:t>
      </w:r>
      <w:proofErr w:type="spellEnd"/>
      <w:r w:rsidRPr="00241822">
        <w:rPr>
          <w:sz w:val="16"/>
        </w:rPr>
        <w:t xml:space="preserve">, M (2002) </w:t>
      </w:r>
      <w:proofErr w:type="gramStart"/>
      <w:r w:rsidRPr="00241822">
        <w:rPr>
          <w:sz w:val="16"/>
        </w:rPr>
        <w:t>Should</w:t>
      </w:r>
      <w:proofErr w:type="gramEnd"/>
      <w:r w:rsidRPr="00241822">
        <w:rPr>
          <w:sz w:val="16"/>
        </w:rPr>
        <w:t xml:space="preserve"> we allow</w:t>
      </w:r>
      <w:r w:rsidRPr="00241822">
        <w:rPr>
          <w:sz w:val="16"/>
        </w:rPr>
        <w:t xml:space="preserve"> </w:t>
      </w:r>
      <w:r w:rsidRPr="00241822">
        <w:rPr>
          <w:sz w:val="16"/>
        </w:rPr>
        <w:t xml:space="preserve">compulsory mental health treatment in prisons? </w:t>
      </w:r>
      <w:proofErr w:type="gramStart"/>
      <w:r w:rsidRPr="00241822">
        <w:rPr>
          <w:sz w:val="16"/>
        </w:rPr>
        <w:t>in</w:t>
      </w:r>
      <w:proofErr w:type="gramEnd"/>
      <w:r w:rsidRPr="00241822">
        <w:rPr>
          <w:sz w:val="16"/>
        </w:rPr>
        <w:t xml:space="preserve"> </w:t>
      </w:r>
      <w:r w:rsidRPr="00241822">
        <w:rPr>
          <w:sz w:val="16"/>
        </w:rPr>
        <w:t>Journal of Mental Health Law, No 8, December 2002.</w:t>
      </w:r>
      <w:r w:rsidRPr="00241822">
        <w:rPr>
          <w:sz w:val="16"/>
        </w:rPr>
        <w:t xml:space="preserve"> </w:t>
      </w:r>
      <w:r w:rsidRPr="00241822">
        <w:rPr>
          <w:sz w:val="16"/>
        </w:rPr>
        <w:t>University of Northumbria: Northumbria Law Press</w:t>
      </w:r>
    </w:p>
  </w:footnote>
  <w:footnote w:id="19">
    <w:p w:rsidR="00A237A2" w:rsidRPr="00A237A2" w:rsidRDefault="00A237A2">
      <w:pPr>
        <w:pStyle w:val="FootnoteText"/>
        <w:rPr>
          <w:sz w:val="16"/>
        </w:rPr>
      </w:pPr>
      <w:r w:rsidRPr="00A237A2">
        <w:rPr>
          <w:rStyle w:val="FootnoteReference"/>
          <w:sz w:val="16"/>
        </w:rPr>
        <w:footnoteRef/>
      </w:r>
      <w:r w:rsidRPr="00A237A2">
        <w:rPr>
          <w:sz w:val="16"/>
        </w:rPr>
        <w:t xml:space="preserve"> see </w:t>
      </w:r>
      <w:proofErr w:type="spellStart"/>
      <w:r w:rsidRPr="00A237A2">
        <w:rPr>
          <w:sz w:val="16"/>
        </w:rPr>
        <w:t>Munjaz</w:t>
      </w:r>
      <w:proofErr w:type="spellEnd"/>
    </w:p>
  </w:footnote>
  <w:footnote w:id="20">
    <w:p w:rsidR="00A237A2" w:rsidRPr="00A237A2" w:rsidRDefault="00A237A2" w:rsidP="00A237A2">
      <w:pPr>
        <w:pStyle w:val="FootnoteText"/>
        <w:rPr>
          <w:sz w:val="16"/>
        </w:rPr>
      </w:pPr>
      <w:r w:rsidRPr="00A237A2">
        <w:rPr>
          <w:rStyle w:val="FootnoteReference"/>
          <w:sz w:val="16"/>
        </w:rPr>
        <w:footnoteRef/>
      </w:r>
      <w:r w:rsidRPr="00A237A2">
        <w:rPr>
          <w:sz w:val="16"/>
        </w:rPr>
        <w:t xml:space="preserve"> </w:t>
      </w:r>
      <w:r w:rsidRPr="00A237A2">
        <w:rPr>
          <w:sz w:val="16"/>
        </w:rPr>
        <w:t>In part, such a reading of case law is suggested by the</w:t>
      </w:r>
      <w:r w:rsidRPr="00A237A2">
        <w:rPr>
          <w:sz w:val="16"/>
        </w:rPr>
        <w:t xml:space="preserve"> </w:t>
      </w:r>
      <w:proofErr w:type="spellStart"/>
      <w:r w:rsidRPr="00A237A2">
        <w:rPr>
          <w:sz w:val="16"/>
        </w:rPr>
        <w:t>Munjaz</w:t>
      </w:r>
      <w:proofErr w:type="spellEnd"/>
      <w:r w:rsidRPr="00A237A2">
        <w:rPr>
          <w:sz w:val="16"/>
        </w:rPr>
        <w:t xml:space="preserve"> judgment’s finding that Ashworth Hospital’s</w:t>
      </w:r>
      <w:r w:rsidRPr="00A237A2">
        <w:rPr>
          <w:sz w:val="16"/>
        </w:rPr>
        <w:t xml:space="preserve"> </w:t>
      </w:r>
      <w:r w:rsidRPr="00A237A2">
        <w:rPr>
          <w:sz w:val="16"/>
        </w:rPr>
        <w:t>seclusion policy was unlawful in its blanket departures</w:t>
      </w:r>
      <w:r w:rsidRPr="00A237A2">
        <w:rPr>
          <w:sz w:val="16"/>
        </w:rPr>
        <w:t xml:space="preserve"> </w:t>
      </w:r>
      <w:r w:rsidRPr="00A237A2">
        <w:rPr>
          <w:sz w:val="16"/>
        </w:rPr>
        <w:t>from the Code of Practice irrespective of individual</w:t>
      </w:r>
      <w:r w:rsidRPr="00A237A2">
        <w:rPr>
          <w:sz w:val="16"/>
        </w:rPr>
        <w:t xml:space="preserve"> </w:t>
      </w:r>
      <w:r w:rsidRPr="00A237A2">
        <w:rPr>
          <w:sz w:val="16"/>
        </w:rPr>
        <w:t>patient circumstances. In R (on the applications of ‘P’</w:t>
      </w:r>
      <w:r w:rsidRPr="00A237A2">
        <w:rPr>
          <w:sz w:val="16"/>
        </w:rPr>
        <w:t xml:space="preserve"> </w:t>
      </w:r>
      <w:r w:rsidRPr="00A237A2">
        <w:rPr>
          <w:sz w:val="16"/>
        </w:rPr>
        <w:t>and ‘Q’ and QB) v Secretary of State for the Home</w:t>
      </w:r>
      <w:r w:rsidRPr="00A237A2">
        <w:rPr>
          <w:sz w:val="16"/>
        </w:rPr>
        <w:t xml:space="preserve"> </w:t>
      </w:r>
      <w:r w:rsidRPr="00A237A2">
        <w:rPr>
          <w:sz w:val="16"/>
        </w:rPr>
        <w:t xml:space="preserve">Department and another [2001] EWCA </w:t>
      </w:r>
      <w:proofErr w:type="spellStart"/>
      <w:r w:rsidRPr="00A237A2">
        <w:rPr>
          <w:sz w:val="16"/>
        </w:rPr>
        <w:t>Civ</w:t>
      </w:r>
      <w:proofErr w:type="spellEnd"/>
      <w:r w:rsidRPr="00A237A2">
        <w:rPr>
          <w:sz w:val="16"/>
        </w:rPr>
        <w:t xml:space="preserve"> 1151, the</w:t>
      </w:r>
      <w:r w:rsidRPr="00A237A2">
        <w:rPr>
          <w:sz w:val="16"/>
        </w:rPr>
        <w:t xml:space="preserve"> </w:t>
      </w:r>
      <w:r w:rsidRPr="00A237A2">
        <w:rPr>
          <w:sz w:val="16"/>
        </w:rPr>
        <w:t>Court of Appeal required ‘blanket’ policies on matters</w:t>
      </w:r>
      <w:r w:rsidRPr="00A237A2">
        <w:rPr>
          <w:sz w:val="16"/>
        </w:rPr>
        <w:t xml:space="preserve"> </w:t>
      </w:r>
      <w:r w:rsidRPr="00A237A2">
        <w:rPr>
          <w:sz w:val="16"/>
        </w:rPr>
        <w:t>that engage human rights issues to be flexible enough,</w:t>
      </w:r>
      <w:r w:rsidRPr="00A237A2">
        <w:rPr>
          <w:sz w:val="16"/>
        </w:rPr>
        <w:t xml:space="preserve"> </w:t>
      </w:r>
      <w:r w:rsidRPr="00A237A2">
        <w:rPr>
          <w:sz w:val="16"/>
        </w:rPr>
        <w:t>through allowing exceptions to general rules, so as to</w:t>
      </w:r>
      <w:r w:rsidRPr="00A237A2">
        <w:rPr>
          <w:sz w:val="16"/>
        </w:rPr>
        <w:t xml:space="preserve"> </w:t>
      </w:r>
      <w:r w:rsidRPr="00A237A2">
        <w:rPr>
          <w:sz w:val="16"/>
        </w:rPr>
        <w:t>ensure proportionality and compliance with ECHR</w:t>
      </w:r>
      <w:r w:rsidRPr="00A237A2">
        <w:rPr>
          <w:sz w:val="16"/>
        </w:rPr>
        <w:t xml:space="preserve"> </w:t>
      </w:r>
      <w:r w:rsidRPr="00A237A2">
        <w:rPr>
          <w:sz w:val="16"/>
        </w:rPr>
        <w:t>requirements. See also Audit Commission (2003)</w:t>
      </w:r>
      <w:r w:rsidRPr="00A237A2">
        <w:rPr>
          <w:sz w:val="16"/>
        </w:rPr>
        <w:t xml:space="preserve"> </w:t>
      </w:r>
      <w:r w:rsidRPr="00A237A2">
        <w:rPr>
          <w:sz w:val="16"/>
        </w:rPr>
        <w:t>Human Rights: improving public service delivery,</w:t>
      </w:r>
      <w:r w:rsidRPr="00A237A2">
        <w:rPr>
          <w:sz w:val="16"/>
        </w:rPr>
        <w:t xml:space="preserve"> </w:t>
      </w:r>
      <w:r w:rsidRPr="00A237A2">
        <w:rPr>
          <w:sz w:val="16"/>
        </w:rPr>
        <w:t>London: Audit Commission, October 2003, p16.</w:t>
      </w:r>
    </w:p>
  </w:footnote>
  <w:footnote w:id="21">
    <w:p w:rsidR="00A237A2" w:rsidRPr="000E3628" w:rsidRDefault="00A237A2" w:rsidP="00A237A2">
      <w:pPr>
        <w:pStyle w:val="FootnoteText"/>
        <w:rPr>
          <w:sz w:val="16"/>
        </w:rPr>
      </w:pPr>
      <w:r w:rsidRPr="000E3628">
        <w:rPr>
          <w:rStyle w:val="FootnoteReference"/>
          <w:sz w:val="16"/>
        </w:rPr>
        <w:footnoteRef/>
      </w:r>
      <w:r w:rsidRPr="000E3628">
        <w:rPr>
          <w:sz w:val="16"/>
        </w:rPr>
        <w:t xml:space="preserve"> </w:t>
      </w:r>
      <w:r w:rsidRPr="000E3628">
        <w:rPr>
          <w:sz w:val="16"/>
        </w:rPr>
        <w:t>See Mental Health Act Commission (2003) Tenth</w:t>
      </w:r>
      <w:r w:rsidRPr="000E3628">
        <w:rPr>
          <w:sz w:val="16"/>
        </w:rPr>
        <w:t xml:space="preserve"> </w:t>
      </w:r>
      <w:r w:rsidRPr="000E3628">
        <w:rPr>
          <w:sz w:val="16"/>
        </w:rPr>
        <w:t>Biennial Report, Chapter 5</w:t>
      </w:r>
    </w:p>
  </w:footnote>
  <w:footnote w:id="22">
    <w:p w:rsidR="00A237A2" w:rsidRPr="000E3628" w:rsidRDefault="00A237A2" w:rsidP="00A237A2">
      <w:pPr>
        <w:pStyle w:val="FootnoteText"/>
        <w:rPr>
          <w:sz w:val="16"/>
        </w:rPr>
      </w:pPr>
      <w:r w:rsidRPr="000E3628">
        <w:rPr>
          <w:rStyle w:val="FootnoteReference"/>
          <w:sz w:val="16"/>
        </w:rPr>
        <w:footnoteRef/>
      </w:r>
      <w:r w:rsidRPr="000E3628">
        <w:rPr>
          <w:sz w:val="16"/>
        </w:rPr>
        <w:t xml:space="preserve"> </w:t>
      </w:r>
      <w:r w:rsidRPr="000E3628">
        <w:rPr>
          <w:sz w:val="16"/>
        </w:rPr>
        <w:t>Department of Health (2000) Effective Care</w:t>
      </w:r>
      <w:r w:rsidRPr="000E3628">
        <w:rPr>
          <w:sz w:val="16"/>
        </w:rPr>
        <w:t xml:space="preserve"> </w:t>
      </w:r>
      <w:r w:rsidRPr="000E3628">
        <w:rPr>
          <w:sz w:val="16"/>
        </w:rPr>
        <w:t>Co-ordination: Modernising the Care Programme</w:t>
      </w:r>
      <w:r w:rsidRPr="000E3628">
        <w:rPr>
          <w:sz w:val="16"/>
        </w:rPr>
        <w:t xml:space="preserve"> </w:t>
      </w:r>
      <w:r w:rsidRPr="000E3628">
        <w:rPr>
          <w:sz w:val="16"/>
        </w:rPr>
        <w:t>Approach. London, Stationery Office.</w:t>
      </w:r>
    </w:p>
  </w:footnote>
  <w:footnote w:id="23">
    <w:p w:rsidR="00A237A2" w:rsidRPr="000E3628" w:rsidRDefault="00A237A2" w:rsidP="00A237A2">
      <w:pPr>
        <w:pStyle w:val="FootnoteText"/>
        <w:rPr>
          <w:sz w:val="16"/>
        </w:rPr>
      </w:pPr>
      <w:r w:rsidRPr="000E3628">
        <w:rPr>
          <w:rStyle w:val="FootnoteReference"/>
          <w:sz w:val="16"/>
        </w:rPr>
        <w:footnoteRef/>
      </w:r>
      <w:r w:rsidRPr="000E3628">
        <w:rPr>
          <w:sz w:val="16"/>
        </w:rPr>
        <w:t xml:space="preserve"> </w:t>
      </w:r>
      <w:proofErr w:type="gramStart"/>
      <w:r w:rsidRPr="000E3628">
        <w:rPr>
          <w:sz w:val="16"/>
        </w:rPr>
        <w:t>see</w:t>
      </w:r>
      <w:proofErr w:type="gramEnd"/>
      <w:r w:rsidRPr="000E3628">
        <w:rPr>
          <w:sz w:val="16"/>
        </w:rPr>
        <w:t xml:space="preserve"> NIMHE (2003) Engaging and Changing:</w:t>
      </w:r>
      <w:r w:rsidR="000E3628" w:rsidRPr="000E3628">
        <w:rPr>
          <w:sz w:val="16"/>
        </w:rPr>
        <w:t xml:space="preserve"> </w:t>
      </w:r>
      <w:r w:rsidRPr="000E3628">
        <w:rPr>
          <w:sz w:val="16"/>
        </w:rPr>
        <w:t>Developing effective policy for the care and treatment of</w:t>
      </w:r>
      <w:r w:rsidR="000E3628" w:rsidRPr="000E3628">
        <w:rPr>
          <w:sz w:val="16"/>
        </w:rPr>
        <w:t xml:space="preserve"> </w:t>
      </w:r>
      <w:r w:rsidRPr="000E3628">
        <w:rPr>
          <w:sz w:val="16"/>
        </w:rPr>
        <w:t>Black and minority ethnic detained patients. Centre for</w:t>
      </w:r>
      <w:r w:rsidR="000E3628" w:rsidRPr="000E3628">
        <w:rPr>
          <w:sz w:val="16"/>
        </w:rPr>
        <w:t xml:space="preserve"> </w:t>
      </w:r>
      <w:r w:rsidRPr="000E3628">
        <w:rPr>
          <w:sz w:val="16"/>
        </w:rPr>
        <w:t>Ethnicity &amp; Health, University of Central Lancashire;</w:t>
      </w:r>
      <w:r w:rsidR="000E3628" w:rsidRPr="000E3628">
        <w:rPr>
          <w:sz w:val="16"/>
        </w:rPr>
        <w:t xml:space="preserve"> </w:t>
      </w:r>
      <w:r w:rsidRPr="000E3628">
        <w:rPr>
          <w:sz w:val="16"/>
        </w:rPr>
        <w:t>Mental Health Act Commission; NIMHE. London:</w:t>
      </w:r>
      <w:r w:rsidR="000E3628" w:rsidRPr="000E3628">
        <w:rPr>
          <w:sz w:val="16"/>
        </w:rPr>
        <w:t xml:space="preserve"> </w:t>
      </w:r>
      <w:r w:rsidRPr="000E3628">
        <w:rPr>
          <w:sz w:val="16"/>
        </w:rPr>
        <w:t>Department of Health. This report flowed from the</w:t>
      </w:r>
      <w:r w:rsidR="000E3628" w:rsidRPr="000E3628">
        <w:rPr>
          <w:sz w:val="16"/>
        </w:rPr>
        <w:t xml:space="preserve"> </w:t>
      </w:r>
      <w:r w:rsidRPr="000E3628">
        <w:rPr>
          <w:sz w:val="16"/>
        </w:rPr>
        <w:t>MHAC second ‘national visit’ of 1999. At the time of</w:t>
      </w:r>
      <w:r w:rsidR="000E3628" w:rsidRPr="000E3628">
        <w:rPr>
          <w:sz w:val="16"/>
        </w:rPr>
        <w:t xml:space="preserve"> </w:t>
      </w:r>
      <w:r w:rsidRPr="000E3628">
        <w:rPr>
          <w:sz w:val="16"/>
        </w:rPr>
        <w:t>writing, consultation is underway on Government</w:t>
      </w:r>
      <w:r w:rsidR="000E3628" w:rsidRPr="000E3628">
        <w:rPr>
          <w:sz w:val="16"/>
        </w:rPr>
        <w:t xml:space="preserve"> </w:t>
      </w:r>
      <w:r w:rsidRPr="000E3628">
        <w:rPr>
          <w:sz w:val="16"/>
        </w:rPr>
        <w:t>proposals in Department of Health (2003) Delivering</w:t>
      </w:r>
      <w:r w:rsidR="000E3628" w:rsidRPr="000E3628">
        <w:rPr>
          <w:sz w:val="16"/>
        </w:rPr>
        <w:t xml:space="preserve"> </w:t>
      </w:r>
      <w:r w:rsidRPr="000E3628">
        <w:rPr>
          <w:sz w:val="16"/>
        </w:rPr>
        <w:t xml:space="preserve">Race Equality: A Framework for Action. </w:t>
      </w:r>
      <w:proofErr w:type="gramStart"/>
      <w:r w:rsidRPr="000E3628">
        <w:rPr>
          <w:sz w:val="16"/>
        </w:rPr>
        <w:t>Mental</w:t>
      </w:r>
      <w:r w:rsidR="000E3628" w:rsidRPr="000E3628">
        <w:rPr>
          <w:sz w:val="16"/>
        </w:rPr>
        <w:t xml:space="preserve"> </w:t>
      </w:r>
      <w:r w:rsidRPr="000E3628">
        <w:rPr>
          <w:sz w:val="16"/>
        </w:rPr>
        <w:t>Health Services Consultation Document.</w:t>
      </w:r>
      <w:proofErr w:type="gramEnd"/>
      <w:r w:rsidRPr="000E3628">
        <w:rPr>
          <w:sz w:val="16"/>
        </w:rPr>
        <w:t xml:space="preserve"> London:</w:t>
      </w:r>
      <w:r w:rsidR="000E3628" w:rsidRPr="000E3628">
        <w:rPr>
          <w:sz w:val="16"/>
        </w:rPr>
        <w:t xml:space="preserve"> </w:t>
      </w:r>
      <w:r w:rsidRPr="000E3628">
        <w:rPr>
          <w:sz w:val="16"/>
        </w:rPr>
        <w:t>Department of Health, October 2003.</w:t>
      </w:r>
    </w:p>
  </w:footnote>
  <w:footnote w:id="24">
    <w:p w:rsidR="000E3628" w:rsidRPr="000E3628" w:rsidRDefault="000E3628" w:rsidP="000E3628">
      <w:pPr>
        <w:pStyle w:val="FootnoteText"/>
        <w:rPr>
          <w:sz w:val="16"/>
        </w:rPr>
      </w:pPr>
      <w:r w:rsidRPr="000E3628">
        <w:rPr>
          <w:rStyle w:val="FootnoteReference"/>
          <w:sz w:val="16"/>
        </w:rPr>
        <w:footnoteRef/>
      </w:r>
      <w:r w:rsidRPr="000E3628">
        <w:rPr>
          <w:sz w:val="16"/>
        </w:rPr>
        <w:t xml:space="preserve"> </w:t>
      </w:r>
      <w:proofErr w:type="gramStart"/>
      <w:r w:rsidRPr="000E3628">
        <w:rPr>
          <w:sz w:val="16"/>
        </w:rPr>
        <w:t>e.g</w:t>
      </w:r>
      <w:proofErr w:type="gramEnd"/>
      <w:r w:rsidRPr="000E3628">
        <w:rPr>
          <w:sz w:val="16"/>
        </w:rPr>
        <w:t xml:space="preserve">. R (on the application of PS) v </w:t>
      </w:r>
      <w:proofErr w:type="spellStart"/>
      <w:r w:rsidRPr="000E3628">
        <w:rPr>
          <w:sz w:val="16"/>
        </w:rPr>
        <w:t>Dr.</w:t>
      </w:r>
      <w:proofErr w:type="spellEnd"/>
      <w:r w:rsidRPr="000E3628">
        <w:rPr>
          <w:sz w:val="16"/>
        </w:rPr>
        <w:t xml:space="preserve"> G and </w:t>
      </w:r>
      <w:proofErr w:type="spellStart"/>
      <w:r w:rsidRPr="000E3628">
        <w:rPr>
          <w:sz w:val="16"/>
        </w:rPr>
        <w:t>Dr.</w:t>
      </w:r>
      <w:proofErr w:type="spellEnd"/>
      <w:r w:rsidRPr="000E3628">
        <w:rPr>
          <w:sz w:val="16"/>
        </w:rPr>
        <w:t xml:space="preserve"> W</w:t>
      </w:r>
      <w:r w:rsidRPr="000E3628">
        <w:rPr>
          <w:sz w:val="16"/>
        </w:rPr>
        <w:t xml:space="preserve"> </w:t>
      </w:r>
      <w:r w:rsidRPr="000E3628">
        <w:rPr>
          <w:sz w:val="16"/>
        </w:rPr>
        <w:t>[2003] EWHC 2335 (Admin).</w:t>
      </w:r>
    </w:p>
  </w:footnote>
  <w:footnote w:id="25">
    <w:p w:rsidR="000E3628" w:rsidRPr="000E3628" w:rsidRDefault="000E3628" w:rsidP="000E3628">
      <w:pPr>
        <w:pStyle w:val="FootnoteText"/>
        <w:rPr>
          <w:sz w:val="16"/>
        </w:rPr>
      </w:pPr>
      <w:r w:rsidRPr="000E3628">
        <w:rPr>
          <w:rStyle w:val="FootnoteReference"/>
          <w:sz w:val="16"/>
        </w:rPr>
        <w:footnoteRef/>
      </w:r>
      <w:r w:rsidRPr="000E3628">
        <w:rPr>
          <w:sz w:val="16"/>
        </w:rPr>
        <w:t xml:space="preserve"> </w:t>
      </w:r>
      <w:r w:rsidRPr="000E3628">
        <w:rPr>
          <w:sz w:val="16"/>
        </w:rPr>
        <w:t>See Mental Health Act Code of Practice, Chapters 15</w:t>
      </w:r>
      <w:r w:rsidRPr="000E3628">
        <w:rPr>
          <w:sz w:val="16"/>
        </w:rPr>
        <w:t xml:space="preserve"> </w:t>
      </w:r>
      <w:r w:rsidRPr="000E3628">
        <w:rPr>
          <w:sz w:val="16"/>
        </w:rPr>
        <w:t>and 16.</w:t>
      </w:r>
    </w:p>
  </w:footnote>
  <w:footnote w:id="26">
    <w:p w:rsidR="000E3628" w:rsidRPr="000E3628" w:rsidRDefault="000E3628" w:rsidP="000E3628">
      <w:pPr>
        <w:pStyle w:val="FootnoteText"/>
        <w:rPr>
          <w:sz w:val="16"/>
        </w:rPr>
      </w:pPr>
      <w:r w:rsidRPr="000E3628">
        <w:rPr>
          <w:rStyle w:val="FootnoteReference"/>
          <w:sz w:val="16"/>
        </w:rPr>
        <w:footnoteRef/>
      </w:r>
      <w:r w:rsidRPr="000E3628">
        <w:rPr>
          <w:sz w:val="16"/>
        </w:rPr>
        <w:t xml:space="preserve"> </w:t>
      </w:r>
      <w:r w:rsidRPr="000E3628">
        <w:rPr>
          <w:sz w:val="16"/>
        </w:rPr>
        <w:t>See footnote 23 above. Also see (1) a review of the case</w:t>
      </w:r>
      <w:r w:rsidRPr="000E3628">
        <w:rPr>
          <w:sz w:val="16"/>
        </w:rPr>
        <w:t xml:space="preserve"> </w:t>
      </w:r>
      <w:r w:rsidRPr="000E3628">
        <w:rPr>
          <w:sz w:val="16"/>
        </w:rPr>
        <w:t>by Peter Bartlett in this issue of the JMHL, and (2)</w:t>
      </w:r>
      <w:r w:rsidRPr="000E3628">
        <w:rPr>
          <w:sz w:val="16"/>
        </w:rPr>
        <w:t xml:space="preserve"> </w:t>
      </w:r>
      <w:r w:rsidRPr="000E3628">
        <w:rPr>
          <w:sz w:val="16"/>
        </w:rPr>
        <w:t>MHAC Guidance Note 2/04 ‘Guidance for RMOs on</w:t>
      </w:r>
      <w:r w:rsidRPr="000E3628">
        <w:rPr>
          <w:sz w:val="16"/>
        </w:rPr>
        <w:t xml:space="preserve"> </w:t>
      </w:r>
      <w:r w:rsidRPr="000E3628">
        <w:rPr>
          <w:sz w:val="16"/>
        </w:rPr>
        <w:t>PS’ available from the Commission and its website.</w:t>
      </w:r>
    </w:p>
  </w:footnote>
  <w:footnote w:id="27">
    <w:p w:rsidR="000E3628" w:rsidRPr="000E3628" w:rsidRDefault="000E3628">
      <w:pPr>
        <w:pStyle w:val="FootnoteText"/>
        <w:rPr>
          <w:sz w:val="16"/>
        </w:rPr>
      </w:pPr>
      <w:r w:rsidRPr="000E3628">
        <w:rPr>
          <w:rStyle w:val="FootnoteReference"/>
          <w:sz w:val="16"/>
        </w:rPr>
        <w:footnoteRef/>
      </w:r>
      <w:r w:rsidRPr="000E3628">
        <w:rPr>
          <w:sz w:val="16"/>
        </w:rPr>
        <w:t xml:space="preserve"> see Mental Health Act 1983, section 145</w:t>
      </w:r>
    </w:p>
  </w:footnote>
  <w:footnote w:id="28">
    <w:p w:rsidR="000E3628" w:rsidRPr="000E3628" w:rsidRDefault="000E3628" w:rsidP="000E3628">
      <w:pPr>
        <w:pStyle w:val="FootnoteText"/>
        <w:rPr>
          <w:sz w:val="16"/>
        </w:rPr>
      </w:pPr>
      <w:r w:rsidRPr="000E3628">
        <w:rPr>
          <w:rStyle w:val="FootnoteReference"/>
          <w:sz w:val="16"/>
        </w:rPr>
        <w:footnoteRef/>
      </w:r>
      <w:r w:rsidRPr="000E3628">
        <w:rPr>
          <w:sz w:val="16"/>
        </w:rPr>
        <w:t xml:space="preserve"> </w:t>
      </w:r>
      <w:r w:rsidRPr="000E3628">
        <w:rPr>
          <w:sz w:val="16"/>
        </w:rPr>
        <w:t>The Commission does not, however, argue that</w:t>
      </w:r>
      <w:r w:rsidRPr="000E3628">
        <w:rPr>
          <w:sz w:val="16"/>
        </w:rPr>
        <w:t xml:space="preserve"> </w:t>
      </w:r>
      <w:r w:rsidRPr="000E3628">
        <w:rPr>
          <w:sz w:val="16"/>
        </w:rPr>
        <w:t>capacitated refusals of consent should necessarily</w:t>
      </w:r>
      <w:r w:rsidRPr="000E3628">
        <w:rPr>
          <w:sz w:val="16"/>
        </w:rPr>
        <w:t xml:space="preserve"> </w:t>
      </w:r>
      <w:r w:rsidRPr="000E3628">
        <w:rPr>
          <w:sz w:val="16"/>
        </w:rPr>
        <w:t>override future powers of compulsion. Chapter 4 of</w:t>
      </w:r>
      <w:r w:rsidRPr="000E3628">
        <w:rPr>
          <w:sz w:val="16"/>
        </w:rPr>
        <w:t xml:space="preserve"> </w:t>
      </w:r>
      <w:r w:rsidRPr="000E3628">
        <w:rPr>
          <w:sz w:val="16"/>
        </w:rPr>
        <w:t>our report suggests that further thinking and agreement</w:t>
      </w:r>
      <w:r w:rsidRPr="000E3628">
        <w:rPr>
          <w:sz w:val="16"/>
        </w:rPr>
        <w:t xml:space="preserve"> </w:t>
      </w:r>
      <w:r w:rsidRPr="000E3628">
        <w:rPr>
          <w:sz w:val="16"/>
        </w:rPr>
        <w:t>is needed over the different ways of understanding</w:t>
      </w:r>
      <w:r w:rsidRPr="000E3628">
        <w:rPr>
          <w:sz w:val="16"/>
        </w:rPr>
        <w:t xml:space="preserve"> </w:t>
      </w:r>
      <w:r w:rsidRPr="000E3628">
        <w:rPr>
          <w:sz w:val="16"/>
        </w:rPr>
        <w:t>capacity in particular contexts and for particular</w:t>
      </w:r>
      <w:r w:rsidRPr="000E3628">
        <w:rPr>
          <w:sz w:val="16"/>
        </w:rPr>
        <w:t xml:space="preserve"> </w:t>
      </w:r>
      <w:r w:rsidRPr="000E3628">
        <w:rPr>
          <w:sz w:val="16"/>
        </w:rPr>
        <w:t>purposes before mental incapacity should play a role</w:t>
      </w:r>
      <w:r w:rsidRPr="000E3628">
        <w:rPr>
          <w:sz w:val="16"/>
        </w:rPr>
        <w:t xml:space="preserve"> </w:t>
      </w:r>
      <w:r w:rsidRPr="000E3628">
        <w:rPr>
          <w:sz w:val="16"/>
        </w:rPr>
        <w:t>different to that under the current Mental Health Act</w:t>
      </w:r>
      <w:r w:rsidRPr="000E3628">
        <w:rPr>
          <w:sz w:val="16"/>
        </w:rPr>
        <w:t xml:space="preserve"> </w:t>
      </w:r>
      <w:r w:rsidRPr="000E3628">
        <w:rPr>
          <w:sz w:val="16"/>
        </w:rPr>
        <w:t>and its Code of Practice.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DB"/>
    <w:rsid w:val="000E3628"/>
    <w:rsid w:val="001B7D2E"/>
    <w:rsid w:val="00241822"/>
    <w:rsid w:val="003F5EE8"/>
    <w:rsid w:val="00425F1C"/>
    <w:rsid w:val="00571AE5"/>
    <w:rsid w:val="00A17D60"/>
    <w:rsid w:val="00A237A2"/>
    <w:rsid w:val="00C35200"/>
    <w:rsid w:val="00E839DB"/>
    <w:rsid w:val="00FB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71A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1A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1AE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1A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71A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1A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1AE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1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hac.tren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5F346-83DC-4659-A978-A6F03479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3407</Words>
  <Characters>19424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22786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4</cp:revision>
  <dcterms:created xsi:type="dcterms:W3CDTF">2014-10-16T12:00:00Z</dcterms:created>
  <dcterms:modified xsi:type="dcterms:W3CDTF">2014-10-16T14:35:00Z</dcterms:modified>
</cp:coreProperties>
</file>