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8C" w:rsidRPr="00C47C8C" w:rsidRDefault="00C47C8C" w:rsidP="00C47C8C">
      <w:pPr>
        <w:rPr>
          <w:i/>
          <w:iCs/>
          <w:sz w:val="40"/>
        </w:rPr>
      </w:pPr>
      <w:r w:rsidRPr="00C47C8C">
        <w:rPr>
          <w:i/>
          <w:iCs/>
          <w:sz w:val="40"/>
        </w:rPr>
        <w:t>Judicial recognition of the status of the Code of Practice</w:t>
      </w:r>
    </w:p>
    <w:p w:rsidR="00C47C8C" w:rsidRPr="00C47C8C" w:rsidRDefault="00AF6C4C" w:rsidP="00C47C8C">
      <w:pPr>
        <w:rPr>
          <w:i/>
          <w:iCs/>
          <w:sz w:val="28"/>
        </w:rPr>
      </w:pPr>
      <w:r>
        <w:rPr>
          <w:i/>
          <w:iCs/>
          <w:sz w:val="28"/>
        </w:rPr>
        <w:t>Anna Harding</w:t>
      </w:r>
      <w:r>
        <w:rPr>
          <w:rStyle w:val="FootnoteReference"/>
          <w:i/>
          <w:iCs/>
          <w:sz w:val="28"/>
        </w:rPr>
        <w:footnoteReference w:customMarkFollows="1" w:id="1"/>
        <w:t>*</w:t>
      </w:r>
    </w:p>
    <w:p w:rsidR="00C47C8C" w:rsidRDefault="00C47C8C" w:rsidP="00C47C8C">
      <w:pPr>
        <w:rPr>
          <w:b/>
          <w:bCs/>
        </w:rPr>
      </w:pPr>
    </w:p>
    <w:p w:rsidR="00C47C8C" w:rsidRPr="00C47C8C" w:rsidRDefault="00C47C8C" w:rsidP="00C47C8C">
      <w:pPr>
        <w:rPr>
          <w:b/>
          <w:bCs/>
        </w:rPr>
      </w:pPr>
      <w:r w:rsidRPr="00C47C8C">
        <w:rPr>
          <w:b/>
          <w:bCs/>
        </w:rPr>
        <w:t xml:space="preserve">R (on the application of Colonel </w:t>
      </w:r>
      <w:proofErr w:type="spellStart"/>
      <w:r w:rsidRPr="00C47C8C">
        <w:rPr>
          <w:b/>
          <w:bCs/>
        </w:rPr>
        <w:t>Munjaz</w:t>
      </w:r>
      <w:proofErr w:type="spellEnd"/>
      <w:r w:rsidRPr="00C47C8C">
        <w:rPr>
          <w:b/>
          <w:bCs/>
        </w:rPr>
        <w:t>) v Mersey Care NHS Trust</w:t>
      </w:r>
      <w:proofErr w:type="gramStart"/>
      <w:r w:rsidRPr="00C47C8C">
        <w:rPr>
          <w:b/>
          <w:bCs/>
        </w:rPr>
        <w:t>;</w:t>
      </w:r>
      <w:proofErr w:type="gramEnd"/>
      <w:r>
        <w:rPr>
          <w:b/>
          <w:bCs/>
        </w:rPr>
        <w:br/>
      </w:r>
      <w:r w:rsidRPr="00C47C8C">
        <w:rPr>
          <w:b/>
          <w:bCs/>
        </w:rPr>
        <w:t>S v Airedale NHS Trust</w:t>
      </w:r>
      <w:r>
        <w:rPr>
          <w:b/>
          <w:bCs/>
        </w:rPr>
        <w:br/>
      </w:r>
      <w:r w:rsidRPr="00C47C8C">
        <w:rPr>
          <w:b/>
          <w:bCs/>
        </w:rPr>
        <w:t>Interested Parties: 1) Secretary of State for Health; 2) Mind</w:t>
      </w:r>
      <w:r>
        <w:rPr>
          <w:b/>
          <w:bCs/>
        </w:rPr>
        <w:br/>
      </w:r>
      <w:r w:rsidRPr="00C47C8C">
        <w:rPr>
          <w:b/>
          <w:bCs/>
        </w:rPr>
        <w:t xml:space="preserve">[2003] EWCA </w:t>
      </w:r>
      <w:proofErr w:type="spellStart"/>
      <w:r w:rsidRPr="00C47C8C">
        <w:rPr>
          <w:b/>
          <w:bCs/>
        </w:rPr>
        <w:t>Civ</w:t>
      </w:r>
      <w:proofErr w:type="spellEnd"/>
      <w:r w:rsidRPr="00C47C8C">
        <w:rPr>
          <w:b/>
          <w:bCs/>
        </w:rPr>
        <w:t xml:space="preserve"> 1036</w:t>
      </w:r>
      <w:r>
        <w:rPr>
          <w:b/>
          <w:bCs/>
        </w:rPr>
        <w:br/>
      </w:r>
      <w:r w:rsidRPr="00C47C8C">
        <w:rPr>
          <w:b/>
          <w:bCs/>
        </w:rPr>
        <w:t>Court of Appeal (16th July 2003) Lord Phillips MR, Hale LJ, and Latham LJ</w:t>
      </w:r>
    </w:p>
    <w:p w:rsidR="00C47C8C" w:rsidRDefault="00C47C8C" w:rsidP="00C47C8C"/>
    <w:p w:rsidR="00C47C8C" w:rsidRDefault="00C47C8C" w:rsidP="00C47C8C">
      <w:r w:rsidRPr="00C47C8C">
        <w:t>This is the Court of Appeal decision in two cases which raised questions about the status of the</w:t>
      </w:r>
      <w:r>
        <w:t xml:space="preserve"> </w:t>
      </w:r>
      <w:r w:rsidRPr="00C47C8C">
        <w:t>Mental Health Act Code of Practice</w:t>
      </w:r>
      <w:r w:rsidR="00AF6C4C">
        <w:rPr>
          <w:rStyle w:val="FootnoteReference"/>
        </w:rPr>
        <w:footnoteReference w:id="2"/>
      </w:r>
      <w:r w:rsidRPr="00C47C8C">
        <w:t>. Although both cases concerned the use of seclusion, the</w:t>
      </w:r>
      <w:r>
        <w:t xml:space="preserve"> </w:t>
      </w:r>
      <w:r w:rsidRPr="00C47C8C">
        <w:t>judgment is likely to have a significant impact on any matter covered by the Code</w:t>
      </w:r>
      <w:r w:rsidR="00AF6C4C">
        <w:rPr>
          <w:rStyle w:val="FootnoteReference"/>
        </w:rPr>
        <w:footnoteReference w:id="3"/>
      </w:r>
      <w:r w:rsidRPr="00C47C8C">
        <w:t>. At first instance</w:t>
      </w:r>
      <w:r>
        <w:t xml:space="preserve"> </w:t>
      </w:r>
      <w:r w:rsidRPr="00C47C8C">
        <w:t xml:space="preserve">Stanley </w:t>
      </w:r>
      <w:proofErr w:type="spellStart"/>
      <w:r w:rsidRPr="00C47C8C">
        <w:t>Burnton</w:t>
      </w:r>
      <w:proofErr w:type="spellEnd"/>
      <w:r w:rsidRPr="00C47C8C">
        <w:t xml:space="preserve"> J and Sullivan J had each held that the Code was merely guidance to which Trusts</w:t>
      </w:r>
      <w:r>
        <w:t xml:space="preserve"> </w:t>
      </w:r>
      <w:r w:rsidRPr="00C47C8C">
        <w:t>should have regard but from which they could depart. Such departure would only be unlawful if</w:t>
      </w:r>
      <w:r>
        <w:t xml:space="preserve"> </w:t>
      </w:r>
      <w:r w:rsidRPr="00C47C8C">
        <w:t xml:space="preserve">it was </w:t>
      </w:r>
      <w:proofErr w:type="spellStart"/>
      <w:r w:rsidRPr="00C47C8C">
        <w:t>Wednesbury</w:t>
      </w:r>
      <w:proofErr w:type="spellEnd"/>
      <w:r w:rsidR="00AF6C4C">
        <w:rPr>
          <w:rStyle w:val="FootnoteReference"/>
        </w:rPr>
        <w:footnoteReference w:id="4"/>
      </w:r>
      <w:r w:rsidRPr="00C47C8C">
        <w:t xml:space="preserve"> unreasonable.</w:t>
      </w:r>
    </w:p>
    <w:p w:rsidR="00C47C8C" w:rsidRPr="00C47C8C" w:rsidRDefault="00C47C8C" w:rsidP="00C47C8C"/>
    <w:p w:rsidR="00C47C8C" w:rsidRPr="00C47C8C" w:rsidRDefault="00C47C8C" w:rsidP="00C47C8C">
      <w:pPr>
        <w:rPr>
          <w:b/>
          <w:bCs/>
        </w:rPr>
      </w:pPr>
      <w:r w:rsidRPr="00C47C8C">
        <w:rPr>
          <w:b/>
          <w:bCs/>
        </w:rPr>
        <w:t>Seclusion and the Code of Practice</w:t>
      </w:r>
      <w:r w:rsidR="00AF6C4C">
        <w:rPr>
          <w:rStyle w:val="FootnoteReference"/>
          <w:b/>
          <w:bCs/>
        </w:rPr>
        <w:footnoteReference w:id="5"/>
      </w:r>
    </w:p>
    <w:p w:rsidR="00C47C8C" w:rsidRPr="00C47C8C" w:rsidRDefault="00C47C8C" w:rsidP="00C47C8C">
      <w:r w:rsidRPr="00C47C8C">
        <w:t>The Code of Practice defines seclusion as:</w:t>
      </w:r>
    </w:p>
    <w:p w:rsidR="00C47C8C" w:rsidRPr="00C47C8C" w:rsidRDefault="00C47C8C" w:rsidP="00C47C8C">
      <w:pPr>
        <w:rPr>
          <w:i/>
          <w:iCs/>
        </w:rPr>
      </w:pPr>
      <w:proofErr w:type="gramStart"/>
      <w:r w:rsidRPr="00C47C8C">
        <w:rPr>
          <w:i/>
          <w:iCs/>
        </w:rPr>
        <w:t>‘The supervised confinement in a room, which may be locked to protect others from significant harm.</w:t>
      </w:r>
      <w:proofErr w:type="gramEnd"/>
      <w:r w:rsidR="00AF6C4C">
        <w:rPr>
          <w:i/>
          <w:iCs/>
        </w:rPr>
        <w:t xml:space="preserve"> </w:t>
      </w:r>
      <w:r w:rsidRPr="00C47C8C">
        <w:rPr>
          <w:i/>
          <w:iCs/>
        </w:rPr>
        <w:t>Its sole aim is to contain severely disturbed behaviour which is likely to cause harm to others.’</w:t>
      </w:r>
    </w:p>
    <w:p w:rsidR="00C47C8C" w:rsidRPr="00C47C8C" w:rsidRDefault="00C47C8C" w:rsidP="00C47C8C">
      <w:r w:rsidRPr="00C47C8C">
        <w:t>The Code goes on to expressly state that:</w:t>
      </w:r>
    </w:p>
    <w:p w:rsidR="00C47C8C" w:rsidRDefault="00C47C8C" w:rsidP="00C47C8C">
      <w:r w:rsidRPr="00C47C8C">
        <w:t>‘Seclusion should be used:</w:t>
      </w:r>
    </w:p>
    <w:p w:rsidR="00C47C8C" w:rsidRDefault="00C47C8C" w:rsidP="00C47C8C">
      <w:pPr>
        <w:pStyle w:val="ListParagraph"/>
        <w:numPr>
          <w:ilvl w:val="0"/>
          <w:numId w:val="1"/>
        </w:numPr>
      </w:pPr>
      <w:r w:rsidRPr="00C47C8C">
        <w:t>as a last resort;</w:t>
      </w:r>
    </w:p>
    <w:p w:rsidR="00C47C8C" w:rsidRPr="00C47C8C" w:rsidRDefault="00C47C8C" w:rsidP="00C47C8C">
      <w:pPr>
        <w:pStyle w:val="ListParagraph"/>
        <w:numPr>
          <w:ilvl w:val="0"/>
          <w:numId w:val="1"/>
        </w:numPr>
      </w:pPr>
      <w:r w:rsidRPr="00C47C8C">
        <w:t>for the shortest possible time</w:t>
      </w:r>
    </w:p>
    <w:p w:rsidR="00C47C8C" w:rsidRPr="00C47C8C" w:rsidRDefault="00C47C8C" w:rsidP="00C47C8C">
      <w:r w:rsidRPr="00C47C8C">
        <w:t>Seclusion should not be used:</w:t>
      </w:r>
    </w:p>
    <w:p w:rsidR="00C47C8C" w:rsidRDefault="00C47C8C" w:rsidP="00AF6C4C">
      <w:pPr>
        <w:pStyle w:val="ListParagraph"/>
        <w:numPr>
          <w:ilvl w:val="0"/>
          <w:numId w:val="2"/>
        </w:numPr>
      </w:pPr>
      <w:r w:rsidRPr="00C47C8C">
        <w:t>as a punishment or threat;</w:t>
      </w:r>
    </w:p>
    <w:p w:rsidR="00C47C8C" w:rsidRDefault="00C47C8C" w:rsidP="00C47C8C">
      <w:pPr>
        <w:pStyle w:val="ListParagraph"/>
        <w:numPr>
          <w:ilvl w:val="0"/>
          <w:numId w:val="2"/>
        </w:numPr>
      </w:pPr>
      <w:r w:rsidRPr="00C47C8C">
        <w:t>as part of a treatment programme;</w:t>
      </w:r>
    </w:p>
    <w:p w:rsidR="00C47C8C" w:rsidRDefault="00C47C8C" w:rsidP="00C47C8C">
      <w:pPr>
        <w:pStyle w:val="ListParagraph"/>
        <w:numPr>
          <w:ilvl w:val="0"/>
          <w:numId w:val="2"/>
        </w:numPr>
      </w:pPr>
      <w:r w:rsidRPr="00C47C8C">
        <w:t>because of shortage of staff</w:t>
      </w:r>
    </w:p>
    <w:p w:rsidR="008C00B6" w:rsidRDefault="00C47C8C" w:rsidP="00C47C8C">
      <w:pPr>
        <w:pStyle w:val="ListParagraph"/>
        <w:numPr>
          <w:ilvl w:val="0"/>
          <w:numId w:val="2"/>
        </w:numPr>
      </w:pPr>
      <w:proofErr w:type="gramStart"/>
      <w:r w:rsidRPr="00C47C8C">
        <w:t>where</w:t>
      </w:r>
      <w:proofErr w:type="gramEnd"/>
      <w:r w:rsidRPr="00C47C8C">
        <w:t xml:space="preserve"> there is any risk of suicide or </w:t>
      </w:r>
      <w:proofErr w:type="spellStart"/>
      <w:r w:rsidRPr="00C47C8C">
        <w:t>self harm</w:t>
      </w:r>
      <w:proofErr w:type="spellEnd"/>
      <w:r w:rsidRPr="00C47C8C">
        <w:t>.’</w:t>
      </w:r>
    </w:p>
    <w:p w:rsidR="00793232" w:rsidRDefault="00793232" w:rsidP="00793232">
      <w:r w:rsidRPr="00793232">
        <w:lastRenderedPageBreak/>
        <w:t>Hospitals are required by the Code to have clear written guidelines on the use of seclusion. A nurse</w:t>
      </w:r>
      <w:r>
        <w:t xml:space="preserve"> </w:t>
      </w:r>
      <w:r w:rsidRPr="00793232">
        <w:t>must be within sight and sound of the seclusion room at all times. A documented report must be</w:t>
      </w:r>
      <w:r>
        <w:t xml:space="preserve"> </w:t>
      </w:r>
      <w:r w:rsidRPr="00793232">
        <w:t>made at least every 15 minutes. The need to continue seclusion should be reviewed every 2 hours</w:t>
      </w:r>
      <w:r>
        <w:t xml:space="preserve"> </w:t>
      </w:r>
      <w:r w:rsidRPr="00793232">
        <w:t>by 2 nurses, one of whom was not involved in the decision to seclude, and every 4 hours by a</w:t>
      </w:r>
      <w:r>
        <w:t xml:space="preserve"> </w:t>
      </w:r>
      <w:r w:rsidRPr="00793232">
        <w:t>doctor. A multi-disciplinary review must take place whenever seclusion continues for a period of</w:t>
      </w:r>
      <w:r>
        <w:t xml:space="preserve"> </w:t>
      </w:r>
      <w:r w:rsidRPr="00793232">
        <w:t>8 hours continuously or 12 hours intermittently in any period of 48 hours.</w:t>
      </w:r>
    </w:p>
    <w:p w:rsidR="00793232" w:rsidRPr="00793232" w:rsidRDefault="00793232" w:rsidP="00793232"/>
    <w:p w:rsidR="00793232" w:rsidRPr="00793232" w:rsidRDefault="00793232" w:rsidP="00793232">
      <w:pPr>
        <w:rPr>
          <w:b/>
          <w:bCs/>
          <w:sz w:val="24"/>
        </w:rPr>
      </w:pPr>
      <w:r w:rsidRPr="00793232">
        <w:rPr>
          <w:b/>
          <w:bCs/>
          <w:sz w:val="24"/>
        </w:rPr>
        <w:t>Facts and History</w:t>
      </w:r>
    </w:p>
    <w:p w:rsidR="00793232" w:rsidRPr="00793232" w:rsidRDefault="00793232" w:rsidP="00793232">
      <w:pPr>
        <w:rPr>
          <w:b/>
          <w:i/>
          <w:iCs/>
        </w:rPr>
      </w:pPr>
      <w:r w:rsidRPr="00793232">
        <w:rPr>
          <w:b/>
          <w:i/>
          <w:iCs/>
        </w:rPr>
        <w:t xml:space="preserve">Colonel </w:t>
      </w:r>
      <w:proofErr w:type="spellStart"/>
      <w:r w:rsidRPr="00793232">
        <w:rPr>
          <w:b/>
          <w:i/>
          <w:iCs/>
        </w:rPr>
        <w:t>Munjaz</w:t>
      </w:r>
      <w:proofErr w:type="spellEnd"/>
    </w:p>
    <w:p w:rsidR="00793232" w:rsidRPr="00793232" w:rsidRDefault="00793232" w:rsidP="00793232">
      <w:r w:rsidRPr="00793232">
        <w:t xml:space="preserve">Colonel </w:t>
      </w:r>
      <w:proofErr w:type="spellStart"/>
      <w:r w:rsidRPr="00793232">
        <w:t>Munjaz</w:t>
      </w:r>
      <w:proofErr w:type="spellEnd"/>
      <w:r w:rsidRPr="00793232">
        <w:t xml:space="preserve"> was a patient in Ashworth hospital. He was regularly nursed in seclusion.</w:t>
      </w:r>
      <w:r>
        <w:t xml:space="preserve"> </w:t>
      </w:r>
      <w:r w:rsidRPr="00793232">
        <w:t>Ashworth issued a seclusion policy in 1999, which departed from the Code in a number of</w:t>
      </w:r>
      <w:r>
        <w:t xml:space="preserve"> </w:t>
      </w:r>
      <w:r w:rsidRPr="00793232">
        <w:t>respects. In particular, it reduced the number of medical reviews from 4 hourly to twice daily on</w:t>
      </w:r>
      <w:r>
        <w:t xml:space="preserve"> </w:t>
      </w:r>
      <w:r w:rsidRPr="00793232">
        <w:t>the second and third days and once daily thereafter. Prior to the first instance hearings in these</w:t>
      </w:r>
      <w:r>
        <w:t xml:space="preserve"> </w:t>
      </w:r>
      <w:r w:rsidRPr="00793232">
        <w:t xml:space="preserve">proceedings, Colonel </w:t>
      </w:r>
      <w:proofErr w:type="spellStart"/>
      <w:r w:rsidRPr="00793232">
        <w:t>Munjaz</w:t>
      </w:r>
      <w:proofErr w:type="spellEnd"/>
      <w:r w:rsidRPr="00793232">
        <w:t xml:space="preserve"> had brought Judicial Review proceedings heard by Jackson J.</w:t>
      </w:r>
      <w:r>
        <w:t xml:space="preserve"> </w:t>
      </w:r>
      <w:r w:rsidRPr="00793232">
        <w:t>He decided that departure from the Code would only be lawful if it was justified by a good reason</w:t>
      </w:r>
      <w:r>
        <w:t xml:space="preserve"> </w:t>
      </w:r>
      <w:r w:rsidRPr="00793232">
        <w:t>arising from the particular circumstances at Ashworth. The Ashworth policy signified too great a</w:t>
      </w:r>
      <w:r>
        <w:t xml:space="preserve"> </w:t>
      </w:r>
      <w:r w:rsidRPr="00793232">
        <w:t>departure from the Code and it was declared to be unlawful</w:t>
      </w:r>
      <w:r>
        <w:rPr>
          <w:rStyle w:val="FootnoteReference"/>
        </w:rPr>
        <w:footnoteReference w:id="6"/>
      </w:r>
      <w:r w:rsidRPr="00793232">
        <w:t>.</w:t>
      </w:r>
    </w:p>
    <w:p w:rsidR="00793232" w:rsidRPr="00793232" w:rsidRDefault="00793232" w:rsidP="00793232">
      <w:r w:rsidRPr="00793232">
        <w:t>Ashworth therefore reviewed its policy and produced a new one in 2002. This provided for medical</w:t>
      </w:r>
      <w:r>
        <w:t xml:space="preserve"> </w:t>
      </w:r>
      <w:r w:rsidRPr="00793232">
        <w:t>reviews twice daily from days 2 to 7 but after that only provided for 3 per week and a weekly multidisciplinary</w:t>
      </w:r>
      <w:r>
        <w:t xml:space="preserve"> </w:t>
      </w:r>
      <w:r w:rsidRPr="00793232">
        <w:t xml:space="preserve">review. It is Colonel </w:t>
      </w:r>
      <w:proofErr w:type="spellStart"/>
      <w:r w:rsidRPr="00793232">
        <w:t>Munjaz’s</w:t>
      </w:r>
      <w:proofErr w:type="spellEnd"/>
      <w:r w:rsidRPr="00793232">
        <w:t xml:space="preserve"> challenge to the lawfulness of the new policy which is</w:t>
      </w:r>
      <w:r>
        <w:t xml:space="preserve"> </w:t>
      </w:r>
      <w:r w:rsidRPr="00793232">
        <w:t>addressed in these proceedings. Sullivan J dismissed the claim saying the mere fact that the policy</w:t>
      </w:r>
      <w:r>
        <w:t xml:space="preserve"> </w:t>
      </w:r>
      <w:r w:rsidRPr="00793232">
        <w:t>departed from the Code did not mean that there was a risk of patients’ rights under the ECHR</w:t>
      </w:r>
      <w:r>
        <w:t xml:space="preserve"> </w:t>
      </w:r>
      <w:r w:rsidRPr="00793232">
        <w:t>being infringed. Read as a whole the policy contained adequate safeguards. The Code of Practice</w:t>
      </w:r>
      <w:r>
        <w:t xml:space="preserve"> </w:t>
      </w:r>
      <w:r w:rsidRPr="00793232">
        <w:t>was said to be no more than guidance to which the hospital was obliged to have regard as a material</w:t>
      </w:r>
      <w:r>
        <w:t xml:space="preserve"> </w:t>
      </w:r>
      <w:r w:rsidRPr="00793232">
        <w:t>consideration</w:t>
      </w:r>
      <w:r>
        <w:rPr>
          <w:rStyle w:val="FootnoteReference"/>
        </w:rPr>
        <w:footnoteReference w:id="7"/>
      </w:r>
      <w:r w:rsidRPr="00793232">
        <w:t>.</w:t>
      </w:r>
    </w:p>
    <w:p w:rsidR="00793232" w:rsidRPr="00793232" w:rsidRDefault="00793232" w:rsidP="00793232">
      <w:pPr>
        <w:rPr>
          <w:b/>
          <w:i/>
          <w:iCs/>
        </w:rPr>
      </w:pPr>
      <w:r w:rsidRPr="00793232">
        <w:rPr>
          <w:b/>
          <w:i/>
          <w:iCs/>
        </w:rPr>
        <w:t>Mr S</w:t>
      </w:r>
    </w:p>
    <w:p w:rsidR="00793232" w:rsidRPr="00793232" w:rsidRDefault="00793232" w:rsidP="00793232">
      <w:r w:rsidRPr="00793232">
        <w:t>Mr S was admitted to hospital under section 2 of the Mental Health Act on 11th July 2002.</w:t>
      </w:r>
      <w:r>
        <w:t xml:space="preserve"> </w:t>
      </w:r>
      <w:r w:rsidRPr="00793232">
        <w:t xml:space="preserve">He was aggressive and hostile to staff. He had a history of offending </w:t>
      </w:r>
      <w:proofErr w:type="gramStart"/>
      <w:r w:rsidRPr="00793232">
        <w:t>behaviour,</w:t>
      </w:r>
      <w:proofErr w:type="gramEnd"/>
      <w:r w:rsidRPr="00793232">
        <w:t xml:space="preserve"> he absconded</w:t>
      </w:r>
      <w:r>
        <w:t xml:space="preserve"> </w:t>
      </w:r>
      <w:r w:rsidRPr="00793232">
        <w:t>repeatedly and had also attacked another patient. By 18th July his RMO had decided that</w:t>
      </w:r>
      <w:r>
        <w:t xml:space="preserve"> </w:t>
      </w:r>
      <w:r w:rsidRPr="00793232">
        <w:t>S required secure accommodation and made efforts to find such a place. In the meantime, due to</w:t>
      </w:r>
      <w:r>
        <w:t xml:space="preserve"> </w:t>
      </w:r>
      <w:r w:rsidRPr="00793232">
        <w:t>S’s threatening and intimidating behaviour, the decision was made to put him in seclusion.</w:t>
      </w:r>
      <w:r>
        <w:t xml:space="preserve"> </w:t>
      </w:r>
      <w:r w:rsidRPr="00793232">
        <w:t>This happened on 21st July. From 28th July S was allowed out of seclusion during the day.</w:t>
      </w:r>
      <w:r>
        <w:t xml:space="preserve"> </w:t>
      </w:r>
      <w:r w:rsidRPr="00793232">
        <w:t>On 2nd August S agreed to be transferred to a secure unit in London, where he was treated without</w:t>
      </w:r>
      <w:r>
        <w:t xml:space="preserve"> </w:t>
      </w:r>
      <w:r w:rsidRPr="00793232">
        <w:t>the use of seclusion.</w:t>
      </w:r>
    </w:p>
    <w:p w:rsidR="00793232" w:rsidRPr="00793232" w:rsidRDefault="00793232" w:rsidP="00793232">
      <w:r w:rsidRPr="00793232">
        <w:t>S challenged the lawfulness of his seclusion. Dr Grounds, instructed on behalf of the hospital, had</w:t>
      </w:r>
      <w:r>
        <w:t xml:space="preserve"> </w:t>
      </w:r>
      <w:r w:rsidRPr="00793232">
        <w:t>accepted that seclusion should normally be used for the shortest possible time to contain acutely</w:t>
      </w:r>
      <w:r>
        <w:t xml:space="preserve"> </w:t>
      </w:r>
      <w:r w:rsidRPr="00793232">
        <w:t>disturbed and violent behaviour and that its use in this case was not a normal or ideal use of</w:t>
      </w:r>
      <w:r>
        <w:t xml:space="preserve"> </w:t>
      </w:r>
      <w:r w:rsidRPr="00793232">
        <w:t>seclusion. However, it was argued that it was necessary and justifiable as there did not appear to be</w:t>
      </w:r>
      <w:r>
        <w:t xml:space="preserve"> </w:t>
      </w:r>
      <w:r w:rsidRPr="00793232">
        <w:lastRenderedPageBreak/>
        <w:t>an effective and safe alternative at the time. Dr Eastman, instructed on behalf of S, had thought</w:t>
      </w:r>
      <w:r>
        <w:t xml:space="preserve"> </w:t>
      </w:r>
      <w:r w:rsidRPr="00793232">
        <w:t>that the initial decision to seclude had been reasonable but did not think it was necessary to</w:t>
      </w:r>
      <w:r>
        <w:t xml:space="preserve"> </w:t>
      </w:r>
      <w:r w:rsidRPr="00793232">
        <w:t>continue the seclusion for so long. Other options such as locking the ward or 1:1 nursing should</w:t>
      </w:r>
      <w:r>
        <w:t xml:space="preserve"> </w:t>
      </w:r>
      <w:r w:rsidRPr="00793232">
        <w:t>have been considered.</w:t>
      </w:r>
    </w:p>
    <w:p w:rsidR="00793232" w:rsidRPr="00793232" w:rsidRDefault="00793232" w:rsidP="00793232">
      <w:r w:rsidRPr="00793232">
        <w:t xml:space="preserve">Stanley </w:t>
      </w:r>
      <w:proofErr w:type="spellStart"/>
      <w:r w:rsidRPr="00793232">
        <w:t>Burnton</w:t>
      </w:r>
      <w:proofErr w:type="spellEnd"/>
      <w:r w:rsidRPr="00793232">
        <w:t xml:space="preserve"> J dismissed the claim and said that in the absence of a secure bed seclusion had</w:t>
      </w:r>
      <w:r>
        <w:t xml:space="preserve"> </w:t>
      </w:r>
      <w:r w:rsidRPr="00793232">
        <w:t>been the only way of managing the patient. The exercise of the power to seclude was not made</w:t>
      </w:r>
      <w:r>
        <w:t xml:space="preserve"> </w:t>
      </w:r>
      <w:r w:rsidRPr="00793232">
        <w:t>unlawful by reason of it being necessitated by the lack of an available place on a secure ward</w:t>
      </w:r>
      <w:r w:rsidR="004639DE">
        <w:rPr>
          <w:rStyle w:val="FootnoteReference"/>
        </w:rPr>
        <w:footnoteReference w:id="8"/>
      </w:r>
      <w:r w:rsidRPr="00793232">
        <w:t>.</w:t>
      </w:r>
    </w:p>
    <w:p w:rsidR="00793232" w:rsidRPr="00793232" w:rsidRDefault="00793232" w:rsidP="00793232">
      <w:pPr>
        <w:rPr>
          <w:b/>
          <w:i/>
          <w:iCs/>
        </w:rPr>
      </w:pPr>
      <w:r w:rsidRPr="00793232">
        <w:rPr>
          <w:b/>
          <w:i/>
          <w:iCs/>
        </w:rPr>
        <w:t>The Appeals</w:t>
      </w:r>
    </w:p>
    <w:p w:rsidR="00793232" w:rsidRPr="00793232" w:rsidRDefault="00793232" w:rsidP="00793232">
      <w:r w:rsidRPr="00793232">
        <w:t xml:space="preserve">Colonel </w:t>
      </w:r>
      <w:proofErr w:type="spellStart"/>
      <w:r w:rsidRPr="00793232">
        <w:t>Munjaz</w:t>
      </w:r>
      <w:proofErr w:type="spellEnd"/>
      <w:r w:rsidRPr="00793232">
        <w:t xml:space="preserve"> and Mr S appealed these decisions.</w:t>
      </w:r>
    </w:p>
    <w:p w:rsidR="00793232" w:rsidRPr="00793232" w:rsidRDefault="00793232" w:rsidP="00793232">
      <w:r w:rsidRPr="00793232">
        <w:t xml:space="preserve">The appeal in </w:t>
      </w:r>
      <w:proofErr w:type="spellStart"/>
      <w:r w:rsidRPr="00793232">
        <w:t>Munjaz</w:t>
      </w:r>
      <w:proofErr w:type="spellEnd"/>
      <w:r w:rsidRPr="00793232">
        <w:t xml:space="preserve"> concentrated mainly on whether Ashworth’s policy of departing from the</w:t>
      </w:r>
      <w:r>
        <w:t xml:space="preserve"> </w:t>
      </w:r>
      <w:r w:rsidRPr="00793232">
        <w:t>Code was unlawful given the risk that seclusion would breach Article 3 (right not to be subject to</w:t>
      </w:r>
      <w:r>
        <w:t xml:space="preserve"> </w:t>
      </w:r>
      <w:r w:rsidRPr="00793232">
        <w:t>inhuman or degrading treatment). It was argued that the State had a positive obligation to guard</w:t>
      </w:r>
      <w:r>
        <w:t xml:space="preserve"> </w:t>
      </w:r>
      <w:r w:rsidRPr="00793232">
        <w:t>against the risk of a breach of Article 3, and adherence to the Code was one such safeguard.</w:t>
      </w:r>
    </w:p>
    <w:p w:rsidR="00793232" w:rsidRPr="00793232" w:rsidRDefault="00793232" w:rsidP="00793232">
      <w:r w:rsidRPr="00793232">
        <w:t>The appeal in S concentrated on whether the seclusion was in breach of his rights under Article 5</w:t>
      </w:r>
      <w:r>
        <w:t xml:space="preserve"> </w:t>
      </w:r>
      <w:r w:rsidRPr="00793232">
        <w:t>(right not to be unlawfully detained). It was argued that a detained patient had a ‘residual liberty’</w:t>
      </w:r>
      <w:r>
        <w:t xml:space="preserve"> </w:t>
      </w:r>
      <w:r w:rsidRPr="00793232">
        <w:t>that was taken away by the use of seclusion. Seclusion would be unlawful if it was not justified</w:t>
      </w:r>
      <w:r>
        <w:t xml:space="preserve"> </w:t>
      </w:r>
      <w:r w:rsidRPr="00793232">
        <w:t>under Article 5.</w:t>
      </w:r>
    </w:p>
    <w:p w:rsidR="00793232" w:rsidRPr="00793232" w:rsidRDefault="00793232" w:rsidP="00793232">
      <w:r w:rsidRPr="00793232">
        <w:t>Mind intervened to argue that seclusion, and other matters dealt with by the Code, interfered with</w:t>
      </w:r>
      <w:r>
        <w:t xml:space="preserve"> </w:t>
      </w:r>
      <w:r w:rsidRPr="00793232">
        <w:t>patients’ Article 8 rights (right to respect for private and family life) and would only be lawful if it</w:t>
      </w:r>
      <w:r>
        <w:t xml:space="preserve"> </w:t>
      </w:r>
      <w:r w:rsidRPr="00793232">
        <w:t>was justified. Any such interference must be in accordance with law, and the Code provided that</w:t>
      </w:r>
      <w:r>
        <w:t xml:space="preserve"> </w:t>
      </w:r>
      <w:r w:rsidRPr="00793232">
        <w:t>legal framework.</w:t>
      </w:r>
    </w:p>
    <w:p w:rsidR="00793232" w:rsidRPr="00793232" w:rsidRDefault="00793232" w:rsidP="00793232">
      <w:pPr>
        <w:rPr>
          <w:b/>
          <w:bCs/>
          <w:sz w:val="24"/>
        </w:rPr>
      </w:pPr>
      <w:r w:rsidRPr="00793232">
        <w:rPr>
          <w:b/>
          <w:bCs/>
          <w:sz w:val="24"/>
        </w:rPr>
        <w:t>Legal Framework</w:t>
      </w:r>
    </w:p>
    <w:p w:rsidR="00793232" w:rsidRPr="00793232" w:rsidRDefault="00793232" w:rsidP="00793232">
      <w:r w:rsidRPr="00793232">
        <w:t>Hale LJ, on behalf of the Court, sought to analyse the questions raised by the use of seclusion</w:t>
      </w:r>
      <w:r>
        <w:t xml:space="preserve"> </w:t>
      </w:r>
      <w:r w:rsidRPr="00793232">
        <w:t>under three categories:</w:t>
      </w:r>
    </w:p>
    <w:p w:rsidR="00793232" w:rsidRPr="00793232" w:rsidRDefault="00793232" w:rsidP="00793232">
      <w:pPr>
        <w:rPr>
          <w:b/>
          <w:bCs/>
        </w:rPr>
      </w:pPr>
      <w:r w:rsidRPr="00793232">
        <w:rPr>
          <w:b/>
          <w:bCs/>
        </w:rPr>
        <w:t>1. Domestic private law</w:t>
      </w:r>
    </w:p>
    <w:p w:rsidR="00793232" w:rsidRPr="00793232" w:rsidRDefault="00793232" w:rsidP="00793232">
      <w:pPr>
        <w:rPr>
          <w:b/>
          <w:i/>
          <w:iCs/>
        </w:rPr>
      </w:pPr>
      <w:r w:rsidRPr="00793232">
        <w:rPr>
          <w:b/>
          <w:i/>
          <w:iCs/>
        </w:rPr>
        <w:t>Source of the power to seclude</w:t>
      </w:r>
    </w:p>
    <w:p w:rsidR="00793232" w:rsidRPr="00793232" w:rsidRDefault="00793232" w:rsidP="00793232">
      <w:r w:rsidRPr="00793232">
        <w:t>An application under the Mental Health Act is sufficient authority for the hospital managers to detain</w:t>
      </w:r>
      <w:r>
        <w:t xml:space="preserve"> </w:t>
      </w:r>
      <w:r w:rsidRPr="00793232">
        <w:t>the patient in hospital (</w:t>
      </w:r>
      <w:proofErr w:type="gramStart"/>
      <w:r w:rsidRPr="00793232">
        <w:t>s6(</w:t>
      </w:r>
      <w:proofErr w:type="gramEnd"/>
      <w:r w:rsidRPr="00793232">
        <w:t>2)). It was common ground that the power to seclude a patient was implied</w:t>
      </w:r>
      <w:r>
        <w:t xml:space="preserve"> </w:t>
      </w:r>
      <w:r w:rsidRPr="00793232">
        <w:t>from the power to detain as a necessary ingredient flowing from a power of detention for treatment.</w:t>
      </w:r>
      <w:r w:rsidR="004639DE">
        <w:rPr>
          <w:rStyle w:val="FootnoteReference"/>
        </w:rPr>
        <w:footnoteReference w:id="9"/>
      </w:r>
    </w:p>
    <w:p w:rsidR="00793232" w:rsidRPr="00793232" w:rsidRDefault="00793232" w:rsidP="00793232">
      <w:r w:rsidRPr="00793232">
        <w:t>In addition, the Court held that seclusion was capable of being ‘medical treatment’, authorised</w:t>
      </w:r>
      <w:r w:rsidR="004639DE">
        <w:t xml:space="preserve"> </w:t>
      </w:r>
      <w:r w:rsidRPr="00793232">
        <w:t>under section 63 of the Mental Health Act. Although s63 does not allow the RMO to impose</w:t>
      </w:r>
      <w:r w:rsidR="004639DE">
        <w:t xml:space="preserve"> </w:t>
      </w:r>
      <w:r w:rsidRPr="00793232">
        <w:t>whatever treatment he wishes the broad definition of medical treatment in s145, and the</w:t>
      </w:r>
      <w:r w:rsidR="004639DE">
        <w:t xml:space="preserve"> </w:t>
      </w:r>
      <w:r w:rsidRPr="00793232">
        <w:t xml:space="preserve">authorities </w:t>
      </w:r>
      <w:r w:rsidRPr="00793232">
        <w:lastRenderedPageBreak/>
        <w:t>suggesting that it includes various forms of ancillary treatment</w:t>
      </w:r>
      <w:r w:rsidR="004639DE">
        <w:rPr>
          <w:rStyle w:val="FootnoteReference"/>
        </w:rPr>
        <w:footnoteReference w:id="10"/>
      </w:r>
      <w:r w:rsidRPr="00793232">
        <w:t>, meant that seclusion</w:t>
      </w:r>
      <w:r w:rsidR="004639DE">
        <w:t xml:space="preserve"> </w:t>
      </w:r>
      <w:r w:rsidRPr="00793232">
        <w:t>was capable of being categorised as medical treatment</w:t>
      </w:r>
      <w:r w:rsidR="004639DE">
        <w:rPr>
          <w:rStyle w:val="FootnoteReference"/>
        </w:rPr>
        <w:footnoteReference w:id="11"/>
      </w:r>
      <w:r w:rsidRPr="00793232">
        <w:t>.</w:t>
      </w:r>
    </w:p>
    <w:p w:rsidR="009C2FCD" w:rsidRPr="009C2FCD" w:rsidRDefault="00793232" w:rsidP="009C2FCD">
      <w:r w:rsidRPr="00793232">
        <w:t>The Court noted that the common law doctrine of necessity might also justify the use of seclusion.</w:t>
      </w:r>
      <w:r w:rsidR="009C2FCD">
        <w:t xml:space="preserve"> </w:t>
      </w:r>
      <w:r w:rsidR="009C2FCD" w:rsidRPr="009C2FCD">
        <w:t xml:space="preserve">This was said to have two aspects: </w:t>
      </w:r>
      <w:proofErr w:type="spellStart"/>
      <w:r w:rsidR="009C2FCD" w:rsidRPr="009C2FCD">
        <w:t>i</w:t>
      </w:r>
      <w:proofErr w:type="spellEnd"/>
      <w:r w:rsidR="009C2FCD" w:rsidRPr="009C2FCD">
        <w:t>) the general power to take such steps as are reasonably</w:t>
      </w:r>
      <w:r w:rsidR="009C2FCD">
        <w:t xml:space="preserve"> </w:t>
      </w:r>
      <w:r w:rsidR="009C2FCD" w:rsidRPr="009C2FCD">
        <w:t>necessary and proportionate to protect others from the immediate risk of significant harm; and</w:t>
      </w:r>
      <w:r w:rsidR="009C2FCD">
        <w:t xml:space="preserve"> </w:t>
      </w:r>
      <w:r w:rsidR="009C2FCD" w:rsidRPr="009C2FCD">
        <w:t>ii) where the patient lacks capacity, the power to provide whatever treatment or care is necessary in</w:t>
      </w:r>
      <w:r w:rsidR="009C2FCD">
        <w:t xml:space="preserve"> </w:t>
      </w:r>
      <w:r w:rsidR="009C2FCD" w:rsidRPr="009C2FCD">
        <w:t>his own best interests</w:t>
      </w:r>
      <w:r w:rsidR="0061625D">
        <w:rPr>
          <w:rStyle w:val="FootnoteReference"/>
        </w:rPr>
        <w:footnoteReference w:id="12"/>
      </w:r>
      <w:r w:rsidR="009C2FCD" w:rsidRPr="009C2FCD">
        <w:t>.</w:t>
      </w:r>
    </w:p>
    <w:p w:rsidR="009C2FCD" w:rsidRPr="009C2FCD" w:rsidRDefault="009C2FCD" w:rsidP="009C2FCD">
      <w:pPr>
        <w:rPr>
          <w:b/>
          <w:i/>
          <w:iCs/>
        </w:rPr>
      </w:pPr>
      <w:r w:rsidRPr="009C2FCD">
        <w:rPr>
          <w:b/>
          <w:i/>
          <w:iCs/>
        </w:rPr>
        <w:t>Criteria for lawful seclusion</w:t>
      </w:r>
    </w:p>
    <w:p w:rsidR="009C2FCD" w:rsidRPr="009C2FCD" w:rsidRDefault="009C2FCD" w:rsidP="009C2FCD">
      <w:r w:rsidRPr="009C2FCD">
        <w:t>The Court went on to consider in what circumstances seclusion would be lawful in domestic</w:t>
      </w:r>
      <w:r>
        <w:t xml:space="preserve"> </w:t>
      </w:r>
      <w:r w:rsidRPr="009C2FCD">
        <w:t>private law. The fact that there existed a power to seclude would not make every use of that power</w:t>
      </w:r>
      <w:r>
        <w:t xml:space="preserve"> </w:t>
      </w:r>
      <w:r w:rsidRPr="009C2FCD">
        <w:t>lawful. The criterion was said to be one of reasonable necessity judged against the purpose for</w:t>
      </w:r>
      <w:r>
        <w:t xml:space="preserve"> </w:t>
      </w:r>
      <w:r w:rsidRPr="009C2FCD">
        <w:t>which the restraint is employed. “Hence, a detained patient may be kept in the hospital with no</w:t>
      </w:r>
      <w:r>
        <w:t xml:space="preserve"> </w:t>
      </w:r>
      <w:r w:rsidRPr="009C2FCD">
        <w:t>more force than is reasonably necessary in the circumstances to achieve this. Any patient may be</w:t>
      </w:r>
      <w:r>
        <w:t xml:space="preserve"> </w:t>
      </w:r>
      <w:r w:rsidRPr="009C2FCD">
        <w:t>restrained from doing harm to others with no more force than is reasonably necessary in the</w:t>
      </w:r>
      <w:r>
        <w:t xml:space="preserve"> </w:t>
      </w:r>
      <w:r w:rsidRPr="009C2FCD">
        <w:t>circumstances. An incapacitated patient may be given such treatment as is reasonably necessary in</w:t>
      </w:r>
      <w:r>
        <w:t xml:space="preserve"> </w:t>
      </w:r>
      <w:r w:rsidRPr="009C2FCD">
        <w:t>his own best interests.”</w:t>
      </w:r>
      <w:r w:rsidR="0061625D">
        <w:rPr>
          <w:rStyle w:val="FootnoteReference"/>
        </w:rPr>
        <w:footnoteReference w:id="13"/>
      </w:r>
    </w:p>
    <w:p w:rsidR="009C2FCD" w:rsidRPr="009C2FCD" w:rsidRDefault="009C2FCD" w:rsidP="009C2FCD">
      <w:r w:rsidRPr="009C2FCD">
        <w:t>Hale LJ went on to consider whether the same concept of reasonable necessity applied to treatment</w:t>
      </w:r>
      <w:r>
        <w:t xml:space="preserve"> </w:t>
      </w:r>
      <w:r w:rsidRPr="009C2FCD">
        <w:t>given under s63. She noted that the fact that the treatment may be given without consent did not</w:t>
      </w:r>
      <w:r>
        <w:t xml:space="preserve"> </w:t>
      </w:r>
      <w:r w:rsidRPr="009C2FCD">
        <w:t>absolve the doctor, or those carrying out his instructions, from their ordinary duties of care</w:t>
      </w:r>
      <w:r>
        <w:t xml:space="preserve"> </w:t>
      </w:r>
      <w:r w:rsidRPr="009C2FCD">
        <w:t xml:space="preserve">towards the patient. In </w:t>
      </w:r>
      <w:r w:rsidRPr="009C2FCD">
        <w:rPr>
          <w:i/>
          <w:iCs/>
        </w:rPr>
        <w:t>R (Wilkinson) v Broadmoor Special Hospital Authority</w:t>
      </w:r>
      <w:r w:rsidR="0061625D">
        <w:rPr>
          <w:rStyle w:val="FootnoteReference"/>
          <w:i/>
          <w:iCs/>
        </w:rPr>
        <w:footnoteReference w:id="14"/>
      </w:r>
      <w:r w:rsidRPr="009C2FCD">
        <w:t xml:space="preserve"> the Court of Appeal</w:t>
      </w:r>
      <w:r>
        <w:t xml:space="preserve"> </w:t>
      </w:r>
      <w:r w:rsidRPr="009C2FCD">
        <w:t>had held that the forcible administration of medical treatment to a protesting patient would</w:t>
      </w:r>
      <w:r>
        <w:t xml:space="preserve"> </w:t>
      </w:r>
      <w:r w:rsidRPr="009C2FCD">
        <w:t>contravene Article 3 ECHR unless it was convincingly shown to be a medical necessity.</w:t>
      </w:r>
      <w:r>
        <w:t xml:space="preserve"> </w:t>
      </w:r>
      <w:r w:rsidRPr="009C2FCD">
        <w:t>Accordingly, the Court did not find that the criteria for the lawful use of seclusion would be</w:t>
      </w:r>
      <w:r>
        <w:t xml:space="preserve"> </w:t>
      </w:r>
      <w:r w:rsidRPr="009C2FCD">
        <w:t>different if the justification were treatment rather than control</w:t>
      </w:r>
      <w:r w:rsidR="0061625D">
        <w:rPr>
          <w:rStyle w:val="FootnoteReference"/>
        </w:rPr>
        <w:footnoteReference w:id="15"/>
      </w:r>
      <w:r w:rsidRPr="009C2FCD">
        <w:t>.</w:t>
      </w:r>
    </w:p>
    <w:p w:rsidR="009C2FCD" w:rsidRPr="009C2FCD" w:rsidRDefault="009C2FCD" w:rsidP="009C2FCD">
      <w:pPr>
        <w:rPr>
          <w:b/>
          <w:i/>
          <w:iCs/>
        </w:rPr>
      </w:pPr>
      <w:r w:rsidRPr="009C2FCD">
        <w:rPr>
          <w:b/>
          <w:i/>
          <w:iCs/>
        </w:rPr>
        <w:t>Remedies in private law</w:t>
      </w:r>
    </w:p>
    <w:p w:rsidR="009C2FCD" w:rsidRPr="009C2FCD" w:rsidRDefault="009C2FCD" w:rsidP="009C2FCD">
      <w:r w:rsidRPr="009C2FCD">
        <w:t>Confining a patient to a particular room or part of the hospital would not amount to the tort of</w:t>
      </w:r>
      <w:r>
        <w:t xml:space="preserve"> </w:t>
      </w:r>
      <w:r w:rsidRPr="009C2FCD">
        <w:t>false imprisonment where a patient had been lawfully detained in the hospital itself. But that did</w:t>
      </w:r>
      <w:r>
        <w:t xml:space="preserve"> </w:t>
      </w:r>
      <w:r w:rsidRPr="009C2FCD">
        <w:t>not exclude the possibility of invoking other tortious causes of action if other torts had been</w:t>
      </w:r>
      <w:r>
        <w:t xml:space="preserve"> </w:t>
      </w:r>
      <w:r w:rsidRPr="009C2FCD">
        <w:t>committed against him. There might be a claim in negligence if there was a breach of a duty of care</w:t>
      </w:r>
      <w:r>
        <w:t xml:space="preserve"> </w:t>
      </w:r>
      <w:r w:rsidRPr="009C2FCD">
        <w:t>which resulted in physical or psychiatric harm.</w:t>
      </w:r>
    </w:p>
    <w:p w:rsidR="009C2FCD" w:rsidRPr="009C2FCD" w:rsidRDefault="009C2FCD" w:rsidP="009C2FCD">
      <w:r w:rsidRPr="009C2FCD">
        <w:t>The use of restraint or the administration of treatment without lawful justification would give rise</w:t>
      </w:r>
      <w:r>
        <w:t xml:space="preserve"> </w:t>
      </w:r>
      <w:r w:rsidRPr="009C2FCD">
        <w:t>to a claim for assault and/or battery and would be actionable without proof of harm. There would</w:t>
      </w:r>
      <w:r>
        <w:t xml:space="preserve"> </w:t>
      </w:r>
      <w:r w:rsidRPr="009C2FCD">
        <w:t>be no lawful justification for acts which involved excessive force or which were unlawful in public</w:t>
      </w:r>
      <w:r w:rsidR="0061625D">
        <w:t xml:space="preserve"> </w:t>
      </w:r>
      <w:r w:rsidRPr="009C2FCD">
        <w:t>law terms. However, it was accepted that these torts may be difficult to prove. Courts would be</w:t>
      </w:r>
      <w:r w:rsidR="0061625D">
        <w:t xml:space="preserve"> </w:t>
      </w:r>
      <w:r w:rsidRPr="009C2FCD">
        <w:t>slow to criticise decisions of people involved in emergency situations. Section 139 further qualifies</w:t>
      </w:r>
      <w:r w:rsidR="0061625D">
        <w:t xml:space="preserve"> </w:t>
      </w:r>
      <w:r w:rsidRPr="009C2FCD">
        <w:t xml:space="preserve">the right </w:t>
      </w:r>
      <w:r w:rsidRPr="009C2FCD">
        <w:lastRenderedPageBreak/>
        <w:t>of detained patients to sue individuals acting under the Mental Health Act – even where</w:t>
      </w:r>
      <w:r w:rsidR="0061625D">
        <w:t xml:space="preserve"> </w:t>
      </w:r>
      <w:r w:rsidRPr="009C2FCD">
        <w:t>actions were not lawfully justified.</w:t>
      </w:r>
    </w:p>
    <w:p w:rsidR="00793232" w:rsidRDefault="009C2FCD" w:rsidP="009C2FCD">
      <w:r w:rsidRPr="009C2FCD">
        <w:t>In summary, the use of seclusion might involve the commission of a tort for which remedies may</w:t>
      </w:r>
      <w:r w:rsidR="0061625D">
        <w:t xml:space="preserve"> </w:t>
      </w:r>
      <w:r w:rsidRPr="009C2FCD">
        <w:t xml:space="preserve">be available. However, these remedies would not be triggered by the use of seclusion in itself, </w:t>
      </w:r>
      <w:proofErr w:type="gramStart"/>
      <w:r w:rsidRPr="009C2FCD">
        <w:t>nor</w:t>
      </w:r>
      <w:r w:rsidR="0061625D">
        <w:t xml:space="preserve"> </w:t>
      </w:r>
      <w:r w:rsidRPr="009C2FCD">
        <w:t>even every use of seclusion about which legitimate complaint might be made, and certainly not</w:t>
      </w:r>
      <w:r w:rsidR="0061625D">
        <w:t xml:space="preserve"> </w:t>
      </w:r>
      <w:r w:rsidRPr="009C2FCD">
        <w:t>every use of seclusion which did not comply with the Code of Practice</w:t>
      </w:r>
      <w:r w:rsidR="0061625D">
        <w:rPr>
          <w:rStyle w:val="FootnoteReference"/>
        </w:rPr>
        <w:footnoteReference w:id="16"/>
      </w:r>
      <w:proofErr w:type="gramEnd"/>
      <w:r w:rsidRPr="009C2FCD">
        <w:t>.</w:t>
      </w:r>
    </w:p>
    <w:p w:rsidR="0061625D" w:rsidRDefault="0061625D" w:rsidP="009C2FCD"/>
    <w:p w:rsidR="0061625D" w:rsidRPr="0061625D" w:rsidRDefault="0061625D" w:rsidP="0061625D">
      <w:pPr>
        <w:rPr>
          <w:b/>
          <w:bCs/>
          <w:sz w:val="24"/>
        </w:rPr>
      </w:pPr>
      <w:r w:rsidRPr="0061625D">
        <w:rPr>
          <w:b/>
          <w:bCs/>
          <w:sz w:val="24"/>
        </w:rPr>
        <w:t>2. European Convention on Human Rights</w:t>
      </w:r>
    </w:p>
    <w:p w:rsidR="0061625D" w:rsidRPr="0061625D" w:rsidRDefault="0061625D" w:rsidP="0061625D">
      <w:pPr>
        <w:rPr>
          <w:b/>
          <w:i/>
          <w:iCs/>
        </w:rPr>
      </w:pPr>
      <w:r w:rsidRPr="0061625D">
        <w:rPr>
          <w:b/>
          <w:i/>
          <w:iCs/>
        </w:rPr>
        <w:t>Article 3</w:t>
      </w:r>
    </w:p>
    <w:p w:rsidR="0061625D" w:rsidRPr="0061625D" w:rsidRDefault="0061625D" w:rsidP="0061625D">
      <w:pPr>
        <w:ind w:left="567"/>
        <w:rPr>
          <w:i/>
          <w:iCs/>
        </w:rPr>
      </w:pPr>
      <w:r w:rsidRPr="0061625D">
        <w:rPr>
          <w:i/>
          <w:iCs/>
        </w:rPr>
        <w:t>‘No-one shall be subjected to torture or inhuman or degrading treatment.’</w:t>
      </w:r>
    </w:p>
    <w:p w:rsidR="0061625D" w:rsidRPr="0061625D" w:rsidRDefault="0061625D" w:rsidP="0061625D">
      <w:r w:rsidRPr="0061625D">
        <w:t>Treatment must reach a minimum level of severity before this Article will be found to have been</w:t>
      </w:r>
      <w:r>
        <w:t xml:space="preserve"> </w:t>
      </w:r>
      <w:r w:rsidRPr="0061625D">
        <w:t>breached. The assessment of this minimum is relative, depending on the circumstances of the case.</w:t>
      </w:r>
      <w:r>
        <w:t xml:space="preserve"> </w:t>
      </w:r>
      <w:r w:rsidRPr="0061625D">
        <w:t>More might be required of the authorities in relation to people who are particularly vulnerable.</w:t>
      </w:r>
    </w:p>
    <w:p w:rsidR="0061625D" w:rsidRPr="0061625D" w:rsidRDefault="0061625D" w:rsidP="0061625D">
      <w:r w:rsidRPr="0061625D">
        <w:t>It was argued on behalf of the Appellants that the State had obligations not only to refrain from</w:t>
      </w:r>
      <w:r>
        <w:t xml:space="preserve"> </w:t>
      </w:r>
      <w:r w:rsidRPr="0061625D">
        <w:t>such treatment but also to positively protect the health of people deprived of their liberty. Given</w:t>
      </w:r>
      <w:r>
        <w:t xml:space="preserve"> </w:t>
      </w:r>
      <w:r w:rsidRPr="0061625D">
        <w:t>that seclusion risked breaching Article 3 the state should take steps to prevent that happening. The</w:t>
      </w:r>
      <w:r>
        <w:t xml:space="preserve"> </w:t>
      </w:r>
      <w:r w:rsidRPr="0061625D">
        <w:t>Code of Practice was said to be one of those steps and the state should therefore give it some teeth.</w:t>
      </w:r>
    </w:p>
    <w:p w:rsidR="0061625D" w:rsidRPr="0061625D" w:rsidRDefault="0061625D" w:rsidP="0061625D">
      <w:r w:rsidRPr="0061625D">
        <w:t>By the time of the appeal it was accepted that the treatment of these patients did not reach the</w:t>
      </w:r>
      <w:r>
        <w:t xml:space="preserve"> </w:t>
      </w:r>
      <w:r w:rsidRPr="0061625D">
        <w:t>minimum threshold level of severity to amount to a breach of Article 3. However, the Court found</w:t>
      </w:r>
      <w:r>
        <w:t xml:space="preserve"> </w:t>
      </w:r>
      <w:r w:rsidRPr="0061625D">
        <w:t>that there was no doubt that seclusion would be capable of amounting to inhuman and degrading</w:t>
      </w:r>
      <w:r>
        <w:t xml:space="preserve"> </w:t>
      </w:r>
      <w:r w:rsidRPr="0061625D">
        <w:t>treatment. It was noted that there were important differences between prisoners and compulsory</w:t>
      </w:r>
      <w:r>
        <w:t xml:space="preserve"> </w:t>
      </w:r>
      <w:r w:rsidRPr="0061625D">
        <w:t>patients. Whereas the detention of criminals was an end in itself, the detention of patients was a</w:t>
      </w:r>
      <w:r>
        <w:t xml:space="preserve"> </w:t>
      </w:r>
      <w:r w:rsidRPr="0061625D">
        <w:t>means to an end: the assessment and treatment of their mental disorder. Conditions of detention</w:t>
      </w:r>
      <w:r>
        <w:t xml:space="preserve"> </w:t>
      </w:r>
      <w:r w:rsidRPr="0061625D">
        <w:t>which defeated rather than promoted that end were much more likely to amount to inhuman or</w:t>
      </w:r>
      <w:r>
        <w:t xml:space="preserve"> </w:t>
      </w:r>
      <w:r w:rsidRPr="0061625D">
        <w:t>degrading treatment.</w:t>
      </w:r>
    </w:p>
    <w:p w:rsidR="0061625D" w:rsidRPr="0061625D" w:rsidRDefault="0061625D" w:rsidP="0061625D">
      <w:r w:rsidRPr="0061625D">
        <w:t>The Court accepted that it should afford a status and weight to the Code of Practice which was</w:t>
      </w:r>
      <w:r>
        <w:t xml:space="preserve"> </w:t>
      </w:r>
      <w:r w:rsidRPr="0061625D">
        <w:t>consistent with the State’s obligation to avoid ill-treatment of patients detained by or on its</w:t>
      </w:r>
      <w:r>
        <w:t xml:space="preserve"> </w:t>
      </w:r>
      <w:r w:rsidRPr="0061625D">
        <w:t>authority</w:t>
      </w:r>
      <w:r>
        <w:rPr>
          <w:rStyle w:val="FootnoteReference"/>
        </w:rPr>
        <w:footnoteReference w:id="17"/>
      </w:r>
      <w:r w:rsidRPr="0061625D">
        <w:t>.</w:t>
      </w:r>
    </w:p>
    <w:p w:rsidR="0061625D" w:rsidRPr="0061625D" w:rsidRDefault="0061625D" w:rsidP="0061625D">
      <w:pPr>
        <w:rPr>
          <w:b/>
          <w:i/>
          <w:iCs/>
        </w:rPr>
      </w:pPr>
      <w:r w:rsidRPr="0061625D">
        <w:rPr>
          <w:b/>
          <w:i/>
          <w:iCs/>
        </w:rPr>
        <w:t>Article 8</w:t>
      </w:r>
    </w:p>
    <w:p w:rsidR="0061625D" w:rsidRPr="0061625D" w:rsidRDefault="0061625D" w:rsidP="0061625D">
      <w:pPr>
        <w:ind w:left="567" w:right="521"/>
        <w:rPr>
          <w:i/>
          <w:iCs/>
        </w:rPr>
      </w:pPr>
      <w:r w:rsidRPr="0061625D">
        <w:rPr>
          <w:i/>
          <w:iCs/>
        </w:rPr>
        <w:t>‘1. Everyone has the right to respect for his private and family life, his home and his correspondence.</w:t>
      </w:r>
    </w:p>
    <w:p w:rsidR="0061625D" w:rsidRPr="0061625D" w:rsidRDefault="0061625D" w:rsidP="0061625D">
      <w:pPr>
        <w:ind w:left="567" w:right="521"/>
        <w:rPr>
          <w:i/>
          <w:iCs/>
        </w:rPr>
      </w:pPr>
      <w:r w:rsidRPr="0061625D">
        <w:rPr>
          <w:i/>
          <w:iCs/>
        </w:rPr>
        <w:t>2. There shall be no interference by a public authority with the exercise of this right except such as is</w:t>
      </w:r>
      <w:r>
        <w:rPr>
          <w:i/>
          <w:iCs/>
        </w:rPr>
        <w:t xml:space="preserve"> </w:t>
      </w:r>
      <w:r w:rsidRPr="0061625D">
        <w:rPr>
          <w:i/>
          <w:iCs/>
        </w:rPr>
        <w:t>in accordance with the law and is necessary in a democratic society …’</w:t>
      </w:r>
    </w:p>
    <w:p w:rsidR="0061625D" w:rsidRPr="0061625D" w:rsidRDefault="0061625D" w:rsidP="0061625D">
      <w:r w:rsidRPr="0061625D">
        <w:lastRenderedPageBreak/>
        <w:t>The concept of ‘private life’ includes the physical and psychological integrity of a person and the</w:t>
      </w:r>
      <w:r>
        <w:t xml:space="preserve"> </w:t>
      </w:r>
      <w:r w:rsidRPr="0061625D">
        <w:t>right to develop relationships. The concept of personal autonomy has been held to be an</w:t>
      </w:r>
      <w:r>
        <w:t xml:space="preserve"> </w:t>
      </w:r>
      <w:r w:rsidRPr="0061625D">
        <w:t>important principle underlying the interpretation of the Convention.</w:t>
      </w:r>
    </w:p>
    <w:p w:rsidR="0061625D" w:rsidRPr="0061625D" w:rsidRDefault="0061625D" w:rsidP="0061625D">
      <w:r w:rsidRPr="0061625D">
        <w:t>On behalf of Mind it was submitted that seclusion was always an interference with Article 8 rights.</w:t>
      </w:r>
      <w:r>
        <w:t xml:space="preserve"> </w:t>
      </w:r>
      <w:r w:rsidRPr="0061625D">
        <w:t>It involved denial of association with others as well as close and intrusive surveillance. Such</w:t>
      </w:r>
      <w:r>
        <w:t xml:space="preserve"> </w:t>
      </w:r>
      <w:r w:rsidRPr="0061625D">
        <w:t>interference must therefore be in accordance with law. This required domestic legal justification</w:t>
      </w:r>
      <w:r>
        <w:t xml:space="preserve"> </w:t>
      </w:r>
      <w:r w:rsidRPr="0061625D">
        <w:t>(see under ‘domestic private law’ above), but more importantly it required the character of</w:t>
      </w:r>
      <w:r>
        <w:t xml:space="preserve"> </w:t>
      </w:r>
      <w:r w:rsidRPr="0061625D">
        <w:t>transparency and predictability required by the Convention concept of legality. This was supplied</w:t>
      </w:r>
      <w:r>
        <w:t xml:space="preserve"> </w:t>
      </w:r>
      <w:r w:rsidRPr="0061625D">
        <w:t>by the Code of Practice.</w:t>
      </w:r>
    </w:p>
    <w:p w:rsidR="0061625D" w:rsidRDefault="0061625D" w:rsidP="0061625D">
      <w:r w:rsidRPr="0061625D">
        <w:t>The Court accepted that seclusion infringed Article 8 unless it could be justified under Article 8(2).</w:t>
      </w:r>
      <w:r>
        <w:t xml:space="preserve"> </w:t>
      </w:r>
      <w:r w:rsidRPr="0061625D">
        <w:t>The justifications under domestic law were noted to be very broad and, therefore, the Code of</w:t>
      </w:r>
      <w:r>
        <w:t xml:space="preserve"> </w:t>
      </w:r>
      <w:r w:rsidRPr="0061625D">
        <w:t>Practice had an important role to play in securing that the justification for the interference had the</w:t>
      </w:r>
      <w:r>
        <w:t xml:space="preserve"> </w:t>
      </w:r>
      <w:r w:rsidRPr="0061625D">
        <w:t>necessary degree of predictability and transparency to comply with Article 8(2)</w:t>
      </w:r>
      <w:r>
        <w:rPr>
          <w:rStyle w:val="FootnoteReference"/>
        </w:rPr>
        <w:footnoteReference w:id="18"/>
      </w:r>
      <w:r w:rsidRPr="0061625D">
        <w:t>.</w:t>
      </w:r>
    </w:p>
    <w:p w:rsidR="0061625D" w:rsidRPr="0061625D" w:rsidRDefault="0061625D" w:rsidP="0061625D">
      <w:pPr>
        <w:rPr>
          <w:b/>
          <w:i/>
          <w:iCs/>
        </w:rPr>
      </w:pPr>
      <w:r w:rsidRPr="0061625D">
        <w:rPr>
          <w:b/>
          <w:i/>
          <w:iCs/>
        </w:rPr>
        <w:t>Article 5</w:t>
      </w:r>
    </w:p>
    <w:p w:rsidR="0061625D" w:rsidRPr="0061625D" w:rsidRDefault="0061625D" w:rsidP="0061625D">
      <w:pPr>
        <w:ind w:left="567" w:right="521"/>
        <w:rPr>
          <w:i/>
          <w:iCs/>
        </w:rPr>
      </w:pPr>
      <w:r w:rsidRPr="0061625D">
        <w:rPr>
          <w:i/>
          <w:iCs/>
        </w:rPr>
        <w:t>‘1. Everyone has the right to liberty and security of person. No-one shall be deprived of their liberty save</w:t>
      </w:r>
      <w:r>
        <w:rPr>
          <w:i/>
          <w:iCs/>
        </w:rPr>
        <w:t xml:space="preserve"> </w:t>
      </w:r>
      <w:r w:rsidRPr="0061625D">
        <w:rPr>
          <w:i/>
          <w:iCs/>
        </w:rPr>
        <w:t>in the following cases and with a procedure prescribed by law …</w:t>
      </w:r>
    </w:p>
    <w:p w:rsidR="0061625D" w:rsidRPr="0061625D" w:rsidRDefault="0061625D" w:rsidP="0061625D">
      <w:pPr>
        <w:ind w:left="851"/>
        <w:rPr>
          <w:i/>
          <w:iCs/>
        </w:rPr>
      </w:pPr>
      <w:r w:rsidRPr="0061625D">
        <w:rPr>
          <w:i/>
          <w:iCs/>
        </w:rPr>
        <w:t xml:space="preserve">(e) </w:t>
      </w:r>
      <w:proofErr w:type="gramStart"/>
      <w:r w:rsidRPr="0061625D">
        <w:rPr>
          <w:i/>
          <w:iCs/>
        </w:rPr>
        <w:t>the</w:t>
      </w:r>
      <w:proofErr w:type="gramEnd"/>
      <w:r w:rsidRPr="0061625D">
        <w:rPr>
          <w:i/>
          <w:iCs/>
        </w:rPr>
        <w:t xml:space="preserve"> lawful detention of …persons of unsound mind</w:t>
      </w:r>
    </w:p>
    <w:p w:rsidR="0061625D" w:rsidRPr="0061625D" w:rsidRDefault="0061625D" w:rsidP="0061625D">
      <w:pPr>
        <w:ind w:left="851" w:right="521"/>
        <w:rPr>
          <w:i/>
          <w:iCs/>
        </w:rPr>
      </w:pPr>
      <w:r w:rsidRPr="0061625D">
        <w:rPr>
          <w:i/>
          <w:iCs/>
        </w:rPr>
        <w:t>4. Everyone who is deprived of his liberty by arrest or detention shall be entitled to take proceedings</w:t>
      </w:r>
      <w:r>
        <w:rPr>
          <w:i/>
          <w:iCs/>
        </w:rPr>
        <w:t xml:space="preserve"> </w:t>
      </w:r>
      <w:r w:rsidRPr="0061625D">
        <w:rPr>
          <w:i/>
          <w:iCs/>
        </w:rPr>
        <w:t>by which the lawfulness of his detention shall be decided speedily by a court and his release</w:t>
      </w:r>
      <w:r>
        <w:rPr>
          <w:i/>
          <w:iCs/>
        </w:rPr>
        <w:t xml:space="preserve"> </w:t>
      </w:r>
      <w:r w:rsidRPr="0061625D">
        <w:rPr>
          <w:i/>
          <w:iCs/>
        </w:rPr>
        <w:t>ordered if the detention is not lawful.’</w:t>
      </w:r>
    </w:p>
    <w:p w:rsidR="0061625D" w:rsidRPr="0061625D" w:rsidRDefault="0061625D" w:rsidP="0061625D">
      <w:r w:rsidRPr="0061625D">
        <w:t>The argument here was that confinement in a ‘prison within a prison’ should amount to</w:t>
      </w:r>
      <w:r>
        <w:t xml:space="preserve"> </w:t>
      </w:r>
      <w:r w:rsidRPr="0061625D">
        <w:t>deprivation of liberty for the purpose of Article 5. Such detention would therefore require</w:t>
      </w:r>
      <w:r>
        <w:t xml:space="preserve"> </w:t>
      </w:r>
      <w:r w:rsidRPr="0061625D">
        <w:t>justification on the grounds of the mental disorder and also a ‘speedy review’.</w:t>
      </w:r>
    </w:p>
    <w:p w:rsidR="0061625D" w:rsidRDefault="0061625D" w:rsidP="0061625D">
      <w:r w:rsidRPr="0061625D">
        <w:t>The Court held that the detention itself had to be justified and challengeable in accordance with</w:t>
      </w:r>
      <w:r>
        <w:t xml:space="preserve"> </w:t>
      </w:r>
      <w:r w:rsidRPr="0061625D">
        <w:t>Article 5. This would be breached if a person was detained in an institution which was</w:t>
      </w:r>
      <w:r>
        <w:t xml:space="preserve"> </w:t>
      </w:r>
      <w:r w:rsidRPr="0061625D">
        <w:t>inappropriate to meet the purpose of the detention. But provided that the institution was within</w:t>
      </w:r>
      <w:r>
        <w:t xml:space="preserve"> </w:t>
      </w:r>
      <w:r w:rsidRPr="0061625D">
        <w:t>the appropriate category there would be no breach of Article 5. The conditions of detention were</w:t>
      </w:r>
      <w:r>
        <w:t xml:space="preserve"> </w:t>
      </w:r>
      <w:r w:rsidRPr="0061625D">
        <w:t>controlled by Articles 3 and 8. Just as the tort of false imprisonment was concerned with all or</w:t>
      </w:r>
      <w:r>
        <w:t xml:space="preserve"> </w:t>
      </w:r>
      <w:r w:rsidRPr="0061625D">
        <w:t>nothing situations, so was Article 5</w:t>
      </w:r>
      <w:r w:rsidR="00123BB1">
        <w:rPr>
          <w:rStyle w:val="FootnoteReference"/>
        </w:rPr>
        <w:footnoteReference w:id="19"/>
      </w:r>
      <w:r w:rsidRPr="0061625D">
        <w:t>.</w:t>
      </w:r>
    </w:p>
    <w:p w:rsidR="0061625D" w:rsidRPr="0061625D" w:rsidRDefault="0061625D" w:rsidP="0061625D"/>
    <w:p w:rsidR="0061625D" w:rsidRPr="0061625D" w:rsidRDefault="0061625D" w:rsidP="0061625D">
      <w:pPr>
        <w:rPr>
          <w:b/>
          <w:bCs/>
          <w:sz w:val="24"/>
        </w:rPr>
      </w:pPr>
      <w:r w:rsidRPr="0061625D">
        <w:rPr>
          <w:b/>
          <w:bCs/>
          <w:sz w:val="24"/>
        </w:rPr>
        <w:t>3. Public law and the status of the Code of Practice</w:t>
      </w:r>
    </w:p>
    <w:p w:rsidR="0061625D" w:rsidRPr="0061625D" w:rsidRDefault="0061625D" w:rsidP="0061625D">
      <w:r w:rsidRPr="0061625D">
        <w:t>Section 118 Mental Health Act provides:</w:t>
      </w:r>
    </w:p>
    <w:p w:rsidR="0061625D" w:rsidRPr="0061625D" w:rsidRDefault="0061625D" w:rsidP="00123BB1">
      <w:pPr>
        <w:ind w:left="567"/>
      </w:pPr>
      <w:r w:rsidRPr="0061625D">
        <w:t>‘(1) The Secretary of State shall prepare, and from time to time revise, a code of practice–</w:t>
      </w:r>
    </w:p>
    <w:p w:rsidR="0061625D" w:rsidRPr="0061625D" w:rsidRDefault="0061625D" w:rsidP="00123BB1">
      <w:pPr>
        <w:ind w:left="851" w:right="521"/>
      </w:pPr>
      <w:r w:rsidRPr="0061625D">
        <w:lastRenderedPageBreak/>
        <w:t>(a) for the guidance of registered medical practitioners, managers and staff of hospitals,</w:t>
      </w:r>
      <w:r w:rsidR="00123BB1">
        <w:t xml:space="preserve"> </w:t>
      </w:r>
      <w:r w:rsidRPr="0061625D">
        <w:t>independent hospitals and care homes and approved social workers in relation to the</w:t>
      </w:r>
      <w:r w:rsidR="00123BB1">
        <w:t xml:space="preserve"> </w:t>
      </w:r>
      <w:r w:rsidRPr="0061625D">
        <w:t xml:space="preserve">admission of </w:t>
      </w:r>
      <w:r w:rsidR="00123BB1">
        <w:t xml:space="preserve"> </w:t>
      </w:r>
      <w:r w:rsidRPr="0061625D">
        <w:t>patients to hospitals and registered establishments under this Act and to</w:t>
      </w:r>
      <w:r w:rsidR="00123BB1">
        <w:t xml:space="preserve"> </w:t>
      </w:r>
      <w:r w:rsidRPr="0061625D">
        <w:t>guardianship and after-care under supervision under this Act; and</w:t>
      </w:r>
      <w:r w:rsidR="00123BB1">
        <w:br/>
      </w:r>
      <w:r w:rsidRPr="0061625D">
        <w:t>(b) for the guidance of registered medical practitioners and members of other professions</w:t>
      </w:r>
      <w:r w:rsidR="00123BB1">
        <w:t xml:space="preserve"> </w:t>
      </w:r>
      <w:r w:rsidRPr="0061625D">
        <w:t>in relation to the medical treatment of patients suffering from medical disorder.’</w:t>
      </w:r>
    </w:p>
    <w:p w:rsidR="0061625D" w:rsidRPr="0061625D" w:rsidRDefault="0061625D" w:rsidP="0061625D">
      <w:r w:rsidRPr="0061625D">
        <w:t>If the guidance on seclusion did not fall within either of these subsections it would be non</w:t>
      </w:r>
      <w:r w:rsidR="00123BB1">
        <w:t>-</w:t>
      </w:r>
      <w:r w:rsidRPr="0061625D">
        <w:t>statutory</w:t>
      </w:r>
      <w:r w:rsidR="00123BB1">
        <w:t xml:space="preserve"> </w:t>
      </w:r>
      <w:r w:rsidRPr="0061625D">
        <w:t>guidance; a material consideration but no more.</w:t>
      </w:r>
    </w:p>
    <w:p w:rsidR="0061625D" w:rsidRPr="0061625D" w:rsidRDefault="0061625D" w:rsidP="0061625D">
      <w:r w:rsidRPr="0061625D">
        <w:t xml:space="preserve">The court held that seclusion was covered by </w:t>
      </w:r>
      <w:proofErr w:type="gramStart"/>
      <w:r w:rsidRPr="0061625D">
        <w:t>s118(</w:t>
      </w:r>
      <w:proofErr w:type="gramEnd"/>
      <w:r w:rsidRPr="0061625D">
        <w:t>1)(a) and (b). ‘Admission’ did not end at the</w:t>
      </w:r>
      <w:r w:rsidR="00123BB1">
        <w:t xml:space="preserve"> </w:t>
      </w:r>
      <w:r w:rsidRPr="0061625D">
        <w:t>hospital door but continued until discharge. The court had already discussed the issue of whether</w:t>
      </w:r>
      <w:r w:rsidR="00123BB1">
        <w:t xml:space="preserve"> </w:t>
      </w:r>
      <w:r w:rsidRPr="0061625D">
        <w:t>seclusion was capable of being medical treatment and held that it was.</w:t>
      </w:r>
    </w:p>
    <w:p w:rsidR="0061625D" w:rsidRPr="0061625D" w:rsidRDefault="0061625D" w:rsidP="0061625D">
      <w:r w:rsidRPr="0061625D">
        <w:t>Having made this finding the Court went on to consider the weight that should be given to the</w:t>
      </w:r>
      <w:r w:rsidR="00123BB1">
        <w:t xml:space="preserve"> </w:t>
      </w:r>
      <w:r w:rsidRPr="0061625D">
        <w:t>Code. It was noted that there was no express statutory obligation to comply with it.</w:t>
      </w:r>
    </w:p>
    <w:p w:rsidR="0061625D" w:rsidRPr="0061625D" w:rsidRDefault="0061625D" w:rsidP="0061625D">
      <w:r w:rsidRPr="0061625D">
        <w:t>Under Section 7 of the Local Authority Social Services Act 1970 social services have an obligation</w:t>
      </w:r>
      <w:r w:rsidR="00123BB1">
        <w:t xml:space="preserve"> </w:t>
      </w:r>
      <w:r w:rsidRPr="0061625D">
        <w:t>to act under the general guidance of the Secretary of State. This had been held in the case of</w:t>
      </w:r>
      <w:r w:rsidR="00123BB1">
        <w:t xml:space="preserve"> </w:t>
      </w:r>
      <w:proofErr w:type="spellStart"/>
      <w:r w:rsidRPr="0061625D">
        <w:rPr>
          <w:i/>
          <w:iCs/>
        </w:rPr>
        <w:t>Rixon</w:t>
      </w:r>
      <w:proofErr w:type="spellEnd"/>
      <w:r w:rsidR="00123BB1">
        <w:rPr>
          <w:rStyle w:val="FootnoteReference"/>
          <w:i/>
          <w:iCs/>
        </w:rPr>
        <w:footnoteReference w:id="20"/>
      </w:r>
      <w:r w:rsidRPr="0061625D">
        <w:t xml:space="preserve"> to mean that they could only depart from such guidance with good reason.</w:t>
      </w:r>
    </w:p>
    <w:p w:rsidR="0061625D" w:rsidRDefault="0061625D" w:rsidP="0061625D">
      <w:r w:rsidRPr="0061625D">
        <w:t>The Court said that there was a considerable difference between the approach adopted by the first</w:t>
      </w:r>
      <w:r w:rsidR="00123BB1">
        <w:t xml:space="preserve"> </w:t>
      </w:r>
      <w:r w:rsidRPr="0061625D">
        <w:t xml:space="preserve">instance judges in the present cases and the </w:t>
      </w:r>
      <w:proofErr w:type="spellStart"/>
      <w:r w:rsidRPr="0061625D">
        <w:rPr>
          <w:i/>
          <w:iCs/>
        </w:rPr>
        <w:t>Rixon</w:t>
      </w:r>
      <w:proofErr w:type="spellEnd"/>
      <w:r w:rsidRPr="0061625D">
        <w:rPr>
          <w:i/>
          <w:iCs/>
        </w:rPr>
        <w:t xml:space="preserve"> </w:t>
      </w:r>
      <w:r w:rsidRPr="0061625D">
        <w:t>approach. Hale LJ stated:</w:t>
      </w:r>
    </w:p>
    <w:p w:rsidR="00123BB1" w:rsidRPr="00123BB1" w:rsidRDefault="00123BB1" w:rsidP="00123BB1">
      <w:pPr>
        <w:ind w:left="567" w:right="521"/>
      </w:pPr>
      <w:r w:rsidRPr="00123BB1">
        <w:rPr>
          <w:i/>
          <w:iCs/>
        </w:rPr>
        <w:t>“It would fly in the face of the original purposes of the Code if hospitals or professionals were in fact</w:t>
      </w:r>
      <w:r>
        <w:rPr>
          <w:i/>
          <w:iCs/>
        </w:rPr>
        <w:t xml:space="preserve"> </w:t>
      </w:r>
      <w:r w:rsidRPr="00123BB1">
        <w:rPr>
          <w:i/>
          <w:iCs/>
        </w:rPr>
        <w:t>free not to follow it without good reason… In relation to those matters where a patient’s human rights</w:t>
      </w:r>
      <w:r>
        <w:rPr>
          <w:i/>
          <w:iCs/>
        </w:rPr>
        <w:t xml:space="preserve"> </w:t>
      </w:r>
      <w:r w:rsidRPr="00123BB1">
        <w:rPr>
          <w:i/>
          <w:iCs/>
        </w:rPr>
        <w:t>are or may be engaged, the arguments for according the Code a greater status are compelling. Where</w:t>
      </w:r>
      <w:r>
        <w:rPr>
          <w:i/>
          <w:iCs/>
        </w:rPr>
        <w:t xml:space="preserve"> </w:t>
      </w:r>
      <w:r w:rsidRPr="00123BB1">
        <w:rPr>
          <w:i/>
          <w:iCs/>
        </w:rPr>
        <w:t>there is a risk that agents of the state will treat its patients in a way which contravenes Article 3, the</w:t>
      </w:r>
      <w:r>
        <w:rPr>
          <w:i/>
          <w:iCs/>
        </w:rPr>
        <w:t xml:space="preserve"> </w:t>
      </w:r>
      <w:r w:rsidRPr="00123BB1">
        <w:rPr>
          <w:i/>
          <w:iCs/>
        </w:rPr>
        <w:t>state should take steps to avoid this through the publication of a Code of Practice which its agents are</w:t>
      </w:r>
      <w:r>
        <w:rPr>
          <w:i/>
          <w:iCs/>
        </w:rPr>
        <w:t xml:space="preserve"> </w:t>
      </w:r>
      <w:r w:rsidRPr="00123BB1">
        <w:rPr>
          <w:i/>
          <w:iCs/>
        </w:rPr>
        <w:t>obliged to follow unless they have good reason to depart from it. Where there is an interference with the</w:t>
      </w:r>
      <w:r>
        <w:rPr>
          <w:i/>
          <w:iCs/>
        </w:rPr>
        <w:t xml:space="preserve"> </w:t>
      </w:r>
      <w:r w:rsidRPr="00123BB1">
        <w:rPr>
          <w:i/>
          <w:iCs/>
        </w:rPr>
        <w:t>rights protected by Article 8, the requirement of legality is met through adherence to a Code of Practice</w:t>
      </w:r>
      <w:r>
        <w:rPr>
          <w:i/>
          <w:iCs/>
        </w:rPr>
        <w:t xml:space="preserve"> </w:t>
      </w:r>
      <w:r w:rsidRPr="00123BB1">
        <w:rPr>
          <w:i/>
          <w:iCs/>
        </w:rPr>
        <w:t>again unless there is good reason to depart from it. The same will apply where the Code deals with the</w:t>
      </w:r>
      <w:r>
        <w:rPr>
          <w:i/>
          <w:iCs/>
        </w:rPr>
        <w:t xml:space="preserve"> </w:t>
      </w:r>
      <w:r w:rsidRPr="00123BB1">
        <w:rPr>
          <w:i/>
          <w:iCs/>
        </w:rPr>
        <w:t>deprivation of liberty within the meaning of Article 5”.</w:t>
      </w:r>
      <w:r w:rsidR="00E06384">
        <w:rPr>
          <w:rStyle w:val="FootnoteReference"/>
          <w:i/>
          <w:iCs/>
        </w:rPr>
        <w:footnoteReference w:id="21"/>
      </w:r>
    </w:p>
    <w:p w:rsidR="00123BB1" w:rsidRPr="00123BB1" w:rsidRDefault="00123BB1" w:rsidP="00123BB1">
      <w:r w:rsidRPr="00123BB1">
        <w:t>The Court went on to say that the Code should be observed by all hospitals unless they have a</w:t>
      </w:r>
      <w:r>
        <w:t xml:space="preserve"> </w:t>
      </w:r>
      <w:r w:rsidRPr="00123BB1">
        <w:t>good reason for departing from it in relation to an individual patient or groups of patients who</w:t>
      </w:r>
      <w:r>
        <w:t xml:space="preserve"> </w:t>
      </w:r>
      <w:r w:rsidRPr="00123BB1">
        <w:t>share particular well-defined characteristics. However, hospitals cannot depart from the Code as a</w:t>
      </w:r>
      <w:r>
        <w:t xml:space="preserve"> </w:t>
      </w:r>
      <w:r w:rsidRPr="00123BB1">
        <w:t>matter of policy.</w:t>
      </w:r>
    </w:p>
    <w:p w:rsidR="00123BB1" w:rsidRPr="00123BB1" w:rsidRDefault="00123BB1" w:rsidP="00123BB1">
      <w:r w:rsidRPr="00123BB1">
        <w:t>The Court considered potential remedies and said that the usual public law remedies would be</w:t>
      </w:r>
      <w:r>
        <w:t xml:space="preserve"> </w:t>
      </w:r>
      <w:r w:rsidRPr="00123BB1">
        <w:t>available if the Code was unlawfully breached. If something was unlawful in public law terms then</w:t>
      </w:r>
      <w:r>
        <w:t xml:space="preserve"> </w:t>
      </w:r>
      <w:r w:rsidRPr="00123BB1">
        <w:t>there could be no defence of lawful excuse for tortious acts and tortious remedies would be</w:t>
      </w:r>
      <w:r>
        <w:t xml:space="preserve"> </w:t>
      </w:r>
      <w:r w:rsidRPr="00123BB1">
        <w:lastRenderedPageBreak/>
        <w:t>available. Finally, if a decision resulted in a breach of an individual’s human rights then the</w:t>
      </w:r>
      <w:r>
        <w:t xml:space="preserve"> </w:t>
      </w:r>
      <w:r w:rsidRPr="00123BB1">
        <w:t xml:space="preserve">remedies available under the Human Rights Act </w:t>
      </w:r>
      <w:r w:rsidR="00E06384">
        <w:t>1998 would be available.</w:t>
      </w:r>
      <w:r w:rsidR="00E06384">
        <w:rPr>
          <w:rStyle w:val="FootnoteReference"/>
        </w:rPr>
        <w:footnoteReference w:id="22"/>
      </w:r>
    </w:p>
    <w:p w:rsidR="00123BB1" w:rsidRDefault="00123BB1" w:rsidP="00123BB1">
      <w:r w:rsidRPr="00123BB1">
        <w:t>Ashworth’s policy was declared to be unlawful because the wholesale departure from the Code</w:t>
      </w:r>
      <w:r>
        <w:t xml:space="preserve"> </w:t>
      </w:r>
      <w:r w:rsidRPr="00123BB1">
        <w:t>could not be justified. The seclusion of S, after the point at which it was necessary and</w:t>
      </w:r>
      <w:r>
        <w:t xml:space="preserve"> </w:t>
      </w:r>
      <w:r w:rsidRPr="00123BB1">
        <w:t>proportionate within the meaning of the Code, was also unlawful.</w:t>
      </w:r>
    </w:p>
    <w:p w:rsidR="00123BB1" w:rsidRPr="00123BB1" w:rsidRDefault="00123BB1" w:rsidP="00123BB1"/>
    <w:p w:rsidR="00123BB1" w:rsidRPr="00123BB1" w:rsidRDefault="00123BB1" w:rsidP="00123BB1">
      <w:pPr>
        <w:rPr>
          <w:b/>
          <w:bCs/>
          <w:sz w:val="24"/>
        </w:rPr>
      </w:pPr>
      <w:r w:rsidRPr="00123BB1">
        <w:rPr>
          <w:b/>
          <w:bCs/>
          <w:sz w:val="24"/>
        </w:rPr>
        <w:t>Comment</w:t>
      </w:r>
    </w:p>
    <w:p w:rsidR="00123BB1" w:rsidRPr="00123BB1" w:rsidRDefault="00123BB1" w:rsidP="00123BB1">
      <w:r w:rsidRPr="00123BB1">
        <w:t>There are two main aspects of this case which deserve particular attention. First, the case highlights</w:t>
      </w:r>
      <w:r w:rsidR="00E06384">
        <w:t xml:space="preserve"> </w:t>
      </w:r>
      <w:r w:rsidRPr="00123BB1">
        <w:t>(or, more accurately, fails to highlight) some of the problems regarding the concept of ‘medical</w:t>
      </w:r>
      <w:r w:rsidR="00E06384">
        <w:t xml:space="preserve"> </w:t>
      </w:r>
      <w:r w:rsidRPr="00123BB1">
        <w:t>treatment’. The Court was of the view that seclusion could be medical treatment and this is a</w:t>
      </w:r>
      <w:r w:rsidR="00E06384">
        <w:t xml:space="preserve"> </w:t>
      </w:r>
      <w:r w:rsidRPr="00123BB1">
        <w:t>decision that is likely to be controversial.</w:t>
      </w:r>
    </w:p>
    <w:p w:rsidR="00123BB1" w:rsidRPr="00123BB1" w:rsidRDefault="00123BB1" w:rsidP="00123BB1">
      <w:r w:rsidRPr="00123BB1">
        <w:t>Secondly, the case clearly elevates and clarifies the status of the Code of Practice. It confirms that</w:t>
      </w:r>
      <w:r w:rsidR="00E06384">
        <w:t xml:space="preserve"> </w:t>
      </w:r>
      <w:r w:rsidRPr="00123BB1">
        <w:t>patients have the right to challenge practice which is in unlawful breach of the Code. This is a</w:t>
      </w:r>
      <w:r w:rsidR="00E06384">
        <w:t xml:space="preserve"> </w:t>
      </w:r>
      <w:r w:rsidRPr="00123BB1">
        <w:t>significant and welcome step towards the promotion of the interests of all mental health service</w:t>
      </w:r>
      <w:r w:rsidR="00E06384">
        <w:t xml:space="preserve"> </w:t>
      </w:r>
      <w:r w:rsidRPr="00123BB1">
        <w:t>users.</w:t>
      </w:r>
    </w:p>
    <w:p w:rsidR="00123BB1" w:rsidRPr="00123BB1" w:rsidRDefault="00123BB1" w:rsidP="00123BB1">
      <w:pPr>
        <w:rPr>
          <w:b/>
          <w:bCs/>
        </w:rPr>
      </w:pPr>
      <w:r w:rsidRPr="00123BB1">
        <w:rPr>
          <w:b/>
          <w:bCs/>
        </w:rPr>
        <w:t>1. Medical Treatment</w:t>
      </w:r>
    </w:p>
    <w:p w:rsidR="00E06384" w:rsidRPr="00E06384" w:rsidRDefault="00123BB1" w:rsidP="00E06384">
      <w:r w:rsidRPr="00123BB1">
        <w:t>Probably the most controversial aspect of this judgment is the finding that seclusion can be</w:t>
      </w:r>
      <w:r w:rsidR="00E06384">
        <w:t xml:space="preserve"> </w:t>
      </w:r>
      <w:r w:rsidRPr="00123BB1">
        <w:t>‘medical treatment’. Although there was some evidence to suggest that some uses of seclusion</w:t>
      </w:r>
      <w:r w:rsidR="00E06384">
        <w:t xml:space="preserve"> </w:t>
      </w:r>
      <w:r w:rsidRPr="00123BB1">
        <w:t xml:space="preserve">might be of </w:t>
      </w:r>
      <w:r w:rsidR="00E06384">
        <w:t>direct benefit to some patients</w:t>
      </w:r>
      <w:r w:rsidR="00E06384">
        <w:rPr>
          <w:rStyle w:val="FootnoteReference"/>
        </w:rPr>
        <w:footnoteReference w:id="23"/>
      </w:r>
      <w:r w:rsidRPr="00123BB1">
        <w:t>, the apparent logic for characterising seclusion as</w:t>
      </w:r>
      <w:r w:rsidR="00E06384">
        <w:t xml:space="preserve"> </w:t>
      </w:r>
      <w:r w:rsidRPr="00123BB1">
        <w:t>medical treatment was that it protects the patient from the adverse consequences of harming</w:t>
      </w:r>
      <w:r w:rsidR="00E06384">
        <w:t xml:space="preserve"> </w:t>
      </w:r>
      <w:r w:rsidRPr="00123BB1">
        <w:t>another person. It is difficult to tell whether there are any limits to the concept of treatment in the</w:t>
      </w:r>
      <w:r w:rsidR="00E06384">
        <w:t xml:space="preserve"> </w:t>
      </w:r>
      <w:r w:rsidRPr="00123BB1">
        <w:t>field of psychiatry where the treatment is of some perceived benefit to anybody at all. It is almost</w:t>
      </w:r>
      <w:r w:rsidR="00E06384">
        <w:t xml:space="preserve"> </w:t>
      </w:r>
      <w:r w:rsidRPr="00123BB1">
        <w:t>impossible to judge where those limits will lie. This is of massive significance as the Government</w:t>
      </w:r>
      <w:r w:rsidR="00E06384">
        <w:t xml:space="preserve"> </w:t>
      </w:r>
      <w:r w:rsidR="00E06384" w:rsidRPr="00E06384">
        <w:t>seems likely to continue to pursue the power to use mental health legislation to detain people who</w:t>
      </w:r>
      <w:r w:rsidR="00E06384">
        <w:t xml:space="preserve"> </w:t>
      </w:r>
      <w:r w:rsidR="00E06384" w:rsidRPr="00E06384">
        <w:t>are dangerous, and so undermine still further the purpose of hospitalisation.</w:t>
      </w:r>
    </w:p>
    <w:p w:rsidR="00E06384" w:rsidRPr="00E06384" w:rsidRDefault="00E06384" w:rsidP="00E06384">
      <w:r w:rsidRPr="00E06384">
        <w:t>The view of most people is likely to be that medical treatment must be in the therapeutic interests</w:t>
      </w:r>
      <w:r>
        <w:t xml:space="preserve"> </w:t>
      </w:r>
      <w:r w:rsidRPr="00E06384">
        <w:t>of the patient. Seclusion itself is a controversial practice, and in these appeals evidence was</w:t>
      </w:r>
      <w:r>
        <w:t xml:space="preserve"> </w:t>
      </w:r>
      <w:r w:rsidRPr="00E06384">
        <w:t>adduced to show the potential harm that such periods of control and isolation might cause –</w:t>
      </w:r>
      <w:r>
        <w:t xml:space="preserve"> </w:t>
      </w:r>
      <w:r w:rsidRPr="00E06384">
        <w:t>particularly to a person who was already distressed</w:t>
      </w:r>
      <w:r>
        <w:rPr>
          <w:rStyle w:val="FootnoteReference"/>
        </w:rPr>
        <w:footnoteReference w:id="24"/>
      </w:r>
      <w:r w:rsidRPr="00E06384">
        <w:t>. Nonetheless, it was accepted that there might</w:t>
      </w:r>
      <w:r>
        <w:t xml:space="preserve"> </w:t>
      </w:r>
      <w:r w:rsidRPr="00E06384">
        <w:t>be occasions when such intervention could be justified in the patient’s own interests. There are</w:t>
      </w:r>
      <w:r>
        <w:t xml:space="preserve"> </w:t>
      </w:r>
      <w:r w:rsidRPr="00E06384">
        <w:t>almost certainly a significant number of people who would not agree with this view, particularly</w:t>
      </w:r>
      <w:r>
        <w:t xml:space="preserve"> </w:t>
      </w:r>
      <w:r w:rsidRPr="00E06384">
        <w:t>amongst those who use mental health services. The case highlights the fact that the line between</w:t>
      </w:r>
      <w:r>
        <w:t xml:space="preserve"> </w:t>
      </w:r>
      <w:r w:rsidRPr="00E06384">
        <w:t>what is in the patient’s interests and what is in the interests of other people can be a difficult one</w:t>
      </w:r>
      <w:r>
        <w:t xml:space="preserve"> </w:t>
      </w:r>
      <w:r w:rsidRPr="00E06384">
        <w:t>to draw. As Hale LJ stated:</w:t>
      </w:r>
    </w:p>
    <w:p w:rsidR="00E06384" w:rsidRPr="00E06384" w:rsidRDefault="00E06384" w:rsidP="00E06384">
      <w:pPr>
        <w:ind w:left="567" w:right="521"/>
      </w:pPr>
      <w:r w:rsidRPr="00E06384">
        <w:rPr>
          <w:i/>
          <w:iCs/>
        </w:rPr>
        <w:t>“……seclusion aimed at addressing the risks to others presented by the behaviour of a patient in the</w:t>
      </w:r>
      <w:r>
        <w:rPr>
          <w:i/>
          <w:iCs/>
        </w:rPr>
        <w:t xml:space="preserve"> </w:t>
      </w:r>
      <w:r w:rsidRPr="00E06384">
        <w:rPr>
          <w:i/>
          <w:iCs/>
        </w:rPr>
        <w:t>manic phase of a bipolar affective disorder when the behaviour is itself the result of that disorder is</w:t>
      </w:r>
      <w:r>
        <w:rPr>
          <w:i/>
          <w:iCs/>
        </w:rPr>
        <w:t xml:space="preserve"> </w:t>
      </w:r>
      <w:r w:rsidRPr="00E06384">
        <w:rPr>
          <w:i/>
          <w:iCs/>
        </w:rPr>
        <w:t xml:space="preserve">treatment ‘for’ the disorder in the same way that force-feeding </w:t>
      </w:r>
      <w:r w:rsidRPr="00E06384">
        <w:rPr>
          <w:i/>
          <w:iCs/>
        </w:rPr>
        <w:lastRenderedPageBreak/>
        <w:t>the anorexic patient was treatment for her</w:t>
      </w:r>
      <w:r>
        <w:rPr>
          <w:i/>
          <w:iCs/>
        </w:rPr>
        <w:t xml:space="preserve"> </w:t>
      </w:r>
      <w:r w:rsidRPr="00E06384">
        <w:rPr>
          <w:i/>
          <w:iCs/>
        </w:rPr>
        <w:t>disorder</w:t>
      </w:r>
      <w:r>
        <w:rPr>
          <w:rStyle w:val="FootnoteReference"/>
          <w:i/>
          <w:iCs/>
        </w:rPr>
        <w:footnoteReference w:id="25"/>
      </w:r>
      <w:r w:rsidRPr="00E06384">
        <w:rPr>
          <w:i/>
          <w:iCs/>
        </w:rPr>
        <w:t xml:space="preserve">. While her behaviour was purely </w:t>
      </w:r>
      <w:proofErr w:type="spellStart"/>
      <w:proofErr w:type="gramStart"/>
      <w:r w:rsidRPr="00E06384">
        <w:rPr>
          <w:i/>
          <w:iCs/>
        </w:rPr>
        <w:t>self</w:t>
      </w:r>
      <w:proofErr w:type="gramEnd"/>
      <w:r w:rsidRPr="00E06384">
        <w:rPr>
          <w:i/>
          <w:iCs/>
        </w:rPr>
        <w:t xml:space="preserve"> destructive</w:t>
      </w:r>
      <w:proofErr w:type="spellEnd"/>
      <w:r w:rsidRPr="00E06384">
        <w:rPr>
          <w:i/>
          <w:iCs/>
        </w:rPr>
        <w:t>, the consequences of allowing Mr S to persist</w:t>
      </w:r>
      <w:r>
        <w:rPr>
          <w:i/>
          <w:iCs/>
        </w:rPr>
        <w:t xml:space="preserve"> </w:t>
      </w:r>
      <w:r w:rsidRPr="00E06384">
        <w:rPr>
          <w:i/>
          <w:iCs/>
        </w:rPr>
        <w:t>in behaviour which was damaging to others would also have been damaging to him.”</w:t>
      </w:r>
      <w:r>
        <w:rPr>
          <w:rStyle w:val="FootnoteReference"/>
          <w:i/>
          <w:iCs/>
        </w:rPr>
        <w:footnoteReference w:id="26"/>
      </w:r>
    </w:p>
    <w:p w:rsidR="00E06384" w:rsidRPr="00E06384" w:rsidRDefault="00E06384" w:rsidP="00E06384">
      <w:r w:rsidRPr="00E06384">
        <w:t>The implication is that preventing actions that may be damaging to a patient will automatically be</w:t>
      </w:r>
      <w:r>
        <w:t xml:space="preserve"> </w:t>
      </w:r>
      <w:r w:rsidRPr="00E06384">
        <w:t>of benefit. What is not clear is how the ‘benefit’ to the patient is to be assessed. An outsider’s view</w:t>
      </w:r>
      <w:r>
        <w:t xml:space="preserve"> </w:t>
      </w:r>
      <w:r w:rsidRPr="00E06384">
        <w:t>of benefit is not the same thing as a patient’s best interests. Allowing someone to act in a violent</w:t>
      </w:r>
      <w:r>
        <w:t xml:space="preserve"> </w:t>
      </w:r>
      <w:r w:rsidRPr="00E06384">
        <w:t>manner might result in injury to themselves, or it might result in feelings of guilt at a later stage,</w:t>
      </w:r>
      <w:r>
        <w:t xml:space="preserve"> </w:t>
      </w:r>
      <w:r w:rsidRPr="00E06384">
        <w:t>but the same could be said of anyone who acts violently – regardless of whether they are diagnosed</w:t>
      </w:r>
      <w:r>
        <w:t xml:space="preserve"> </w:t>
      </w:r>
      <w:r w:rsidRPr="00E06384">
        <w:t xml:space="preserve">with any mental disorder. The Mental Health Act is concerned with treating people </w:t>
      </w:r>
      <w:r w:rsidRPr="00E06384">
        <w:rPr>
          <w:i/>
          <w:iCs/>
        </w:rPr>
        <w:t xml:space="preserve">for </w:t>
      </w:r>
      <w:r w:rsidRPr="00E06384">
        <w:t>mental</w:t>
      </w:r>
      <w:r>
        <w:t xml:space="preserve"> </w:t>
      </w:r>
      <w:r w:rsidRPr="00E06384">
        <w:t xml:space="preserve">disorder and this is very different from the power to treat people </w:t>
      </w:r>
      <w:r w:rsidRPr="00E06384">
        <w:rPr>
          <w:i/>
          <w:iCs/>
        </w:rPr>
        <w:t xml:space="preserve">with </w:t>
      </w:r>
      <w:r w:rsidRPr="00E06384">
        <w:t>such a disorder. There must</w:t>
      </w:r>
      <w:r>
        <w:t xml:space="preserve"> </w:t>
      </w:r>
      <w:r w:rsidRPr="00E06384">
        <w:t>be evidence of a disorder before seclusion can be medical treatment, and surely there must also be</w:t>
      </w:r>
      <w:r>
        <w:t xml:space="preserve"> </w:t>
      </w:r>
      <w:r w:rsidRPr="00E06384">
        <w:t>a connection between the disorder and the violent conduct? If so, the seclusion of people who</w:t>
      </w:r>
      <w:r>
        <w:t xml:space="preserve"> </w:t>
      </w:r>
      <w:r w:rsidRPr="00E06384">
        <w:t>happen to have a mental disorder and are in hospital, but whose violence is unrelated to that</w:t>
      </w:r>
      <w:r>
        <w:t xml:space="preserve"> </w:t>
      </w:r>
      <w:r w:rsidRPr="00E06384">
        <w:t>disorder, would not be medical treatment and would have to be justified in some other way.</w:t>
      </w:r>
    </w:p>
    <w:p w:rsidR="00123BB1" w:rsidRDefault="00E06384" w:rsidP="00E06384">
      <w:r w:rsidRPr="00E06384">
        <w:t>Hospital staff should not assume that the presence of mental disorder and violence mean that</w:t>
      </w:r>
      <w:r>
        <w:t xml:space="preserve"> </w:t>
      </w:r>
      <w:r w:rsidRPr="00E06384">
        <w:t>seclusion will be justified on the basis of it being medical treatment for the disorder. The</w:t>
      </w:r>
      <w:r>
        <w:t xml:space="preserve"> </w:t>
      </w:r>
      <w:r w:rsidRPr="00E06384">
        <w:t>identification of the causes of violence may be very difficult but will be important in order for the</w:t>
      </w:r>
      <w:r>
        <w:t xml:space="preserve"> </w:t>
      </w:r>
      <w:r w:rsidRPr="00E06384">
        <w:t>patient to effectively challenge their treatment, and for the hospital to defend it. The question</w:t>
      </w:r>
      <w:r>
        <w:t xml:space="preserve"> </w:t>
      </w:r>
      <w:r w:rsidRPr="00E06384">
        <w:t>should be addressed if only for the reason that a failure to do so suggests that any violence</w:t>
      </w:r>
      <w:r>
        <w:t xml:space="preserve"> </w:t>
      </w:r>
      <w:r w:rsidRPr="00E06384">
        <w:t>committed by a person with mental health problems is as a result of those problems. A failure to</w:t>
      </w:r>
      <w:r>
        <w:t xml:space="preserve"> </w:t>
      </w:r>
      <w:r w:rsidRPr="00E06384">
        <w:t>consider the question assumes that there is a necessary link between the health and violence of the</w:t>
      </w:r>
      <w:r>
        <w:t xml:space="preserve"> </w:t>
      </w:r>
      <w:r w:rsidRPr="00E06384">
        <w:t>patient. This is unjustified. Any promotion of the view that there is a connection between mental</w:t>
      </w:r>
      <w:r>
        <w:t xml:space="preserve"> </w:t>
      </w:r>
      <w:r w:rsidRPr="00E06384">
        <w:t>ill-health and violence causes damage by way of stigma and prejudice to anyone who experiences</w:t>
      </w:r>
      <w:r>
        <w:t xml:space="preserve"> </w:t>
      </w:r>
      <w:r w:rsidRPr="00E06384">
        <w:t>mental distress. If patients can challenge their seclusion hospitals are going to have to be able to</w:t>
      </w:r>
      <w:r>
        <w:t xml:space="preserve"> </w:t>
      </w:r>
      <w:r w:rsidRPr="00E06384">
        <w:t>explain why they reached the decision to use it. Common assumptions about mental health and</w:t>
      </w:r>
      <w:r>
        <w:t xml:space="preserve"> </w:t>
      </w:r>
      <w:r w:rsidRPr="00E06384">
        <w:t>violence should not be sufficient.</w:t>
      </w:r>
    </w:p>
    <w:p w:rsidR="00E06384" w:rsidRDefault="00E06384" w:rsidP="00E06384"/>
    <w:p w:rsidR="00E06384" w:rsidRPr="00E06384" w:rsidRDefault="00E06384" w:rsidP="00E06384">
      <w:pPr>
        <w:rPr>
          <w:b/>
          <w:bCs/>
          <w:sz w:val="24"/>
        </w:rPr>
      </w:pPr>
      <w:r w:rsidRPr="00E06384">
        <w:rPr>
          <w:b/>
          <w:bCs/>
          <w:sz w:val="24"/>
        </w:rPr>
        <w:t>2. Status of the Code</w:t>
      </w:r>
    </w:p>
    <w:p w:rsidR="00E06384" w:rsidRPr="00E06384" w:rsidRDefault="00E06384" w:rsidP="00E06384">
      <w:r w:rsidRPr="00E06384">
        <w:t>More positively, it is worth emphasising the significance of this decision for people who use mental</w:t>
      </w:r>
      <w:r>
        <w:t xml:space="preserve"> </w:t>
      </w:r>
      <w:r w:rsidRPr="00E06384">
        <w:t>health services. There can be no doubt that the rights of patients are strengthened considerably by</w:t>
      </w:r>
      <w:r>
        <w:t xml:space="preserve"> </w:t>
      </w:r>
      <w:r w:rsidRPr="00E06384">
        <w:t>the possibility of bringing legal action when the Code is breached. The Code of Practice identifies</w:t>
      </w:r>
      <w:r>
        <w:t xml:space="preserve"> </w:t>
      </w:r>
      <w:r w:rsidRPr="00E06384">
        <w:t>a benchmark that patients can now begin to rely on when looking to identify and enforce standards</w:t>
      </w:r>
      <w:r>
        <w:t xml:space="preserve"> </w:t>
      </w:r>
      <w:r w:rsidRPr="00E06384">
        <w:t>of care. It should be easily accessible so that people know what to expect.</w:t>
      </w:r>
    </w:p>
    <w:p w:rsidR="00E06384" w:rsidRPr="00E06384" w:rsidRDefault="00E06384" w:rsidP="00E06384">
      <w:r w:rsidRPr="00E06384">
        <w:t xml:space="preserve">The Code is an important tool for the staff who </w:t>
      </w:r>
      <w:proofErr w:type="gramStart"/>
      <w:r w:rsidRPr="00E06384">
        <w:t>apply</w:t>
      </w:r>
      <w:proofErr w:type="gramEnd"/>
      <w:r w:rsidRPr="00E06384">
        <w:t xml:space="preserve"> the Mental Health Act. It helps staff</w:t>
      </w:r>
      <w:r>
        <w:t xml:space="preserve"> </w:t>
      </w:r>
      <w:r w:rsidRPr="00E06384">
        <w:t>awareness of their responsibilities, especially when undertaking some of the more difficult aspects</w:t>
      </w:r>
      <w:r>
        <w:t xml:space="preserve"> </w:t>
      </w:r>
      <w:r w:rsidRPr="00E06384">
        <w:t>of mental health care. There is no doubt that many mental health practitioners are uncomfortable</w:t>
      </w:r>
      <w:r>
        <w:t xml:space="preserve"> </w:t>
      </w:r>
      <w:r w:rsidRPr="00E06384">
        <w:t>with some of the things they are asked to do. A requirement to comply with the Code will give</w:t>
      </w:r>
      <w:r>
        <w:t xml:space="preserve"> </w:t>
      </w:r>
      <w:r w:rsidRPr="00E06384">
        <w:t xml:space="preserve">staff the basis </w:t>
      </w:r>
      <w:r w:rsidRPr="00E06384">
        <w:lastRenderedPageBreak/>
        <w:t>from which to challenge bad practices. Such an opportunity encourages change from</w:t>
      </w:r>
      <w:r>
        <w:t xml:space="preserve"> </w:t>
      </w:r>
      <w:r w:rsidRPr="00E06384">
        <w:t>within thereby providing a very significant step towards improving standards.</w:t>
      </w:r>
    </w:p>
    <w:p w:rsidR="00E06384" w:rsidRPr="00E06384" w:rsidRDefault="00E06384" w:rsidP="00E06384">
      <w:r w:rsidRPr="00E06384">
        <w:t>Compliance with the Code and any positive changes to practice are relatively measurable and so</w:t>
      </w:r>
      <w:r>
        <w:t xml:space="preserve"> </w:t>
      </w:r>
      <w:r w:rsidRPr="00E06384">
        <w:t>should be welcomed by hospital and social services’ managers. The judgment does not mean that</w:t>
      </w:r>
      <w:r>
        <w:t xml:space="preserve"> </w:t>
      </w:r>
      <w:r w:rsidRPr="00E06384">
        <w:t>compliance with the Code is necessarily enough to prevent pr</w:t>
      </w:r>
      <w:bookmarkStart w:id="0" w:name="_GoBack"/>
      <w:bookmarkEnd w:id="0"/>
      <w:r w:rsidRPr="00E06384">
        <w:t>actices being unlawful but the</w:t>
      </w:r>
      <w:r>
        <w:t xml:space="preserve"> </w:t>
      </w:r>
      <w:r w:rsidRPr="00E06384">
        <w:t>judgment does give a message that patients’ rights will be taken seriously and provides an avenue</w:t>
      </w:r>
      <w:r>
        <w:t xml:space="preserve"> </w:t>
      </w:r>
      <w:r w:rsidRPr="00E06384">
        <w:t>for those patients to enforce them.</w:t>
      </w:r>
    </w:p>
    <w:p w:rsidR="00E06384" w:rsidRDefault="00E06384" w:rsidP="00E06384">
      <w:pPr>
        <w:rPr>
          <w:i/>
          <w:iCs/>
        </w:rPr>
      </w:pPr>
    </w:p>
    <w:p w:rsidR="00E06384" w:rsidRPr="00E06384" w:rsidRDefault="00E06384" w:rsidP="00E06384">
      <w:pPr>
        <w:rPr>
          <w:i/>
          <w:iCs/>
        </w:rPr>
      </w:pPr>
      <w:r w:rsidRPr="00E06384">
        <w:rPr>
          <w:i/>
          <w:iCs/>
        </w:rPr>
        <w:t>Since this article was written, the House of Lords has given Mersey Care NHS Trust leave to appeal.</w:t>
      </w:r>
    </w:p>
    <w:p w:rsidR="00E06384" w:rsidRDefault="00E06384" w:rsidP="00E06384">
      <w:r w:rsidRPr="00E06384">
        <w:rPr>
          <w:i/>
          <w:iCs/>
        </w:rPr>
        <w:t>Editor</w:t>
      </w:r>
    </w:p>
    <w:sectPr w:rsidR="00E06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4C" w:rsidRDefault="00AF6C4C" w:rsidP="00AF6C4C">
      <w:pPr>
        <w:spacing w:after="0" w:line="240" w:lineRule="auto"/>
      </w:pPr>
      <w:r>
        <w:separator/>
      </w:r>
    </w:p>
  </w:endnote>
  <w:endnote w:type="continuationSeparator" w:id="0">
    <w:p w:rsidR="00AF6C4C" w:rsidRDefault="00AF6C4C" w:rsidP="00AF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4C" w:rsidRDefault="00AF6C4C" w:rsidP="00AF6C4C">
      <w:pPr>
        <w:spacing w:after="0" w:line="240" w:lineRule="auto"/>
      </w:pPr>
      <w:r>
        <w:separator/>
      </w:r>
    </w:p>
  </w:footnote>
  <w:footnote w:type="continuationSeparator" w:id="0">
    <w:p w:rsidR="00AF6C4C" w:rsidRDefault="00AF6C4C" w:rsidP="00AF6C4C">
      <w:pPr>
        <w:spacing w:after="0" w:line="240" w:lineRule="auto"/>
      </w:pPr>
      <w:r>
        <w:continuationSeparator/>
      </w:r>
    </w:p>
  </w:footnote>
  <w:footnote w:id="1">
    <w:p w:rsidR="00AF6C4C" w:rsidRPr="00AF6C4C" w:rsidRDefault="00AF6C4C" w:rsidP="00AF6C4C">
      <w:pPr>
        <w:pStyle w:val="FootnoteText"/>
        <w:rPr>
          <w:sz w:val="16"/>
        </w:rPr>
      </w:pPr>
      <w:r w:rsidRPr="00AF6C4C">
        <w:rPr>
          <w:rStyle w:val="FootnoteReference"/>
          <w:sz w:val="16"/>
        </w:rPr>
        <w:t>*</w:t>
      </w:r>
      <w:r w:rsidRPr="00AF6C4C">
        <w:rPr>
          <w:sz w:val="16"/>
        </w:rPr>
        <w:t xml:space="preserve"> </w:t>
      </w:r>
      <w:proofErr w:type="gramStart"/>
      <w:r w:rsidRPr="00AF6C4C">
        <w:rPr>
          <w:sz w:val="16"/>
        </w:rPr>
        <w:t>Barrister; Legal Unit of Mind (London), an interested party in both cases under review.</w:t>
      </w:r>
      <w:proofErr w:type="gramEnd"/>
    </w:p>
  </w:footnote>
  <w:footnote w:id="2">
    <w:p w:rsidR="00AF6C4C" w:rsidRPr="00AF6C4C" w:rsidRDefault="00AF6C4C" w:rsidP="00AF6C4C">
      <w:pPr>
        <w:pStyle w:val="FootnoteText"/>
        <w:rPr>
          <w:sz w:val="16"/>
        </w:rPr>
      </w:pPr>
      <w:r w:rsidRPr="00AF6C4C">
        <w:rPr>
          <w:rStyle w:val="FootnoteReference"/>
          <w:sz w:val="16"/>
        </w:rPr>
        <w:footnoteRef/>
      </w:r>
      <w:r w:rsidRPr="00AF6C4C">
        <w:rPr>
          <w:sz w:val="16"/>
        </w:rPr>
        <w:t xml:space="preserve"> </w:t>
      </w:r>
      <w:proofErr w:type="gramStart"/>
      <w:r w:rsidRPr="00AF6C4C">
        <w:rPr>
          <w:sz w:val="16"/>
        </w:rPr>
        <w:t>Mental Health Act 1983 Code of Practice.</w:t>
      </w:r>
      <w:proofErr w:type="gramEnd"/>
      <w:r w:rsidRPr="00AF6C4C">
        <w:rPr>
          <w:sz w:val="16"/>
        </w:rPr>
        <w:t xml:space="preserve"> The Stationery Office (1999)</w:t>
      </w:r>
    </w:p>
  </w:footnote>
  <w:footnote w:id="3">
    <w:p w:rsidR="00AF6C4C" w:rsidRPr="00AF6C4C" w:rsidRDefault="00AF6C4C" w:rsidP="00AF6C4C">
      <w:pPr>
        <w:pStyle w:val="FootnoteText"/>
        <w:rPr>
          <w:sz w:val="16"/>
        </w:rPr>
      </w:pPr>
      <w:r w:rsidRPr="00AF6C4C">
        <w:rPr>
          <w:rStyle w:val="FootnoteReference"/>
          <w:sz w:val="16"/>
        </w:rPr>
        <w:footnoteRef/>
      </w:r>
      <w:r w:rsidRPr="00AF6C4C">
        <w:rPr>
          <w:sz w:val="16"/>
        </w:rPr>
        <w:t xml:space="preserve"> Following the Court’s decision, the Department of Health issued a Briefing in which they stated their view that the Court’s analysis of the legal status of the Code is applicable to ‘all aspects’ of it (i.e. not just ‘seclusion’).</w:t>
      </w:r>
    </w:p>
  </w:footnote>
  <w:footnote w:id="4">
    <w:p w:rsidR="00AF6C4C" w:rsidRPr="00AF6C4C" w:rsidRDefault="00AF6C4C" w:rsidP="00AF6C4C">
      <w:pPr>
        <w:pStyle w:val="FootnoteText"/>
        <w:rPr>
          <w:sz w:val="16"/>
        </w:rPr>
      </w:pPr>
      <w:r w:rsidRPr="00AF6C4C">
        <w:rPr>
          <w:rStyle w:val="FootnoteReference"/>
          <w:sz w:val="16"/>
        </w:rPr>
        <w:footnoteRef/>
      </w:r>
      <w:r w:rsidRPr="00AF6C4C">
        <w:rPr>
          <w:sz w:val="16"/>
        </w:rPr>
        <w:t xml:space="preserve"> Associated Provisional Picture Houses Ltd. v </w:t>
      </w:r>
      <w:proofErr w:type="spellStart"/>
      <w:r w:rsidRPr="00AF6C4C">
        <w:rPr>
          <w:sz w:val="16"/>
        </w:rPr>
        <w:t>Wednesbury</w:t>
      </w:r>
      <w:proofErr w:type="spellEnd"/>
      <w:r w:rsidRPr="00AF6C4C">
        <w:rPr>
          <w:sz w:val="16"/>
        </w:rPr>
        <w:t xml:space="preserve"> Corp. [1948] 1 KB 223</w:t>
      </w:r>
    </w:p>
  </w:footnote>
  <w:footnote w:id="5">
    <w:p w:rsidR="00AF6C4C" w:rsidRPr="00AF6C4C" w:rsidRDefault="00AF6C4C" w:rsidP="00AF6C4C">
      <w:pPr>
        <w:pStyle w:val="FootnoteText"/>
        <w:rPr>
          <w:sz w:val="16"/>
        </w:rPr>
      </w:pPr>
      <w:r w:rsidRPr="00AF6C4C">
        <w:rPr>
          <w:rStyle w:val="FootnoteReference"/>
          <w:sz w:val="16"/>
        </w:rPr>
        <w:footnoteRef/>
      </w:r>
      <w:r w:rsidRPr="00AF6C4C">
        <w:rPr>
          <w:sz w:val="16"/>
        </w:rPr>
        <w:t xml:space="preserve"> Seclusion is dealt with in Chapter 19 of the Code of Practice</w:t>
      </w:r>
    </w:p>
  </w:footnote>
  <w:footnote w:id="6">
    <w:p w:rsidR="00793232" w:rsidRPr="00793232" w:rsidRDefault="00793232" w:rsidP="00793232">
      <w:pPr>
        <w:pStyle w:val="FootnoteText"/>
        <w:rPr>
          <w:sz w:val="16"/>
        </w:rPr>
      </w:pPr>
      <w:r w:rsidRPr="00793232">
        <w:rPr>
          <w:rStyle w:val="FootnoteReference"/>
          <w:sz w:val="16"/>
        </w:rPr>
        <w:footnoteRef/>
      </w:r>
      <w:r w:rsidRPr="00793232">
        <w:rPr>
          <w:sz w:val="16"/>
        </w:rPr>
        <w:t xml:space="preserve"> R v Ashworth Special Hospital Trust, ex parte </w:t>
      </w:r>
      <w:proofErr w:type="spellStart"/>
      <w:r w:rsidRPr="00793232">
        <w:rPr>
          <w:sz w:val="16"/>
        </w:rPr>
        <w:t>Munjaz</w:t>
      </w:r>
      <w:proofErr w:type="spellEnd"/>
      <w:r w:rsidRPr="00793232">
        <w:rPr>
          <w:sz w:val="16"/>
        </w:rPr>
        <w:t xml:space="preserve"> [2000] MHLR 183</w:t>
      </w:r>
    </w:p>
  </w:footnote>
  <w:footnote w:id="7">
    <w:p w:rsidR="00793232" w:rsidRPr="00793232" w:rsidRDefault="00793232" w:rsidP="00793232">
      <w:pPr>
        <w:pStyle w:val="FootnoteText"/>
        <w:rPr>
          <w:sz w:val="16"/>
        </w:rPr>
      </w:pPr>
      <w:r w:rsidRPr="00793232">
        <w:rPr>
          <w:rStyle w:val="FootnoteReference"/>
          <w:sz w:val="16"/>
        </w:rPr>
        <w:footnoteRef/>
      </w:r>
      <w:r w:rsidRPr="00793232">
        <w:rPr>
          <w:sz w:val="16"/>
        </w:rPr>
        <w:t xml:space="preserve"> R (</w:t>
      </w:r>
      <w:proofErr w:type="spellStart"/>
      <w:r w:rsidRPr="00793232">
        <w:rPr>
          <w:sz w:val="16"/>
        </w:rPr>
        <w:t>Munjaz</w:t>
      </w:r>
      <w:proofErr w:type="spellEnd"/>
      <w:r w:rsidRPr="00793232">
        <w:rPr>
          <w:sz w:val="16"/>
        </w:rPr>
        <w:t>) v Ashworth Hospital Authority [2002] EWHC Admin 1521</w:t>
      </w:r>
    </w:p>
  </w:footnote>
  <w:footnote w:id="8">
    <w:p w:rsidR="004639DE" w:rsidRPr="004639DE" w:rsidRDefault="004639DE">
      <w:pPr>
        <w:pStyle w:val="FootnoteText"/>
        <w:rPr>
          <w:sz w:val="16"/>
        </w:rPr>
      </w:pPr>
      <w:r w:rsidRPr="004639DE">
        <w:rPr>
          <w:rStyle w:val="FootnoteReference"/>
          <w:sz w:val="16"/>
        </w:rPr>
        <w:footnoteRef/>
      </w:r>
      <w:r w:rsidRPr="004639DE">
        <w:rPr>
          <w:sz w:val="16"/>
        </w:rPr>
        <w:t xml:space="preserve"> S v Airedale NHS Trust [2002] EWHC Admin 1780</w:t>
      </w:r>
    </w:p>
  </w:footnote>
  <w:footnote w:id="9">
    <w:p w:rsidR="004639DE" w:rsidRPr="004639DE" w:rsidRDefault="004639DE" w:rsidP="004639DE">
      <w:pPr>
        <w:pStyle w:val="FootnoteText"/>
        <w:rPr>
          <w:sz w:val="16"/>
        </w:rPr>
      </w:pPr>
      <w:r w:rsidRPr="004639DE">
        <w:rPr>
          <w:rStyle w:val="FootnoteReference"/>
          <w:sz w:val="16"/>
        </w:rPr>
        <w:footnoteRef/>
      </w:r>
      <w:r w:rsidRPr="004639DE">
        <w:rPr>
          <w:sz w:val="16"/>
        </w:rPr>
        <w:t xml:space="preserve"> </w:t>
      </w:r>
      <w:proofErr w:type="gramStart"/>
      <w:r w:rsidRPr="004639DE">
        <w:rPr>
          <w:sz w:val="16"/>
        </w:rPr>
        <w:t>see</w:t>
      </w:r>
      <w:proofErr w:type="gramEnd"/>
      <w:r w:rsidRPr="004639DE">
        <w:rPr>
          <w:sz w:val="16"/>
        </w:rPr>
        <w:t xml:space="preserve"> R v Broadmoor Special Hospital Authority ex p S, H and D, unreported, 5 February 1998.</w:t>
      </w:r>
    </w:p>
  </w:footnote>
  <w:footnote w:id="10">
    <w:p w:rsidR="004639DE" w:rsidRPr="004639DE" w:rsidRDefault="004639DE" w:rsidP="004639DE">
      <w:pPr>
        <w:pStyle w:val="FootnoteText"/>
        <w:rPr>
          <w:sz w:val="16"/>
        </w:rPr>
      </w:pPr>
      <w:r w:rsidRPr="004639DE">
        <w:rPr>
          <w:rStyle w:val="FootnoteReference"/>
          <w:sz w:val="16"/>
        </w:rPr>
        <w:footnoteRef/>
      </w:r>
      <w:r w:rsidRPr="004639DE">
        <w:rPr>
          <w:sz w:val="16"/>
        </w:rPr>
        <w:t xml:space="preserve"> e.g. Reid v Secretary of State for Scotland [1999] 2 AC 512 and B v Croydon Health Authority [1995] </w:t>
      </w:r>
      <w:proofErr w:type="spellStart"/>
      <w:r w:rsidRPr="004639DE">
        <w:rPr>
          <w:sz w:val="16"/>
        </w:rPr>
        <w:t>Fam</w:t>
      </w:r>
      <w:proofErr w:type="spellEnd"/>
      <w:r w:rsidRPr="004639DE">
        <w:rPr>
          <w:sz w:val="16"/>
        </w:rPr>
        <w:t xml:space="preserve"> 133</w:t>
      </w:r>
    </w:p>
  </w:footnote>
  <w:footnote w:id="11">
    <w:p w:rsidR="004639DE" w:rsidRPr="00E06384" w:rsidRDefault="004639DE">
      <w:pPr>
        <w:pStyle w:val="FootnoteText"/>
        <w:rPr>
          <w:sz w:val="16"/>
          <w:lang w:val="fr-FR"/>
        </w:rPr>
      </w:pPr>
      <w:r w:rsidRPr="004639DE">
        <w:rPr>
          <w:rStyle w:val="FootnoteReference"/>
          <w:sz w:val="16"/>
        </w:rPr>
        <w:footnoteRef/>
      </w:r>
      <w:r w:rsidRPr="00E06384">
        <w:rPr>
          <w:sz w:val="16"/>
          <w:lang w:val="fr-FR"/>
        </w:rPr>
        <w:t xml:space="preserve"> Hale LJ, </w:t>
      </w:r>
      <w:proofErr w:type="spellStart"/>
      <w:r w:rsidRPr="00E06384">
        <w:rPr>
          <w:sz w:val="16"/>
          <w:lang w:val="fr-FR"/>
        </w:rPr>
        <w:t>Judgment</w:t>
      </w:r>
      <w:proofErr w:type="spellEnd"/>
      <w:r w:rsidRPr="00E06384">
        <w:rPr>
          <w:sz w:val="16"/>
          <w:lang w:val="fr-FR"/>
        </w:rPr>
        <w:t xml:space="preserve"> paras 41–45</w:t>
      </w:r>
    </w:p>
  </w:footnote>
  <w:footnote w:id="12">
    <w:p w:rsidR="0061625D" w:rsidRPr="00E06384" w:rsidRDefault="0061625D">
      <w:pPr>
        <w:pStyle w:val="FootnoteText"/>
        <w:rPr>
          <w:sz w:val="16"/>
          <w:lang w:val="fr-FR"/>
        </w:rPr>
      </w:pPr>
      <w:r w:rsidRPr="0061625D">
        <w:rPr>
          <w:rStyle w:val="FootnoteReference"/>
          <w:sz w:val="16"/>
        </w:rPr>
        <w:footnoteRef/>
      </w:r>
      <w:r w:rsidRPr="00E06384">
        <w:rPr>
          <w:sz w:val="16"/>
          <w:lang w:val="fr-FR"/>
        </w:rPr>
        <w:t xml:space="preserve"> Hale LJ, </w:t>
      </w:r>
      <w:proofErr w:type="spellStart"/>
      <w:r w:rsidRPr="00E06384">
        <w:rPr>
          <w:sz w:val="16"/>
          <w:lang w:val="fr-FR"/>
        </w:rPr>
        <w:t>Judgment</w:t>
      </w:r>
      <w:proofErr w:type="spellEnd"/>
      <w:r w:rsidRPr="00E06384">
        <w:rPr>
          <w:sz w:val="16"/>
          <w:lang w:val="fr-FR"/>
        </w:rPr>
        <w:t xml:space="preserve"> para 46</w:t>
      </w:r>
    </w:p>
  </w:footnote>
  <w:footnote w:id="13">
    <w:p w:rsidR="0061625D" w:rsidRPr="00E06384" w:rsidRDefault="0061625D">
      <w:pPr>
        <w:pStyle w:val="FootnoteText"/>
        <w:rPr>
          <w:sz w:val="16"/>
          <w:lang w:val="fr-FR"/>
        </w:rPr>
      </w:pPr>
      <w:r w:rsidRPr="0061625D">
        <w:rPr>
          <w:rStyle w:val="FootnoteReference"/>
          <w:sz w:val="16"/>
        </w:rPr>
        <w:footnoteRef/>
      </w:r>
      <w:r w:rsidRPr="00E06384">
        <w:rPr>
          <w:sz w:val="16"/>
          <w:lang w:val="fr-FR"/>
        </w:rPr>
        <w:t xml:space="preserve"> Hale LJ, </w:t>
      </w:r>
      <w:proofErr w:type="spellStart"/>
      <w:r w:rsidRPr="00E06384">
        <w:rPr>
          <w:sz w:val="16"/>
          <w:lang w:val="fr-FR"/>
        </w:rPr>
        <w:t>Judgment</w:t>
      </w:r>
      <w:proofErr w:type="spellEnd"/>
      <w:r w:rsidRPr="00E06384">
        <w:rPr>
          <w:sz w:val="16"/>
          <w:lang w:val="fr-FR"/>
        </w:rPr>
        <w:t xml:space="preserve"> para 47</w:t>
      </w:r>
    </w:p>
  </w:footnote>
  <w:footnote w:id="14">
    <w:p w:rsidR="0061625D" w:rsidRPr="00E06384" w:rsidRDefault="0061625D">
      <w:pPr>
        <w:pStyle w:val="FootnoteText"/>
        <w:rPr>
          <w:sz w:val="16"/>
          <w:lang w:val="fr-FR"/>
        </w:rPr>
      </w:pPr>
      <w:r w:rsidRPr="0061625D">
        <w:rPr>
          <w:rStyle w:val="FootnoteReference"/>
          <w:sz w:val="16"/>
        </w:rPr>
        <w:footnoteRef/>
      </w:r>
      <w:r w:rsidRPr="00E06384">
        <w:rPr>
          <w:sz w:val="16"/>
          <w:lang w:val="fr-FR"/>
        </w:rPr>
        <w:t xml:space="preserve"> [2002] 1WLR 419</w:t>
      </w:r>
    </w:p>
  </w:footnote>
  <w:footnote w:id="15">
    <w:p w:rsidR="0061625D" w:rsidRPr="00E06384" w:rsidRDefault="0061625D">
      <w:pPr>
        <w:pStyle w:val="FootnoteText"/>
        <w:rPr>
          <w:sz w:val="16"/>
          <w:lang w:val="fr-FR"/>
        </w:rPr>
      </w:pPr>
      <w:r w:rsidRPr="0061625D">
        <w:rPr>
          <w:rStyle w:val="FootnoteReference"/>
          <w:sz w:val="16"/>
        </w:rPr>
        <w:footnoteRef/>
      </w:r>
      <w:r w:rsidRPr="00E06384">
        <w:rPr>
          <w:sz w:val="16"/>
          <w:lang w:val="fr-FR"/>
        </w:rPr>
        <w:t xml:space="preserve"> Hale LJ, </w:t>
      </w:r>
      <w:proofErr w:type="spellStart"/>
      <w:r w:rsidRPr="00E06384">
        <w:rPr>
          <w:sz w:val="16"/>
          <w:lang w:val="fr-FR"/>
        </w:rPr>
        <w:t>Judgment</w:t>
      </w:r>
      <w:proofErr w:type="spellEnd"/>
      <w:r w:rsidRPr="00E06384">
        <w:rPr>
          <w:sz w:val="16"/>
          <w:lang w:val="fr-FR"/>
        </w:rPr>
        <w:t xml:space="preserve"> para 48</w:t>
      </w:r>
    </w:p>
  </w:footnote>
  <w:footnote w:id="16">
    <w:p w:rsidR="0061625D" w:rsidRPr="00E06384" w:rsidRDefault="0061625D">
      <w:pPr>
        <w:pStyle w:val="FootnoteText"/>
        <w:rPr>
          <w:sz w:val="16"/>
          <w:lang w:val="fr-FR"/>
        </w:rPr>
      </w:pPr>
      <w:r w:rsidRPr="0061625D">
        <w:rPr>
          <w:rStyle w:val="FootnoteReference"/>
          <w:sz w:val="16"/>
        </w:rPr>
        <w:footnoteRef/>
      </w:r>
      <w:r w:rsidRPr="00E06384">
        <w:rPr>
          <w:sz w:val="16"/>
          <w:lang w:val="fr-FR"/>
        </w:rPr>
        <w:t xml:space="preserve"> Hale LJ, </w:t>
      </w:r>
      <w:proofErr w:type="spellStart"/>
      <w:r w:rsidRPr="00E06384">
        <w:rPr>
          <w:sz w:val="16"/>
          <w:lang w:val="fr-FR"/>
        </w:rPr>
        <w:t>Judgment</w:t>
      </w:r>
      <w:proofErr w:type="spellEnd"/>
      <w:r w:rsidRPr="00E06384">
        <w:rPr>
          <w:sz w:val="16"/>
          <w:lang w:val="fr-FR"/>
        </w:rPr>
        <w:t xml:space="preserve"> paras 49–52</w:t>
      </w:r>
    </w:p>
  </w:footnote>
  <w:footnote w:id="17">
    <w:p w:rsidR="0061625D" w:rsidRPr="00E06384" w:rsidRDefault="0061625D">
      <w:pPr>
        <w:pStyle w:val="FootnoteText"/>
        <w:rPr>
          <w:sz w:val="16"/>
          <w:lang w:val="fr-FR"/>
        </w:rPr>
      </w:pPr>
      <w:r w:rsidRPr="0061625D">
        <w:rPr>
          <w:rStyle w:val="FootnoteReference"/>
          <w:sz w:val="16"/>
        </w:rPr>
        <w:footnoteRef/>
      </w:r>
      <w:r w:rsidRPr="00E06384">
        <w:rPr>
          <w:sz w:val="16"/>
          <w:lang w:val="fr-FR"/>
        </w:rPr>
        <w:t xml:space="preserve"> Hale LJ, </w:t>
      </w:r>
      <w:proofErr w:type="spellStart"/>
      <w:r w:rsidRPr="00E06384">
        <w:rPr>
          <w:sz w:val="16"/>
          <w:lang w:val="fr-FR"/>
        </w:rPr>
        <w:t>Judgment</w:t>
      </w:r>
      <w:proofErr w:type="spellEnd"/>
      <w:r w:rsidRPr="00E06384">
        <w:rPr>
          <w:sz w:val="16"/>
          <w:lang w:val="fr-FR"/>
        </w:rPr>
        <w:t xml:space="preserve"> paras 53–60</w:t>
      </w:r>
    </w:p>
  </w:footnote>
  <w:footnote w:id="18">
    <w:p w:rsidR="0061625D" w:rsidRPr="00E06384" w:rsidRDefault="0061625D">
      <w:pPr>
        <w:pStyle w:val="FootnoteText"/>
        <w:rPr>
          <w:sz w:val="16"/>
          <w:lang w:val="fr-FR"/>
        </w:rPr>
      </w:pPr>
      <w:r w:rsidRPr="00123BB1">
        <w:rPr>
          <w:rStyle w:val="FootnoteReference"/>
          <w:sz w:val="16"/>
        </w:rPr>
        <w:footnoteRef/>
      </w:r>
      <w:r w:rsidRPr="00E06384">
        <w:rPr>
          <w:sz w:val="16"/>
          <w:lang w:val="fr-FR"/>
        </w:rPr>
        <w:t xml:space="preserve"> Hale LJ, </w:t>
      </w:r>
      <w:proofErr w:type="spellStart"/>
      <w:r w:rsidRPr="00E06384">
        <w:rPr>
          <w:sz w:val="16"/>
          <w:lang w:val="fr-FR"/>
        </w:rPr>
        <w:t>Judgment</w:t>
      </w:r>
      <w:proofErr w:type="spellEnd"/>
      <w:r w:rsidRPr="00E06384">
        <w:rPr>
          <w:sz w:val="16"/>
          <w:lang w:val="fr-FR"/>
        </w:rPr>
        <w:t xml:space="preserve"> paras 61–65</w:t>
      </w:r>
    </w:p>
  </w:footnote>
  <w:footnote w:id="19">
    <w:p w:rsidR="00123BB1" w:rsidRPr="00123BB1" w:rsidRDefault="00123BB1">
      <w:pPr>
        <w:pStyle w:val="FootnoteText"/>
        <w:rPr>
          <w:sz w:val="16"/>
        </w:rPr>
      </w:pPr>
      <w:r w:rsidRPr="00123BB1">
        <w:rPr>
          <w:rStyle w:val="FootnoteReference"/>
          <w:sz w:val="16"/>
        </w:rPr>
        <w:footnoteRef/>
      </w:r>
      <w:r w:rsidRPr="00123BB1">
        <w:rPr>
          <w:sz w:val="16"/>
        </w:rPr>
        <w:t xml:space="preserve"> Hale LJ, Judgment paras 66–70</w:t>
      </w:r>
    </w:p>
  </w:footnote>
  <w:footnote w:id="20">
    <w:p w:rsidR="00123BB1" w:rsidRPr="00E06384" w:rsidRDefault="00123BB1">
      <w:pPr>
        <w:pStyle w:val="FootnoteText"/>
        <w:rPr>
          <w:sz w:val="16"/>
          <w:lang w:val="es-ES"/>
        </w:rPr>
      </w:pPr>
      <w:r w:rsidRPr="00E06384">
        <w:rPr>
          <w:rStyle w:val="FootnoteReference"/>
          <w:sz w:val="16"/>
        </w:rPr>
        <w:footnoteRef/>
      </w:r>
      <w:r w:rsidRPr="00E06384">
        <w:rPr>
          <w:sz w:val="16"/>
          <w:lang w:val="es-ES"/>
        </w:rPr>
        <w:t xml:space="preserve"> R v LB </w:t>
      </w:r>
      <w:proofErr w:type="spellStart"/>
      <w:r w:rsidRPr="00E06384">
        <w:rPr>
          <w:sz w:val="16"/>
          <w:lang w:val="es-ES"/>
        </w:rPr>
        <w:t>Islington</w:t>
      </w:r>
      <w:proofErr w:type="spellEnd"/>
      <w:r w:rsidRPr="00E06384">
        <w:rPr>
          <w:sz w:val="16"/>
          <w:lang w:val="es-ES"/>
        </w:rPr>
        <w:t xml:space="preserve"> ex parte </w:t>
      </w:r>
      <w:proofErr w:type="spellStart"/>
      <w:r w:rsidRPr="00E06384">
        <w:rPr>
          <w:sz w:val="16"/>
          <w:lang w:val="es-ES"/>
        </w:rPr>
        <w:t>Rixon</w:t>
      </w:r>
      <w:proofErr w:type="spellEnd"/>
      <w:r w:rsidRPr="00E06384">
        <w:rPr>
          <w:sz w:val="16"/>
          <w:lang w:val="es-ES"/>
        </w:rPr>
        <w:t xml:space="preserve"> [1998] 1CCLR 119.</w:t>
      </w:r>
    </w:p>
  </w:footnote>
  <w:footnote w:id="21">
    <w:p w:rsidR="00E06384" w:rsidRPr="00E06384" w:rsidRDefault="00E06384">
      <w:pPr>
        <w:pStyle w:val="FootnoteText"/>
        <w:rPr>
          <w:sz w:val="16"/>
        </w:rPr>
      </w:pPr>
      <w:r w:rsidRPr="00E06384">
        <w:rPr>
          <w:rStyle w:val="FootnoteReference"/>
          <w:sz w:val="16"/>
        </w:rPr>
        <w:footnoteRef/>
      </w:r>
      <w:r w:rsidRPr="00E06384">
        <w:rPr>
          <w:sz w:val="16"/>
        </w:rPr>
        <w:t xml:space="preserve"> Hale LJ, judgment para 74</w:t>
      </w:r>
    </w:p>
  </w:footnote>
  <w:footnote w:id="22">
    <w:p w:rsidR="00E06384" w:rsidRPr="00E06384" w:rsidRDefault="00E06384">
      <w:pPr>
        <w:pStyle w:val="FootnoteText"/>
        <w:rPr>
          <w:sz w:val="16"/>
        </w:rPr>
      </w:pPr>
      <w:r w:rsidRPr="00E06384">
        <w:rPr>
          <w:rStyle w:val="FootnoteReference"/>
          <w:sz w:val="16"/>
        </w:rPr>
        <w:footnoteRef/>
      </w:r>
      <w:r w:rsidRPr="00E06384">
        <w:rPr>
          <w:sz w:val="16"/>
        </w:rPr>
        <w:t xml:space="preserve"> Judgment para 77</w:t>
      </w:r>
    </w:p>
  </w:footnote>
  <w:footnote w:id="23">
    <w:p w:rsidR="00E06384" w:rsidRPr="00E06384" w:rsidRDefault="00E06384">
      <w:pPr>
        <w:pStyle w:val="FootnoteText"/>
        <w:rPr>
          <w:sz w:val="16"/>
        </w:rPr>
      </w:pPr>
      <w:r w:rsidRPr="00E06384">
        <w:rPr>
          <w:rStyle w:val="FootnoteReference"/>
          <w:sz w:val="16"/>
        </w:rPr>
        <w:footnoteRef/>
      </w:r>
      <w:r w:rsidRPr="00E06384">
        <w:rPr>
          <w:sz w:val="16"/>
        </w:rPr>
        <w:t xml:space="preserve"> Hale LJ, Judgment para 43</w:t>
      </w:r>
    </w:p>
  </w:footnote>
  <w:footnote w:id="24">
    <w:p w:rsidR="00E06384" w:rsidRPr="00E06384" w:rsidRDefault="00E06384">
      <w:pPr>
        <w:pStyle w:val="FootnoteText"/>
        <w:rPr>
          <w:sz w:val="16"/>
        </w:rPr>
      </w:pPr>
      <w:r w:rsidRPr="00E06384">
        <w:rPr>
          <w:rStyle w:val="FootnoteReference"/>
          <w:sz w:val="16"/>
        </w:rPr>
        <w:footnoteRef/>
      </w:r>
      <w:r w:rsidRPr="00E06384">
        <w:rPr>
          <w:sz w:val="16"/>
        </w:rPr>
        <w:t xml:space="preserve"> Hale LJ Judgment paras 10–13</w:t>
      </w:r>
    </w:p>
  </w:footnote>
  <w:footnote w:id="25">
    <w:p w:rsidR="00E06384" w:rsidRPr="00E06384" w:rsidRDefault="00E06384" w:rsidP="00E06384">
      <w:pPr>
        <w:pStyle w:val="FootnoteText"/>
        <w:rPr>
          <w:sz w:val="16"/>
        </w:rPr>
      </w:pPr>
      <w:r w:rsidRPr="00E06384">
        <w:rPr>
          <w:rStyle w:val="FootnoteReference"/>
          <w:sz w:val="16"/>
        </w:rPr>
        <w:footnoteRef/>
      </w:r>
      <w:r w:rsidRPr="00E06384">
        <w:rPr>
          <w:sz w:val="16"/>
        </w:rPr>
        <w:t xml:space="preserve"> </w:t>
      </w:r>
      <w:r w:rsidRPr="00E06384">
        <w:rPr>
          <w:sz w:val="16"/>
        </w:rPr>
        <w:t xml:space="preserve">In B v Croydon Health Authority [1995] </w:t>
      </w:r>
      <w:proofErr w:type="spellStart"/>
      <w:r w:rsidRPr="00E06384">
        <w:rPr>
          <w:sz w:val="16"/>
        </w:rPr>
        <w:t>Fam</w:t>
      </w:r>
      <w:proofErr w:type="spellEnd"/>
      <w:r w:rsidRPr="00E06384">
        <w:rPr>
          <w:sz w:val="16"/>
        </w:rPr>
        <w:t xml:space="preserve"> 133</w:t>
      </w:r>
      <w:r w:rsidRPr="00E06384">
        <w:rPr>
          <w:sz w:val="16"/>
        </w:rPr>
        <w:t xml:space="preserve"> </w:t>
      </w:r>
      <w:r w:rsidRPr="00E06384">
        <w:rPr>
          <w:sz w:val="16"/>
        </w:rPr>
        <w:t>where the Court of Appeal held that treatment</w:t>
      </w:r>
      <w:r w:rsidRPr="00E06384">
        <w:rPr>
          <w:sz w:val="16"/>
        </w:rPr>
        <w:t xml:space="preserve"> </w:t>
      </w:r>
      <w:r w:rsidRPr="00E06384">
        <w:rPr>
          <w:sz w:val="16"/>
        </w:rPr>
        <w:t>addressing symptoms of a disorder, or ancillary</w:t>
      </w:r>
      <w:r w:rsidRPr="00E06384">
        <w:rPr>
          <w:sz w:val="16"/>
        </w:rPr>
        <w:t xml:space="preserve"> </w:t>
      </w:r>
      <w:r w:rsidRPr="00E06384">
        <w:rPr>
          <w:sz w:val="16"/>
        </w:rPr>
        <w:t>treatment for the symptoms of the disorder, was capable</w:t>
      </w:r>
      <w:r w:rsidRPr="00E06384">
        <w:rPr>
          <w:sz w:val="16"/>
        </w:rPr>
        <w:t xml:space="preserve"> </w:t>
      </w:r>
      <w:r w:rsidRPr="00E06384">
        <w:rPr>
          <w:sz w:val="16"/>
        </w:rPr>
        <w:t>of falling within the definition of ‘medical treatment’</w:t>
      </w:r>
      <w:r w:rsidRPr="00E06384">
        <w:rPr>
          <w:sz w:val="16"/>
        </w:rPr>
        <w:t xml:space="preserve"> </w:t>
      </w:r>
      <w:r w:rsidRPr="00E06384">
        <w:rPr>
          <w:sz w:val="16"/>
        </w:rPr>
        <w:t>under s145 MHA</w:t>
      </w:r>
    </w:p>
  </w:footnote>
  <w:footnote w:id="26">
    <w:p w:rsidR="00E06384" w:rsidRPr="00E06384" w:rsidRDefault="00E06384">
      <w:pPr>
        <w:pStyle w:val="FootnoteText"/>
        <w:rPr>
          <w:sz w:val="16"/>
        </w:rPr>
      </w:pPr>
      <w:r w:rsidRPr="00E06384">
        <w:rPr>
          <w:rStyle w:val="FootnoteReference"/>
          <w:sz w:val="16"/>
        </w:rPr>
        <w:footnoteRef/>
      </w:r>
      <w:r w:rsidRPr="00E06384">
        <w:rPr>
          <w:sz w:val="16"/>
        </w:rPr>
        <w:t xml:space="preserve"> Hale LJ, Judgment para 44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B5AF1"/>
    <w:multiLevelType w:val="hybridMultilevel"/>
    <w:tmpl w:val="5712B8BE"/>
    <w:lvl w:ilvl="0" w:tplc="F9F00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F45D2"/>
    <w:multiLevelType w:val="hybridMultilevel"/>
    <w:tmpl w:val="9F4CBF48"/>
    <w:lvl w:ilvl="0" w:tplc="F9F00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8C"/>
    <w:rsid w:val="00123BB1"/>
    <w:rsid w:val="004639DE"/>
    <w:rsid w:val="0061625D"/>
    <w:rsid w:val="00793232"/>
    <w:rsid w:val="008C00B6"/>
    <w:rsid w:val="009C2FCD"/>
    <w:rsid w:val="00AF6C4C"/>
    <w:rsid w:val="00C47C8C"/>
    <w:rsid w:val="00E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C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6C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C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C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C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6C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C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BD1F-105B-49D4-8221-A5AEB34C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6</cp:revision>
  <dcterms:created xsi:type="dcterms:W3CDTF">2014-10-16T15:27:00Z</dcterms:created>
  <dcterms:modified xsi:type="dcterms:W3CDTF">2014-10-17T08:04:00Z</dcterms:modified>
</cp:coreProperties>
</file>