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E5" w:rsidRPr="009103E5" w:rsidRDefault="009103E5" w:rsidP="009103E5">
      <w:pPr>
        <w:rPr>
          <w:i/>
          <w:iCs/>
          <w:sz w:val="40"/>
          <w:szCs w:val="40"/>
        </w:rPr>
      </w:pPr>
      <w:proofErr w:type="gramStart"/>
      <w:r w:rsidRPr="009103E5">
        <w:rPr>
          <w:i/>
          <w:iCs/>
          <w:sz w:val="40"/>
          <w:szCs w:val="40"/>
        </w:rPr>
        <w:t>Re-detention after a tribunal discharge – the last word?</w:t>
      </w:r>
      <w:proofErr w:type="gramEnd"/>
    </w:p>
    <w:p w:rsidR="009103E5" w:rsidRPr="009103E5" w:rsidRDefault="009103E5" w:rsidP="009103E5">
      <w:pPr>
        <w:rPr>
          <w:i/>
          <w:iCs/>
          <w:sz w:val="28"/>
        </w:rPr>
      </w:pPr>
      <w:r w:rsidRPr="009103E5">
        <w:rPr>
          <w:i/>
          <w:iCs/>
          <w:sz w:val="28"/>
        </w:rPr>
        <w:t>David Hewitt</w:t>
      </w:r>
      <w:r>
        <w:rPr>
          <w:rStyle w:val="FootnoteReference"/>
          <w:i/>
          <w:iCs/>
          <w:sz w:val="28"/>
        </w:rPr>
        <w:footnoteReference w:customMarkFollows="1" w:id="1"/>
        <w:t>*</w:t>
      </w:r>
      <w:r>
        <w:rPr>
          <w:i/>
          <w:iCs/>
          <w:sz w:val="28"/>
        </w:rPr>
        <w:t xml:space="preserve"> and Kristina Stern</w:t>
      </w:r>
      <w:r>
        <w:rPr>
          <w:rStyle w:val="FootnoteReference"/>
          <w:i/>
          <w:iCs/>
          <w:sz w:val="28"/>
        </w:rPr>
        <w:footnoteReference w:customMarkFollows="1" w:id="2"/>
        <w:t>**</w:t>
      </w:r>
    </w:p>
    <w:p w:rsidR="009103E5" w:rsidRDefault="009103E5" w:rsidP="009103E5">
      <w:pPr>
        <w:rPr>
          <w:b/>
          <w:bCs/>
          <w:i/>
          <w:iCs/>
        </w:rPr>
      </w:pPr>
    </w:p>
    <w:p w:rsidR="009103E5" w:rsidRPr="009103E5" w:rsidRDefault="009103E5" w:rsidP="009103E5">
      <w:pPr>
        <w:rPr>
          <w:b/>
          <w:bCs/>
        </w:rPr>
      </w:pPr>
      <w:proofErr w:type="gramStart"/>
      <w:r w:rsidRPr="009103E5">
        <w:rPr>
          <w:b/>
          <w:bCs/>
          <w:i/>
          <w:iCs/>
        </w:rPr>
        <w:t>R v East London and the City Mental Health NHS Trust and another, ex parte von Brandenburg</w:t>
      </w:r>
      <w:r>
        <w:rPr>
          <w:b/>
          <w:bCs/>
          <w:i/>
          <w:iCs/>
        </w:rPr>
        <w:t xml:space="preserve"> </w:t>
      </w:r>
      <w:r w:rsidRPr="009103E5">
        <w:rPr>
          <w:b/>
          <w:bCs/>
          <w:i/>
          <w:iCs/>
        </w:rPr>
        <w:t xml:space="preserve">(aka Hanley) </w:t>
      </w:r>
      <w:r w:rsidRPr="009103E5">
        <w:rPr>
          <w:b/>
          <w:bCs/>
        </w:rPr>
        <w:t>[2003] UKHL 58</w:t>
      </w:r>
      <w:r>
        <w:rPr>
          <w:rStyle w:val="FootnoteReference"/>
          <w:b/>
          <w:bCs/>
        </w:rPr>
        <w:footnoteReference w:id="3"/>
      </w:r>
      <w:r>
        <w:rPr>
          <w:b/>
          <w:bCs/>
        </w:rPr>
        <w:br/>
        <w:t>H</w:t>
      </w:r>
      <w:r w:rsidRPr="009103E5">
        <w:rPr>
          <w:b/>
          <w:bCs/>
        </w:rPr>
        <w:t>ouse of Lords (13 November 2003).</w:t>
      </w:r>
      <w:proofErr w:type="gramEnd"/>
      <w:r w:rsidRPr="009103E5">
        <w:rPr>
          <w:b/>
          <w:bCs/>
        </w:rPr>
        <w:t xml:space="preserve"> Lord Bingham; Lord </w:t>
      </w:r>
      <w:proofErr w:type="spellStart"/>
      <w:r w:rsidRPr="009103E5">
        <w:rPr>
          <w:b/>
          <w:bCs/>
        </w:rPr>
        <w:t>Steyn</w:t>
      </w:r>
      <w:proofErr w:type="spellEnd"/>
      <w:r w:rsidRPr="009103E5">
        <w:rPr>
          <w:b/>
          <w:bCs/>
        </w:rPr>
        <w:t xml:space="preserve">; Lord </w:t>
      </w:r>
      <w:proofErr w:type="spellStart"/>
      <w:r w:rsidRPr="009103E5">
        <w:rPr>
          <w:b/>
          <w:bCs/>
        </w:rPr>
        <w:t>Hobhouse</w:t>
      </w:r>
      <w:proofErr w:type="spellEnd"/>
      <w:r w:rsidRPr="009103E5">
        <w:rPr>
          <w:b/>
          <w:bCs/>
        </w:rPr>
        <w:t xml:space="preserve"> of</w:t>
      </w:r>
      <w:r>
        <w:rPr>
          <w:b/>
          <w:bCs/>
        </w:rPr>
        <w:t xml:space="preserve"> </w:t>
      </w:r>
      <w:proofErr w:type="spellStart"/>
      <w:r w:rsidRPr="009103E5">
        <w:rPr>
          <w:b/>
          <w:bCs/>
        </w:rPr>
        <w:t>Woodborough</w:t>
      </w:r>
      <w:proofErr w:type="spellEnd"/>
      <w:r w:rsidRPr="009103E5">
        <w:rPr>
          <w:b/>
          <w:bCs/>
        </w:rPr>
        <w:t xml:space="preserve">; Lord Scott of </w:t>
      </w:r>
      <w:proofErr w:type="spellStart"/>
      <w:r w:rsidRPr="009103E5">
        <w:rPr>
          <w:b/>
          <w:bCs/>
        </w:rPr>
        <w:t>Foscote</w:t>
      </w:r>
      <w:proofErr w:type="spellEnd"/>
      <w:r w:rsidRPr="009103E5">
        <w:rPr>
          <w:b/>
          <w:bCs/>
        </w:rPr>
        <w:t xml:space="preserve">; Lord Rodger of </w:t>
      </w:r>
      <w:proofErr w:type="spellStart"/>
      <w:r w:rsidRPr="009103E5">
        <w:rPr>
          <w:b/>
          <w:bCs/>
        </w:rPr>
        <w:t>Earlsferry</w:t>
      </w:r>
      <w:proofErr w:type="spellEnd"/>
    </w:p>
    <w:p w:rsidR="009103E5" w:rsidRDefault="009103E5" w:rsidP="009103E5">
      <w:pPr>
        <w:rPr>
          <w:i/>
          <w:iCs/>
        </w:rPr>
      </w:pPr>
      <w:r>
        <w:rPr>
          <w:i/>
          <w:iCs/>
        </w:rPr>
        <w:br/>
      </w:r>
      <w:r w:rsidRPr="009103E5">
        <w:rPr>
          <w:i/>
          <w:iCs/>
        </w:rPr>
        <w:t>A psychiatric patient who has been recently discharged from detention may be lawfully re-detained where</w:t>
      </w:r>
      <w:r>
        <w:rPr>
          <w:i/>
          <w:iCs/>
        </w:rPr>
        <w:t xml:space="preserve"> </w:t>
      </w:r>
      <w:r w:rsidRPr="009103E5">
        <w:rPr>
          <w:i/>
          <w:iCs/>
        </w:rPr>
        <w:t>the relevant ASW forms the reasonable and bona fide opinion that he or she has information not known to</w:t>
      </w:r>
      <w:r>
        <w:rPr>
          <w:i/>
          <w:iCs/>
        </w:rPr>
        <w:t xml:space="preserve"> </w:t>
      </w:r>
      <w:r w:rsidRPr="009103E5">
        <w:rPr>
          <w:i/>
          <w:iCs/>
        </w:rPr>
        <w:t>the tribunal that puts a significantly different complexion on the case.</w:t>
      </w:r>
    </w:p>
    <w:p w:rsidR="009103E5" w:rsidRPr="009103E5" w:rsidRDefault="009103E5" w:rsidP="009103E5">
      <w:pPr>
        <w:rPr>
          <w:i/>
          <w:iCs/>
        </w:rPr>
      </w:pPr>
      <w:r>
        <w:rPr>
          <w:i/>
          <w:iCs/>
        </w:rPr>
        <w:br/>
      </w:r>
      <w:r>
        <w:rPr>
          <w:b/>
          <w:bCs/>
        </w:rPr>
        <w:br/>
      </w:r>
      <w:r w:rsidRPr="009103E5">
        <w:rPr>
          <w:b/>
          <w:bCs/>
          <w:sz w:val="24"/>
        </w:rPr>
        <w:t>INTRODUCTION</w:t>
      </w:r>
    </w:p>
    <w:p w:rsidR="009103E5" w:rsidRDefault="009103E5" w:rsidP="009103E5">
      <w:r w:rsidRPr="009103E5">
        <w:t>It is possible that the House of Lords has cleared up one of the most contentious questions in</w:t>
      </w:r>
      <w:r>
        <w:t xml:space="preserve"> </w:t>
      </w:r>
      <w:r w:rsidRPr="009103E5">
        <w:t>mental health law: in what circumstances may a patient who has been discharged by a Mental</w:t>
      </w:r>
      <w:r>
        <w:t xml:space="preserve"> </w:t>
      </w:r>
      <w:r w:rsidRPr="009103E5">
        <w:t>Health Review Tribunal (‘MHRT’) be re-detained under the 1983 Mental Health Act? If they have</w:t>
      </w:r>
      <w:r>
        <w:t xml:space="preserve"> </w:t>
      </w:r>
      <w:r w:rsidRPr="009103E5">
        <w:t>reached a definitive decision, Their Lordships also may have revived, at least in part, a ten-year old</w:t>
      </w:r>
      <w:r>
        <w:t xml:space="preserve"> </w:t>
      </w:r>
      <w:r w:rsidRPr="009103E5">
        <w:t>piece of reasoning.</w:t>
      </w:r>
      <w:r>
        <w:rPr>
          <w:rStyle w:val="FootnoteReference"/>
        </w:rPr>
        <w:footnoteReference w:id="4"/>
      </w:r>
    </w:p>
    <w:p w:rsidR="009103E5" w:rsidRPr="009103E5" w:rsidRDefault="009103E5" w:rsidP="009103E5"/>
    <w:p w:rsidR="009103E5" w:rsidRPr="009103E5" w:rsidRDefault="009103E5" w:rsidP="009103E5">
      <w:pPr>
        <w:rPr>
          <w:b/>
          <w:bCs/>
        </w:rPr>
      </w:pPr>
      <w:r w:rsidRPr="009103E5">
        <w:rPr>
          <w:b/>
          <w:bCs/>
        </w:rPr>
        <w:t>THE FACTS</w:t>
      </w:r>
    </w:p>
    <w:p w:rsidR="009103E5" w:rsidRPr="009103E5" w:rsidRDefault="009103E5" w:rsidP="009103E5">
      <w:r w:rsidRPr="009103E5">
        <w:t xml:space="preserve">This case concerned a male patient who was admitted to St </w:t>
      </w:r>
      <w:proofErr w:type="spellStart"/>
      <w:r w:rsidRPr="009103E5">
        <w:t>Clement’s</w:t>
      </w:r>
      <w:proofErr w:type="spellEnd"/>
      <w:r w:rsidRPr="009103E5">
        <w:t xml:space="preserve"> Hospital in London on 15</w:t>
      </w:r>
      <w:r>
        <w:t xml:space="preserve"> </w:t>
      </w:r>
      <w:r w:rsidRPr="009103E5">
        <w:t>March 2000. The Respondent NHS trust (‘the Trust’) was “the managers” of that hospital for the</w:t>
      </w:r>
      <w:r>
        <w:t xml:space="preserve"> </w:t>
      </w:r>
      <w:r w:rsidRPr="009103E5">
        <w:t>purposes of the Mental Health Act 1983 (‘MHA 1983’).</w:t>
      </w:r>
      <w:r>
        <w:rPr>
          <w:rStyle w:val="FootnoteReference"/>
        </w:rPr>
        <w:footnoteReference w:id="5"/>
      </w:r>
      <w:r w:rsidRPr="009103E5">
        <w:t xml:space="preserve"> Initially, the patient was held under MHA</w:t>
      </w:r>
      <w:r>
        <w:t xml:space="preserve"> </w:t>
      </w:r>
      <w:r w:rsidRPr="009103E5">
        <w:t>1983, section 4, but later that day he was detained under section 2. The Approved Social Worker</w:t>
      </w:r>
      <w:r>
        <w:t xml:space="preserve"> </w:t>
      </w:r>
      <w:r w:rsidRPr="009103E5">
        <w:t>(‘ASW’) who applied for his admission under section was the Second Respondent to these</w:t>
      </w:r>
      <w:r>
        <w:t xml:space="preserve"> </w:t>
      </w:r>
      <w:r w:rsidRPr="009103E5">
        <w:t>proceedings.</w:t>
      </w:r>
    </w:p>
    <w:p w:rsidR="009103E5" w:rsidRPr="009103E5" w:rsidRDefault="009103E5" w:rsidP="009103E5">
      <w:r w:rsidRPr="009103E5">
        <w:lastRenderedPageBreak/>
        <w:t>The patient’s detention under MHA 1983, section 2 was to expire at midnight on 11 April 2000.</w:t>
      </w:r>
      <w:r>
        <w:rPr>
          <w:rStyle w:val="FootnoteReference"/>
        </w:rPr>
        <w:footnoteReference w:id="6"/>
      </w:r>
      <w:r>
        <w:t xml:space="preserve"> </w:t>
      </w:r>
      <w:proofErr w:type="gramStart"/>
      <w:r>
        <w:t>As</w:t>
      </w:r>
      <w:proofErr w:type="gramEnd"/>
      <w:r>
        <w:t xml:space="preserve"> </w:t>
      </w:r>
      <w:r w:rsidRPr="009103E5">
        <w:t>was his right, the patient made a MHRT application on 22 March 2000, and the hearing took</w:t>
      </w:r>
      <w:r>
        <w:t xml:space="preserve"> </w:t>
      </w:r>
      <w:r w:rsidRPr="009103E5">
        <w:t>place on 31 March 2000.</w:t>
      </w:r>
    </w:p>
    <w:p w:rsidR="00812BAC" w:rsidRPr="00812BAC" w:rsidRDefault="009103E5" w:rsidP="00812BAC">
      <w:r w:rsidRPr="009103E5">
        <w:t>Despite opposition from his Responsible Medical Officer (‘RMO’), who gave both written and</w:t>
      </w:r>
      <w:r>
        <w:t xml:space="preserve"> </w:t>
      </w:r>
      <w:r w:rsidRPr="009103E5">
        <w:t>oral evidence, from a staff grade psychiatrist, and from the ASW, the MHRT decided to discharge</w:t>
      </w:r>
      <w:r w:rsidR="00812BAC">
        <w:t xml:space="preserve"> </w:t>
      </w:r>
      <w:r w:rsidR="00812BAC" w:rsidRPr="00812BAC">
        <w:t>the patient. However, in order that accommodation could be found for him in the community and</w:t>
      </w:r>
      <w:r w:rsidR="00812BAC">
        <w:t xml:space="preserve"> </w:t>
      </w:r>
      <w:r w:rsidR="00812BAC" w:rsidRPr="00812BAC">
        <w:t>a care plan be drawn up, the MHRT deferred discharge until 7 April 2000.</w:t>
      </w:r>
      <w:r w:rsidR="00812BAC">
        <w:rPr>
          <w:rStyle w:val="FootnoteReference"/>
        </w:rPr>
        <w:footnoteReference w:id="7"/>
      </w:r>
    </w:p>
    <w:p w:rsidR="00812BAC" w:rsidRPr="00812BAC" w:rsidRDefault="00812BAC" w:rsidP="00812BAC">
      <w:r w:rsidRPr="00812BAC">
        <w:t>In fact, the patient did not leave hospital. On 6 April 2000, the day before his deferred discharge</w:t>
      </w:r>
      <w:r>
        <w:t xml:space="preserve"> </w:t>
      </w:r>
      <w:r w:rsidRPr="00812BAC">
        <w:t>was to become effective, he was detained under MHA 1983, section 3 on the basis of an application</w:t>
      </w:r>
      <w:r>
        <w:t xml:space="preserve"> </w:t>
      </w:r>
      <w:r w:rsidRPr="00812BAC">
        <w:t>by his ASW supported by recommendations from his RMO and a second doctor (who had also</w:t>
      </w:r>
      <w:r>
        <w:t xml:space="preserve"> </w:t>
      </w:r>
      <w:r w:rsidRPr="00812BAC">
        <w:t>provided a recommendation for his detention under section 2).</w:t>
      </w:r>
    </w:p>
    <w:p w:rsidR="00812BAC" w:rsidRDefault="00812BAC" w:rsidP="00812BAC">
      <w:r w:rsidRPr="00812BAC">
        <w:t>Because of the form these proceedings took, the court never investigated the Trust’s primary case,</w:t>
      </w:r>
      <w:r>
        <w:t xml:space="preserve"> </w:t>
      </w:r>
      <w:r w:rsidRPr="00812BAC">
        <w:t>which was that there had in fact been a change of circumstances between the time of the MHRT</w:t>
      </w:r>
      <w:r>
        <w:t xml:space="preserve"> </w:t>
      </w:r>
      <w:r w:rsidRPr="00812BAC">
        <w:t>hearing, on 31 March 2000, and the patient’s re-detention under section 3 on 6 April 2000.</w:t>
      </w:r>
      <w:r>
        <w:t xml:space="preserve"> </w:t>
      </w:r>
      <w:r w:rsidRPr="00812BAC">
        <w:t>The Trust argued that, according to the evidence of the RMO and ASW, and of the clinical notes,</w:t>
      </w:r>
      <w:r>
        <w:t xml:space="preserve"> </w:t>
      </w:r>
      <w:r w:rsidRPr="00812BAC">
        <w:t xml:space="preserve">the patient’s condition had deteriorated over the relevant period. However, neither of the </w:t>
      </w:r>
      <w:proofErr w:type="gramStart"/>
      <w:r w:rsidRPr="00812BAC">
        <w:t>doctors</w:t>
      </w:r>
      <w:proofErr w:type="gramEnd"/>
      <w:r>
        <w:t xml:space="preserve"> </w:t>
      </w:r>
      <w:r w:rsidRPr="00812BAC">
        <w:t>who completed recommendations for his admission under MHA 1983, section 3 had specifically</w:t>
      </w:r>
      <w:r>
        <w:t xml:space="preserve"> </w:t>
      </w:r>
      <w:r w:rsidRPr="00812BAC">
        <w:t>referred to the earlier MHRT decision or this deterioration in their medical recommendations, and</w:t>
      </w:r>
      <w:r>
        <w:t xml:space="preserve"> </w:t>
      </w:r>
      <w:r w:rsidRPr="00812BAC">
        <w:t>the ASW had made no such reference in his application for admission under section 3.</w:t>
      </w:r>
    </w:p>
    <w:p w:rsidR="00812BAC" w:rsidRPr="00812BAC" w:rsidRDefault="00812BAC" w:rsidP="00812BAC"/>
    <w:p w:rsidR="00812BAC" w:rsidRPr="00812BAC" w:rsidRDefault="00812BAC" w:rsidP="00812BAC">
      <w:pPr>
        <w:rPr>
          <w:b/>
          <w:bCs/>
          <w:sz w:val="24"/>
        </w:rPr>
      </w:pPr>
      <w:r w:rsidRPr="00812BAC">
        <w:rPr>
          <w:b/>
          <w:bCs/>
          <w:sz w:val="24"/>
        </w:rPr>
        <w:t>THE PROCEEDINGS</w:t>
      </w:r>
    </w:p>
    <w:p w:rsidR="00812BAC" w:rsidRPr="00812BAC" w:rsidRDefault="00812BAC" w:rsidP="00812BAC">
      <w:r w:rsidRPr="00812BAC">
        <w:t>The patient sought judicial review of the decision by the ASW to apply for his admission under</w:t>
      </w:r>
      <w:r>
        <w:t xml:space="preserve"> </w:t>
      </w:r>
      <w:r w:rsidRPr="00812BAC">
        <w:t>MHA 1983, section 3 and of the Trust’s decision to accept that application. As Lord Bingham was</w:t>
      </w:r>
      <w:r>
        <w:t xml:space="preserve"> </w:t>
      </w:r>
      <w:r w:rsidRPr="00812BAC">
        <w:t>to state in the House of Lords,</w:t>
      </w:r>
      <w:r>
        <w:rPr>
          <w:rStyle w:val="FootnoteReference"/>
        </w:rPr>
        <w:footnoteReference w:id="8"/>
      </w:r>
      <w:r w:rsidRPr="00812BAC">
        <w:t xml:space="preserve"> the “broad thrust” of the patient’s claim was that the application</w:t>
      </w:r>
      <w:r>
        <w:t xml:space="preserve"> </w:t>
      </w:r>
      <w:r w:rsidRPr="00812BAC">
        <w:t>and admission of 6 April 2000 were unlawful because there had been no relevant change of</w:t>
      </w:r>
      <w:r>
        <w:t xml:space="preserve"> </w:t>
      </w:r>
      <w:r w:rsidRPr="00812BAC">
        <w:t>circumstances since the MHRT granted him a deferred discharge. The patient argued that, as a</w:t>
      </w:r>
      <w:r>
        <w:t xml:space="preserve"> </w:t>
      </w:r>
      <w:r w:rsidRPr="00812BAC">
        <w:t>matter of law, it was incumbent upon those responsible for admission to establish that such a</w:t>
      </w:r>
      <w:r>
        <w:t xml:space="preserve"> </w:t>
      </w:r>
      <w:r w:rsidRPr="00812BAC">
        <w:t>change of circumstances had taken place. The Respondents argued that a change of circumstances</w:t>
      </w:r>
      <w:r>
        <w:t xml:space="preserve"> </w:t>
      </w:r>
      <w:r w:rsidRPr="00812BAC">
        <w:t>was not necessary in order for a patient to be re-detained, but that there had, in any event, been</w:t>
      </w:r>
      <w:r>
        <w:t xml:space="preserve"> </w:t>
      </w:r>
      <w:r w:rsidRPr="00812BAC">
        <w:t>such a change on the facts of this case. (As set out above, the latter point was not considered by the</w:t>
      </w:r>
      <w:r>
        <w:t xml:space="preserve"> </w:t>
      </w:r>
      <w:r w:rsidRPr="00812BAC">
        <w:t>Administrative Court or the Court of Appeal.)</w:t>
      </w:r>
    </w:p>
    <w:p w:rsidR="00812BAC" w:rsidRPr="00812BAC" w:rsidRDefault="00812BAC" w:rsidP="00812BAC">
      <w:pPr>
        <w:rPr>
          <w:b/>
          <w:bCs/>
        </w:rPr>
      </w:pPr>
      <w:r w:rsidRPr="00812BAC">
        <w:rPr>
          <w:b/>
          <w:bCs/>
        </w:rPr>
        <w:t>(a) The Administrative Court</w:t>
      </w:r>
    </w:p>
    <w:p w:rsidR="00812BAC" w:rsidRPr="00812BAC" w:rsidRDefault="00812BAC" w:rsidP="00812BAC">
      <w:r w:rsidRPr="00812BAC">
        <w:t>In the Administrative Court, Burton J. found that a change of circumstances was not a necessary</w:t>
      </w:r>
      <w:r>
        <w:t xml:space="preserve"> </w:t>
      </w:r>
      <w:r w:rsidRPr="00812BAC">
        <w:t>requirement for the lawful re-detention of a patient who had been recently discharged by a MHRT.</w:t>
      </w:r>
      <w:r>
        <w:rPr>
          <w:rStyle w:val="FootnoteReference"/>
        </w:rPr>
        <w:footnoteReference w:id="9"/>
      </w:r>
      <w:r>
        <w:t xml:space="preserve"> </w:t>
      </w:r>
      <w:r w:rsidRPr="00812BAC">
        <w:t xml:space="preserve">The Judge followed </w:t>
      </w:r>
      <w:r w:rsidRPr="00812BAC">
        <w:rPr>
          <w:i/>
          <w:iCs/>
        </w:rPr>
        <w:t>Ex parte M</w:t>
      </w:r>
      <w:r w:rsidRPr="00812BAC">
        <w:t>, in which Laws J. said:</w:t>
      </w:r>
    </w:p>
    <w:p w:rsidR="00812BAC" w:rsidRPr="00812BAC" w:rsidRDefault="00812BAC" w:rsidP="00812BAC">
      <w:pPr>
        <w:ind w:left="567" w:right="521"/>
      </w:pPr>
      <w:r w:rsidRPr="00812BAC">
        <w:rPr>
          <w:i/>
          <w:iCs/>
        </w:rPr>
        <w:lastRenderedPageBreak/>
        <w:t xml:space="preserve">“[T]here is no sense in which those concerned in a section 3 </w:t>
      </w:r>
      <w:proofErr w:type="gramStart"/>
      <w:r w:rsidRPr="00812BAC">
        <w:rPr>
          <w:i/>
          <w:iCs/>
        </w:rPr>
        <w:t>application</w:t>
      </w:r>
      <w:proofErr w:type="gramEnd"/>
      <w:r w:rsidRPr="00812BAC">
        <w:rPr>
          <w:i/>
          <w:iCs/>
        </w:rPr>
        <w:t xml:space="preserve"> are at any stage bound by an</w:t>
      </w:r>
      <w:r>
        <w:rPr>
          <w:i/>
          <w:iCs/>
        </w:rPr>
        <w:t xml:space="preserve"> </w:t>
      </w:r>
      <w:r w:rsidRPr="00812BAC">
        <w:rPr>
          <w:i/>
          <w:iCs/>
        </w:rPr>
        <w:t>earlier tribunal decision. The doctors, social worker, and managers must, under the statute, exercise their</w:t>
      </w:r>
      <w:r>
        <w:rPr>
          <w:i/>
          <w:iCs/>
        </w:rPr>
        <w:t xml:space="preserve"> </w:t>
      </w:r>
      <w:r w:rsidRPr="00812BAC">
        <w:rPr>
          <w:i/>
          <w:iCs/>
        </w:rPr>
        <w:t>independent judgment, whether or not there is an extant tribunal decision relating to the patient.”</w:t>
      </w:r>
      <w:r>
        <w:rPr>
          <w:rStyle w:val="FootnoteReference"/>
          <w:i/>
          <w:iCs/>
        </w:rPr>
        <w:footnoteReference w:id="10"/>
      </w:r>
    </w:p>
    <w:p w:rsidR="00463049" w:rsidRDefault="00812BAC" w:rsidP="00812BAC">
      <w:r w:rsidRPr="00812BAC">
        <w:t>However, Burton J. found that there was a range of public and private law constraints that operated</w:t>
      </w:r>
      <w:r>
        <w:t xml:space="preserve"> </w:t>
      </w:r>
      <w:r w:rsidRPr="00812BAC">
        <w:t>in these circumstances, and that would provide protection for a patient in the position of Count</w:t>
      </w:r>
      <w:r>
        <w:t xml:space="preserve"> </w:t>
      </w:r>
      <w:r w:rsidRPr="00812BAC">
        <w:t>von Brandenburg.</w:t>
      </w:r>
    </w:p>
    <w:p w:rsidR="00BB67E0" w:rsidRPr="00BB67E0" w:rsidRDefault="00BB67E0" w:rsidP="00BB67E0">
      <w:pPr>
        <w:rPr>
          <w:b/>
          <w:bCs/>
        </w:rPr>
      </w:pPr>
      <w:r w:rsidRPr="00BB67E0">
        <w:rPr>
          <w:b/>
          <w:bCs/>
        </w:rPr>
        <w:t>(b) The Court of Appeal</w:t>
      </w:r>
    </w:p>
    <w:p w:rsidR="00BB67E0" w:rsidRDefault="00BB67E0" w:rsidP="00BB67E0">
      <w:r w:rsidRPr="00BB67E0">
        <w:t>The Court of Appeal also found for the Respondents – the Trust and the ASW – but its reasoning</w:t>
      </w:r>
      <w:r>
        <w:t xml:space="preserve"> </w:t>
      </w:r>
      <w:r w:rsidRPr="00BB67E0">
        <w:t>was more specific than that of Burton J. in relation to how the public law constraints would operate</w:t>
      </w:r>
      <w:r w:rsidR="00994B82">
        <w:rPr>
          <w:rStyle w:val="FootnoteReference"/>
        </w:rPr>
        <w:footnoteReference w:id="11"/>
      </w:r>
      <w:r w:rsidRPr="00BB67E0">
        <w:t>.</w:t>
      </w:r>
      <w:r>
        <w:t xml:space="preserve"> </w:t>
      </w:r>
    </w:p>
    <w:p w:rsidR="00BB67E0" w:rsidRPr="00BB67E0" w:rsidRDefault="00BB67E0" w:rsidP="00BB67E0">
      <w:r w:rsidRPr="00BB67E0">
        <w:t>Although the decision of the Court of Appeal was unanimous, the judgments of Lord Phillips MR</w:t>
      </w:r>
      <w:r>
        <w:t xml:space="preserve"> </w:t>
      </w:r>
      <w:r w:rsidRPr="00BB67E0">
        <w:t xml:space="preserve">and Buxton LJ on the one hand and </w:t>
      </w:r>
      <w:proofErr w:type="spellStart"/>
      <w:r w:rsidRPr="00BB67E0">
        <w:t>Sedley</w:t>
      </w:r>
      <w:proofErr w:type="spellEnd"/>
      <w:r w:rsidRPr="00BB67E0">
        <w:t xml:space="preserve"> LJ on the other were quite distinct. It is necessary to</w:t>
      </w:r>
      <w:r>
        <w:t xml:space="preserve"> </w:t>
      </w:r>
      <w:r w:rsidRPr="00BB67E0">
        <w:t>consider them in some detail, for they were also at the heart of the decision in the House of Lords.</w:t>
      </w:r>
    </w:p>
    <w:p w:rsidR="00BB67E0" w:rsidRPr="00BB67E0" w:rsidRDefault="00BB67E0" w:rsidP="00BB67E0">
      <w:pPr>
        <w:rPr>
          <w:i/>
          <w:iCs/>
        </w:rPr>
      </w:pPr>
      <w:r w:rsidRPr="00BB67E0">
        <w:t>(</w:t>
      </w:r>
      <w:proofErr w:type="spellStart"/>
      <w:r w:rsidRPr="00BB67E0">
        <w:t>i</w:t>
      </w:r>
      <w:proofErr w:type="spellEnd"/>
      <w:r w:rsidRPr="00BB67E0">
        <w:t xml:space="preserve">) </w:t>
      </w:r>
      <w:r w:rsidRPr="00BB67E0">
        <w:rPr>
          <w:i/>
          <w:iCs/>
        </w:rPr>
        <w:t>The speeches of Lord Phillips MR and Buxton LJ</w:t>
      </w:r>
    </w:p>
    <w:p w:rsidR="00BB67E0" w:rsidRPr="00BB67E0" w:rsidRDefault="00BB67E0" w:rsidP="00BB67E0">
      <w:proofErr w:type="gramStart"/>
      <w:r w:rsidRPr="00BB67E0">
        <w:t>In a speech with which Buxton LJ.</w:t>
      </w:r>
      <w:proofErr w:type="gramEnd"/>
      <w:r w:rsidRPr="00BB67E0">
        <w:t xml:space="preserve"> </w:t>
      </w:r>
      <w:proofErr w:type="gramStart"/>
      <w:r w:rsidRPr="00BB67E0">
        <w:t>concurred</w:t>
      </w:r>
      <w:proofErr w:type="gramEnd"/>
      <w:r w:rsidRPr="00BB67E0">
        <w:t>, the Master of the Rolls rejected any formal</w:t>
      </w:r>
      <w:r>
        <w:t xml:space="preserve"> </w:t>
      </w:r>
      <w:r w:rsidRPr="00BB67E0">
        <w:t>requirement for a change of circumstances.</w:t>
      </w:r>
      <w:r w:rsidR="00994B82">
        <w:rPr>
          <w:rStyle w:val="FootnoteReference"/>
        </w:rPr>
        <w:footnoteReference w:id="12"/>
      </w:r>
      <w:r w:rsidRPr="00BB67E0">
        <w:t xml:space="preserve"> However, he found that the professionals concerned</w:t>
      </w:r>
      <w:r>
        <w:t xml:space="preserve"> </w:t>
      </w:r>
      <w:r w:rsidRPr="00BB67E0">
        <w:t>were not free simply to ignore or over-rule a MHRT discharge.</w:t>
      </w:r>
    </w:p>
    <w:p w:rsidR="00BB67E0" w:rsidRPr="00BB67E0" w:rsidRDefault="00BB67E0" w:rsidP="00BB67E0">
      <w:r w:rsidRPr="00BB67E0">
        <w:t>The Master of the Rolls drew a distinction between two types of case. Where “a sensible period”</w:t>
      </w:r>
      <w:r>
        <w:t xml:space="preserve"> </w:t>
      </w:r>
      <w:r w:rsidRPr="00BB67E0">
        <w:t>had elapsed following discharge, he found that it was neither sensible nor necessary to require a</w:t>
      </w:r>
      <w:r>
        <w:t xml:space="preserve"> </w:t>
      </w:r>
      <w:r w:rsidRPr="00BB67E0">
        <w:t>change of circumstances. This was because the application for re-admission was likely to have been</w:t>
      </w:r>
      <w:r>
        <w:t xml:space="preserve"> </w:t>
      </w:r>
      <w:r w:rsidRPr="00BB67E0">
        <w:t>triggered by the patient’s behaviour in the community, a matter that would almost certainly</w:t>
      </w:r>
      <w:r>
        <w:t xml:space="preserve"> </w:t>
      </w:r>
      <w:r w:rsidRPr="00BB67E0">
        <w:t>constitute a change of circumstances. Therefore, he held that:</w:t>
      </w:r>
    </w:p>
    <w:p w:rsidR="00BB67E0" w:rsidRPr="00BB67E0" w:rsidRDefault="00BB67E0" w:rsidP="00BB67E0">
      <w:pPr>
        <w:ind w:left="567" w:right="521"/>
      </w:pPr>
      <w:r w:rsidRPr="00BB67E0">
        <w:rPr>
          <w:i/>
          <w:iCs/>
        </w:rPr>
        <w:t>“[t]o require the professionals involved to investigate and attempt a comparison between the two sets of</w:t>
      </w:r>
      <w:r>
        <w:rPr>
          <w:i/>
          <w:iCs/>
        </w:rPr>
        <w:t xml:space="preserve"> </w:t>
      </w:r>
      <w:r w:rsidRPr="00BB67E0">
        <w:rPr>
          <w:i/>
          <w:iCs/>
        </w:rPr>
        <w:t>circumstances in order to decide whether or not there has been a relevant change of circumstances would</w:t>
      </w:r>
      <w:r>
        <w:rPr>
          <w:i/>
          <w:iCs/>
        </w:rPr>
        <w:t xml:space="preserve"> </w:t>
      </w:r>
      <w:r w:rsidRPr="00BB67E0">
        <w:rPr>
          <w:i/>
          <w:iCs/>
        </w:rPr>
        <w:t>not be helpful or even meaningful.”</w:t>
      </w:r>
      <w:r w:rsidR="00994B82">
        <w:rPr>
          <w:rStyle w:val="FootnoteReference"/>
          <w:i/>
          <w:iCs/>
        </w:rPr>
        <w:footnoteReference w:id="13"/>
      </w:r>
    </w:p>
    <w:p w:rsidR="00BB67E0" w:rsidRPr="00BB67E0" w:rsidRDefault="00BB67E0" w:rsidP="00BB67E0">
      <w:r w:rsidRPr="00BB67E0">
        <w:t>However, according to the Master of the Rolls, a “very different position” would obtain where the</w:t>
      </w:r>
      <w:r>
        <w:t xml:space="preserve"> </w:t>
      </w:r>
      <w:r w:rsidRPr="00BB67E0">
        <w:t>re-admission application was made “within days” of the MHRT discharge. This would be</w:t>
      </w:r>
      <w:r>
        <w:t xml:space="preserve"> </w:t>
      </w:r>
      <w:r w:rsidRPr="00BB67E0">
        <w:t>especially so if, because the patient had remained in hospital, his “environmental circumstances”</w:t>
      </w:r>
      <w:r>
        <w:t xml:space="preserve"> </w:t>
      </w:r>
      <w:r w:rsidRPr="00BB67E0">
        <w:t>had not changed:</w:t>
      </w:r>
    </w:p>
    <w:p w:rsidR="00BB67E0" w:rsidRPr="00BB67E0" w:rsidRDefault="00BB67E0" w:rsidP="001E3A45">
      <w:pPr>
        <w:ind w:left="567" w:right="521"/>
      </w:pPr>
      <w:r w:rsidRPr="00BB67E0">
        <w:rPr>
          <w:i/>
          <w:iCs/>
        </w:rPr>
        <w:t xml:space="preserve">“In such a situation there is likely to have been […] a difference of view between the </w:t>
      </w:r>
      <w:proofErr w:type="gramStart"/>
      <w:r w:rsidRPr="00BB67E0">
        <w:rPr>
          <w:i/>
          <w:iCs/>
        </w:rPr>
        <w:t>patient’s</w:t>
      </w:r>
      <w:proofErr w:type="gramEnd"/>
      <w:r w:rsidRPr="00BB67E0">
        <w:rPr>
          <w:i/>
          <w:iCs/>
        </w:rPr>
        <w:t xml:space="preserve"> [RMO]</w:t>
      </w:r>
      <w:r w:rsidR="001E3A45">
        <w:rPr>
          <w:i/>
          <w:iCs/>
        </w:rPr>
        <w:t xml:space="preserve"> </w:t>
      </w:r>
      <w:r w:rsidRPr="00BB67E0">
        <w:rPr>
          <w:i/>
          <w:iCs/>
        </w:rPr>
        <w:t xml:space="preserve">and the tribunal as to whether or not the criteria justifying detention </w:t>
      </w:r>
      <w:r w:rsidRPr="00BB67E0">
        <w:rPr>
          <w:i/>
          <w:iCs/>
        </w:rPr>
        <w:lastRenderedPageBreak/>
        <w:t>were established. […] [W]here</w:t>
      </w:r>
      <w:r w:rsidR="001E3A45">
        <w:rPr>
          <w:i/>
          <w:iCs/>
        </w:rPr>
        <w:t xml:space="preserve"> </w:t>
      </w:r>
      <w:r w:rsidRPr="00BB67E0">
        <w:rPr>
          <w:i/>
          <w:iCs/>
        </w:rPr>
        <w:t xml:space="preserve">such a conflict </w:t>
      </w:r>
      <w:proofErr w:type="gramStart"/>
      <w:r w:rsidRPr="00BB67E0">
        <w:rPr>
          <w:i/>
          <w:iCs/>
        </w:rPr>
        <w:t>exists,</w:t>
      </w:r>
      <w:proofErr w:type="gramEnd"/>
      <w:r w:rsidRPr="00BB67E0">
        <w:rPr>
          <w:i/>
          <w:iCs/>
        </w:rPr>
        <w:t xml:space="preserve"> it is the opinion of the tribunal that is to prevail.”</w:t>
      </w:r>
      <w:r w:rsidR="00994B82">
        <w:rPr>
          <w:rStyle w:val="FootnoteReference"/>
          <w:i/>
          <w:iCs/>
        </w:rPr>
        <w:footnoteReference w:id="14"/>
      </w:r>
    </w:p>
    <w:p w:rsidR="00BB67E0" w:rsidRPr="00BB67E0" w:rsidRDefault="00BB67E0" w:rsidP="00BB67E0">
      <w:r w:rsidRPr="00BB67E0">
        <w:t>In such a case, the Master of the Rolls found the ASW who made a fresh admission application</w:t>
      </w:r>
      <w:r w:rsidR="001E3A45">
        <w:t xml:space="preserve"> </w:t>
      </w:r>
      <w:r w:rsidRPr="00BB67E0">
        <w:t xml:space="preserve">could not be properly satisfied </w:t>
      </w:r>
      <w:proofErr w:type="gramStart"/>
      <w:r w:rsidRPr="00BB67E0">
        <w:t>( as</w:t>
      </w:r>
      <w:proofErr w:type="gramEnd"/>
      <w:r w:rsidRPr="00BB67E0">
        <w:t xml:space="preserve"> MHA 1983, section 13 required him/her to be satisfied) that</w:t>
      </w:r>
      <w:r w:rsidR="001E3A45">
        <w:t xml:space="preserve"> </w:t>
      </w:r>
      <w:r w:rsidRPr="00BB67E0">
        <w:t>“an application ought to be made”, unless he or she was aware of circumstances not known to the</w:t>
      </w:r>
      <w:r w:rsidR="001E3A45">
        <w:t xml:space="preserve"> </w:t>
      </w:r>
      <w:r w:rsidRPr="00BB67E0">
        <w:t>MHRT which invalidated its decision. Absent such circumstances, the Master of the Rolls said, the</w:t>
      </w:r>
      <w:r w:rsidR="001E3A45">
        <w:t xml:space="preserve"> </w:t>
      </w:r>
      <w:r w:rsidRPr="00BB67E0">
        <w:t>ASW’s admission application would be vulnerable to challenge.</w:t>
      </w:r>
    </w:p>
    <w:p w:rsidR="00BB67E0" w:rsidRDefault="00BB67E0" w:rsidP="00BB67E0">
      <w:r w:rsidRPr="00BB67E0">
        <w:t>Therefore, it will be seen that, when deciding how best to test the lawfulness of re-detention</w:t>
      </w:r>
      <w:r w:rsidR="001E3A45">
        <w:t xml:space="preserve"> </w:t>
      </w:r>
      <w:r w:rsidRPr="00BB67E0">
        <w:t>following a MHRT discharge, the Master of the Rolls (and Buxton LJ.) relied heavily upon a</w:t>
      </w:r>
      <w:r w:rsidR="001E3A45">
        <w:t xml:space="preserve"> </w:t>
      </w:r>
      <w:r w:rsidRPr="00BB67E0">
        <w:t>temporal distinction. However, it was not clear whether the Master of the Rolls sought to constrain</w:t>
      </w:r>
      <w:r w:rsidR="001E3A45">
        <w:t xml:space="preserve"> </w:t>
      </w:r>
      <w:r w:rsidRPr="00BB67E0">
        <w:t>the scope for doctors to recommend admission, or whether he wished to confine his comments to</w:t>
      </w:r>
      <w:r w:rsidR="001E3A45">
        <w:t xml:space="preserve"> </w:t>
      </w:r>
      <w:r w:rsidRPr="00BB67E0">
        <w:t>the position of the ASW applying for admission. Moreover, there was no clear indication of how</w:t>
      </w:r>
      <w:r w:rsidR="001E3A45">
        <w:t xml:space="preserve"> </w:t>
      </w:r>
      <w:r w:rsidRPr="00BB67E0">
        <w:t>the Master of the Rolls anticipated his temporal distinction to apply in practice – for example,</w:t>
      </w:r>
      <w:r w:rsidR="001E3A45">
        <w:t xml:space="preserve"> </w:t>
      </w:r>
      <w:r w:rsidRPr="00BB67E0">
        <w:t>would the critical point be reached after a day, a week, or a month?</w:t>
      </w:r>
    </w:p>
    <w:p w:rsidR="00994B82" w:rsidRPr="00994B82" w:rsidRDefault="00994B82" w:rsidP="00994B82">
      <w:pPr>
        <w:rPr>
          <w:i/>
          <w:iCs/>
        </w:rPr>
      </w:pPr>
      <w:r w:rsidRPr="00994B82">
        <w:t xml:space="preserve">(ii) </w:t>
      </w:r>
      <w:r w:rsidRPr="00994B82">
        <w:rPr>
          <w:i/>
          <w:iCs/>
        </w:rPr>
        <w:t xml:space="preserve">The speech of </w:t>
      </w:r>
      <w:proofErr w:type="spellStart"/>
      <w:r w:rsidRPr="00994B82">
        <w:rPr>
          <w:i/>
          <w:iCs/>
        </w:rPr>
        <w:t>Sedley</w:t>
      </w:r>
      <w:proofErr w:type="spellEnd"/>
      <w:r w:rsidRPr="00994B82">
        <w:rPr>
          <w:i/>
          <w:iCs/>
        </w:rPr>
        <w:t xml:space="preserve"> LJ</w:t>
      </w:r>
    </w:p>
    <w:p w:rsidR="00994B82" w:rsidRPr="00994B82" w:rsidRDefault="00994B82" w:rsidP="00994B82">
      <w:r w:rsidRPr="00994B82">
        <w:t xml:space="preserve">For </w:t>
      </w:r>
      <w:proofErr w:type="spellStart"/>
      <w:r w:rsidRPr="00994B82">
        <w:t>Sedley</w:t>
      </w:r>
      <w:proofErr w:type="spellEnd"/>
      <w:r w:rsidRPr="00994B82">
        <w:t xml:space="preserve"> LJ, the case had taken “a peculiar and in some ways unsatisfactory shape”.</w:t>
      </w:r>
      <w:r w:rsidR="005C48F4">
        <w:rPr>
          <w:rStyle w:val="FootnoteReference"/>
        </w:rPr>
        <w:footnoteReference w:id="15"/>
      </w:r>
      <w:r w:rsidRPr="00994B82">
        <w:t xml:space="preserve"> The patient</w:t>
      </w:r>
      <w:r w:rsidR="005C48F4">
        <w:t xml:space="preserve"> </w:t>
      </w:r>
      <w:r w:rsidRPr="00994B82">
        <w:t>had succeeded in part, in that the Court of Appeal had not followed the broad statement of</w:t>
      </w:r>
      <w:r w:rsidR="005C48F4">
        <w:t xml:space="preserve"> </w:t>
      </w:r>
      <w:r w:rsidRPr="00994B82">
        <w:t xml:space="preserve">principle set out by Laws J. in </w:t>
      </w:r>
      <w:r w:rsidRPr="00994B82">
        <w:rPr>
          <w:i/>
          <w:iCs/>
        </w:rPr>
        <w:t>Ex parte M</w:t>
      </w:r>
      <w:r w:rsidRPr="00994B82">
        <w:t>;</w:t>
      </w:r>
      <w:r w:rsidR="005C48F4">
        <w:rPr>
          <w:rStyle w:val="FootnoteReference"/>
        </w:rPr>
        <w:footnoteReference w:id="16"/>
      </w:r>
      <w:r w:rsidRPr="00994B82">
        <w:t xml:space="preserve"> ultimately, however, he had failed in his challenge</w:t>
      </w:r>
      <w:r w:rsidR="005C48F4">
        <w:t xml:space="preserve"> </w:t>
      </w:r>
      <w:r w:rsidRPr="00994B82">
        <w:t>because the Court had declined to adopt the ‘change of circumstances’ test for which he had</w:t>
      </w:r>
      <w:r w:rsidR="005C48F4">
        <w:t xml:space="preserve"> </w:t>
      </w:r>
      <w:r w:rsidRPr="00994B82">
        <w:t>contended. Instead, “in the space between the two”,</w:t>
      </w:r>
      <w:r w:rsidR="005C48F4">
        <w:rPr>
          <w:rStyle w:val="FootnoteReference"/>
        </w:rPr>
        <w:footnoteReference w:id="17"/>
      </w:r>
      <w:r w:rsidRPr="00994B82">
        <w:t xml:space="preserve"> the Court of Appeal had interposed the set</w:t>
      </w:r>
      <w:r w:rsidR="005C48F4">
        <w:t xml:space="preserve"> </w:t>
      </w:r>
      <w:r w:rsidRPr="00994B82">
        <w:t>of private law and public law controls</w:t>
      </w:r>
      <w:r w:rsidR="005C48F4">
        <w:rPr>
          <w:rStyle w:val="FootnoteReference"/>
        </w:rPr>
        <w:footnoteReference w:id="18"/>
      </w:r>
      <w:r w:rsidRPr="00994B82">
        <w:t xml:space="preserve"> laid out by Burton J. and endorsed by the Master of the</w:t>
      </w:r>
      <w:r w:rsidR="005C48F4">
        <w:t xml:space="preserve"> </w:t>
      </w:r>
      <w:r w:rsidRPr="00994B82">
        <w:t>Rolls.</w:t>
      </w:r>
      <w:r w:rsidR="005C48F4">
        <w:rPr>
          <w:rStyle w:val="FootnoteReference"/>
        </w:rPr>
        <w:footnoteReference w:id="19"/>
      </w:r>
      <w:r w:rsidRPr="00994B82">
        <w:t xml:space="preserve"> Lord Justice </w:t>
      </w:r>
      <w:proofErr w:type="spellStart"/>
      <w:r w:rsidRPr="00994B82">
        <w:t>Sedley</w:t>
      </w:r>
      <w:proofErr w:type="spellEnd"/>
      <w:r w:rsidRPr="00994B82">
        <w:t xml:space="preserve"> endorsed this approach, but he went on to consider the precise</w:t>
      </w:r>
      <w:r w:rsidR="005C48F4">
        <w:t xml:space="preserve"> </w:t>
      </w:r>
      <w:r w:rsidRPr="00994B82">
        <w:t>requirements for a lawful readmission decision following a MHRT discharge:</w:t>
      </w:r>
    </w:p>
    <w:p w:rsidR="00994B82" w:rsidRPr="00994B82" w:rsidRDefault="00994B82" w:rsidP="005C48F4">
      <w:pPr>
        <w:ind w:left="567" w:right="521"/>
      </w:pPr>
      <w:r w:rsidRPr="00994B82">
        <w:t>(</w:t>
      </w:r>
      <w:proofErr w:type="gramStart"/>
      <w:r w:rsidRPr="00994B82">
        <w:t>aa</w:t>
      </w:r>
      <w:proofErr w:type="gramEnd"/>
      <w:r w:rsidRPr="00994B82">
        <w:t xml:space="preserve">) </w:t>
      </w:r>
      <w:proofErr w:type="gramStart"/>
      <w:r w:rsidRPr="00994B82">
        <w:t xml:space="preserve">Where readmission came “hard on the heels of” a MHRT discharge, </w:t>
      </w:r>
      <w:proofErr w:type="spellStart"/>
      <w:r w:rsidRPr="00994B82">
        <w:t>Sedley</w:t>
      </w:r>
      <w:proofErr w:type="spellEnd"/>
      <w:r w:rsidRPr="00994B82">
        <w:t xml:space="preserve"> LJ.</w:t>
      </w:r>
      <w:proofErr w:type="gramEnd"/>
      <w:r w:rsidRPr="00994B82">
        <w:t xml:space="preserve"> </w:t>
      </w:r>
      <w:proofErr w:type="gramStart"/>
      <w:r w:rsidRPr="00994B82">
        <w:t>implied</w:t>
      </w:r>
      <w:proofErr w:type="gramEnd"/>
      <w:r w:rsidR="005C48F4">
        <w:t xml:space="preserve"> </w:t>
      </w:r>
      <w:r w:rsidRPr="00994B82">
        <w:t xml:space="preserve">that, </w:t>
      </w:r>
      <w:r w:rsidRPr="00994B82">
        <w:rPr>
          <w:i/>
          <w:iCs/>
        </w:rPr>
        <w:t>de facto</w:t>
      </w:r>
      <w:r w:rsidRPr="00994B82">
        <w:t>, it would be necessary to show a change of circumstances. Any such</w:t>
      </w:r>
      <w:r w:rsidR="005C48F4">
        <w:t xml:space="preserve"> </w:t>
      </w:r>
      <w:r w:rsidRPr="00994B82">
        <w:t>necessity would be imposed by the twin public law requirements that decisions be made</w:t>
      </w:r>
      <w:r w:rsidR="005C48F4">
        <w:t xml:space="preserve"> </w:t>
      </w:r>
      <w:r w:rsidRPr="00994B82">
        <w:t>in good faith and that they have proper regard to the relevant facts.</w:t>
      </w:r>
      <w:r w:rsidR="005C48F4">
        <w:rPr>
          <w:rStyle w:val="FootnoteReference"/>
        </w:rPr>
        <w:footnoteReference w:id="20"/>
      </w:r>
    </w:p>
    <w:p w:rsidR="00994B82" w:rsidRPr="00994B82" w:rsidRDefault="00994B82" w:rsidP="005C48F4">
      <w:pPr>
        <w:ind w:left="567" w:right="521"/>
      </w:pPr>
      <w:r w:rsidRPr="00994B82">
        <w:t>(</w:t>
      </w:r>
      <w:proofErr w:type="gramStart"/>
      <w:r w:rsidRPr="00994B82">
        <w:t>bb</w:t>
      </w:r>
      <w:proofErr w:type="gramEnd"/>
      <w:r w:rsidRPr="00994B82">
        <w:t xml:space="preserve">) Not only a recent MHRT decision, but also, often, </w:t>
      </w:r>
      <w:proofErr w:type="gramStart"/>
      <w:r w:rsidRPr="00994B82">
        <w:t>one that was “not so recent” would</w:t>
      </w:r>
      <w:proofErr w:type="gramEnd"/>
      <w:r w:rsidR="005C48F4">
        <w:t xml:space="preserve"> </w:t>
      </w:r>
      <w:r w:rsidRPr="00994B82">
        <w:t>have to be taken into account as a relevant fact.</w:t>
      </w:r>
      <w:r w:rsidR="005C48F4">
        <w:rPr>
          <w:rStyle w:val="FootnoteReference"/>
        </w:rPr>
        <w:footnoteReference w:id="21"/>
      </w:r>
    </w:p>
    <w:p w:rsidR="00994B82" w:rsidRPr="00994B82" w:rsidRDefault="00994B82" w:rsidP="005C48F4">
      <w:pPr>
        <w:ind w:left="567" w:right="521"/>
      </w:pPr>
      <w:r w:rsidRPr="00994B82">
        <w:t>(cc) The failure by those involved in the process of admission – by implication, both the</w:t>
      </w:r>
      <w:r w:rsidR="005C48F4">
        <w:t xml:space="preserve"> </w:t>
      </w:r>
      <w:r w:rsidRPr="00994B82">
        <w:t>doctors and the ASW – to take a recent or “not-so-recent” MHRT decision into account</w:t>
      </w:r>
      <w:r w:rsidR="005C48F4">
        <w:t xml:space="preserve"> </w:t>
      </w:r>
      <w:r w:rsidRPr="00994B82">
        <w:t>would “vitiate a subsequent decision to seek admission”,</w:t>
      </w:r>
      <w:r w:rsidR="005C48F4">
        <w:rPr>
          <w:rStyle w:val="FootnoteReference"/>
        </w:rPr>
        <w:footnoteReference w:id="22"/>
      </w:r>
      <w:r w:rsidRPr="00994B82">
        <w:t xml:space="preserve"> even where they were unaware</w:t>
      </w:r>
      <w:r w:rsidR="005C48F4">
        <w:t xml:space="preserve"> </w:t>
      </w:r>
      <w:r w:rsidRPr="00994B82">
        <w:t>of that earlier decision.</w:t>
      </w:r>
    </w:p>
    <w:p w:rsidR="00994B82" w:rsidRPr="00994B82" w:rsidRDefault="00994B82" w:rsidP="005C48F4">
      <w:pPr>
        <w:ind w:left="567" w:right="521"/>
      </w:pPr>
      <w:r w:rsidRPr="00994B82">
        <w:lastRenderedPageBreak/>
        <w:t>(</w:t>
      </w:r>
      <w:proofErr w:type="spellStart"/>
      <w:proofErr w:type="gramStart"/>
      <w:r w:rsidRPr="00994B82">
        <w:t>dd</w:t>
      </w:r>
      <w:proofErr w:type="spellEnd"/>
      <w:proofErr w:type="gramEnd"/>
      <w:r w:rsidRPr="00994B82">
        <w:t>) It would be unlawful for either an ASW or a recommending doctor to take steps towards</w:t>
      </w:r>
      <w:r w:rsidR="005C48F4">
        <w:t xml:space="preserve"> </w:t>
      </w:r>
      <w:r w:rsidRPr="00994B82">
        <w:t>a patient’s admission under MHA 1983, “if [s/he] believes that a mental health review</w:t>
      </w:r>
      <w:r w:rsidR="005C48F4">
        <w:t xml:space="preserve"> </w:t>
      </w:r>
      <w:r w:rsidRPr="00994B82">
        <w:t>tribunal will thereupon order the patient’s discharge”.</w:t>
      </w:r>
      <w:r w:rsidR="005C48F4">
        <w:rPr>
          <w:rStyle w:val="FootnoteReference"/>
        </w:rPr>
        <w:footnoteReference w:id="23"/>
      </w:r>
    </w:p>
    <w:p w:rsidR="00994B82" w:rsidRPr="00994B82" w:rsidRDefault="00994B82" w:rsidP="00994B82">
      <w:proofErr w:type="spellStart"/>
      <w:r w:rsidRPr="00994B82">
        <w:t>Sedley</w:t>
      </w:r>
      <w:proofErr w:type="spellEnd"/>
      <w:r w:rsidRPr="00994B82">
        <w:t xml:space="preserve"> LJ concluded by articulating the relevant principle as follows:</w:t>
      </w:r>
    </w:p>
    <w:p w:rsidR="00994B82" w:rsidRPr="00994B82" w:rsidRDefault="00994B82" w:rsidP="005C48F4">
      <w:pPr>
        <w:ind w:left="567" w:right="521"/>
      </w:pPr>
      <w:r w:rsidRPr="00994B82">
        <w:rPr>
          <w:i/>
          <w:iCs/>
        </w:rPr>
        <w:t>“[A] recent [MHRT] decision to discharge a patient, if the circumstances have not appreciably</w:t>
      </w:r>
      <w:r w:rsidR="005C48F4">
        <w:rPr>
          <w:i/>
          <w:iCs/>
        </w:rPr>
        <w:t xml:space="preserve"> </w:t>
      </w:r>
      <w:r w:rsidRPr="00994B82">
        <w:rPr>
          <w:i/>
          <w:iCs/>
        </w:rPr>
        <w:t>changed, must be accorded very great weight if the second decision is not to be perceived as an illicit</w:t>
      </w:r>
      <w:r w:rsidR="005C48F4">
        <w:rPr>
          <w:i/>
          <w:iCs/>
        </w:rPr>
        <w:t xml:space="preserve"> </w:t>
      </w:r>
      <w:r w:rsidRPr="00994B82">
        <w:rPr>
          <w:i/>
          <w:iCs/>
        </w:rPr>
        <w:t>over-ruling of the first. Put another way, there will have to be a convincing reason, in such a case, for</w:t>
      </w:r>
      <w:r w:rsidR="005C48F4">
        <w:rPr>
          <w:i/>
          <w:iCs/>
        </w:rPr>
        <w:t xml:space="preserve"> </w:t>
      </w:r>
      <w:r w:rsidRPr="00994B82">
        <w:rPr>
          <w:i/>
          <w:iCs/>
        </w:rPr>
        <w:t>re-admission. … [Those concerned in a section 3 application] must have due regard to [the MHRT</w:t>
      </w:r>
      <w:r w:rsidR="005C48F4">
        <w:rPr>
          <w:i/>
          <w:iCs/>
        </w:rPr>
        <w:t xml:space="preserve"> </w:t>
      </w:r>
      <w:r w:rsidRPr="00994B82">
        <w:rPr>
          <w:i/>
          <w:iCs/>
        </w:rPr>
        <w:t>decision] for what it is: the ruling of a body with duties and powers analogous to those of a court, taken</w:t>
      </w:r>
      <w:r w:rsidR="005C48F4">
        <w:rPr>
          <w:i/>
          <w:iCs/>
        </w:rPr>
        <w:t xml:space="preserve"> </w:t>
      </w:r>
      <w:r w:rsidRPr="00994B82">
        <w:rPr>
          <w:i/>
          <w:iCs/>
        </w:rPr>
        <w:t>at an ascertainable date on ascertainable evidence.”</w:t>
      </w:r>
      <w:r w:rsidR="005C48F4">
        <w:rPr>
          <w:rStyle w:val="FootnoteReference"/>
          <w:i/>
          <w:iCs/>
        </w:rPr>
        <w:footnoteReference w:id="24"/>
      </w:r>
    </w:p>
    <w:p w:rsidR="00994B82" w:rsidRDefault="00994B82" w:rsidP="00994B82">
      <w:r w:rsidRPr="00994B82">
        <w:t>He said this was “particularly so” if the United Kingdom was to respect its obligations under the</w:t>
      </w:r>
      <w:r w:rsidR="005C48F4">
        <w:t xml:space="preserve"> </w:t>
      </w:r>
      <w:r w:rsidRPr="00994B82">
        <w:t>European Convention on Human Rights (‘ECHR’) (although he didn’t articulate precisely why this</w:t>
      </w:r>
      <w:r w:rsidR="005C48F4">
        <w:t xml:space="preserve"> </w:t>
      </w:r>
      <w:r w:rsidRPr="00994B82">
        <w:t>was so), but he found that “neither the Act nor the Convention inhibits the detention by a proper</w:t>
      </w:r>
      <w:r w:rsidR="005C48F4">
        <w:t xml:space="preserve"> </w:t>
      </w:r>
      <w:r w:rsidRPr="00994B82">
        <w:t>decision-making process of those who, although recently discharged, have deteriorated or whose</w:t>
      </w:r>
      <w:r w:rsidR="005C48F4">
        <w:t xml:space="preserve"> </w:t>
      </w:r>
      <w:r w:rsidRPr="00994B82">
        <w:t>mental well-being otherwise requires admission. The second decision must be approached with an</w:t>
      </w:r>
      <w:r w:rsidR="005C48F4">
        <w:t xml:space="preserve"> </w:t>
      </w:r>
      <w:r w:rsidRPr="00994B82">
        <w:t>open mind, but it is not necessarily going to be written on a clean slate.”</w:t>
      </w:r>
      <w:r w:rsidR="005C48F4">
        <w:rPr>
          <w:rStyle w:val="FootnoteReference"/>
        </w:rPr>
        <w:footnoteReference w:id="25"/>
      </w:r>
    </w:p>
    <w:p w:rsidR="005C48F4" w:rsidRDefault="005C48F4" w:rsidP="00994B82"/>
    <w:p w:rsidR="005C48F4" w:rsidRPr="005C48F4" w:rsidRDefault="005C48F4" w:rsidP="005C48F4">
      <w:pPr>
        <w:rPr>
          <w:b/>
          <w:bCs/>
          <w:sz w:val="24"/>
        </w:rPr>
      </w:pPr>
      <w:r w:rsidRPr="005C48F4">
        <w:rPr>
          <w:b/>
          <w:bCs/>
          <w:sz w:val="24"/>
        </w:rPr>
        <w:t>THEIR LORDSHIPS’ JUDGMENT</w:t>
      </w:r>
    </w:p>
    <w:p w:rsidR="005C48F4" w:rsidRPr="005C48F4" w:rsidRDefault="005C48F4" w:rsidP="005C48F4">
      <w:r w:rsidRPr="005C48F4">
        <w:t>In the House of Lords, the only substantive speech was delivered by Lord Bingham. He said that,</w:t>
      </w:r>
      <w:r>
        <w:t xml:space="preserve"> </w:t>
      </w:r>
      <w:r w:rsidRPr="005C48F4">
        <w:t>though it was “narrow”, the question at issue in this case was one of “practical importance”.</w:t>
      </w:r>
      <w:r>
        <w:rPr>
          <w:rStyle w:val="FootnoteReference"/>
        </w:rPr>
        <w:footnoteReference w:id="26"/>
      </w:r>
      <w:r>
        <w:t xml:space="preserve"> </w:t>
      </w:r>
      <w:r w:rsidRPr="005C48F4">
        <w:t>First, Lord Bingham set out four over-riding principles.</w:t>
      </w:r>
    </w:p>
    <w:p w:rsidR="005C48F4" w:rsidRPr="005C48F4" w:rsidRDefault="005C48F4" w:rsidP="005C48F4">
      <w:pPr>
        <w:rPr>
          <w:b/>
          <w:bCs/>
        </w:rPr>
      </w:pPr>
      <w:r w:rsidRPr="005C48F4">
        <w:rPr>
          <w:b/>
          <w:bCs/>
        </w:rPr>
        <w:t>(a) Over-riding principles</w:t>
      </w:r>
    </w:p>
    <w:p w:rsidR="005C48F4" w:rsidRPr="005C48F4" w:rsidRDefault="005C48F4" w:rsidP="005C48F4">
      <w:r w:rsidRPr="005C48F4">
        <w:t>Lord Bingham noted that:</w:t>
      </w:r>
    </w:p>
    <w:p w:rsidR="005C48F4" w:rsidRPr="005C48F4" w:rsidRDefault="005C48F4" w:rsidP="005C48F4">
      <w:pPr>
        <w:ind w:left="567" w:right="521"/>
      </w:pPr>
      <w:r w:rsidRPr="005C48F4">
        <w:rPr>
          <w:i/>
          <w:iCs/>
        </w:rPr>
        <w:t>“The common law respects and protects the personal freedom of the individual, which may not be</w:t>
      </w:r>
      <w:r>
        <w:rPr>
          <w:i/>
          <w:iCs/>
        </w:rPr>
        <w:t xml:space="preserve"> </w:t>
      </w:r>
      <w:r w:rsidRPr="005C48F4">
        <w:rPr>
          <w:i/>
          <w:iCs/>
        </w:rPr>
        <w:t>curtailed save for a reason and in circumstances sanctioned by the law of the land.”</w:t>
      </w:r>
      <w:r>
        <w:rPr>
          <w:rStyle w:val="FootnoteReference"/>
          <w:i/>
          <w:iCs/>
        </w:rPr>
        <w:footnoteReference w:id="27"/>
      </w:r>
    </w:p>
    <w:p w:rsidR="005C48F4" w:rsidRPr="005C48F4" w:rsidRDefault="005C48F4" w:rsidP="005C48F4">
      <w:r w:rsidRPr="005C48F4">
        <w:t>This principle, he said, is “reflected in, but does not depend on” Article 5(1) of the ECHR. In fact,</w:t>
      </w:r>
      <w:r>
        <w:t xml:space="preserve"> </w:t>
      </w:r>
      <w:r w:rsidRPr="005C48F4">
        <w:t>it may also be found in the Magna Carta of 1215, which states, in part:</w:t>
      </w:r>
    </w:p>
    <w:p w:rsidR="005C48F4" w:rsidRPr="005C48F4" w:rsidRDefault="005C48F4" w:rsidP="005C48F4">
      <w:pPr>
        <w:ind w:left="567" w:right="521"/>
      </w:pPr>
      <w:r w:rsidRPr="005C48F4">
        <w:rPr>
          <w:i/>
          <w:iCs/>
        </w:rPr>
        <w:t>“No freeman shall be taken or imprisoned or disseised or exiled or in any way destroyed, nor will we go</w:t>
      </w:r>
      <w:r>
        <w:rPr>
          <w:i/>
          <w:iCs/>
        </w:rPr>
        <w:t xml:space="preserve"> </w:t>
      </w:r>
      <w:r w:rsidRPr="005C48F4">
        <w:rPr>
          <w:i/>
          <w:iCs/>
        </w:rPr>
        <w:t>upon him nor send upon him, except by the lawful judgment of his peers or by the law of the land.”</w:t>
      </w:r>
      <w:r>
        <w:rPr>
          <w:rStyle w:val="FootnoteReference"/>
          <w:i/>
          <w:iCs/>
        </w:rPr>
        <w:footnoteReference w:id="28"/>
      </w:r>
    </w:p>
    <w:p w:rsidR="005C48F4" w:rsidRPr="005C48F4" w:rsidRDefault="005C48F4" w:rsidP="005C48F4">
      <w:r w:rsidRPr="005C48F4">
        <w:lastRenderedPageBreak/>
        <w:t>However, in his second overriding principle, Lord Bingham noted that in some circumstances the</w:t>
      </w:r>
      <w:r>
        <w:t xml:space="preserve"> </w:t>
      </w:r>
      <w:r w:rsidRPr="005C48F4">
        <w:t>right to personal freedom might lawfully be limited on the basis of the health or safety of the</w:t>
      </w:r>
      <w:r>
        <w:t xml:space="preserve"> </w:t>
      </w:r>
      <w:r w:rsidRPr="005C48F4">
        <w:t>patient or for the protection of others.</w:t>
      </w:r>
      <w:r>
        <w:rPr>
          <w:rStyle w:val="FootnoteReference"/>
        </w:rPr>
        <w:footnoteReference w:id="29"/>
      </w:r>
      <w:r w:rsidRPr="005C48F4">
        <w:t xml:space="preserve"> This was recognised by Article 5(1</w:t>
      </w:r>
      <w:proofErr w:type="gramStart"/>
      <w:r w:rsidRPr="005C48F4">
        <w:t>)(</w:t>
      </w:r>
      <w:proofErr w:type="gramEnd"/>
      <w:r w:rsidRPr="005C48F4">
        <w:t>e) of the ECHR, which</w:t>
      </w:r>
      <w:r>
        <w:t xml:space="preserve"> </w:t>
      </w:r>
      <w:r w:rsidRPr="005C48F4">
        <w:t>states:</w:t>
      </w:r>
    </w:p>
    <w:p w:rsidR="005C48F4" w:rsidRPr="005C48F4" w:rsidRDefault="005C48F4" w:rsidP="005C48F4">
      <w:pPr>
        <w:rPr>
          <w:i/>
          <w:iCs/>
        </w:rPr>
      </w:pPr>
      <w:r w:rsidRPr="005C48F4">
        <w:rPr>
          <w:i/>
          <w:iCs/>
        </w:rPr>
        <w:t xml:space="preserve">“(1) </w:t>
      </w:r>
      <w:proofErr w:type="gramStart"/>
      <w:r w:rsidRPr="005C48F4">
        <w:rPr>
          <w:i/>
          <w:iCs/>
        </w:rPr>
        <w:t>Everyone</w:t>
      </w:r>
      <w:proofErr w:type="gramEnd"/>
      <w:r w:rsidRPr="005C48F4">
        <w:rPr>
          <w:i/>
          <w:iCs/>
        </w:rPr>
        <w:t xml:space="preserve"> has the right to liberty and security of person. No one shall be deprived of his liberty save</w:t>
      </w:r>
      <w:r>
        <w:rPr>
          <w:i/>
          <w:iCs/>
        </w:rPr>
        <w:t xml:space="preserve"> </w:t>
      </w:r>
      <w:r w:rsidRPr="005C48F4">
        <w:rPr>
          <w:i/>
          <w:iCs/>
        </w:rPr>
        <w:t>in the following cases and in accordance with a procedure prescribed by law:</w:t>
      </w:r>
    </w:p>
    <w:p w:rsidR="005C48F4" w:rsidRPr="005C48F4" w:rsidRDefault="005C48F4" w:rsidP="005C48F4">
      <w:pPr>
        <w:rPr>
          <w:i/>
          <w:iCs/>
        </w:rPr>
      </w:pPr>
      <w:r w:rsidRPr="005C48F4">
        <w:rPr>
          <w:i/>
          <w:iCs/>
        </w:rPr>
        <w:t>[…]</w:t>
      </w:r>
    </w:p>
    <w:p w:rsidR="005C48F4" w:rsidRPr="005C48F4" w:rsidRDefault="005C48F4" w:rsidP="005C48F4">
      <w:pPr>
        <w:rPr>
          <w:i/>
          <w:iCs/>
        </w:rPr>
      </w:pPr>
      <w:r w:rsidRPr="005C48F4">
        <w:rPr>
          <w:i/>
          <w:iCs/>
        </w:rPr>
        <w:t xml:space="preserve">(e) </w:t>
      </w:r>
      <w:proofErr w:type="gramStart"/>
      <w:r w:rsidRPr="005C48F4">
        <w:rPr>
          <w:i/>
          <w:iCs/>
        </w:rPr>
        <w:t>the</w:t>
      </w:r>
      <w:proofErr w:type="gramEnd"/>
      <w:r w:rsidRPr="005C48F4">
        <w:rPr>
          <w:i/>
          <w:iCs/>
        </w:rPr>
        <w:t xml:space="preserve"> lawful detention of persons for the prevention of the spreading of infectious diseases, of persons</w:t>
      </w:r>
      <w:r>
        <w:rPr>
          <w:i/>
          <w:iCs/>
        </w:rPr>
        <w:t xml:space="preserve"> </w:t>
      </w:r>
      <w:r w:rsidRPr="005C48F4">
        <w:rPr>
          <w:i/>
          <w:iCs/>
        </w:rPr>
        <w:t>of unsound mind, alcoholics or drug addicts or vagrants.”</w:t>
      </w:r>
    </w:p>
    <w:p w:rsidR="005C48F4" w:rsidRPr="005C48F4" w:rsidRDefault="005C48F4" w:rsidP="005C48F4">
      <w:r w:rsidRPr="005C48F4">
        <w:t xml:space="preserve">This, His Lordship said, was the underpinning </w:t>
      </w:r>
      <w:proofErr w:type="gramStart"/>
      <w:r w:rsidRPr="005C48F4">
        <w:t>for,</w:t>
      </w:r>
      <w:proofErr w:type="gramEnd"/>
      <w:r w:rsidRPr="005C48F4">
        <w:t xml:space="preserve"> </w:t>
      </w:r>
      <w:r w:rsidRPr="005C48F4">
        <w:rPr>
          <w:i/>
          <w:iCs/>
        </w:rPr>
        <w:t>inter alia</w:t>
      </w:r>
      <w:r w:rsidRPr="005C48F4">
        <w:t>, MHA 1983, sections 2, 3 and 4.</w:t>
      </w:r>
    </w:p>
    <w:p w:rsidR="005C48F4" w:rsidRPr="005C48F4" w:rsidRDefault="005C48F4" w:rsidP="005C48F4">
      <w:r w:rsidRPr="005C48F4">
        <w:t>Third, a detained person had the right to take proceedings to test the lawfulness of his detention,</w:t>
      </w:r>
      <w:r>
        <w:t xml:space="preserve"> </w:t>
      </w:r>
      <w:r w:rsidRPr="005C48F4">
        <w:t>as set out in Article 5(4) of the ECHR and provided for in the MHA 1983 by section 72(1)(which</w:t>
      </w:r>
      <w:r>
        <w:t xml:space="preserve"> </w:t>
      </w:r>
      <w:r w:rsidRPr="005C48F4">
        <w:t>gave the MHRT a carefully conscribed power of discharge).</w:t>
      </w:r>
    </w:p>
    <w:p w:rsidR="005C48F4" w:rsidRPr="005C48F4" w:rsidRDefault="005C48F4" w:rsidP="005C48F4">
      <w:r w:rsidRPr="005C48F4">
        <w:t>Fourth, the rule of law required that the decisions of legally constituted courts and tribunals</w:t>
      </w:r>
      <w:r>
        <w:t xml:space="preserve"> </w:t>
      </w:r>
      <w:r w:rsidRPr="005C48F4">
        <w:t>should be respected. As the domestic courts had already held that the MHRT was a ‘court’ to</w:t>
      </w:r>
      <w:r>
        <w:t xml:space="preserve"> </w:t>
      </w:r>
      <w:r w:rsidRPr="005C48F4">
        <w:t>which the law of contempt would apply,</w:t>
      </w:r>
      <w:r>
        <w:rPr>
          <w:rStyle w:val="FootnoteReference"/>
        </w:rPr>
        <w:footnoteReference w:id="30"/>
      </w:r>
      <w:r w:rsidRPr="005C48F4">
        <w:t xml:space="preserve"> it necessarily followed that “no one may knowingly act</w:t>
      </w:r>
      <w:r>
        <w:t xml:space="preserve"> </w:t>
      </w:r>
      <w:r w:rsidRPr="005C48F4">
        <w:t>in a way which has the object of nullifying or setting at nought the decision of such a tribunal”.</w:t>
      </w:r>
      <w:r>
        <w:rPr>
          <w:rStyle w:val="FootnoteReference"/>
        </w:rPr>
        <w:footnoteReference w:id="31"/>
      </w:r>
      <w:r>
        <w:t xml:space="preserve"> </w:t>
      </w:r>
      <w:r w:rsidRPr="005C48F4">
        <w:t>Thus, those making applications for admission must give proper effect to tribunal decisions for</w:t>
      </w:r>
      <w:r>
        <w:t xml:space="preserve"> </w:t>
      </w:r>
      <w:r w:rsidRPr="005C48F4">
        <w:t>what they decide. An application for admission could not be based upon mere disagreement.</w:t>
      </w:r>
      <w:r>
        <w:rPr>
          <w:rStyle w:val="FootnoteReference"/>
        </w:rPr>
        <w:footnoteReference w:id="32"/>
      </w:r>
    </w:p>
    <w:p w:rsidR="005C48F4" w:rsidRDefault="005C48F4" w:rsidP="005C48F4">
      <w:r w:rsidRPr="005C48F4">
        <w:t>Having completed his statement of over-riding principles, Lord Bingham turned to several</w:t>
      </w:r>
      <w:r>
        <w:t xml:space="preserve"> </w:t>
      </w:r>
      <w:r w:rsidRPr="005C48F4">
        <w:t>important considerations.</w:t>
      </w:r>
    </w:p>
    <w:p w:rsidR="000D68AC" w:rsidRPr="000D68AC" w:rsidRDefault="000D68AC" w:rsidP="000D68AC">
      <w:pPr>
        <w:rPr>
          <w:b/>
          <w:bCs/>
        </w:rPr>
      </w:pPr>
      <w:r w:rsidRPr="000D68AC">
        <w:rPr>
          <w:b/>
          <w:bCs/>
        </w:rPr>
        <w:t>(b) Important considerations</w:t>
      </w:r>
    </w:p>
    <w:p w:rsidR="000D68AC" w:rsidRPr="000D68AC" w:rsidRDefault="000D68AC" w:rsidP="000D68AC">
      <w:r w:rsidRPr="000D68AC">
        <w:t>Lord Bingham said that the exercise of clinical judgment – whether as to diagnosis or treatment (or,</w:t>
      </w:r>
      <w:r>
        <w:t xml:space="preserve"> </w:t>
      </w:r>
      <w:r w:rsidRPr="000D68AC">
        <w:t xml:space="preserve">implicit in this, as to </w:t>
      </w:r>
      <w:r w:rsidRPr="000D68AC">
        <w:rPr>
          <w:i/>
          <w:iCs/>
        </w:rPr>
        <w:t>risk</w:t>
      </w:r>
      <w:r w:rsidRPr="000D68AC">
        <w:t>) – is rarely capable of scientific verification, so that “[t]here will often be</w:t>
      </w:r>
      <w:r>
        <w:t xml:space="preserve"> </w:t>
      </w:r>
      <w:r w:rsidRPr="000D68AC">
        <w:t xml:space="preserve">room for a </w:t>
      </w:r>
      <w:r w:rsidRPr="000D68AC">
        <w:rPr>
          <w:i/>
          <w:iCs/>
        </w:rPr>
        <w:t xml:space="preserve">bona fide </w:t>
      </w:r>
      <w:r w:rsidRPr="000D68AC">
        <w:t>difference of professional opinion”.</w:t>
      </w:r>
      <w:r>
        <w:rPr>
          <w:rStyle w:val="FootnoteReference"/>
        </w:rPr>
        <w:footnoteReference w:id="33"/>
      </w:r>
      <w:r w:rsidRPr="000D68AC">
        <w:t xml:space="preserve"> He noted the following words of the</w:t>
      </w:r>
      <w:r>
        <w:t xml:space="preserve"> </w:t>
      </w:r>
      <w:r w:rsidRPr="000D68AC">
        <w:t xml:space="preserve">European Court of Human Rights in </w:t>
      </w:r>
      <w:r w:rsidRPr="000D68AC">
        <w:rPr>
          <w:i/>
          <w:iCs/>
        </w:rPr>
        <w:t>Johnson v United Kingdom</w:t>
      </w:r>
      <w:r w:rsidRPr="000D68AC">
        <w:t>:</w:t>
      </w:r>
    </w:p>
    <w:p w:rsidR="000D68AC" w:rsidRPr="000D68AC" w:rsidRDefault="000D68AC" w:rsidP="000D68AC">
      <w:pPr>
        <w:ind w:left="567" w:right="521"/>
      </w:pPr>
      <w:r w:rsidRPr="000D68AC">
        <w:rPr>
          <w:i/>
          <w:iCs/>
        </w:rPr>
        <w:t>“It must also be observed that in the field of mental illness the assessment as to whether the</w:t>
      </w:r>
      <w:r>
        <w:rPr>
          <w:i/>
          <w:iCs/>
        </w:rPr>
        <w:t xml:space="preserve"> </w:t>
      </w:r>
      <w:r w:rsidRPr="000D68AC">
        <w:rPr>
          <w:i/>
          <w:iCs/>
        </w:rPr>
        <w:t>disappearance of the symptoms of the illness is confirmation of complete recovery is not an exact</w:t>
      </w:r>
      <w:r>
        <w:rPr>
          <w:i/>
          <w:iCs/>
        </w:rPr>
        <w:t xml:space="preserve"> </w:t>
      </w:r>
      <w:r w:rsidRPr="000D68AC">
        <w:rPr>
          <w:i/>
          <w:iCs/>
        </w:rPr>
        <w:t>science.”</w:t>
      </w:r>
      <w:r>
        <w:rPr>
          <w:rStyle w:val="FootnoteReference"/>
          <w:i/>
          <w:iCs/>
        </w:rPr>
        <w:footnoteReference w:id="34"/>
      </w:r>
    </w:p>
    <w:p w:rsidR="000D68AC" w:rsidRPr="000D68AC" w:rsidRDefault="000D68AC" w:rsidP="000D68AC">
      <w:r w:rsidRPr="000D68AC">
        <w:t>Further, Lord Bingham noted that where someone is suffering from mental disorder his/her</w:t>
      </w:r>
      <w:r>
        <w:t xml:space="preserve"> </w:t>
      </w:r>
      <w:r w:rsidRPr="000D68AC">
        <w:t>condition might not be static. Thus:</w:t>
      </w:r>
    </w:p>
    <w:p w:rsidR="000D68AC" w:rsidRPr="000D68AC" w:rsidRDefault="000D68AC" w:rsidP="000D68AC">
      <w:pPr>
        <w:ind w:left="567" w:right="521"/>
      </w:pPr>
      <w:r w:rsidRPr="000D68AC">
        <w:rPr>
          <w:i/>
          <w:iCs/>
        </w:rPr>
        <w:lastRenderedPageBreak/>
        <w:t xml:space="preserve">“It does not follow that a tribunal decision, however sound when made, will remain so. </w:t>
      </w:r>
      <w:proofErr w:type="gramStart"/>
      <w:r w:rsidRPr="000D68AC">
        <w:rPr>
          <w:i/>
          <w:iCs/>
        </w:rPr>
        <w:t>Other things</w:t>
      </w:r>
      <w:r>
        <w:rPr>
          <w:i/>
          <w:iCs/>
        </w:rPr>
        <w:t xml:space="preserve"> </w:t>
      </w:r>
      <w:r w:rsidRPr="000D68AC">
        <w:rPr>
          <w:i/>
          <w:iCs/>
        </w:rPr>
        <w:t>being equal, the longer the period since the decision was made, the greater the chance that the patient’s</w:t>
      </w:r>
      <w:r>
        <w:rPr>
          <w:i/>
          <w:iCs/>
        </w:rPr>
        <w:t xml:space="preserve"> </w:t>
      </w:r>
      <w:r w:rsidRPr="000D68AC">
        <w:rPr>
          <w:i/>
          <w:iCs/>
        </w:rPr>
        <w:t>mental condition may have altered, whether for better or worse.”</w:t>
      </w:r>
      <w:proofErr w:type="gramEnd"/>
      <w:r>
        <w:rPr>
          <w:rStyle w:val="FootnoteReference"/>
          <w:i/>
          <w:iCs/>
        </w:rPr>
        <w:footnoteReference w:id="35"/>
      </w:r>
    </w:p>
    <w:p w:rsidR="000D68AC" w:rsidRPr="000D68AC" w:rsidRDefault="000D68AC" w:rsidP="000D68AC">
      <w:r w:rsidRPr="000D68AC">
        <w:t>Moreover, by reason of the statutory language at MHA 1983, section 72(1) – namely, that its focus</w:t>
      </w:r>
      <w:r>
        <w:t xml:space="preserve"> </w:t>
      </w:r>
      <w:r w:rsidRPr="000D68AC">
        <w:t>must be on the mental disorder or mental illness (if any) from which the patient is “then” suffering</w:t>
      </w:r>
      <w:r>
        <w:t xml:space="preserve"> </w:t>
      </w:r>
      <w:r w:rsidRPr="000D68AC">
        <w:t>– the MHRT must consider the patient’s condition at the time of the hearing (and cannot consider</w:t>
      </w:r>
      <w:r>
        <w:t xml:space="preserve"> </w:t>
      </w:r>
      <w:r w:rsidRPr="000D68AC">
        <w:t>the validity of the initial decision to detain).</w:t>
      </w:r>
      <w:r>
        <w:rPr>
          <w:rStyle w:val="FootnoteReference"/>
        </w:rPr>
        <w:footnoteReference w:id="36"/>
      </w:r>
      <w:r w:rsidRPr="000D68AC">
        <w:t xml:space="preserve"> When determining this issue, and in considering</w:t>
      </w:r>
      <w:r>
        <w:t xml:space="preserve"> </w:t>
      </w:r>
      <w:r w:rsidRPr="000D68AC">
        <w:t>matters such as health, safety and public protection, the MHRT “cannot ignore the foreseeable</w:t>
      </w:r>
      <w:r>
        <w:t xml:space="preserve"> </w:t>
      </w:r>
      <w:r w:rsidRPr="000D68AC">
        <w:t>future consequences of discharge”. However, it:</w:t>
      </w:r>
    </w:p>
    <w:p w:rsidR="000D68AC" w:rsidRPr="000D68AC" w:rsidRDefault="000D68AC" w:rsidP="000D68AC">
      <w:pPr>
        <w:ind w:left="567" w:right="521"/>
      </w:pPr>
      <w:r w:rsidRPr="000D68AC">
        <w:rPr>
          <w:i/>
          <w:iCs/>
        </w:rPr>
        <w:t>“[…] is not called upon to make an assessment which will remain accurate indefinitely or for any given</w:t>
      </w:r>
      <w:r>
        <w:rPr>
          <w:i/>
          <w:iCs/>
        </w:rPr>
        <w:t xml:space="preserve"> </w:t>
      </w:r>
      <w:r w:rsidRPr="000D68AC">
        <w:rPr>
          <w:i/>
          <w:iCs/>
        </w:rPr>
        <w:t>period of time.”</w:t>
      </w:r>
      <w:r>
        <w:rPr>
          <w:rStyle w:val="FootnoteReference"/>
          <w:i/>
          <w:iCs/>
        </w:rPr>
        <w:footnoteReference w:id="37"/>
      </w:r>
    </w:p>
    <w:p w:rsidR="000D68AC" w:rsidRPr="000D68AC" w:rsidRDefault="000D68AC" w:rsidP="000D68AC">
      <w:r w:rsidRPr="000D68AC">
        <w:t xml:space="preserve">Lord Bingham said that, </w:t>
      </w:r>
      <w:r w:rsidRPr="000D68AC">
        <w:rPr>
          <w:i/>
          <w:iCs/>
        </w:rPr>
        <w:t xml:space="preserve">ex </w:t>
      </w:r>
      <w:proofErr w:type="spellStart"/>
      <w:r w:rsidRPr="000D68AC">
        <w:rPr>
          <w:i/>
          <w:iCs/>
        </w:rPr>
        <w:t>hypothesi</w:t>
      </w:r>
      <w:proofErr w:type="spellEnd"/>
      <w:r w:rsidRPr="000D68AC">
        <w:t>, the cases that the MHRT was required to consider would be</w:t>
      </w:r>
      <w:r>
        <w:t xml:space="preserve"> </w:t>
      </w:r>
      <w:r w:rsidRPr="000D68AC">
        <w:t>those of patients whom their doctors believed should continue to be detained. If it were otherwise,</w:t>
      </w:r>
      <w:r>
        <w:t xml:space="preserve"> </w:t>
      </w:r>
      <w:r w:rsidRPr="000D68AC">
        <w:t>the doctors would themselves have ordered discharge (assuming that, like Count Von</w:t>
      </w:r>
      <w:r>
        <w:t xml:space="preserve"> </w:t>
      </w:r>
      <w:r w:rsidRPr="000D68AC">
        <w:t>Brandenburg, the patients were not subject to restrictions). Therefore, a MHRT decision to</w:t>
      </w:r>
      <w:r>
        <w:t xml:space="preserve"> </w:t>
      </w:r>
      <w:r w:rsidRPr="000D68AC">
        <w:t>discharge a patient from detention would probably imply that the opinion of the patient’s RMO</w:t>
      </w:r>
      <w:r>
        <w:t xml:space="preserve"> </w:t>
      </w:r>
      <w:r w:rsidRPr="000D68AC">
        <w:t>had not been accepted. This might give a conscientious doctor room for pause, and s/he might wish</w:t>
      </w:r>
      <w:r>
        <w:t xml:space="preserve"> </w:t>
      </w:r>
      <w:r w:rsidRPr="000D68AC">
        <w:t>to consider whether to revise his/her opinion. However, s/he “cannot be obliged to suppress or</w:t>
      </w:r>
      <w:r>
        <w:t xml:space="preserve"> </w:t>
      </w:r>
      <w:r w:rsidRPr="000D68AC">
        <w:t>alter it”. This was because:</w:t>
      </w:r>
    </w:p>
    <w:p w:rsidR="000D68AC" w:rsidRPr="000D68AC" w:rsidRDefault="000D68AC" w:rsidP="000D68AC">
      <w:pPr>
        <w:ind w:left="567" w:right="521"/>
      </w:pPr>
      <w:r w:rsidRPr="000D68AC">
        <w:rPr>
          <w:i/>
          <w:iCs/>
        </w:rPr>
        <w:t xml:space="preserve">“His [sic] professional </w:t>
      </w:r>
      <w:proofErr w:type="gramStart"/>
      <w:r w:rsidRPr="000D68AC">
        <w:rPr>
          <w:i/>
          <w:iCs/>
        </w:rPr>
        <w:t>duty to his patient, and his wider duty to the public, require</w:t>
      </w:r>
      <w:proofErr w:type="gramEnd"/>
      <w:r w:rsidRPr="000D68AC">
        <w:rPr>
          <w:i/>
          <w:iCs/>
        </w:rPr>
        <w:t xml:space="preserve"> him to form, and if</w:t>
      </w:r>
      <w:r>
        <w:rPr>
          <w:i/>
          <w:iCs/>
        </w:rPr>
        <w:t xml:space="preserve"> </w:t>
      </w:r>
      <w:r w:rsidRPr="000D68AC">
        <w:rPr>
          <w:i/>
          <w:iCs/>
        </w:rPr>
        <w:t>called upon express, the best professional judgment he can, whether or not that coincides with the</w:t>
      </w:r>
      <w:r>
        <w:rPr>
          <w:i/>
          <w:iCs/>
        </w:rPr>
        <w:t xml:space="preserve"> </w:t>
      </w:r>
      <w:r w:rsidRPr="000D68AC">
        <w:rPr>
          <w:i/>
          <w:iCs/>
        </w:rPr>
        <w:t>judgment of the tribunal.”</w:t>
      </w:r>
      <w:r>
        <w:rPr>
          <w:rStyle w:val="FootnoteReference"/>
          <w:i/>
          <w:iCs/>
        </w:rPr>
        <w:footnoteReference w:id="38"/>
      </w:r>
    </w:p>
    <w:p w:rsidR="00331025" w:rsidRPr="00331025" w:rsidRDefault="000D68AC" w:rsidP="00331025">
      <w:r w:rsidRPr="000D68AC">
        <w:t>This finding is, of course, central to the issue determined in the appeal. Lord Bingham found that</w:t>
      </w:r>
      <w:r>
        <w:t xml:space="preserve"> </w:t>
      </w:r>
      <w:r w:rsidRPr="000D68AC">
        <w:t>a conscientious doctor, properly directing her/himself, is entitled to maintain his/her clinical</w:t>
      </w:r>
      <w:r>
        <w:t xml:space="preserve"> </w:t>
      </w:r>
      <w:r w:rsidRPr="000D68AC">
        <w:t>opinion in the face of disagreement from the MHRT, and is entitled to complete a medical</w:t>
      </w:r>
      <w:r>
        <w:t xml:space="preserve"> </w:t>
      </w:r>
      <w:r w:rsidRPr="000D68AC">
        <w:t>recommendation for admission based upon that opinion. This maintains the principle of clinical</w:t>
      </w:r>
      <w:r>
        <w:t xml:space="preserve"> </w:t>
      </w:r>
      <w:r w:rsidRPr="000D68AC">
        <w:t>freedom, and relies upon a fundamental acceptance that doctors expressing clinical opinions</w:t>
      </w:r>
      <w:r w:rsidR="00331025">
        <w:t xml:space="preserve"> </w:t>
      </w:r>
      <w:r w:rsidR="00331025" w:rsidRPr="00331025">
        <w:t>cannot be constrained from uttering those opinions, even where a Court has reached a different</w:t>
      </w:r>
      <w:r w:rsidR="00331025">
        <w:t xml:space="preserve"> </w:t>
      </w:r>
      <w:r w:rsidR="00331025" w:rsidRPr="00331025">
        <w:t>conclusion on the facts of the particular case.</w:t>
      </w:r>
    </w:p>
    <w:p w:rsidR="00331025" w:rsidRPr="00331025" w:rsidRDefault="00331025" w:rsidP="00331025">
      <w:r w:rsidRPr="00331025">
        <w:t>The practical significance of this finding is that, in any consideration of the lawfulness of a</w:t>
      </w:r>
      <w:r>
        <w:t xml:space="preserve"> </w:t>
      </w:r>
      <w:r w:rsidRPr="00331025">
        <w:t>readmission following an MHRT decision to discharge, then, absent bad faith or some other error</w:t>
      </w:r>
      <w:r>
        <w:t xml:space="preserve"> </w:t>
      </w:r>
      <w:r w:rsidRPr="00331025">
        <w:t>of law, it shifts focus away from the doctors and towards the ASW.</w:t>
      </w:r>
    </w:p>
    <w:p w:rsidR="00331025" w:rsidRPr="00331025" w:rsidRDefault="00331025" w:rsidP="00331025">
      <w:r w:rsidRPr="00331025">
        <w:t>The last of Lord Bingham’s important considerations arose out of MHA 1983, section 13(1) and</w:t>
      </w:r>
      <w:r>
        <w:t xml:space="preserve"> </w:t>
      </w:r>
      <w:r w:rsidRPr="00331025">
        <w:t>(2), which he said must be taken into account. They state:</w:t>
      </w:r>
    </w:p>
    <w:p w:rsidR="00331025" w:rsidRPr="00331025" w:rsidRDefault="00331025" w:rsidP="00331025">
      <w:pPr>
        <w:ind w:left="567" w:right="521"/>
        <w:rPr>
          <w:i/>
          <w:iCs/>
        </w:rPr>
      </w:pPr>
      <w:r w:rsidRPr="00331025">
        <w:rPr>
          <w:i/>
          <w:iCs/>
        </w:rPr>
        <w:t>“(1) It shall be the duty of an approved social worker to make an application for admission to hospital</w:t>
      </w:r>
      <w:r>
        <w:rPr>
          <w:i/>
          <w:iCs/>
        </w:rPr>
        <w:t xml:space="preserve"> </w:t>
      </w:r>
      <w:r w:rsidRPr="00331025">
        <w:rPr>
          <w:i/>
          <w:iCs/>
        </w:rPr>
        <w:t xml:space="preserve">or a guardianship application in respect of a patient within the </w:t>
      </w:r>
      <w:r w:rsidRPr="00331025">
        <w:rPr>
          <w:i/>
          <w:iCs/>
        </w:rPr>
        <w:lastRenderedPageBreak/>
        <w:t>area of the local social services</w:t>
      </w:r>
      <w:r>
        <w:rPr>
          <w:i/>
          <w:iCs/>
        </w:rPr>
        <w:t xml:space="preserve"> </w:t>
      </w:r>
      <w:r w:rsidRPr="00331025">
        <w:rPr>
          <w:i/>
          <w:iCs/>
        </w:rPr>
        <w:t>authority by which that officer is appointed in any case where he is satisfied that such an application</w:t>
      </w:r>
      <w:r>
        <w:rPr>
          <w:i/>
          <w:iCs/>
        </w:rPr>
        <w:t xml:space="preserve"> </w:t>
      </w:r>
      <w:r w:rsidRPr="00331025">
        <w:rPr>
          <w:i/>
          <w:iCs/>
        </w:rPr>
        <w:t>ought to be made and is of the opinion, having regard to any wishes expressed by relatives of the patient</w:t>
      </w:r>
      <w:r>
        <w:rPr>
          <w:i/>
          <w:iCs/>
        </w:rPr>
        <w:t xml:space="preserve"> </w:t>
      </w:r>
      <w:r w:rsidRPr="00331025">
        <w:rPr>
          <w:i/>
          <w:iCs/>
        </w:rPr>
        <w:t>or any other relevant circumstances, that it is necessary or proper for the application to be made by him.</w:t>
      </w:r>
    </w:p>
    <w:p w:rsidR="00331025" w:rsidRPr="00331025" w:rsidRDefault="00331025" w:rsidP="00331025">
      <w:pPr>
        <w:ind w:left="567" w:right="521"/>
        <w:rPr>
          <w:i/>
          <w:iCs/>
        </w:rPr>
      </w:pPr>
      <w:r w:rsidRPr="00331025">
        <w:rPr>
          <w:i/>
          <w:iCs/>
        </w:rPr>
        <w:t>“(2) Before making an application for the admission of a patient to hospital an approved social worker</w:t>
      </w:r>
      <w:r>
        <w:rPr>
          <w:i/>
          <w:iCs/>
        </w:rPr>
        <w:t xml:space="preserve"> </w:t>
      </w:r>
      <w:r w:rsidRPr="00331025">
        <w:rPr>
          <w:i/>
          <w:iCs/>
        </w:rPr>
        <w:t>shall interview the patient in a suitable manner and satisfy himself that detention in a hospital is in all</w:t>
      </w:r>
      <w:r>
        <w:rPr>
          <w:i/>
          <w:iCs/>
        </w:rPr>
        <w:t xml:space="preserve"> </w:t>
      </w:r>
      <w:r w:rsidRPr="00331025">
        <w:rPr>
          <w:i/>
          <w:iCs/>
        </w:rPr>
        <w:t>the circumstances of the case the most appropriate way of providing the care and medical treatment of</w:t>
      </w:r>
      <w:r>
        <w:rPr>
          <w:i/>
          <w:iCs/>
        </w:rPr>
        <w:t xml:space="preserve"> </w:t>
      </w:r>
      <w:r w:rsidRPr="00331025">
        <w:rPr>
          <w:i/>
          <w:iCs/>
        </w:rPr>
        <w:t>which the patient stands in need.”</w:t>
      </w:r>
    </w:p>
    <w:p w:rsidR="00331025" w:rsidRPr="00331025" w:rsidRDefault="00331025" w:rsidP="00331025">
      <w:r w:rsidRPr="00331025">
        <w:t>This led Lord Bingham to conclude:</w:t>
      </w:r>
    </w:p>
    <w:p w:rsidR="00331025" w:rsidRPr="00331025" w:rsidRDefault="00331025" w:rsidP="00331025">
      <w:pPr>
        <w:ind w:left="567" w:right="403"/>
      </w:pPr>
      <w:r w:rsidRPr="00331025">
        <w:rPr>
          <w:i/>
          <w:iCs/>
        </w:rPr>
        <w:t>“It is plainly of importance that the ASW is subject to a statutory duty to apply for the admission of a</w:t>
      </w:r>
      <w:r>
        <w:rPr>
          <w:i/>
          <w:iCs/>
        </w:rPr>
        <w:t xml:space="preserve"> </w:t>
      </w:r>
      <w:r w:rsidRPr="00331025">
        <w:rPr>
          <w:i/>
          <w:iCs/>
        </w:rPr>
        <w:t>patient where he is satisfied that such an application ought to be made and is of the opinion</w:t>
      </w:r>
      <w:r>
        <w:rPr>
          <w:i/>
          <w:iCs/>
        </w:rPr>
        <w:t xml:space="preserve"> </w:t>
      </w:r>
      <w:r w:rsidRPr="00331025">
        <w:rPr>
          <w:i/>
          <w:iCs/>
        </w:rPr>
        <w:t>specified.”</w:t>
      </w:r>
      <w:r>
        <w:rPr>
          <w:rStyle w:val="FootnoteReference"/>
          <w:i/>
          <w:iCs/>
        </w:rPr>
        <w:footnoteReference w:id="39"/>
      </w:r>
    </w:p>
    <w:p w:rsidR="00331025" w:rsidRPr="00331025" w:rsidRDefault="00331025" w:rsidP="00331025">
      <w:pPr>
        <w:rPr>
          <w:b/>
          <w:bCs/>
        </w:rPr>
      </w:pPr>
      <w:r w:rsidRPr="00331025">
        <w:rPr>
          <w:b/>
          <w:bCs/>
        </w:rPr>
        <w:t>(c) Lord Bingham’s conclusion</w:t>
      </w:r>
    </w:p>
    <w:p w:rsidR="00331025" w:rsidRPr="00331025" w:rsidRDefault="00331025" w:rsidP="00331025">
      <w:r w:rsidRPr="00331025">
        <w:t>Although he put it differently himself, Lord Bingham’s conclusion was that the appeal should fail.</w:t>
      </w:r>
      <w:r>
        <w:t xml:space="preserve"> </w:t>
      </w:r>
      <w:r w:rsidRPr="00331025">
        <w:t>He reached this conclusion without relying in any way upon the ECHR.</w:t>
      </w:r>
      <w:r>
        <w:rPr>
          <w:rStyle w:val="FootnoteReference"/>
        </w:rPr>
        <w:footnoteReference w:id="40"/>
      </w:r>
    </w:p>
    <w:p w:rsidR="00331025" w:rsidRPr="00331025" w:rsidRDefault="00331025" w:rsidP="00331025">
      <w:r w:rsidRPr="00331025">
        <w:t>In resolving the central question in the appeal, Lord Bingham set out the following test:</w:t>
      </w:r>
    </w:p>
    <w:p w:rsidR="00331025" w:rsidRPr="00331025" w:rsidRDefault="00331025" w:rsidP="00331025">
      <w:pPr>
        <w:ind w:left="567" w:right="403"/>
      </w:pPr>
      <w:r w:rsidRPr="00331025">
        <w:rPr>
          <w:i/>
          <w:iCs/>
        </w:rPr>
        <w:t>“[A]n ASW may not lawfully apply for the admission of a patient whose discharge has been ordered</w:t>
      </w:r>
      <w:r>
        <w:rPr>
          <w:i/>
          <w:iCs/>
        </w:rPr>
        <w:t xml:space="preserve"> </w:t>
      </w:r>
      <w:r w:rsidRPr="00331025">
        <w:rPr>
          <w:i/>
          <w:iCs/>
        </w:rPr>
        <w:t>by the decision of a mental health review tribunal of which the ASW is aware unless the ASW has</w:t>
      </w:r>
      <w:r>
        <w:rPr>
          <w:i/>
          <w:iCs/>
        </w:rPr>
        <w:t xml:space="preserve"> </w:t>
      </w:r>
      <w:r w:rsidRPr="00331025">
        <w:rPr>
          <w:i/>
          <w:iCs/>
        </w:rPr>
        <w:t>formed the reasonable and bona fide opinion that he has information not known to the tribunal which</w:t>
      </w:r>
      <w:r>
        <w:rPr>
          <w:i/>
          <w:iCs/>
        </w:rPr>
        <w:t xml:space="preserve"> </w:t>
      </w:r>
      <w:r w:rsidRPr="00331025">
        <w:rPr>
          <w:i/>
          <w:iCs/>
        </w:rPr>
        <w:t>puts a significantly different complexion on the case as compared with that which was before the</w:t>
      </w:r>
      <w:r>
        <w:rPr>
          <w:i/>
          <w:iCs/>
        </w:rPr>
        <w:t xml:space="preserve"> </w:t>
      </w:r>
      <w:r w:rsidRPr="00331025">
        <w:rPr>
          <w:i/>
          <w:iCs/>
        </w:rPr>
        <w:t>tribunal.”</w:t>
      </w:r>
      <w:r w:rsidR="00A23E73">
        <w:rPr>
          <w:rStyle w:val="FootnoteReference"/>
          <w:i/>
          <w:iCs/>
        </w:rPr>
        <w:footnoteReference w:id="41"/>
      </w:r>
    </w:p>
    <w:p w:rsidR="000D68AC" w:rsidRDefault="00331025" w:rsidP="00331025">
      <w:r w:rsidRPr="00331025">
        <w:t>In his judgment there was no broad obligation upon the ASW to make enquiries as to the existence</w:t>
      </w:r>
      <w:r>
        <w:t xml:space="preserve"> </w:t>
      </w:r>
      <w:r w:rsidRPr="00331025">
        <w:t>of an earlier MHRT decision. Unless there were exceptional circumstances or the facts were</w:t>
      </w:r>
      <w:r>
        <w:t xml:space="preserve"> </w:t>
      </w:r>
      <w:r w:rsidRPr="00331025">
        <w:t>already well known to him/her, an ASW would simply be obliged to enquire into the patient’s</w:t>
      </w:r>
      <w:r>
        <w:t xml:space="preserve"> </w:t>
      </w:r>
      <w:r w:rsidRPr="00331025">
        <w:t>background and medical history, and to consult those doctors who had pertinent information to</w:t>
      </w:r>
      <w:r>
        <w:t xml:space="preserve"> </w:t>
      </w:r>
      <w:r w:rsidRPr="00331025">
        <w:t>give. This obligation was implicit in MHA 1983, section 13. If, by these means, the ASW learned</w:t>
      </w:r>
      <w:r>
        <w:t xml:space="preserve"> </w:t>
      </w:r>
      <w:r w:rsidRPr="00331025">
        <w:t>of an earlier MHRT decision, s/he would no doubt wish to know the reasons for it. However, if</w:t>
      </w:r>
      <w:r>
        <w:t xml:space="preserve"> </w:t>
      </w:r>
      <w:r w:rsidRPr="00331025">
        <w:t>s/he did not become so aware, s/he could not be subject to a more wide-reaching duty of enquiry.</w:t>
      </w:r>
      <w:r>
        <w:t xml:space="preserve"> </w:t>
      </w:r>
      <w:r w:rsidRPr="00331025">
        <w:t xml:space="preserve">Thus, Lord Bingham rejected </w:t>
      </w:r>
      <w:proofErr w:type="spellStart"/>
      <w:r w:rsidRPr="00331025">
        <w:t>Sedley</w:t>
      </w:r>
      <w:proofErr w:type="spellEnd"/>
      <w:r w:rsidRPr="00331025">
        <w:t xml:space="preserve"> LJ’s conclusion that an admission decision could be invalid</w:t>
      </w:r>
      <w:r>
        <w:t xml:space="preserve"> </w:t>
      </w:r>
      <w:r w:rsidRPr="00331025">
        <w:t>even where those responsible were not aware of the earlier MHRT decision.</w:t>
      </w:r>
      <w:r w:rsidR="00A23E73">
        <w:rPr>
          <w:rStyle w:val="FootnoteReference"/>
        </w:rPr>
        <w:footnoteReference w:id="42"/>
      </w:r>
    </w:p>
    <w:p w:rsidR="00EC4349" w:rsidRPr="00EC4349" w:rsidRDefault="00EC4349" w:rsidP="00EC4349">
      <w:r w:rsidRPr="00EC4349">
        <w:t>Lord Bingham set out three hypothetical examples in which the ASW – or the nearest relative –</w:t>
      </w:r>
      <w:r>
        <w:t xml:space="preserve"> </w:t>
      </w:r>
      <w:r w:rsidRPr="00EC4349">
        <w:t>might lawfully apply for a patient’s re-admission under MHA 1983:</w:t>
      </w:r>
      <w:r w:rsidR="00DA0202">
        <w:rPr>
          <w:rStyle w:val="FootnoteReference"/>
        </w:rPr>
        <w:footnoteReference w:id="43"/>
      </w:r>
    </w:p>
    <w:p w:rsidR="00EC4349" w:rsidRDefault="00EC4349" w:rsidP="00EC4349">
      <w:pPr>
        <w:pStyle w:val="ListParagraph"/>
        <w:numPr>
          <w:ilvl w:val="0"/>
          <w:numId w:val="1"/>
        </w:numPr>
      </w:pPr>
      <w:r w:rsidRPr="00EC4349">
        <w:lastRenderedPageBreak/>
        <w:t>The issue before the MHRT was whether the patient would harm himself if he were</w:t>
      </w:r>
      <w:r>
        <w:t xml:space="preserve"> </w:t>
      </w:r>
      <w:r w:rsidRPr="00EC4349">
        <w:t>discharged. According to the evidence it heard, the MHRT discounted that possibility and</w:t>
      </w:r>
      <w:r>
        <w:t xml:space="preserve"> </w:t>
      </w:r>
      <w:r w:rsidRPr="00EC4349">
        <w:t>discharged the patient. However, after the hearing, the ASW learns that the patient had</w:t>
      </w:r>
      <w:r>
        <w:t xml:space="preserve"> </w:t>
      </w:r>
      <w:r w:rsidRPr="00EC4349">
        <w:t>previously made a determined attempt on his own life. This information was not known</w:t>
      </w:r>
      <w:r>
        <w:t xml:space="preserve"> </w:t>
      </w:r>
      <w:r w:rsidRPr="00EC4349">
        <w:t>to the ASW or the doctors, or, therefore, to the MHRT.</w:t>
      </w:r>
    </w:p>
    <w:p w:rsidR="00EC4349" w:rsidRDefault="00EC4349" w:rsidP="00EC4349">
      <w:pPr>
        <w:pStyle w:val="ListParagraph"/>
        <w:numPr>
          <w:ilvl w:val="0"/>
          <w:numId w:val="1"/>
        </w:numPr>
      </w:pPr>
      <w:r w:rsidRPr="00EC4349">
        <w:t>The MHRT was persuaded by the patient’s assurance that he would continue to take his</w:t>
      </w:r>
      <w:r>
        <w:t xml:space="preserve"> </w:t>
      </w:r>
      <w:r w:rsidRPr="00EC4349">
        <w:t>prescribed medication, and decided to discharge him where it would not have done so if</w:t>
      </w:r>
      <w:r>
        <w:t xml:space="preserve"> </w:t>
      </w:r>
      <w:r w:rsidRPr="00EC4349">
        <w:t>that assurance had not been given. The patient subsequently refuses to take his</w:t>
      </w:r>
      <w:r>
        <w:t xml:space="preserve"> </w:t>
      </w:r>
      <w:r w:rsidRPr="00EC4349">
        <w:t>medication (or indicates that he will refuse in future).</w:t>
      </w:r>
    </w:p>
    <w:p w:rsidR="00EC4349" w:rsidRPr="00EC4349" w:rsidRDefault="00EC4349" w:rsidP="00EC4349">
      <w:pPr>
        <w:pStyle w:val="ListParagraph"/>
        <w:numPr>
          <w:ilvl w:val="0"/>
          <w:numId w:val="1"/>
        </w:numPr>
      </w:pPr>
      <w:r w:rsidRPr="00EC4349">
        <w:t>After a MHRT hearing, the patient’s mental condition “significantly deteriorates, so as to</w:t>
      </w:r>
      <w:r>
        <w:t xml:space="preserve"> </w:t>
      </w:r>
      <w:r w:rsidRPr="00EC4349">
        <w:t>present a degree of risk or require treatment or supervision not evident at the hearing”.</w:t>
      </w:r>
      <w:r>
        <w:t xml:space="preserve"> </w:t>
      </w:r>
      <w:r w:rsidRPr="00EC4349">
        <w:t xml:space="preserve">(This was essentially the position encountered by the professionals in </w:t>
      </w:r>
      <w:r w:rsidRPr="00EC4349">
        <w:rPr>
          <w:i/>
          <w:iCs/>
        </w:rPr>
        <w:t>R (H) v Oxfordshire Mental Healthcare NHS Trust</w:t>
      </w:r>
      <w:r w:rsidRPr="00EC4349">
        <w:t>,</w:t>
      </w:r>
      <w:r w:rsidR="00DA0202">
        <w:rPr>
          <w:rStyle w:val="FootnoteReference"/>
        </w:rPr>
        <w:footnoteReference w:id="44"/>
      </w:r>
      <w:r w:rsidRPr="00EC4349">
        <w:t xml:space="preserve"> in which, having applied the Court of Appeal’s test in </w:t>
      </w:r>
      <w:r w:rsidRPr="00EC4349">
        <w:rPr>
          <w:i/>
          <w:iCs/>
        </w:rPr>
        <w:t>Von Brandenburg</w:t>
      </w:r>
      <w:r w:rsidRPr="00EC4349">
        <w:t>, Sullivan J held the patient’s re-detention to be lawful.</w:t>
      </w:r>
      <w:r w:rsidR="00DA0202">
        <w:rPr>
          <w:rStyle w:val="FootnoteReference"/>
        </w:rPr>
        <w:footnoteReference w:id="45"/>
      </w:r>
      <w:r w:rsidRPr="00EC4349">
        <w:t>)</w:t>
      </w:r>
    </w:p>
    <w:p w:rsidR="00EC4349" w:rsidRPr="00EC4349" w:rsidRDefault="00EC4349" w:rsidP="00EC4349">
      <w:r w:rsidRPr="00EC4349">
        <w:t>On the issue of the reasons that must be given to a patient, Lord Bingham felt it was necessary to</w:t>
      </w:r>
      <w:r>
        <w:t xml:space="preserve"> </w:t>
      </w:r>
      <w:r w:rsidRPr="00EC4349">
        <w:t>distinguish between the obligations of the relevant professionals. First, he dealt with the doctors:</w:t>
      </w:r>
    </w:p>
    <w:p w:rsidR="00EC4349" w:rsidRPr="00EC4349" w:rsidRDefault="00EC4349" w:rsidP="00EC4349">
      <w:pPr>
        <w:ind w:left="567" w:right="403"/>
      </w:pPr>
      <w:r w:rsidRPr="00EC4349">
        <w:rPr>
          <w:i/>
          <w:iCs/>
        </w:rPr>
        <w:t>“Whilst it will doubtless be helpful if a medical recommendation identifies any new information on</w:t>
      </w:r>
      <w:r>
        <w:rPr>
          <w:i/>
          <w:iCs/>
        </w:rPr>
        <w:t xml:space="preserve"> </w:t>
      </w:r>
      <w:r w:rsidRPr="00EC4349">
        <w:rPr>
          <w:i/>
          <w:iCs/>
        </w:rPr>
        <w:t>which it is based, a recommending doctor is not in my opinion required to do more than express his or</w:t>
      </w:r>
      <w:r>
        <w:rPr>
          <w:i/>
          <w:iCs/>
        </w:rPr>
        <w:t xml:space="preserve"> </w:t>
      </w:r>
      <w:r w:rsidRPr="00EC4349">
        <w:rPr>
          <w:i/>
          <w:iCs/>
        </w:rPr>
        <w:t>best professional opinion.”</w:t>
      </w:r>
      <w:r w:rsidR="00DA0202">
        <w:rPr>
          <w:rStyle w:val="FootnoteReference"/>
          <w:i/>
          <w:iCs/>
        </w:rPr>
        <w:footnoteReference w:id="46"/>
      </w:r>
    </w:p>
    <w:p w:rsidR="00EC4349" w:rsidRPr="00EC4349" w:rsidRDefault="00EC4349" w:rsidP="00EC4349">
      <w:r w:rsidRPr="00EC4349">
        <w:t>However, because the decision of a MHRT should be respected, the duty imposed upon the ASW</w:t>
      </w:r>
      <w:r w:rsidR="00DA0202">
        <w:t xml:space="preserve"> </w:t>
      </w:r>
      <w:r w:rsidRPr="00EC4349">
        <w:t>would be more onerous, if only slightly so:</w:t>
      </w:r>
    </w:p>
    <w:p w:rsidR="00EC4349" w:rsidRPr="00EC4349" w:rsidRDefault="00EC4349" w:rsidP="00EC4349">
      <w:r w:rsidRPr="00EC4349">
        <w:rPr>
          <w:i/>
          <w:iCs/>
        </w:rPr>
        <w:t>“[A] patient should be informed why an earlier tribunal decision is not thought to govern his case if an</w:t>
      </w:r>
      <w:r w:rsidR="00DA0202">
        <w:rPr>
          <w:i/>
          <w:iCs/>
        </w:rPr>
        <w:t xml:space="preserve"> </w:t>
      </w:r>
      <w:r w:rsidRPr="00EC4349">
        <w:rPr>
          <w:i/>
          <w:iCs/>
        </w:rPr>
        <w:t>application for admission is made by an ASW inconsistent in effect with the earlier decision.”</w:t>
      </w:r>
      <w:r w:rsidR="00DA0202">
        <w:rPr>
          <w:rStyle w:val="FootnoteReference"/>
          <w:i/>
          <w:iCs/>
        </w:rPr>
        <w:footnoteReference w:id="47"/>
      </w:r>
    </w:p>
    <w:p w:rsidR="00EC4349" w:rsidRPr="00EC4349" w:rsidRDefault="00EC4349" w:rsidP="00EC4349">
      <w:r w:rsidRPr="00EC4349">
        <w:t>Nevertheless, even this duty would be a limited one, and the ASW could not be required to make</w:t>
      </w:r>
      <w:r w:rsidR="00DA0202">
        <w:t xml:space="preserve"> </w:t>
      </w:r>
      <w:r w:rsidRPr="00EC4349">
        <w:t>a disclosure that would be harmful to the patient or others. (This might be so, for example, where</w:t>
      </w:r>
      <w:r w:rsidR="00DA0202">
        <w:t xml:space="preserve"> </w:t>
      </w:r>
      <w:r w:rsidRPr="00EC4349">
        <w:t>the decision to re-detain was based on information obtained from a relative of the patient or from</w:t>
      </w:r>
      <w:r w:rsidR="00DA0202">
        <w:t xml:space="preserve"> </w:t>
      </w:r>
      <w:r w:rsidRPr="00EC4349">
        <w:t>a doctor with whom s/he has “a continuing and trusting relationship”.</w:t>
      </w:r>
      <w:r w:rsidR="00DA0202">
        <w:rPr>
          <w:rStyle w:val="FootnoteReference"/>
        </w:rPr>
        <w:footnoteReference w:id="48"/>
      </w:r>
      <w:r w:rsidRPr="00EC4349">
        <w:t>) Therefore, “it may be</w:t>
      </w:r>
      <w:r w:rsidR="00DA0202">
        <w:t xml:space="preserve"> </w:t>
      </w:r>
      <w:r w:rsidRPr="00EC4349">
        <w:t>necessary for the ASW to give reasons in very general terms”.</w:t>
      </w:r>
      <w:r w:rsidR="00DA0202">
        <w:rPr>
          <w:rStyle w:val="FootnoteReference"/>
        </w:rPr>
        <w:footnoteReference w:id="49"/>
      </w:r>
      <w:r w:rsidRPr="00EC4349">
        <w:t xml:space="preserve"> In setting out the limits of the</w:t>
      </w:r>
      <w:r w:rsidR="00DA0202">
        <w:t xml:space="preserve"> </w:t>
      </w:r>
      <w:r w:rsidRPr="00EC4349">
        <w:t>obligations imposed, respectively, upon doctors and upon social workers, Their Lordships’</w:t>
      </w:r>
      <w:r w:rsidR="00DA0202">
        <w:t xml:space="preserve"> </w:t>
      </w:r>
      <w:r w:rsidRPr="00EC4349">
        <w:t>judgment remedies one of the uncertainties arising from the Court of Appeal judgment that was</w:t>
      </w:r>
      <w:r w:rsidR="00DA0202">
        <w:t xml:space="preserve"> </w:t>
      </w:r>
      <w:r w:rsidRPr="00EC4349">
        <w:t>identified by Stern and Hewitt.</w:t>
      </w:r>
      <w:r w:rsidR="00DA0202">
        <w:rPr>
          <w:rStyle w:val="FootnoteReference"/>
        </w:rPr>
        <w:footnoteReference w:id="50"/>
      </w:r>
    </w:p>
    <w:p w:rsidR="00DA0202" w:rsidRPr="00DA0202" w:rsidRDefault="00EC4349" w:rsidP="00DA0202">
      <w:r w:rsidRPr="00EC4349">
        <w:t>Lord Bingham said that the Court of Appeal might have allowed the patient’s appeal. Although he</w:t>
      </w:r>
      <w:r w:rsidR="00DA0202">
        <w:t xml:space="preserve"> </w:t>
      </w:r>
      <w:r w:rsidRPr="00EC4349">
        <w:t>hadn’t managed to establish the ‘change of circumstances’ test, he had modified the “somewhat</w:t>
      </w:r>
      <w:r w:rsidR="00DA0202">
        <w:t xml:space="preserve"> </w:t>
      </w:r>
      <w:r w:rsidR="00DA0202" w:rsidRPr="00DA0202">
        <w:t>inflexible rule that had been applied” at first instance (which had been borrowed from Laws J in</w:t>
      </w:r>
      <w:r w:rsidR="00DA0202">
        <w:t xml:space="preserve"> </w:t>
      </w:r>
      <w:r w:rsidR="00DA0202" w:rsidRPr="00DA0202">
        <w:rPr>
          <w:i/>
          <w:iCs/>
        </w:rPr>
        <w:t xml:space="preserve">Ex </w:t>
      </w:r>
      <w:r w:rsidR="00DA0202" w:rsidRPr="00DA0202">
        <w:rPr>
          <w:i/>
          <w:iCs/>
        </w:rPr>
        <w:lastRenderedPageBreak/>
        <w:t>parte M</w:t>
      </w:r>
      <w:r w:rsidR="00DA0202">
        <w:rPr>
          <w:rStyle w:val="FootnoteReference"/>
          <w:i/>
          <w:iCs/>
        </w:rPr>
        <w:footnoteReference w:id="51"/>
      </w:r>
      <w:r w:rsidR="00DA0202" w:rsidRPr="00DA0202">
        <w:t>). However, Lord Bingham added that the patient “has gained little by his appeal to the</w:t>
      </w:r>
      <w:r w:rsidR="00DA0202">
        <w:t xml:space="preserve"> </w:t>
      </w:r>
      <w:r w:rsidR="00DA0202" w:rsidRPr="00DA0202">
        <w:t>House”.</w:t>
      </w:r>
      <w:r w:rsidR="00DA0202">
        <w:rPr>
          <w:rStyle w:val="FootnoteReference"/>
        </w:rPr>
        <w:footnoteReference w:id="52"/>
      </w:r>
    </w:p>
    <w:p w:rsidR="00DA0202" w:rsidRPr="00DA0202" w:rsidRDefault="00DA0202" w:rsidP="00DA0202">
      <w:r w:rsidRPr="00DA0202">
        <w:t>Finally, Lord Bingham noted that neither the Administrative Court nor the Court of Appeal had</w:t>
      </w:r>
      <w:r>
        <w:t xml:space="preserve"> </w:t>
      </w:r>
      <w:r w:rsidRPr="00DA0202">
        <w:t>been able to consider the facts of this case, and to resolve certain disputes between the parties.</w:t>
      </w:r>
      <w:r>
        <w:t xml:space="preserve"> </w:t>
      </w:r>
      <w:r w:rsidRPr="00DA0202">
        <w:t>However, Their Lordships had seen certain untested witness statements, which, according to Lord</w:t>
      </w:r>
      <w:r>
        <w:t xml:space="preserve"> </w:t>
      </w:r>
      <w:r w:rsidRPr="00DA0202">
        <w:t>Bingham, suggested that the decision to re-detain this patient would have fallen within the test set</w:t>
      </w:r>
      <w:r>
        <w:t xml:space="preserve"> </w:t>
      </w:r>
      <w:r w:rsidRPr="00DA0202">
        <w:t xml:space="preserve">out here, and </w:t>
      </w:r>
      <w:r w:rsidRPr="00DA0202">
        <w:rPr>
          <w:i/>
          <w:iCs/>
        </w:rPr>
        <w:t xml:space="preserve">would </w:t>
      </w:r>
      <w:r w:rsidRPr="00DA0202">
        <w:t>therefore have been lawful.</w:t>
      </w:r>
    </w:p>
    <w:p w:rsidR="00DA0202" w:rsidRDefault="00DA0202" w:rsidP="00DA0202">
      <w:pPr>
        <w:rPr>
          <w:b/>
          <w:bCs/>
        </w:rPr>
      </w:pPr>
    </w:p>
    <w:p w:rsidR="00DA0202" w:rsidRPr="00DA0202" w:rsidRDefault="00DA0202" w:rsidP="00DA0202">
      <w:pPr>
        <w:rPr>
          <w:b/>
          <w:bCs/>
          <w:sz w:val="24"/>
        </w:rPr>
      </w:pPr>
      <w:r w:rsidRPr="00DA0202">
        <w:rPr>
          <w:b/>
          <w:bCs/>
          <w:sz w:val="24"/>
        </w:rPr>
        <w:t>DISCUSSION</w:t>
      </w:r>
    </w:p>
    <w:p w:rsidR="00DA0202" w:rsidRPr="00DA0202" w:rsidRDefault="00DA0202" w:rsidP="00DA0202">
      <w:pPr>
        <w:rPr>
          <w:b/>
          <w:bCs/>
        </w:rPr>
      </w:pPr>
      <w:r w:rsidRPr="00DA0202">
        <w:rPr>
          <w:b/>
          <w:bCs/>
        </w:rPr>
        <w:t>(1) Practical lessons</w:t>
      </w:r>
    </w:p>
    <w:p w:rsidR="00DA0202" w:rsidRPr="00DA0202" w:rsidRDefault="00DA0202" w:rsidP="00DA0202">
      <w:r w:rsidRPr="00DA0202">
        <w:t xml:space="preserve">The decision of the House of Lords in </w:t>
      </w:r>
      <w:r w:rsidRPr="00DA0202">
        <w:rPr>
          <w:i/>
          <w:iCs/>
        </w:rPr>
        <w:t xml:space="preserve">Von Brandenburg </w:t>
      </w:r>
      <w:r w:rsidRPr="00DA0202">
        <w:t>certainly gives practitioners more clarity.</w:t>
      </w:r>
      <w:r>
        <w:t xml:space="preserve"> </w:t>
      </w:r>
      <w:r w:rsidRPr="00DA0202">
        <w:t>It is probably now true to say that where a patient has been discharged by a MHRT, his/her</w:t>
      </w:r>
      <w:r>
        <w:t xml:space="preserve"> </w:t>
      </w:r>
      <w:r w:rsidRPr="00DA0202">
        <w:t>subsequent re-detention is lawful where:</w:t>
      </w:r>
    </w:p>
    <w:p w:rsidR="00DA0202" w:rsidRPr="00DA0202" w:rsidRDefault="00DA0202" w:rsidP="00DA0202">
      <w:pPr>
        <w:pStyle w:val="ListParagraph"/>
        <w:numPr>
          <w:ilvl w:val="0"/>
          <w:numId w:val="2"/>
        </w:numPr>
      </w:pPr>
      <w:r w:rsidRPr="00DA0202">
        <w:t>the ASW has information not known to the MHRT which puts a significantly different</w:t>
      </w:r>
      <w:r>
        <w:t xml:space="preserve"> </w:t>
      </w:r>
      <w:r w:rsidRPr="00DA0202">
        <w:t>complexion on the case as compared with that which was before the MHRT; and</w:t>
      </w:r>
      <w:r>
        <w:t xml:space="preserve"> </w:t>
      </w:r>
      <w:r w:rsidRPr="00DA0202">
        <w:t>the ASW informs the patient in broad terms of this conclusion (subject of course to the</w:t>
      </w:r>
      <w:r>
        <w:t xml:space="preserve"> </w:t>
      </w:r>
      <w:r w:rsidRPr="00DA0202">
        <w:t>overriding duty on the ASW not to make any potentially harmful disclosure);</w:t>
      </w:r>
    </w:p>
    <w:p w:rsidR="00DA0202" w:rsidRPr="00DA0202" w:rsidRDefault="00DA0202" w:rsidP="00DA0202">
      <w:pPr>
        <w:ind w:left="567"/>
      </w:pPr>
      <w:proofErr w:type="gramStart"/>
      <w:r w:rsidRPr="00DA0202">
        <w:t>or</w:t>
      </w:r>
      <w:proofErr w:type="gramEnd"/>
    </w:p>
    <w:p w:rsidR="00DA0202" w:rsidRPr="00DA0202" w:rsidRDefault="00DA0202" w:rsidP="00DA0202">
      <w:pPr>
        <w:pStyle w:val="ListParagraph"/>
        <w:numPr>
          <w:ilvl w:val="0"/>
          <w:numId w:val="2"/>
        </w:numPr>
      </w:pPr>
      <w:proofErr w:type="gramStart"/>
      <w:r w:rsidRPr="00DA0202">
        <w:t>having</w:t>
      </w:r>
      <w:proofErr w:type="gramEnd"/>
      <w:r w:rsidRPr="00DA0202">
        <w:t xml:space="preserve"> fulfilled the MHA 1983, section 13(2) duty, the ASW is unaware of the tribunal</w:t>
      </w:r>
      <w:r>
        <w:t xml:space="preserve"> </w:t>
      </w:r>
      <w:r w:rsidRPr="00DA0202">
        <w:t>discharge.</w:t>
      </w:r>
    </w:p>
    <w:p w:rsidR="00DA0202" w:rsidRPr="00DA0202" w:rsidRDefault="00DA0202" w:rsidP="00DA0202">
      <w:r w:rsidRPr="00DA0202">
        <w:t>There is no requirement that either the recommending doctors’ or the hospital managers’ decisions</w:t>
      </w:r>
      <w:r>
        <w:t xml:space="preserve"> </w:t>
      </w:r>
      <w:r w:rsidRPr="00DA0202">
        <w:t>be scrutinised to identify any similar analysis.</w:t>
      </w:r>
    </w:p>
    <w:p w:rsidR="00DA0202" w:rsidRPr="00DA0202" w:rsidRDefault="00DA0202" w:rsidP="00DA0202">
      <w:r w:rsidRPr="00DA0202">
        <w:t>It follows that it is now more important than ever that ASWs and RMOs attend MHRT hearings,</w:t>
      </w:r>
      <w:r>
        <w:t xml:space="preserve"> </w:t>
      </w:r>
      <w:r w:rsidRPr="00DA0202">
        <w:t>and that they stay for the decision and reasons, so that they know what information was – and,</w:t>
      </w:r>
      <w:r>
        <w:t xml:space="preserve"> </w:t>
      </w:r>
      <w:r w:rsidRPr="00DA0202">
        <w:t>perhaps more importantly, what information can be said not to have been – known to the tribunal.</w:t>
      </w:r>
      <w:r>
        <w:t xml:space="preserve"> </w:t>
      </w:r>
      <w:r w:rsidRPr="00DA0202">
        <w:t>It is equally important that tribunals do not delay in providing full written reasons for their</w:t>
      </w:r>
      <w:r>
        <w:t xml:space="preserve"> </w:t>
      </w:r>
      <w:r w:rsidRPr="00DA0202">
        <w:t>decisions. Ideally, although this is not required by the relevant rules,</w:t>
      </w:r>
      <w:r>
        <w:rPr>
          <w:rStyle w:val="FootnoteReference"/>
        </w:rPr>
        <w:footnoteReference w:id="53"/>
      </w:r>
      <w:r w:rsidRPr="00DA0202">
        <w:t xml:space="preserve"> they should provide such</w:t>
      </w:r>
      <w:r>
        <w:t xml:space="preserve"> </w:t>
      </w:r>
      <w:r w:rsidRPr="00DA0202">
        <w:t>information before any discharge takes effect. In this way, everyone concerned in a MHRT decision</w:t>
      </w:r>
      <w:r>
        <w:t xml:space="preserve"> </w:t>
      </w:r>
      <w:r w:rsidRPr="00DA0202">
        <w:t>may be helped to understand the factors that have, and have not, been taken into account.</w:t>
      </w:r>
    </w:p>
    <w:p w:rsidR="00DA0202" w:rsidRPr="00DA0202" w:rsidRDefault="00DA0202" w:rsidP="00DA0202">
      <w:pPr>
        <w:rPr>
          <w:b/>
          <w:bCs/>
        </w:rPr>
      </w:pPr>
      <w:r w:rsidRPr="00DA0202">
        <w:rPr>
          <w:b/>
          <w:bCs/>
        </w:rPr>
        <w:t>(2) Changing tests</w:t>
      </w:r>
    </w:p>
    <w:p w:rsidR="00DA0202" w:rsidRPr="00DA0202" w:rsidRDefault="00DA0202" w:rsidP="00DA0202">
      <w:r w:rsidRPr="00DA0202">
        <w:t>In holding as they did, Their Lordships considerably refined the tests set out by the Master of the</w:t>
      </w:r>
      <w:r>
        <w:t xml:space="preserve"> </w:t>
      </w:r>
      <w:r w:rsidRPr="00DA0202">
        <w:t xml:space="preserve">Rolls and </w:t>
      </w:r>
      <w:proofErr w:type="spellStart"/>
      <w:r w:rsidRPr="00DA0202">
        <w:t>Sedley</w:t>
      </w:r>
      <w:proofErr w:type="spellEnd"/>
      <w:r w:rsidRPr="00DA0202">
        <w:t xml:space="preserve"> LJ. </w:t>
      </w:r>
      <w:proofErr w:type="gramStart"/>
      <w:r w:rsidRPr="00DA0202">
        <w:t>in</w:t>
      </w:r>
      <w:proofErr w:type="gramEnd"/>
      <w:r w:rsidRPr="00DA0202">
        <w:t xml:space="preserve"> the Court of Appeal.</w:t>
      </w:r>
    </w:p>
    <w:p w:rsidR="00EC4349" w:rsidRDefault="00DA0202" w:rsidP="00DA0202">
      <w:r w:rsidRPr="00DA0202">
        <w:lastRenderedPageBreak/>
        <w:t>In future, what will matter is whether the information that is thought to militate in favour of</w:t>
      </w:r>
      <w:r>
        <w:t xml:space="preserve"> </w:t>
      </w:r>
      <w:r w:rsidRPr="00DA0202">
        <w:t>re-detention was known to the tribunal; and if it wasn’t known, whether it puts a significantly</w:t>
      </w:r>
      <w:r>
        <w:t xml:space="preserve"> </w:t>
      </w:r>
      <w:r w:rsidRPr="00DA0202">
        <w:t>different complexion on the case.</w:t>
      </w:r>
    </w:p>
    <w:p w:rsidR="000E0409" w:rsidRPr="000E0409" w:rsidRDefault="000E0409" w:rsidP="000E0409">
      <w:r w:rsidRPr="000E0409">
        <w:t>Information that puts a significantly different complexion on the case may relate to events that</w:t>
      </w:r>
      <w:r>
        <w:t xml:space="preserve"> </w:t>
      </w:r>
      <w:r w:rsidRPr="000E0409">
        <w:t xml:space="preserve">occurred </w:t>
      </w:r>
      <w:r w:rsidRPr="000E0409">
        <w:rPr>
          <w:i/>
          <w:iCs/>
        </w:rPr>
        <w:t>before</w:t>
      </w:r>
      <w:r w:rsidRPr="000E0409">
        <w:t xml:space="preserve">, or to a state of affairs in being </w:t>
      </w:r>
      <w:r w:rsidRPr="000E0409">
        <w:rPr>
          <w:i/>
          <w:iCs/>
        </w:rPr>
        <w:t>at the time of</w:t>
      </w:r>
      <w:r w:rsidRPr="000E0409">
        <w:t>, the MHRT hearing. If it is to justify</w:t>
      </w:r>
      <w:r>
        <w:t xml:space="preserve"> </w:t>
      </w:r>
      <w:r w:rsidRPr="000E0409">
        <w:t xml:space="preserve">re-detention, and if that re-detention is to be lawful, the sole requirements are that the </w:t>
      </w:r>
      <w:r>
        <w:t>i</w:t>
      </w:r>
      <w:r w:rsidRPr="000E0409">
        <w:t>nformation</w:t>
      </w:r>
      <w:r>
        <w:t xml:space="preserve"> </w:t>
      </w:r>
      <w:r w:rsidRPr="000E0409">
        <w:t>was not known to the tribunal and that it justifies admission. This is a necessarily practical test,</w:t>
      </w:r>
      <w:r>
        <w:t xml:space="preserve"> </w:t>
      </w:r>
      <w:r w:rsidRPr="000E0409">
        <w:t>which is likely to be resolved by recourse to clinical opinion. However, ultimately, it will be for the</w:t>
      </w:r>
      <w:r>
        <w:t xml:space="preserve"> </w:t>
      </w:r>
      <w:r w:rsidRPr="000E0409">
        <w:t>ASW, and not the recommending doctors, to be satisfied that the test is made out.</w:t>
      </w:r>
    </w:p>
    <w:p w:rsidR="000E0409" w:rsidRPr="000E0409" w:rsidRDefault="000E0409" w:rsidP="000E0409">
      <w:pPr>
        <w:rPr>
          <w:b/>
          <w:bCs/>
        </w:rPr>
      </w:pPr>
      <w:r w:rsidRPr="000E0409">
        <w:rPr>
          <w:b/>
          <w:bCs/>
        </w:rPr>
        <w:t>(3) A ghost at the feast</w:t>
      </w:r>
    </w:p>
    <w:p w:rsidR="000E0409" w:rsidRPr="000E0409" w:rsidRDefault="000E0409" w:rsidP="000E0409">
      <w:r w:rsidRPr="000E0409">
        <w:t>There was a ghost at this particular feast. It lurked unheralded over the proceedings, and has now</w:t>
      </w:r>
      <w:r>
        <w:t xml:space="preserve"> </w:t>
      </w:r>
      <w:r w:rsidRPr="000E0409">
        <w:t xml:space="preserve">disappeared without a trace – or </w:t>
      </w:r>
      <w:r w:rsidRPr="000E0409">
        <w:rPr>
          <w:i/>
          <w:iCs/>
        </w:rPr>
        <w:t xml:space="preserve">almost </w:t>
      </w:r>
      <w:r w:rsidRPr="000E0409">
        <w:t>without trace.</w:t>
      </w:r>
    </w:p>
    <w:p w:rsidR="000E0409" w:rsidRPr="000E0409" w:rsidRDefault="000E0409" w:rsidP="000E0409">
      <w:r w:rsidRPr="000E0409">
        <w:t xml:space="preserve">Readers may remember, if only for its dramatic facts or breathless title, the case of </w:t>
      </w:r>
      <w:r w:rsidRPr="000E0409">
        <w:rPr>
          <w:i/>
          <w:iCs/>
        </w:rPr>
        <w:t>H v Ashworth</w:t>
      </w:r>
      <w:r w:rsidRPr="000E0409">
        <w:t>,</w:t>
      </w:r>
      <w:r w:rsidR="00525F5A">
        <w:rPr>
          <w:rStyle w:val="FootnoteReference"/>
        </w:rPr>
        <w:footnoteReference w:id="54"/>
      </w:r>
      <w:r>
        <w:t xml:space="preserve"> </w:t>
      </w:r>
      <w:r w:rsidRPr="000E0409">
        <w:t>in which the High Court imposed and then removed a stay on a patient’s discharge, which had been</w:t>
      </w:r>
      <w:r>
        <w:t xml:space="preserve"> </w:t>
      </w:r>
      <w:r w:rsidRPr="000E0409">
        <w:t>granted by an exasperated tribunal on five minutes’ notice. Eventually, the Court of Appeal</w:t>
      </w:r>
      <w:r>
        <w:t xml:space="preserve"> </w:t>
      </w:r>
      <w:r w:rsidRPr="000E0409">
        <w:t xml:space="preserve">rejected the first instance finding that </w:t>
      </w:r>
      <w:r w:rsidRPr="000E0409">
        <w:rPr>
          <w:i/>
          <w:iCs/>
        </w:rPr>
        <w:t xml:space="preserve">von Brandenburg </w:t>
      </w:r>
      <w:r w:rsidRPr="000E0409">
        <w:t xml:space="preserve">would not apply – and a patient might be </w:t>
      </w:r>
      <w:proofErr w:type="spellStart"/>
      <w:r w:rsidRPr="000E0409">
        <w:t>resectioned</w:t>
      </w:r>
      <w:proofErr w:type="spellEnd"/>
      <w:r>
        <w:t xml:space="preserve"> </w:t>
      </w:r>
      <w:r w:rsidRPr="000E0409">
        <w:t>without more – if the relevant professionals believed on substantial grounds that the</w:t>
      </w:r>
      <w:r>
        <w:t xml:space="preserve"> </w:t>
      </w:r>
      <w:r w:rsidRPr="000E0409">
        <w:t xml:space="preserve">MHRT had erred in law. The Court also explained how its own test in </w:t>
      </w:r>
      <w:r w:rsidRPr="000E0409">
        <w:rPr>
          <w:i/>
          <w:iCs/>
        </w:rPr>
        <w:t xml:space="preserve">von Brandenburg </w:t>
      </w:r>
      <w:r w:rsidRPr="000E0409">
        <w:t>should be</w:t>
      </w:r>
      <w:r>
        <w:t xml:space="preserve"> </w:t>
      </w:r>
      <w:r w:rsidRPr="000E0409">
        <w:t xml:space="preserve">applied. Dyson LJ. </w:t>
      </w:r>
      <w:proofErr w:type="gramStart"/>
      <w:r w:rsidRPr="000E0409">
        <w:t>said</w:t>
      </w:r>
      <w:proofErr w:type="gramEnd"/>
      <w:r w:rsidRPr="000E0409">
        <w:t>:</w:t>
      </w:r>
    </w:p>
    <w:p w:rsidR="000E0409" w:rsidRPr="000E0409" w:rsidRDefault="000E0409" w:rsidP="000E0409">
      <w:r w:rsidRPr="000E0409">
        <w:rPr>
          <w:i/>
          <w:iCs/>
        </w:rPr>
        <w:t>“[…] when considering whether to re-section a patient who has only recently been discharged by a</w:t>
      </w:r>
      <w:r>
        <w:rPr>
          <w:i/>
          <w:iCs/>
        </w:rPr>
        <w:t xml:space="preserve"> </w:t>
      </w:r>
      <w:r w:rsidRPr="000E0409">
        <w:rPr>
          <w:i/>
          <w:iCs/>
        </w:rPr>
        <w:t>tribunal, the question that the professionals must ask themselves is whether the sole or principal ground</w:t>
      </w:r>
      <w:r>
        <w:rPr>
          <w:i/>
          <w:iCs/>
        </w:rPr>
        <w:t xml:space="preserve"> </w:t>
      </w:r>
      <w:r w:rsidRPr="000E0409">
        <w:rPr>
          <w:i/>
          <w:iCs/>
        </w:rPr>
        <w:t>on which they rely is one which in substance has been rejected by the tribunal. If it is, then, in my view,</w:t>
      </w:r>
      <w:r>
        <w:rPr>
          <w:i/>
          <w:iCs/>
        </w:rPr>
        <w:t xml:space="preserve"> </w:t>
      </w:r>
      <w:r w:rsidRPr="000E0409">
        <w:rPr>
          <w:i/>
          <w:iCs/>
        </w:rPr>
        <w:t>they should not re-section. In deciding whether the grounds on which they rely are ones which have been</w:t>
      </w:r>
      <w:r>
        <w:rPr>
          <w:i/>
          <w:iCs/>
        </w:rPr>
        <w:t xml:space="preserve"> </w:t>
      </w:r>
      <w:r w:rsidRPr="000E0409">
        <w:rPr>
          <w:i/>
          <w:iCs/>
        </w:rPr>
        <w:t>very recently rejected by the tribunal, they should not be too zealous in seeking to find new</w:t>
      </w:r>
      <w:r>
        <w:rPr>
          <w:i/>
          <w:iCs/>
        </w:rPr>
        <w:t xml:space="preserve"> </w:t>
      </w:r>
      <w:r w:rsidRPr="000E0409">
        <w:rPr>
          <w:i/>
          <w:iCs/>
        </w:rPr>
        <w:t>circumstances.”</w:t>
      </w:r>
      <w:r w:rsidR="00525F5A">
        <w:rPr>
          <w:rStyle w:val="FootnoteReference"/>
          <w:i/>
          <w:iCs/>
        </w:rPr>
        <w:footnoteReference w:id="55"/>
      </w:r>
    </w:p>
    <w:p w:rsidR="000E0409" w:rsidRPr="000E0409" w:rsidRDefault="000E0409" w:rsidP="000E0409">
      <w:r w:rsidRPr="000E0409">
        <w:t xml:space="preserve">This test closely resembles the one established by Their Lordships in </w:t>
      </w:r>
      <w:r w:rsidRPr="000E0409">
        <w:rPr>
          <w:i/>
          <w:iCs/>
        </w:rPr>
        <w:t>von Brandenburg</w:t>
      </w:r>
      <w:r w:rsidRPr="000E0409">
        <w:t>, and both</w:t>
      </w:r>
      <w:r>
        <w:t xml:space="preserve"> </w:t>
      </w:r>
      <w:r w:rsidRPr="000E0409">
        <w:t>parties relied heavily upon it in their submissions in that case.</w:t>
      </w:r>
    </w:p>
    <w:p w:rsidR="000E0409" w:rsidRPr="000E0409" w:rsidRDefault="000E0409" w:rsidP="000E0409">
      <w:pPr>
        <w:rPr>
          <w:b/>
          <w:bCs/>
        </w:rPr>
      </w:pPr>
      <w:r w:rsidRPr="000E0409">
        <w:rPr>
          <w:b/>
          <w:bCs/>
        </w:rPr>
        <w:t>(4) Changed circumstances?</w:t>
      </w:r>
    </w:p>
    <w:p w:rsidR="000E0409" w:rsidRPr="000E0409" w:rsidRDefault="000E0409" w:rsidP="000E0409">
      <w:r w:rsidRPr="000E0409">
        <w:t>It is ironic, perhaps, that, some 10 years and two significant cases later, the test advanced by Laws</w:t>
      </w:r>
      <w:r>
        <w:t xml:space="preserve"> </w:t>
      </w:r>
      <w:r w:rsidRPr="000E0409">
        <w:t xml:space="preserve">J. in </w:t>
      </w:r>
      <w:r w:rsidRPr="000E0409">
        <w:rPr>
          <w:i/>
          <w:iCs/>
        </w:rPr>
        <w:t>Ex parte M</w:t>
      </w:r>
      <w:r w:rsidR="00525F5A">
        <w:rPr>
          <w:rStyle w:val="FootnoteReference"/>
          <w:i/>
          <w:iCs/>
        </w:rPr>
        <w:footnoteReference w:id="56"/>
      </w:r>
      <w:r w:rsidRPr="000E0409">
        <w:t xml:space="preserve"> has for practical purposes been revived insofar as it concerns the obligations of</w:t>
      </w:r>
      <w:r>
        <w:t xml:space="preserve"> </w:t>
      </w:r>
      <w:r w:rsidRPr="000E0409">
        <w:t>the recommending doctors (but not, of course, the ASW). Laws J. said:</w:t>
      </w:r>
    </w:p>
    <w:p w:rsidR="000E0409" w:rsidRDefault="000E0409" w:rsidP="000E0409">
      <w:pPr>
        <w:ind w:left="567" w:right="403"/>
        <w:rPr>
          <w:i/>
          <w:iCs/>
        </w:rPr>
      </w:pPr>
      <w:r w:rsidRPr="000E0409">
        <w:rPr>
          <w:i/>
          <w:iCs/>
        </w:rPr>
        <w:t>“[MHA 1983,] section 13 imposes a duty on an approved social worker to make a section 3 application</w:t>
      </w:r>
      <w:r>
        <w:rPr>
          <w:i/>
          <w:iCs/>
        </w:rPr>
        <w:t xml:space="preserve"> </w:t>
      </w:r>
      <w:r w:rsidRPr="000E0409">
        <w:rPr>
          <w:i/>
          <w:iCs/>
        </w:rPr>
        <w:t>in the circumstances which that section specifies; the duty is not abrogated, or qualified, in a case where</w:t>
      </w:r>
      <w:r>
        <w:rPr>
          <w:i/>
          <w:iCs/>
        </w:rPr>
        <w:t xml:space="preserve"> </w:t>
      </w:r>
      <w:r w:rsidRPr="000E0409">
        <w:rPr>
          <w:i/>
          <w:iCs/>
        </w:rPr>
        <w:t xml:space="preserve">there has been a recent tribunal decision directing discharge; </w:t>
      </w:r>
      <w:r w:rsidRPr="000E0409">
        <w:rPr>
          <w:i/>
          <w:iCs/>
        </w:rPr>
        <w:lastRenderedPageBreak/>
        <w:t xml:space="preserve">if it </w:t>
      </w:r>
      <w:proofErr w:type="gramStart"/>
      <w:r w:rsidRPr="000E0409">
        <w:rPr>
          <w:i/>
          <w:iCs/>
        </w:rPr>
        <w:t>were</w:t>
      </w:r>
      <w:proofErr w:type="gramEnd"/>
      <w:r w:rsidRPr="000E0409">
        <w:rPr>
          <w:i/>
          <w:iCs/>
        </w:rPr>
        <w:t xml:space="preserve"> to be abrogated or qualified,</w:t>
      </w:r>
      <w:r>
        <w:rPr>
          <w:i/>
          <w:iCs/>
        </w:rPr>
        <w:t xml:space="preserve"> </w:t>
      </w:r>
      <w:r w:rsidRPr="000E0409">
        <w:rPr>
          <w:i/>
          <w:iCs/>
        </w:rPr>
        <w:t>section 13 would say so. That being the case, the hospital managers must be obliged to consider on its</w:t>
      </w:r>
      <w:r>
        <w:rPr>
          <w:i/>
          <w:iCs/>
        </w:rPr>
        <w:t xml:space="preserve"> </w:t>
      </w:r>
      <w:r w:rsidRPr="000E0409">
        <w:rPr>
          <w:i/>
          <w:iCs/>
        </w:rPr>
        <w:t>merits an application made by the approved social worker in pursuance of his or her duty, and the</w:t>
      </w:r>
      <w:r>
        <w:rPr>
          <w:i/>
          <w:iCs/>
        </w:rPr>
        <w:t xml:space="preserve"> </w:t>
      </w:r>
      <w:r w:rsidRPr="000E0409">
        <w:rPr>
          <w:i/>
          <w:iCs/>
        </w:rPr>
        <w:t>existence of a recent tribunal decision can no more fetter this obligation than it can the social worker’s</w:t>
      </w:r>
      <w:r>
        <w:rPr>
          <w:i/>
          <w:iCs/>
        </w:rPr>
        <w:t xml:space="preserve"> </w:t>
      </w:r>
      <w:r w:rsidRPr="000E0409">
        <w:rPr>
          <w:i/>
          <w:iCs/>
        </w:rPr>
        <w:t>own express duty under section 13.”</w:t>
      </w:r>
    </w:p>
    <w:p w:rsidR="00525F5A" w:rsidRDefault="00525F5A" w:rsidP="00525F5A">
      <w:pPr>
        <w:ind w:right="-23"/>
        <w:rPr>
          <w:iCs/>
        </w:rPr>
      </w:pPr>
    </w:p>
    <w:p w:rsidR="00525F5A" w:rsidRPr="00525F5A" w:rsidRDefault="00525F5A" w:rsidP="00525F5A">
      <w:pPr>
        <w:ind w:right="-23"/>
        <w:rPr>
          <w:b/>
          <w:bCs/>
          <w:sz w:val="24"/>
        </w:rPr>
      </w:pPr>
      <w:r w:rsidRPr="00525F5A">
        <w:rPr>
          <w:b/>
          <w:bCs/>
          <w:sz w:val="24"/>
        </w:rPr>
        <w:t>CONCLUSION</w:t>
      </w:r>
    </w:p>
    <w:p w:rsidR="00525F5A" w:rsidRPr="00525F5A" w:rsidRDefault="00525F5A" w:rsidP="00525F5A">
      <w:pPr>
        <w:ind w:right="-23"/>
      </w:pPr>
      <w:r w:rsidRPr="00525F5A">
        <w:t xml:space="preserve">The House of Lords gave judgment in </w:t>
      </w:r>
      <w:r w:rsidRPr="00525F5A">
        <w:rPr>
          <w:i/>
          <w:iCs/>
        </w:rPr>
        <w:t xml:space="preserve">von Brandenburg </w:t>
      </w:r>
      <w:r w:rsidRPr="00525F5A">
        <w:t>on the same day it gave judgment in the case</w:t>
      </w:r>
      <w:r>
        <w:t xml:space="preserve"> </w:t>
      </w:r>
      <w:r w:rsidRPr="00525F5A">
        <w:t xml:space="preserve">of </w:t>
      </w:r>
      <w:r w:rsidRPr="00525F5A">
        <w:rPr>
          <w:i/>
          <w:iCs/>
        </w:rPr>
        <w:t>R (on the application of IH) v Secretary of State for the Home Department</w:t>
      </w:r>
      <w:r>
        <w:rPr>
          <w:rStyle w:val="FootnoteReference"/>
          <w:i/>
          <w:iCs/>
        </w:rPr>
        <w:footnoteReference w:id="57"/>
      </w:r>
      <w:r>
        <w:t xml:space="preserve">. There was </w:t>
      </w:r>
      <w:proofErr w:type="gramStart"/>
      <w:r>
        <w:t>a c</w:t>
      </w:r>
      <w:r w:rsidRPr="00525F5A">
        <w:t>ertain</w:t>
      </w:r>
      <w:proofErr w:type="gramEnd"/>
      <w:r>
        <w:t xml:space="preserve"> </w:t>
      </w:r>
      <w:r w:rsidRPr="00525F5A">
        <w:t xml:space="preserve">symmetry to that. When the Court of Appeal gave judgment in </w:t>
      </w:r>
      <w:r w:rsidRPr="00525F5A">
        <w:rPr>
          <w:i/>
          <w:iCs/>
        </w:rPr>
        <w:t xml:space="preserve">von Brandenburg </w:t>
      </w:r>
      <w:r w:rsidRPr="00525F5A">
        <w:t>it also gave</w:t>
      </w:r>
      <w:r>
        <w:t xml:space="preserve"> </w:t>
      </w:r>
      <w:r w:rsidRPr="00525F5A">
        <w:t xml:space="preserve">judgment in </w:t>
      </w:r>
      <w:r w:rsidRPr="00525F5A">
        <w:rPr>
          <w:i/>
          <w:iCs/>
        </w:rPr>
        <w:t>R (on the application of K) v Camden and Islington Health Authority</w:t>
      </w:r>
      <w:r>
        <w:rPr>
          <w:rStyle w:val="FootnoteReference"/>
          <w:i/>
          <w:iCs/>
        </w:rPr>
        <w:footnoteReference w:id="58"/>
      </w:r>
      <w:r w:rsidRPr="00525F5A">
        <w:t xml:space="preserve">. In both </w:t>
      </w:r>
      <w:r w:rsidRPr="00525F5A">
        <w:rPr>
          <w:i/>
          <w:iCs/>
        </w:rPr>
        <w:t xml:space="preserve">IH </w:t>
      </w:r>
      <w:r w:rsidRPr="00525F5A">
        <w:t xml:space="preserve">and </w:t>
      </w:r>
      <w:r w:rsidRPr="00525F5A">
        <w:rPr>
          <w:i/>
          <w:iCs/>
        </w:rPr>
        <w:t>K</w:t>
      </w:r>
      <w:r>
        <w:rPr>
          <w:i/>
          <w:iCs/>
        </w:rPr>
        <w:t xml:space="preserve"> </w:t>
      </w:r>
      <w:r w:rsidRPr="00525F5A">
        <w:t>the applicant had sought judicial review of a failure to satisfy the conditions of a deferred</w:t>
      </w:r>
      <w:r>
        <w:t xml:space="preserve"> </w:t>
      </w:r>
      <w:r w:rsidRPr="00525F5A">
        <w:t>conditional discharge. In both cases this was because of refusals by community psychiatrists to</w:t>
      </w:r>
      <w:r>
        <w:t xml:space="preserve"> </w:t>
      </w:r>
      <w:r w:rsidRPr="00525F5A">
        <w:t>provide supervision and/or treatment in the community.</w:t>
      </w:r>
    </w:p>
    <w:p w:rsidR="00525F5A" w:rsidRPr="00525F5A" w:rsidRDefault="00525F5A" w:rsidP="00525F5A">
      <w:pPr>
        <w:ind w:right="-23"/>
      </w:pPr>
      <w:r w:rsidRPr="00525F5A">
        <w:t xml:space="preserve">In </w:t>
      </w:r>
      <w:r w:rsidRPr="00525F5A">
        <w:rPr>
          <w:i/>
          <w:iCs/>
        </w:rPr>
        <w:t xml:space="preserve">IH </w:t>
      </w:r>
      <w:r w:rsidRPr="00525F5A">
        <w:t xml:space="preserve">and </w:t>
      </w:r>
      <w:r w:rsidRPr="00525F5A">
        <w:rPr>
          <w:i/>
          <w:iCs/>
        </w:rPr>
        <w:t xml:space="preserve">von Brandenburg </w:t>
      </w:r>
      <w:r w:rsidRPr="00525F5A">
        <w:t>the House of Lords was faced with mirror images of the same question:</w:t>
      </w:r>
      <w:r>
        <w:t xml:space="preserve"> </w:t>
      </w:r>
      <w:r w:rsidRPr="00525F5A">
        <w:t>to what extent should the professional judgment of psychiatrists be constrained by the conclusions</w:t>
      </w:r>
      <w:r>
        <w:t xml:space="preserve"> </w:t>
      </w:r>
      <w:r w:rsidRPr="00525F5A">
        <w:t>of a MHRT? In answering that question, Their Lordships focused resolutely upon the true extent</w:t>
      </w:r>
      <w:r>
        <w:t xml:space="preserve"> </w:t>
      </w:r>
      <w:r w:rsidRPr="00525F5A">
        <w:t>of the tribunal’s jurisdiction: in each case, the question for a MHRT is whether, on the facts at the</w:t>
      </w:r>
      <w:r>
        <w:t xml:space="preserve"> </w:t>
      </w:r>
      <w:r w:rsidRPr="00525F5A">
        <w:t>time of the hearing, a patient’s continuing detention is justified. The tribunal may not determine</w:t>
      </w:r>
      <w:r>
        <w:t xml:space="preserve"> </w:t>
      </w:r>
      <w:r w:rsidRPr="00525F5A">
        <w:t>what treatment should be provided in the community or when re-admission can properly take</w:t>
      </w:r>
      <w:r>
        <w:t xml:space="preserve"> </w:t>
      </w:r>
      <w:r w:rsidRPr="00525F5A">
        <w:t>place, nor can it in any way constrain the clinical judgment of doctors who might recommend</w:t>
      </w:r>
      <w:r>
        <w:t xml:space="preserve"> </w:t>
      </w:r>
      <w:r w:rsidRPr="00525F5A">
        <w:t>admission in future. To the extent that MHRT decisions may be seen effectively to constrain readmission,</w:t>
      </w:r>
      <w:r>
        <w:t xml:space="preserve"> </w:t>
      </w:r>
      <w:r w:rsidRPr="00525F5A">
        <w:t xml:space="preserve">their relevance is to the question of the </w:t>
      </w:r>
      <w:r w:rsidRPr="00525F5A">
        <w:rPr>
          <w:i/>
          <w:iCs/>
        </w:rPr>
        <w:t xml:space="preserve">appropriateness </w:t>
      </w:r>
      <w:r w:rsidRPr="00525F5A">
        <w:t>of an application.</w:t>
      </w:r>
    </w:p>
    <w:p w:rsidR="00525F5A" w:rsidRPr="00525F5A" w:rsidRDefault="00525F5A" w:rsidP="00525F5A">
      <w:pPr>
        <w:ind w:right="-23"/>
      </w:pPr>
      <w:r w:rsidRPr="00525F5A">
        <w:t>In this way, Their Lordships may have reconciled the role of professionals with that of the MHRT,</w:t>
      </w:r>
      <w:r>
        <w:t xml:space="preserve"> </w:t>
      </w:r>
      <w:r w:rsidRPr="00525F5A">
        <w:t>at least for the time being.</w:t>
      </w:r>
      <w:bookmarkStart w:id="0" w:name="_GoBack"/>
      <w:bookmarkEnd w:id="0"/>
    </w:p>
    <w:sectPr w:rsidR="00525F5A" w:rsidRPr="00525F5A" w:rsidSect="00331025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E5" w:rsidRDefault="009103E5" w:rsidP="009103E5">
      <w:pPr>
        <w:spacing w:after="0" w:line="240" w:lineRule="auto"/>
      </w:pPr>
      <w:r>
        <w:separator/>
      </w:r>
    </w:p>
  </w:endnote>
  <w:endnote w:type="continuationSeparator" w:id="0">
    <w:p w:rsidR="009103E5" w:rsidRDefault="009103E5" w:rsidP="0091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E5" w:rsidRDefault="009103E5" w:rsidP="009103E5">
      <w:pPr>
        <w:spacing w:after="0" w:line="240" w:lineRule="auto"/>
      </w:pPr>
      <w:r>
        <w:separator/>
      </w:r>
    </w:p>
  </w:footnote>
  <w:footnote w:type="continuationSeparator" w:id="0">
    <w:p w:rsidR="009103E5" w:rsidRDefault="009103E5" w:rsidP="009103E5">
      <w:pPr>
        <w:spacing w:after="0" w:line="240" w:lineRule="auto"/>
      </w:pPr>
      <w:r>
        <w:continuationSeparator/>
      </w:r>
    </w:p>
  </w:footnote>
  <w:footnote w:id="1">
    <w:p w:rsidR="009103E5" w:rsidRPr="009103E5" w:rsidRDefault="009103E5" w:rsidP="009103E5">
      <w:pPr>
        <w:pStyle w:val="FootnoteText"/>
        <w:rPr>
          <w:sz w:val="16"/>
        </w:rPr>
      </w:pPr>
      <w:r w:rsidRPr="009103E5">
        <w:rPr>
          <w:rStyle w:val="FootnoteReference"/>
          <w:sz w:val="16"/>
        </w:rPr>
        <w:t>*</w:t>
      </w:r>
      <w:r w:rsidRPr="009103E5">
        <w:rPr>
          <w:sz w:val="16"/>
        </w:rPr>
        <w:t xml:space="preserve"> </w:t>
      </w:r>
      <w:proofErr w:type="gramStart"/>
      <w:r w:rsidRPr="009103E5">
        <w:rPr>
          <w:sz w:val="16"/>
        </w:rPr>
        <w:t xml:space="preserve">Solicitor; partner in </w:t>
      </w:r>
      <w:proofErr w:type="spellStart"/>
      <w:r w:rsidRPr="009103E5">
        <w:rPr>
          <w:sz w:val="16"/>
        </w:rPr>
        <w:t>Hempsons</w:t>
      </w:r>
      <w:proofErr w:type="spellEnd"/>
      <w:r w:rsidRPr="009103E5">
        <w:rPr>
          <w:sz w:val="16"/>
        </w:rPr>
        <w:t>.</w:t>
      </w:r>
      <w:proofErr w:type="gramEnd"/>
      <w:r w:rsidRPr="009103E5">
        <w:rPr>
          <w:sz w:val="16"/>
        </w:rPr>
        <w:t xml:space="preserve"> Mr Hewitt represented</w:t>
      </w:r>
      <w:r w:rsidRPr="009103E5">
        <w:rPr>
          <w:sz w:val="16"/>
        </w:rPr>
        <w:t xml:space="preserve"> </w:t>
      </w:r>
      <w:r w:rsidRPr="009103E5">
        <w:rPr>
          <w:sz w:val="16"/>
        </w:rPr>
        <w:t>the NHS trust that was an interested party in R (IH) v</w:t>
      </w:r>
      <w:r w:rsidRPr="009103E5">
        <w:rPr>
          <w:sz w:val="16"/>
        </w:rPr>
        <w:t xml:space="preserve"> </w:t>
      </w:r>
      <w:r w:rsidRPr="009103E5">
        <w:rPr>
          <w:sz w:val="16"/>
        </w:rPr>
        <w:t>Secretary of State for Health and Secretary of State for</w:t>
      </w:r>
      <w:r w:rsidRPr="009103E5">
        <w:rPr>
          <w:sz w:val="16"/>
        </w:rPr>
        <w:t xml:space="preserve"> </w:t>
      </w:r>
      <w:r w:rsidRPr="009103E5">
        <w:rPr>
          <w:sz w:val="16"/>
        </w:rPr>
        <w:t>the Home Department [see below for citation]</w:t>
      </w:r>
    </w:p>
  </w:footnote>
  <w:footnote w:id="2">
    <w:p w:rsidR="009103E5" w:rsidRPr="009103E5" w:rsidRDefault="009103E5" w:rsidP="009103E5">
      <w:pPr>
        <w:pStyle w:val="FootnoteText"/>
        <w:rPr>
          <w:sz w:val="16"/>
        </w:rPr>
      </w:pPr>
      <w:r w:rsidRPr="009103E5">
        <w:rPr>
          <w:rStyle w:val="FootnoteReference"/>
          <w:sz w:val="16"/>
        </w:rPr>
        <w:t>**</w:t>
      </w:r>
      <w:r w:rsidRPr="009103E5">
        <w:rPr>
          <w:sz w:val="16"/>
        </w:rPr>
        <w:t xml:space="preserve"> </w:t>
      </w:r>
      <w:proofErr w:type="gramStart"/>
      <w:r w:rsidRPr="009103E5">
        <w:rPr>
          <w:sz w:val="16"/>
        </w:rPr>
        <w:t>Barrister, practising from chambers at 39 Essex Street,</w:t>
      </w:r>
      <w:r w:rsidRPr="009103E5">
        <w:rPr>
          <w:sz w:val="16"/>
        </w:rPr>
        <w:t xml:space="preserve"> </w:t>
      </w:r>
      <w:r w:rsidRPr="009103E5">
        <w:rPr>
          <w:sz w:val="16"/>
        </w:rPr>
        <w:t>London.</w:t>
      </w:r>
      <w:proofErr w:type="gramEnd"/>
      <w:r w:rsidRPr="009103E5">
        <w:rPr>
          <w:sz w:val="16"/>
        </w:rPr>
        <w:t xml:space="preserve"> Dr Stern represented the respondent hospital</w:t>
      </w:r>
      <w:r w:rsidRPr="009103E5">
        <w:rPr>
          <w:sz w:val="16"/>
        </w:rPr>
        <w:t xml:space="preserve"> </w:t>
      </w:r>
      <w:r w:rsidRPr="009103E5">
        <w:rPr>
          <w:sz w:val="16"/>
        </w:rPr>
        <w:t>trust in this case. She also represented the respondent</w:t>
      </w:r>
      <w:r w:rsidRPr="009103E5">
        <w:rPr>
          <w:sz w:val="16"/>
        </w:rPr>
        <w:t xml:space="preserve"> </w:t>
      </w:r>
      <w:r w:rsidRPr="009103E5">
        <w:rPr>
          <w:sz w:val="16"/>
        </w:rPr>
        <w:t>hospital trust at first instance in H v Ashworth, and</w:t>
      </w:r>
      <w:r w:rsidRPr="009103E5">
        <w:rPr>
          <w:sz w:val="16"/>
        </w:rPr>
        <w:t xml:space="preserve"> </w:t>
      </w:r>
      <w:r w:rsidRPr="009103E5">
        <w:rPr>
          <w:sz w:val="16"/>
        </w:rPr>
        <w:t>the NHS trust that was an interested party in R (IH) v</w:t>
      </w:r>
      <w:r w:rsidRPr="009103E5">
        <w:rPr>
          <w:sz w:val="16"/>
        </w:rPr>
        <w:t xml:space="preserve"> </w:t>
      </w:r>
      <w:r w:rsidRPr="009103E5">
        <w:rPr>
          <w:sz w:val="16"/>
        </w:rPr>
        <w:t>Secretary of State for Health and Secretary of State for</w:t>
      </w:r>
      <w:r w:rsidRPr="009103E5">
        <w:rPr>
          <w:sz w:val="16"/>
        </w:rPr>
        <w:t xml:space="preserve"> </w:t>
      </w:r>
      <w:r w:rsidRPr="009103E5">
        <w:rPr>
          <w:sz w:val="16"/>
        </w:rPr>
        <w:t>the Home Department [see below for citations]</w:t>
      </w:r>
    </w:p>
  </w:footnote>
  <w:footnote w:id="3">
    <w:p w:rsidR="009103E5" w:rsidRPr="009103E5" w:rsidRDefault="009103E5" w:rsidP="009103E5">
      <w:pPr>
        <w:pStyle w:val="FootnoteText"/>
        <w:rPr>
          <w:sz w:val="16"/>
        </w:rPr>
      </w:pPr>
      <w:r w:rsidRPr="009103E5">
        <w:rPr>
          <w:rStyle w:val="FootnoteReference"/>
          <w:sz w:val="16"/>
        </w:rPr>
        <w:footnoteRef/>
      </w:r>
      <w:r w:rsidRPr="009103E5">
        <w:rPr>
          <w:sz w:val="16"/>
        </w:rPr>
        <w:t xml:space="preserve"> </w:t>
      </w:r>
      <w:proofErr w:type="gramStart"/>
      <w:r w:rsidRPr="009103E5">
        <w:rPr>
          <w:sz w:val="16"/>
        </w:rPr>
        <w:t>(2003) 3 WLR 1265.</w:t>
      </w:r>
      <w:proofErr w:type="gramEnd"/>
      <w:r w:rsidRPr="009103E5">
        <w:rPr>
          <w:sz w:val="16"/>
        </w:rPr>
        <w:t xml:space="preserve"> See also: David Hewitt,</w:t>
      </w:r>
      <w:r w:rsidRPr="009103E5">
        <w:rPr>
          <w:sz w:val="16"/>
        </w:rPr>
        <w:t xml:space="preserve"> </w:t>
      </w:r>
      <w:r w:rsidRPr="009103E5">
        <w:rPr>
          <w:sz w:val="16"/>
        </w:rPr>
        <w:t>A ‘significantly different complexion’ to re-detention,</w:t>
      </w:r>
      <w:r w:rsidRPr="009103E5">
        <w:rPr>
          <w:sz w:val="16"/>
        </w:rPr>
        <w:t xml:space="preserve"> </w:t>
      </w:r>
      <w:r w:rsidRPr="009103E5">
        <w:rPr>
          <w:sz w:val="16"/>
        </w:rPr>
        <w:t xml:space="preserve">New Law Journal, </w:t>
      </w:r>
      <w:proofErr w:type="spellStart"/>
      <w:r w:rsidRPr="009103E5">
        <w:rPr>
          <w:sz w:val="16"/>
        </w:rPr>
        <w:t>vol</w:t>
      </w:r>
      <w:proofErr w:type="spellEnd"/>
      <w:r w:rsidRPr="009103E5">
        <w:rPr>
          <w:sz w:val="16"/>
        </w:rPr>
        <w:t xml:space="preserve"> 153, no 7109, 19 December</w:t>
      </w:r>
      <w:r w:rsidRPr="009103E5">
        <w:rPr>
          <w:sz w:val="16"/>
        </w:rPr>
        <w:t xml:space="preserve"> </w:t>
      </w:r>
      <w:r w:rsidRPr="009103E5">
        <w:rPr>
          <w:sz w:val="16"/>
        </w:rPr>
        <w:t>2003, pp 1914–1915</w:t>
      </w:r>
    </w:p>
  </w:footnote>
  <w:footnote w:id="4">
    <w:p w:rsidR="009103E5" w:rsidRPr="009103E5" w:rsidRDefault="009103E5" w:rsidP="009103E5">
      <w:pPr>
        <w:pStyle w:val="FootnoteText"/>
        <w:rPr>
          <w:sz w:val="16"/>
        </w:rPr>
      </w:pPr>
      <w:r w:rsidRPr="009103E5">
        <w:rPr>
          <w:rStyle w:val="FootnoteReference"/>
          <w:sz w:val="16"/>
        </w:rPr>
        <w:footnoteRef/>
      </w:r>
      <w:r w:rsidRPr="009103E5">
        <w:rPr>
          <w:sz w:val="16"/>
        </w:rPr>
        <w:t xml:space="preserve"> </w:t>
      </w:r>
      <w:r w:rsidRPr="009103E5">
        <w:rPr>
          <w:sz w:val="16"/>
        </w:rPr>
        <w:t>R v Managers of South Western Hospital, ex parte M</w:t>
      </w:r>
      <w:r w:rsidRPr="009103E5">
        <w:rPr>
          <w:sz w:val="16"/>
        </w:rPr>
        <w:t xml:space="preserve"> </w:t>
      </w:r>
      <w:r w:rsidRPr="009103E5">
        <w:rPr>
          <w:sz w:val="16"/>
        </w:rPr>
        <w:t>[1993] QB 683, per Laws J</w:t>
      </w:r>
    </w:p>
  </w:footnote>
  <w:footnote w:id="5">
    <w:p w:rsidR="009103E5" w:rsidRPr="009103E5" w:rsidRDefault="009103E5">
      <w:pPr>
        <w:pStyle w:val="FootnoteText"/>
        <w:rPr>
          <w:sz w:val="16"/>
        </w:rPr>
      </w:pPr>
      <w:r w:rsidRPr="009103E5">
        <w:rPr>
          <w:rStyle w:val="FootnoteReference"/>
          <w:sz w:val="16"/>
        </w:rPr>
        <w:footnoteRef/>
      </w:r>
      <w:r w:rsidRPr="009103E5">
        <w:rPr>
          <w:sz w:val="16"/>
        </w:rPr>
        <w:t xml:space="preserve"> MHA 1983, s 145</w:t>
      </w:r>
    </w:p>
  </w:footnote>
  <w:footnote w:id="6">
    <w:p w:rsidR="009103E5" w:rsidRPr="00812BAC" w:rsidRDefault="009103E5">
      <w:pPr>
        <w:pStyle w:val="FootnoteText"/>
        <w:rPr>
          <w:sz w:val="16"/>
        </w:rPr>
      </w:pPr>
      <w:r w:rsidRPr="00812BAC">
        <w:rPr>
          <w:rStyle w:val="FootnoteReference"/>
          <w:sz w:val="16"/>
        </w:rPr>
        <w:footnoteRef/>
      </w:r>
      <w:r w:rsidRPr="00812BAC">
        <w:rPr>
          <w:sz w:val="16"/>
        </w:rPr>
        <w:t xml:space="preserve"> Ibid., s 2(4)</w:t>
      </w:r>
    </w:p>
  </w:footnote>
  <w:footnote w:id="7">
    <w:p w:rsidR="00812BAC" w:rsidRPr="00812BAC" w:rsidRDefault="00812BAC">
      <w:pPr>
        <w:pStyle w:val="FootnoteText"/>
        <w:rPr>
          <w:sz w:val="16"/>
        </w:rPr>
      </w:pPr>
      <w:r w:rsidRPr="00812BAC">
        <w:rPr>
          <w:rStyle w:val="FootnoteReference"/>
          <w:sz w:val="16"/>
        </w:rPr>
        <w:footnoteRef/>
      </w:r>
      <w:r w:rsidRPr="00812BAC">
        <w:rPr>
          <w:sz w:val="16"/>
        </w:rPr>
        <w:t xml:space="preserve"> Ibid., s 72 (1) and (3)</w:t>
      </w:r>
    </w:p>
  </w:footnote>
  <w:footnote w:id="8">
    <w:p w:rsidR="00812BAC" w:rsidRPr="00812BAC" w:rsidRDefault="00812BAC">
      <w:pPr>
        <w:pStyle w:val="FootnoteText"/>
        <w:rPr>
          <w:sz w:val="16"/>
        </w:rPr>
      </w:pPr>
      <w:r w:rsidRPr="00812BAC">
        <w:rPr>
          <w:rStyle w:val="FootnoteReference"/>
          <w:sz w:val="16"/>
        </w:rPr>
        <w:footnoteRef/>
      </w:r>
      <w:r w:rsidRPr="00812BAC">
        <w:rPr>
          <w:sz w:val="16"/>
        </w:rPr>
        <w:t xml:space="preserve"> [2003] UKHL 58, para 4</w:t>
      </w:r>
    </w:p>
  </w:footnote>
  <w:footnote w:id="9">
    <w:p w:rsidR="00812BAC" w:rsidRPr="00812BAC" w:rsidRDefault="00812BAC" w:rsidP="00812BAC">
      <w:pPr>
        <w:pStyle w:val="FootnoteText"/>
        <w:rPr>
          <w:sz w:val="16"/>
        </w:rPr>
      </w:pPr>
      <w:r w:rsidRPr="00812BAC">
        <w:rPr>
          <w:rStyle w:val="FootnoteReference"/>
          <w:sz w:val="16"/>
        </w:rPr>
        <w:footnoteRef/>
      </w:r>
      <w:r w:rsidRPr="00812BAC">
        <w:rPr>
          <w:sz w:val="16"/>
        </w:rPr>
        <w:t xml:space="preserve"> </w:t>
      </w:r>
      <w:r w:rsidRPr="00812BAC">
        <w:rPr>
          <w:sz w:val="16"/>
        </w:rPr>
        <w:t>QBD, Burton J, 23 May 2000; (2000) 3 CCL Rep</w:t>
      </w:r>
      <w:r w:rsidRPr="00812BAC">
        <w:rPr>
          <w:sz w:val="16"/>
        </w:rPr>
        <w:t xml:space="preserve"> </w:t>
      </w:r>
      <w:r w:rsidRPr="00812BAC">
        <w:rPr>
          <w:sz w:val="16"/>
        </w:rPr>
        <w:t>189; The Independent, October 2, 2000</w:t>
      </w:r>
    </w:p>
  </w:footnote>
  <w:footnote w:id="10">
    <w:p w:rsidR="00812BAC" w:rsidRPr="00994B82" w:rsidRDefault="00812BAC" w:rsidP="00812BAC">
      <w:pPr>
        <w:pStyle w:val="FootnoteText"/>
        <w:rPr>
          <w:sz w:val="16"/>
        </w:rPr>
      </w:pPr>
      <w:r w:rsidRPr="00994B82">
        <w:rPr>
          <w:rStyle w:val="FootnoteReference"/>
          <w:sz w:val="16"/>
        </w:rPr>
        <w:footnoteRef/>
      </w:r>
      <w:r w:rsidRPr="00994B82">
        <w:rPr>
          <w:sz w:val="16"/>
        </w:rPr>
        <w:t xml:space="preserve"> </w:t>
      </w:r>
      <w:r w:rsidRPr="00994B82">
        <w:rPr>
          <w:sz w:val="16"/>
        </w:rPr>
        <w:t>R v Managers of South Western Hospital, ex parte M</w:t>
      </w:r>
      <w:r w:rsidRPr="00994B82">
        <w:rPr>
          <w:sz w:val="16"/>
        </w:rPr>
        <w:t xml:space="preserve"> </w:t>
      </w:r>
      <w:r w:rsidRPr="00994B82">
        <w:rPr>
          <w:sz w:val="16"/>
        </w:rPr>
        <w:t>[1993] QB 683, at p 696</w:t>
      </w:r>
    </w:p>
  </w:footnote>
  <w:footnote w:id="11">
    <w:p w:rsidR="00994B82" w:rsidRPr="00994B82" w:rsidRDefault="00994B82" w:rsidP="00994B82">
      <w:pPr>
        <w:pStyle w:val="FootnoteText"/>
        <w:rPr>
          <w:sz w:val="16"/>
        </w:rPr>
      </w:pPr>
      <w:r w:rsidRPr="00994B82">
        <w:rPr>
          <w:rStyle w:val="FootnoteReference"/>
          <w:sz w:val="16"/>
        </w:rPr>
        <w:footnoteRef/>
      </w:r>
      <w:r w:rsidRPr="00994B82">
        <w:rPr>
          <w:sz w:val="16"/>
        </w:rPr>
        <w:t xml:space="preserve"> </w:t>
      </w:r>
      <w:proofErr w:type="gramStart"/>
      <w:r w:rsidRPr="00994B82">
        <w:rPr>
          <w:sz w:val="16"/>
        </w:rPr>
        <w:t xml:space="preserve">[2001] EWCA </w:t>
      </w:r>
      <w:proofErr w:type="spellStart"/>
      <w:r w:rsidRPr="00994B82">
        <w:rPr>
          <w:sz w:val="16"/>
        </w:rPr>
        <w:t>Civ</w:t>
      </w:r>
      <w:proofErr w:type="spellEnd"/>
      <w:r w:rsidRPr="00994B82">
        <w:rPr>
          <w:sz w:val="16"/>
        </w:rPr>
        <w:t xml:space="preserve"> 239; [2001] 3 WLR 588.</w:t>
      </w:r>
      <w:proofErr w:type="gramEnd"/>
      <w:r w:rsidRPr="00994B82">
        <w:rPr>
          <w:sz w:val="16"/>
        </w:rPr>
        <w:t xml:space="preserve"> See also:</w:t>
      </w:r>
      <w:r w:rsidRPr="00994B82">
        <w:rPr>
          <w:sz w:val="16"/>
        </w:rPr>
        <w:t xml:space="preserve"> </w:t>
      </w:r>
      <w:r w:rsidRPr="00994B82">
        <w:rPr>
          <w:sz w:val="16"/>
        </w:rPr>
        <w:t>David Hewitt, Detention of a recently-discharged</w:t>
      </w:r>
      <w:r w:rsidRPr="00994B82">
        <w:rPr>
          <w:sz w:val="16"/>
        </w:rPr>
        <w:t xml:space="preserve"> </w:t>
      </w:r>
      <w:r w:rsidRPr="00994B82">
        <w:rPr>
          <w:sz w:val="16"/>
        </w:rPr>
        <w:t>psychiatric patient, JMHL, February 2002, edition no</w:t>
      </w:r>
      <w:r w:rsidRPr="00994B82">
        <w:rPr>
          <w:sz w:val="16"/>
        </w:rPr>
        <w:t xml:space="preserve"> </w:t>
      </w:r>
      <w:r w:rsidRPr="00994B82">
        <w:rPr>
          <w:sz w:val="16"/>
        </w:rPr>
        <w:t>6, pp 50–58</w:t>
      </w:r>
    </w:p>
  </w:footnote>
  <w:footnote w:id="12">
    <w:p w:rsidR="00994B82" w:rsidRPr="00994B82" w:rsidRDefault="00994B82" w:rsidP="00994B82">
      <w:pPr>
        <w:pStyle w:val="FootnoteText"/>
        <w:rPr>
          <w:sz w:val="16"/>
        </w:rPr>
      </w:pPr>
      <w:r w:rsidRPr="00994B82">
        <w:rPr>
          <w:rStyle w:val="FootnoteReference"/>
          <w:sz w:val="16"/>
        </w:rPr>
        <w:footnoteRef/>
      </w:r>
      <w:r w:rsidRPr="00994B82">
        <w:rPr>
          <w:sz w:val="16"/>
        </w:rPr>
        <w:t xml:space="preserve"> </w:t>
      </w:r>
      <w:r w:rsidRPr="00994B82">
        <w:rPr>
          <w:sz w:val="16"/>
        </w:rPr>
        <w:t>See discussion in Richard Jones, Mental Health Act</w:t>
      </w:r>
      <w:r w:rsidRPr="00994B82">
        <w:rPr>
          <w:sz w:val="16"/>
        </w:rPr>
        <w:t xml:space="preserve"> </w:t>
      </w:r>
      <w:r w:rsidRPr="00994B82">
        <w:rPr>
          <w:sz w:val="16"/>
        </w:rPr>
        <w:t>Manual, Sweet &amp; Maxwell, eighth edition, 2003,</w:t>
      </w:r>
      <w:r w:rsidRPr="00994B82">
        <w:rPr>
          <w:sz w:val="16"/>
        </w:rPr>
        <w:t xml:space="preserve"> </w:t>
      </w:r>
      <w:r w:rsidRPr="00994B82">
        <w:rPr>
          <w:sz w:val="16"/>
        </w:rPr>
        <w:t>para 1-048</w:t>
      </w:r>
    </w:p>
  </w:footnote>
  <w:footnote w:id="13">
    <w:p w:rsidR="00994B82" w:rsidRPr="00994B82" w:rsidRDefault="00994B82">
      <w:pPr>
        <w:pStyle w:val="FootnoteText"/>
        <w:rPr>
          <w:sz w:val="16"/>
        </w:rPr>
      </w:pPr>
      <w:r w:rsidRPr="00994B82">
        <w:rPr>
          <w:rStyle w:val="FootnoteReference"/>
          <w:sz w:val="16"/>
        </w:rPr>
        <w:footnoteRef/>
      </w:r>
      <w:r w:rsidRPr="00994B82">
        <w:rPr>
          <w:sz w:val="16"/>
        </w:rPr>
        <w:t xml:space="preserve"> [2001] EWCA </w:t>
      </w:r>
      <w:proofErr w:type="spellStart"/>
      <w:r w:rsidRPr="00994B82">
        <w:rPr>
          <w:sz w:val="16"/>
        </w:rPr>
        <w:t>Civ</w:t>
      </w:r>
      <w:proofErr w:type="spellEnd"/>
      <w:r w:rsidRPr="00994B82">
        <w:rPr>
          <w:sz w:val="16"/>
        </w:rPr>
        <w:t xml:space="preserve"> 239, para 30</w:t>
      </w:r>
    </w:p>
  </w:footnote>
  <w:footnote w:id="14">
    <w:p w:rsidR="00994B82" w:rsidRPr="00994B82" w:rsidRDefault="00994B82">
      <w:pPr>
        <w:pStyle w:val="FootnoteText"/>
        <w:rPr>
          <w:sz w:val="16"/>
        </w:rPr>
      </w:pPr>
      <w:r w:rsidRPr="00994B82">
        <w:rPr>
          <w:rStyle w:val="FootnoteReference"/>
          <w:sz w:val="16"/>
        </w:rPr>
        <w:footnoteRef/>
      </w:r>
      <w:r w:rsidRPr="00994B82">
        <w:rPr>
          <w:sz w:val="16"/>
        </w:rPr>
        <w:t xml:space="preserve"> Ibid., para 31</w:t>
      </w:r>
    </w:p>
  </w:footnote>
  <w:footnote w:id="15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Ibid., para 38</w:t>
      </w:r>
    </w:p>
  </w:footnote>
  <w:footnote w:id="16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See note 10</w:t>
      </w:r>
    </w:p>
  </w:footnote>
  <w:footnote w:id="17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[2001] EWCA </w:t>
      </w:r>
      <w:proofErr w:type="spellStart"/>
      <w:r w:rsidRPr="005C48F4">
        <w:rPr>
          <w:sz w:val="16"/>
        </w:rPr>
        <w:t>Civ</w:t>
      </w:r>
      <w:proofErr w:type="spellEnd"/>
      <w:r w:rsidRPr="005C48F4">
        <w:rPr>
          <w:sz w:val="16"/>
        </w:rPr>
        <w:t xml:space="preserve"> 239, para 38</w:t>
      </w:r>
    </w:p>
  </w:footnote>
  <w:footnote w:id="18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Which might perhaps be called the ‘within days’ test</w:t>
      </w:r>
    </w:p>
  </w:footnote>
  <w:footnote w:id="19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[2001] EWCA </w:t>
      </w:r>
      <w:proofErr w:type="spellStart"/>
      <w:r w:rsidRPr="005C48F4">
        <w:rPr>
          <w:sz w:val="16"/>
        </w:rPr>
        <w:t>Civ</w:t>
      </w:r>
      <w:proofErr w:type="spellEnd"/>
      <w:r w:rsidRPr="005C48F4">
        <w:rPr>
          <w:sz w:val="16"/>
        </w:rPr>
        <w:t xml:space="preserve"> 239, paras 31 and 32</w:t>
      </w:r>
    </w:p>
  </w:footnote>
  <w:footnote w:id="20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Ibid., para 39</w:t>
      </w:r>
    </w:p>
  </w:footnote>
  <w:footnote w:id="21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Ibid., para 41</w:t>
      </w:r>
    </w:p>
  </w:footnote>
  <w:footnote w:id="22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</w:t>
      </w:r>
    </w:p>
  </w:footnote>
  <w:footnote w:id="23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Ibid., para 40</w:t>
      </w:r>
    </w:p>
  </w:footnote>
  <w:footnote w:id="24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Ibid., paras 40 and 42</w:t>
      </w:r>
    </w:p>
  </w:footnote>
  <w:footnote w:id="25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Bid., para 41</w:t>
      </w:r>
    </w:p>
  </w:footnote>
  <w:footnote w:id="26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[2003] UKHL 58, para 6</w:t>
      </w:r>
    </w:p>
  </w:footnote>
  <w:footnote w:id="27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Ibid.</w:t>
      </w:r>
    </w:p>
  </w:footnote>
  <w:footnote w:id="28">
    <w:p w:rsidR="005C48F4" w:rsidRPr="005C48F4" w:rsidRDefault="005C48F4">
      <w:pPr>
        <w:pStyle w:val="FootnoteText"/>
        <w:rPr>
          <w:sz w:val="16"/>
        </w:rPr>
      </w:pPr>
      <w:r w:rsidRPr="005C48F4">
        <w:rPr>
          <w:rStyle w:val="FootnoteReference"/>
          <w:sz w:val="16"/>
        </w:rPr>
        <w:footnoteRef/>
      </w:r>
      <w:r w:rsidRPr="005C48F4">
        <w:rPr>
          <w:sz w:val="16"/>
        </w:rPr>
        <w:t xml:space="preserve"> 17 John, </w:t>
      </w:r>
      <w:proofErr w:type="spellStart"/>
      <w:r w:rsidRPr="005C48F4">
        <w:rPr>
          <w:sz w:val="16"/>
        </w:rPr>
        <w:t>ch</w:t>
      </w:r>
      <w:proofErr w:type="spellEnd"/>
      <w:r w:rsidRPr="005C48F4">
        <w:rPr>
          <w:sz w:val="16"/>
        </w:rPr>
        <w:t xml:space="preserve"> 39</w:t>
      </w:r>
    </w:p>
  </w:footnote>
  <w:footnote w:id="29">
    <w:p w:rsidR="005C48F4" w:rsidRPr="000D68AC" w:rsidRDefault="005C48F4">
      <w:pPr>
        <w:pStyle w:val="FootnoteText"/>
        <w:rPr>
          <w:sz w:val="16"/>
        </w:rPr>
      </w:pPr>
      <w:r w:rsidRPr="000D68AC">
        <w:rPr>
          <w:rStyle w:val="FootnoteReference"/>
          <w:sz w:val="16"/>
        </w:rPr>
        <w:footnoteRef/>
      </w:r>
      <w:r w:rsidRPr="000D68AC">
        <w:rPr>
          <w:sz w:val="16"/>
        </w:rPr>
        <w:t xml:space="preserve"> [2003] UKHL 58, para 6</w:t>
      </w:r>
    </w:p>
  </w:footnote>
  <w:footnote w:id="30">
    <w:p w:rsidR="005C48F4" w:rsidRPr="000D68AC" w:rsidRDefault="005C48F4" w:rsidP="005C48F4">
      <w:pPr>
        <w:pStyle w:val="FootnoteText"/>
        <w:rPr>
          <w:sz w:val="16"/>
        </w:rPr>
      </w:pPr>
      <w:r w:rsidRPr="000D68AC">
        <w:rPr>
          <w:rStyle w:val="FootnoteReference"/>
          <w:sz w:val="16"/>
        </w:rPr>
        <w:footnoteRef/>
      </w:r>
      <w:r w:rsidRPr="000D68AC">
        <w:rPr>
          <w:sz w:val="16"/>
        </w:rPr>
        <w:t xml:space="preserve"> </w:t>
      </w:r>
      <w:r w:rsidRPr="000D68AC">
        <w:rPr>
          <w:sz w:val="16"/>
        </w:rPr>
        <w:t>Pickering v Liverpool Daily Post &amp; Echo Newspapers</w:t>
      </w:r>
      <w:r w:rsidRPr="000D68AC">
        <w:rPr>
          <w:sz w:val="16"/>
        </w:rPr>
        <w:t xml:space="preserve"> </w:t>
      </w:r>
      <w:r w:rsidRPr="000D68AC">
        <w:rPr>
          <w:sz w:val="16"/>
        </w:rPr>
        <w:t>plc [1991] 2 AC 370 [1991] 2 WLR 513</w:t>
      </w:r>
    </w:p>
  </w:footnote>
  <w:footnote w:id="31">
    <w:p w:rsidR="005C48F4" w:rsidRPr="000D68AC" w:rsidRDefault="005C48F4">
      <w:pPr>
        <w:pStyle w:val="FootnoteText"/>
        <w:rPr>
          <w:sz w:val="16"/>
        </w:rPr>
      </w:pPr>
      <w:r w:rsidRPr="000D68AC">
        <w:rPr>
          <w:rStyle w:val="FootnoteReference"/>
          <w:sz w:val="16"/>
        </w:rPr>
        <w:footnoteRef/>
      </w:r>
      <w:r w:rsidRPr="000D68AC">
        <w:rPr>
          <w:sz w:val="16"/>
        </w:rPr>
        <w:t xml:space="preserve"> [2003] UKHL 58</w:t>
      </w:r>
    </w:p>
  </w:footnote>
  <w:footnote w:id="32">
    <w:p w:rsidR="005C48F4" w:rsidRPr="000D68AC" w:rsidRDefault="005C48F4">
      <w:pPr>
        <w:pStyle w:val="FootnoteText"/>
        <w:rPr>
          <w:sz w:val="16"/>
        </w:rPr>
      </w:pPr>
      <w:r w:rsidRPr="000D68AC">
        <w:rPr>
          <w:rStyle w:val="FootnoteReference"/>
          <w:sz w:val="16"/>
        </w:rPr>
        <w:footnoteRef/>
      </w:r>
      <w:r w:rsidRPr="000D68AC">
        <w:rPr>
          <w:sz w:val="16"/>
        </w:rPr>
        <w:t xml:space="preserve"> Ibid.</w:t>
      </w:r>
    </w:p>
  </w:footnote>
  <w:footnote w:id="33">
    <w:p w:rsidR="000D68AC" w:rsidRPr="000D68AC" w:rsidRDefault="000D68AC">
      <w:pPr>
        <w:pStyle w:val="FootnoteText"/>
        <w:rPr>
          <w:sz w:val="16"/>
        </w:rPr>
      </w:pPr>
      <w:r w:rsidRPr="000D68AC">
        <w:rPr>
          <w:rStyle w:val="FootnoteReference"/>
          <w:sz w:val="16"/>
        </w:rPr>
        <w:footnoteRef/>
      </w:r>
      <w:r w:rsidRPr="000D68AC">
        <w:rPr>
          <w:sz w:val="16"/>
        </w:rPr>
        <w:t xml:space="preserve"> Ibid., para 9</w:t>
      </w:r>
    </w:p>
  </w:footnote>
  <w:footnote w:id="34">
    <w:p w:rsidR="000D68AC" w:rsidRPr="000D68AC" w:rsidRDefault="000D68AC">
      <w:pPr>
        <w:pStyle w:val="FootnoteText"/>
        <w:rPr>
          <w:sz w:val="16"/>
        </w:rPr>
      </w:pPr>
      <w:r w:rsidRPr="000D68AC">
        <w:rPr>
          <w:rStyle w:val="FootnoteReference"/>
          <w:sz w:val="16"/>
        </w:rPr>
        <w:footnoteRef/>
      </w:r>
      <w:r w:rsidRPr="000D68AC">
        <w:rPr>
          <w:sz w:val="16"/>
        </w:rPr>
        <w:t xml:space="preserve"> (1997) 27 EHRR 296, para 61</w:t>
      </w:r>
    </w:p>
  </w:footnote>
  <w:footnote w:id="35">
    <w:p w:rsidR="000D68AC" w:rsidRPr="00331025" w:rsidRDefault="000D68AC">
      <w:pPr>
        <w:pStyle w:val="FootnoteText"/>
        <w:rPr>
          <w:sz w:val="16"/>
        </w:rPr>
      </w:pPr>
      <w:r w:rsidRPr="00331025">
        <w:rPr>
          <w:rStyle w:val="FootnoteReference"/>
          <w:sz w:val="16"/>
        </w:rPr>
        <w:footnoteRef/>
      </w:r>
      <w:r w:rsidRPr="00331025">
        <w:rPr>
          <w:sz w:val="16"/>
        </w:rPr>
        <w:t xml:space="preserve"> [2003] UKHL 58, para 9</w:t>
      </w:r>
    </w:p>
  </w:footnote>
  <w:footnote w:id="36">
    <w:p w:rsidR="000D68AC" w:rsidRPr="00331025" w:rsidRDefault="000D68AC" w:rsidP="000D68AC">
      <w:pPr>
        <w:pStyle w:val="FootnoteText"/>
        <w:rPr>
          <w:sz w:val="16"/>
        </w:rPr>
      </w:pPr>
      <w:r w:rsidRPr="00331025">
        <w:rPr>
          <w:rStyle w:val="FootnoteReference"/>
          <w:sz w:val="16"/>
        </w:rPr>
        <w:footnoteRef/>
      </w:r>
      <w:r w:rsidRPr="00331025">
        <w:rPr>
          <w:sz w:val="16"/>
        </w:rPr>
        <w:t xml:space="preserve"> </w:t>
      </w:r>
      <w:r w:rsidRPr="00331025">
        <w:rPr>
          <w:sz w:val="16"/>
        </w:rPr>
        <w:t>MHA 1983, s 72(1)(a)(</w:t>
      </w:r>
      <w:proofErr w:type="spellStart"/>
      <w:r w:rsidRPr="00331025">
        <w:rPr>
          <w:sz w:val="16"/>
        </w:rPr>
        <w:t>i</w:t>
      </w:r>
      <w:proofErr w:type="spellEnd"/>
      <w:r w:rsidRPr="00331025">
        <w:rPr>
          <w:sz w:val="16"/>
        </w:rPr>
        <w:t>) and (b)(</w:t>
      </w:r>
      <w:proofErr w:type="spellStart"/>
      <w:r w:rsidRPr="00331025">
        <w:rPr>
          <w:sz w:val="16"/>
        </w:rPr>
        <w:t>i</w:t>
      </w:r>
      <w:proofErr w:type="spellEnd"/>
      <w:r w:rsidRPr="00331025">
        <w:rPr>
          <w:sz w:val="16"/>
        </w:rPr>
        <w:t>); In re Waldron</w:t>
      </w:r>
      <w:r w:rsidRPr="00331025">
        <w:rPr>
          <w:sz w:val="16"/>
        </w:rPr>
        <w:t xml:space="preserve"> </w:t>
      </w:r>
      <w:r w:rsidRPr="00331025">
        <w:rPr>
          <w:sz w:val="16"/>
        </w:rPr>
        <w:t>[1986] QB 824, at p 846</w:t>
      </w:r>
    </w:p>
  </w:footnote>
  <w:footnote w:id="37">
    <w:p w:rsidR="000D68AC" w:rsidRPr="00331025" w:rsidRDefault="000D68AC">
      <w:pPr>
        <w:pStyle w:val="FootnoteText"/>
        <w:rPr>
          <w:sz w:val="16"/>
        </w:rPr>
      </w:pPr>
      <w:r w:rsidRPr="00331025">
        <w:rPr>
          <w:rStyle w:val="FootnoteReference"/>
          <w:sz w:val="16"/>
        </w:rPr>
        <w:footnoteRef/>
      </w:r>
      <w:r w:rsidRPr="00331025">
        <w:rPr>
          <w:sz w:val="16"/>
        </w:rPr>
        <w:t xml:space="preserve"> [2003] UKHL 58, para 9</w:t>
      </w:r>
    </w:p>
  </w:footnote>
  <w:footnote w:id="38">
    <w:p w:rsidR="000D68AC" w:rsidRPr="00331025" w:rsidRDefault="000D68AC">
      <w:pPr>
        <w:pStyle w:val="FootnoteText"/>
        <w:rPr>
          <w:sz w:val="16"/>
        </w:rPr>
      </w:pPr>
      <w:r w:rsidRPr="00331025">
        <w:rPr>
          <w:rStyle w:val="FootnoteReference"/>
          <w:sz w:val="16"/>
        </w:rPr>
        <w:footnoteRef/>
      </w:r>
      <w:r w:rsidRPr="00331025">
        <w:rPr>
          <w:sz w:val="16"/>
        </w:rPr>
        <w:t xml:space="preserve"> Ibid.</w:t>
      </w:r>
    </w:p>
  </w:footnote>
  <w:footnote w:id="39">
    <w:p w:rsidR="00331025" w:rsidRPr="00A23E73" w:rsidRDefault="00331025">
      <w:pPr>
        <w:pStyle w:val="FootnoteText"/>
        <w:rPr>
          <w:sz w:val="16"/>
        </w:rPr>
      </w:pPr>
      <w:r w:rsidRPr="00A23E73">
        <w:rPr>
          <w:rStyle w:val="FootnoteReference"/>
          <w:sz w:val="16"/>
        </w:rPr>
        <w:footnoteRef/>
      </w:r>
      <w:r w:rsidRPr="00A23E73">
        <w:rPr>
          <w:sz w:val="16"/>
        </w:rPr>
        <w:t xml:space="preserve"> Ibid.</w:t>
      </w:r>
    </w:p>
  </w:footnote>
  <w:footnote w:id="40">
    <w:p w:rsidR="00331025" w:rsidRPr="00A23E73" w:rsidRDefault="00331025">
      <w:pPr>
        <w:pStyle w:val="FootnoteText"/>
        <w:rPr>
          <w:sz w:val="16"/>
        </w:rPr>
      </w:pPr>
      <w:r w:rsidRPr="00A23E73">
        <w:rPr>
          <w:rStyle w:val="FootnoteReference"/>
          <w:sz w:val="16"/>
        </w:rPr>
        <w:footnoteRef/>
      </w:r>
      <w:r w:rsidRPr="00A23E73">
        <w:rPr>
          <w:sz w:val="16"/>
        </w:rPr>
        <w:t xml:space="preserve"> Ibid., para 10</w:t>
      </w:r>
    </w:p>
  </w:footnote>
  <w:footnote w:id="41">
    <w:p w:rsidR="00A23E73" w:rsidRPr="00A23E73" w:rsidRDefault="00A23E73">
      <w:pPr>
        <w:pStyle w:val="FootnoteText"/>
        <w:rPr>
          <w:sz w:val="16"/>
        </w:rPr>
      </w:pPr>
      <w:r w:rsidRPr="00A23E73">
        <w:rPr>
          <w:rStyle w:val="FootnoteReference"/>
          <w:sz w:val="16"/>
        </w:rPr>
        <w:footnoteRef/>
      </w:r>
      <w:r w:rsidRPr="00A23E73">
        <w:rPr>
          <w:sz w:val="16"/>
        </w:rPr>
        <w:t xml:space="preserve"> Ibid.</w:t>
      </w:r>
    </w:p>
  </w:footnote>
  <w:footnote w:id="42">
    <w:p w:rsidR="00A23E73" w:rsidRPr="00A23E73" w:rsidRDefault="00A23E73">
      <w:pPr>
        <w:pStyle w:val="FootnoteText"/>
        <w:rPr>
          <w:sz w:val="16"/>
        </w:rPr>
      </w:pPr>
      <w:r w:rsidRPr="00A23E73">
        <w:rPr>
          <w:rStyle w:val="FootnoteReference"/>
          <w:sz w:val="16"/>
        </w:rPr>
        <w:footnoteRef/>
      </w:r>
      <w:r w:rsidRPr="00A23E73">
        <w:rPr>
          <w:sz w:val="16"/>
        </w:rPr>
        <w:t xml:space="preserve"> Ibid., para 11</w:t>
      </w:r>
    </w:p>
  </w:footnote>
  <w:footnote w:id="43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Ibid., para 10</w:t>
      </w:r>
    </w:p>
  </w:footnote>
  <w:footnote w:id="44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[2002] EWHC Admin 465</w:t>
      </w:r>
    </w:p>
  </w:footnote>
  <w:footnote w:id="45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See discussion in Richard Jones, op cit., para 1-049</w:t>
      </w:r>
    </w:p>
  </w:footnote>
  <w:footnote w:id="46">
    <w:p w:rsidR="00DA0202" w:rsidRPr="00DA0202" w:rsidRDefault="00DA0202" w:rsidP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</w:t>
      </w:r>
      <w:proofErr w:type="gramStart"/>
      <w:r w:rsidRPr="00DA0202">
        <w:rPr>
          <w:sz w:val="16"/>
        </w:rPr>
        <w:t>[2003] UKHL 58, para 12.</w:t>
      </w:r>
      <w:proofErr w:type="gramEnd"/>
      <w:r w:rsidRPr="00DA0202">
        <w:rPr>
          <w:sz w:val="16"/>
        </w:rPr>
        <w:t xml:space="preserve"> This view finds an echo</w:t>
      </w:r>
      <w:r w:rsidRPr="00DA0202">
        <w:rPr>
          <w:sz w:val="16"/>
        </w:rPr>
        <w:t xml:space="preserve"> </w:t>
      </w:r>
      <w:r w:rsidRPr="00DA0202">
        <w:rPr>
          <w:sz w:val="16"/>
        </w:rPr>
        <w:t>in Kristina Stern and David Hewitt, Re-admission</w:t>
      </w:r>
      <w:r w:rsidRPr="00DA0202">
        <w:rPr>
          <w:sz w:val="16"/>
        </w:rPr>
        <w:t xml:space="preserve"> </w:t>
      </w:r>
      <w:r w:rsidRPr="00DA0202">
        <w:rPr>
          <w:sz w:val="16"/>
        </w:rPr>
        <w:t>under the Mental Health Act following discharge by a</w:t>
      </w:r>
      <w:r w:rsidRPr="00DA0202">
        <w:rPr>
          <w:sz w:val="16"/>
        </w:rPr>
        <w:t xml:space="preserve"> </w:t>
      </w:r>
      <w:r w:rsidRPr="00DA0202">
        <w:rPr>
          <w:sz w:val="16"/>
        </w:rPr>
        <w:t>Mental Health Review Tribunal, JMHL, July 2002,</w:t>
      </w:r>
      <w:r w:rsidRPr="00DA0202">
        <w:rPr>
          <w:sz w:val="16"/>
        </w:rPr>
        <w:t xml:space="preserve"> </w:t>
      </w:r>
      <w:r w:rsidRPr="00DA0202">
        <w:rPr>
          <w:sz w:val="16"/>
        </w:rPr>
        <w:t>edition no 7, pp 169–178</w:t>
      </w:r>
    </w:p>
  </w:footnote>
  <w:footnote w:id="47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[2003] UKHL 58, para 12</w:t>
      </w:r>
    </w:p>
  </w:footnote>
  <w:footnote w:id="48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Ibid.</w:t>
      </w:r>
    </w:p>
  </w:footnote>
  <w:footnote w:id="49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Ibid.</w:t>
      </w:r>
    </w:p>
  </w:footnote>
  <w:footnote w:id="50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Kristina Stern and David Hewitt, op cit., p 174</w:t>
      </w:r>
    </w:p>
  </w:footnote>
  <w:footnote w:id="51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See note 8</w:t>
      </w:r>
    </w:p>
  </w:footnote>
  <w:footnote w:id="52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[2003] UKHL 58, para 13</w:t>
      </w:r>
    </w:p>
  </w:footnote>
  <w:footnote w:id="53">
    <w:p w:rsidR="00DA0202" w:rsidRPr="00DA0202" w:rsidRDefault="00DA0202">
      <w:pPr>
        <w:pStyle w:val="FootnoteText"/>
        <w:rPr>
          <w:sz w:val="16"/>
        </w:rPr>
      </w:pPr>
      <w:r w:rsidRPr="00DA0202">
        <w:rPr>
          <w:rStyle w:val="FootnoteReference"/>
          <w:sz w:val="16"/>
        </w:rPr>
        <w:footnoteRef/>
      </w:r>
      <w:r w:rsidRPr="00DA0202">
        <w:rPr>
          <w:sz w:val="16"/>
        </w:rPr>
        <w:t xml:space="preserve"> MHRT Rules 1983, </w:t>
      </w:r>
      <w:proofErr w:type="spellStart"/>
      <w:r w:rsidRPr="00DA0202">
        <w:rPr>
          <w:sz w:val="16"/>
        </w:rPr>
        <w:t>rr</w:t>
      </w:r>
      <w:proofErr w:type="spellEnd"/>
      <w:r w:rsidRPr="00DA0202">
        <w:rPr>
          <w:sz w:val="16"/>
        </w:rPr>
        <w:t xml:space="preserve"> 24(1) and 33(d)</w:t>
      </w:r>
    </w:p>
  </w:footnote>
  <w:footnote w:id="54">
    <w:p w:rsidR="00525F5A" w:rsidRPr="00525F5A" w:rsidRDefault="00525F5A" w:rsidP="00525F5A">
      <w:pPr>
        <w:pStyle w:val="FootnoteText"/>
        <w:rPr>
          <w:sz w:val="16"/>
        </w:rPr>
      </w:pPr>
      <w:r w:rsidRPr="00525F5A">
        <w:rPr>
          <w:rStyle w:val="FootnoteReference"/>
          <w:sz w:val="16"/>
        </w:rPr>
        <w:footnoteRef/>
      </w:r>
      <w:r w:rsidRPr="00525F5A">
        <w:rPr>
          <w:sz w:val="16"/>
        </w:rPr>
        <w:t xml:space="preserve"> </w:t>
      </w:r>
      <w:r w:rsidRPr="00525F5A">
        <w:rPr>
          <w:sz w:val="16"/>
        </w:rPr>
        <w:t>R v Ashworth Health Authority and others, ex parte</w:t>
      </w:r>
      <w:r w:rsidRPr="00525F5A">
        <w:rPr>
          <w:sz w:val="16"/>
        </w:rPr>
        <w:t xml:space="preserve"> </w:t>
      </w:r>
      <w:r w:rsidRPr="00525F5A">
        <w:rPr>
          <w:sz w:val="16"/>
        </w:rPr>
        <w:t>H : R v (1) Mental Health Review Tribunal for West</w:t>
      </w:r>
      <w:r w:rsidRPr="00525F5A">
        <w:rPr>
          <w:sz w:val="16"/>
        </w:rPr>
        <w:t xml:space="preserve"> </w:t>
      </w:r>
      <w:r w:rsidRPr="00525F5A">
        <w:rPr>
          <w:sz w:val="16"/>
        </w:rPr>
        <w:t>Midlands and North West Region (2) London Borough</w:t>
      </w:r>
      <w:r w:rsidRPr="00525F5A">
        <w:rPr>
          <w:sz w:val="16"/>
        </w:rPr>
        <w:t xml:space="preserve"> </w:t>
      </w:r>
      <w:r w:rsidRPr="00525F5A">
        <w:rPr>
          <w:sz w:val="16"/>
        </w:rPr>
        <w:t>of Hammersmith and Fulham (3) Ealing, Hounslow</w:t>
      </w:r>
      <w:r w:rsidRPr="00525F5A">
        <w:rPr>
          <w:sz w:val="16"/>
        </w:rPr>
        <w:t xml:space="preserve"> </w:t>
      </w:r>
      <w:r w:rsidRPr="00525F5A">
        <w:rPr>
          <w:sz w:val="16"/>
        </w:rPr>
        <w:t>and Hammersmith Health Authority, ex parte</w:t>
      </w:r>
      <w:r w:rsidRPr="00525F5A">
        <w:rPr>
          <w:sz w:val="16"/>
        </w:rPr>
        <w:t xml:space="preserve"> </w:t>
      </w:r>
      <w:r w:rsidRPr="00525F5A">
        <w:rPr>
          <w:sz w:val="16"/>
        </w:rPr>
        <w:t xml:space="preserve">Ashworth Hospital Authority [2002] EWCA </w:t>
      </w:r>
      <w:proofErr w:type="spellStart"/>
      <w:r w:rsidRPr="00525F5A">
        <w:rPr>
          <w:sz w:val="16"/>
        </w:rPr>
        <w:t>Civ</w:t>
      </w:r>
      <w:proofErr w:type="spellEnd"/>
      <w:r w:rsidRPr="00525F5A">
        <w:rPr>
          <w:sz w:val="16"/>
        </w:rPr>
        <w:t xml:space="preserve"> 923.</w:t>
      </w:r>
      <w:r w:rsidRPr="00525F5A">
        <w:rPr>
          <w:sz w:val="16"/>
        </w:rPr>
        <w:t xml:space="preserve"> </w:t>
      </w:r>
      <w:r w:rsidRPr="00525F5A">
        <w:rPr>
          <w:sz w:val="16"/>
        </w:rPr>
        <w:t>See also: David Hewitt, Challenging MHRT</w:t>
      </w:r>
      <w:r w:rsidRPr="00525F5A">
        <w:rPr>
          <w:sz w:val="16"/>
        </w:rPr>
        <w:t xml:space="preserve"> </w:t>
      </w:r>
      <w:r w:rsidRPr="00525F5A">
        <w:rPr>
          <w:sz w:val="16"/>
        </w:rPr>
        <w:t xml:space="preserve">decisions, Solicitors Journal, </w:t>
      </w:r>
      <w:proofErr w:type="spellStart"/>
      <w:r w:rsidRPr="00525F5A">
        <w:rPr>
          <w:sz w:val="16"/>
        </w:rPr>
        <w:t>vol</w:t>
      </w:r>
      <w:proofErr w:type="spellEnd"/>
      <w:r w:rsidRPr="00525F5A">
        <w:rPr>
          <w:sz w:val="16"/>
        </w:rPr>
        <w:t xml:space="preserve"> 146 no 14, 12 April</w:t>
      </w:r>
      <w:r w:rsidRPr="00525F5A">
        <w:rPr>
          <w:sz w:val="16"/>
        </w:rPr>
        <w:t xml:space="preserve"> </w:t>
      </w:r>
      <w:r w:rsidRPr="00525F5A">
        <w:rPr>
          <w:sz w:val="16"/>
        </w:rPr>
        <w:t>2002, pp 338-9</w:t>
      </w:r>
    </w:p>
  </w:footnote>
  <w:footnote w:id="55">
    <w:p w:rsidR="00525F5A" w:rsidRPr="00525F5A" w:rsidRDefault="00525F5A">
      <w:pPr>
        <w:pStyle w:val="FootnoteText"/>
        <w:rPr>
          <w:sz w:val="16"/>
        </w:rPr>
      </w:pPr>
      <w:r w:rsidRPr="00525F5A">
        <w:rPr>
          <w:rStyle w:val="FootnoteReference"/>
          <w:sz w:val="16"/>
        </w:rPr>
        <w:footnoteRef/>
      </w:r>
      <w:r w:rsidRPr="00525F5A">
        <w:rPr>
          <w:sz w:val="16"/>
        </w:rPr>
        <w:t xml:space="preserve"> [2002] EWCA </w:t>
      </w:r>
      <w:proofErr w:type="spellStart"/>
      <w:r w:rsidRPr="00525F5A">
        <w:rPr>
          <w:sz w:val="16"/>
        </w:rPr>
        <w:t>Civ</w:t>
      </w:r>
      <w:proofErr w:type="spellEnd"/>
      <w:r w:rsidRPr="00525F5A">
        <w:rPr>
          <w:sz w:val="16"/>
        </w:rPr>
        <w:t xml:space="preserve"> 923, para 59</w:t>
      </w:r>
    </w:p>
  </w:footnote>
  <w:footnote w:id="56">
    <w:p w:rsidR="00525F5A" w:rsidRPr="00525F5A" w:rsidRDefault="00525F5A">
      <w:pPr>
        <w:pStyle w:val="FootnoteText"/>
        <w:rPr>
          <w:sz w:val="16"/>
        </w:rPr>
      </w:pPr>
      <w:r w:rsidRPr="00525F5A">
        <w:rPr>
          <w:rStyle w:val="FootnoteReference"/>
          <w:sz w:val="16"/>
        </w:rPr>
        <w:footnoteRef/>
      </w:r>
      <w:r w:rsidRPr="00525F5A">
        <w:rPr>
          <w:sz w:val="16"/>
        </w:rPr>
        <w:t xml:space="preserve"> See note 8</w:t>
      </w:r>
    </w:p>
  </w:footnote>
  <w:footnote w:id="57">
    <w:p w:rsidR="00525F5A" w:rsidRPr="00525F5A" w:rsidRDefault="00525F5A">
      <w:pPr>
        <w:pStyle w:val="FootnoteText"/>
        <w:rPr>
          <w:sz w:val="16"/>
        </w:rPr>
      </w:pPr>
      <w:r w:rsidRPr="00525F5A">
        <w:rPr>
          <w:rStyle w:val="FootnoteReference"/>
          <w:sz w:val="16"/>
        </w:rPr>
        <w:footnoteRef/>
      </w:r>
      <w:r w:rsidRPr="00525F5A">
        <w:rPr>
          <w:sz w:val="16"/>
        </w:rPr>
        <w:t xml:space="preserve"> [2003] UKHL 59</w:t>
      </w:r>
    </w:p>
  </w:footnote>
  <w:footnote w:id="58">
    <w:p w:rsidR="00525F5A" w:rsidRPr="00525F5A" w:rsidRDefault="00525F5A">
      <w:pPr>
        <w:pStyle w:val="FootnoteText"/>
        <w:rPr>
          <w:sz w:val="16"/>
        </w:rPr>
      </w:pPr>
      <w:r w:rsidRPr="00525F5A">
        <w:rPr>
          <w:rStyle w:val="FootnoteReference"/>
          <w:sz w:val="16"/>
        </w:rPr>
        <w:footnoteRef/>
      </w:r>
      <w:r w:rsidRPr="00525F5A">
        <w:rPr>
          <w:sz w:val="16"/>
        </w:rPr>
        <w:t xml:space="preserve"> [2001] EWCA </w:t>
      </w:r>
      <w:proofErr w:type="spellStart"/>
      <w:r w:rsidRPr="00525F5A">
        <w:rPr>
          <w:sz w:val="16"/>
        </w:rPr>
        <w:t>Civ</w:t>
      </w:r>
      <w:proofErr w:type="spellEnd"/>
      <w:r w:rsidRPr="00525F5A">
        <w:rPr>
          <w:sz w:val="16"/>
        </w:rPr>
        <w:t xml:space="preserve"> 240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23CB4"/>
    <w:multiLevelType w:val="hybridMultilevel"/>
    <w:tmpl w:val="C1546BD0"/>
    <w:lvl w:ilvl="0" w:tplc="8878F788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54BA32D8"/>
    <w:multiLevelType w:val="hybridMultilevel"/>
    <w:tmpl w:val="98ACAD08"/>
    <w:lvl w:ilvl="0" w:tplc="8878F7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E5"/>
    <w:rsid w:val="000D68AC"/>
    <w:rsid w:val="000E0409"/>
    <w:rsid w:val="001E3A45"/>
    <w:rsid w:val="00331025"/>
    <w:rsid w:val="00463049"/>
    <w:rsid w:val="00525F5A"/>
    <w:rsid w:val="005C48F4"/>
    <w:rsid w:val="00812BAC"/>
    <w:rsid w:val="009103E5"/>
    <w:rsid w:val="00994B82"/>
    <w:rsid w:val="00A23E73"/>
    <w:rsid w:val="00BB67E0"/>
    <w:rsid w:val="00DA0202"/>
    <w:rsid w:val="00E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03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4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103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3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B6C3C-582B-4D5B-87C4-81F65B7A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4477</Words>
  <Characters>25523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8</cp:revision>
  <dcterms:created xsi:type="dcterms:W3CDTF">2014-10-17T08:05:00Z</dcterms:created>
  <dcterms:modified xsi:type="dcterms:W3CDTF">2014-10-17T10:22:00Z</dcterms:modified>
</cp:coreProperties>
</file>