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84" w:rsidRPr="00550A84" w:rsidRDefault="00550A84" w:rsidP="00550A84">
      <w:pPr>
        <w:rPr>
          <w:sz w:val="56"/>
          <w:szCs w:val="56"/>
        </w:rPr>
      </w:pPr>
      <w:r>
        <w:rPr>
          <w:sz w:val="56"/>
          <w:szCs w:val="56"/>
        </w:rPr>
        <w:t xml:space="preserve">Psychiatric advance </w:t>
      </w:r>
      <w:r w:rsidRPr="00550A84">
        <w:rPr>
          <w:sz w:val="56"/>
          <w:szCs w:val="56"/>
        </w:rPr>
        <w:t>decisions – an</w:t>
      </w:r>
    </w:p>
    <w:p w:rsidR="00C71DE4" w:rsidRDefault="00550A84" w:rsidP="00550A84">
      <w:pPr>
        <w:rPr>
          <w:sz w:val="56"/>
          <w:szCs w:val="56"/>
        </w:rPr>
      </w:pPr>
      <w:r w:rsidRPr="00550A84">
        <w:rPr>
          <w:sz w:val="56"/>
          <w:szCs w:val="56"/>
        </w:rPr>
        <w:t>opportunity missed</w:t>
      </w:r>
    </w:p>
    <w:p w:rsidR="00B02565" w:rsidRDefault="00B02565" w:rsidP="00550A84"/>
    <w:p w:rsidR="00B02565" w:rsidRDefault="00B02565" w:rsidP="00550A84">
      <w:r>
        <w:t>Dr Tim Exworthy</w:t>
      </w:r>
      <w:r w:rsidR="006E72FC">
        <w:rPr>
          <w:rStyle w:val="FootnoteReference"/>
        </w:rPr>
        <w:footnoteReference w:customMarkFollows="1" w:id="1"/>
        <w:t>*</w:t>
      </w:r>
    </w:p>
    <w:p w:rsidR="00886F77" w:rsidRDefault="00886F77" w:rsidP="00550A84"/>
    <w:p w:rsidR="00886F77" w:rsidRDefault="00886F77" w:rsidP="001F1A10">
      <w:pPr>
        <w:spacing w:line="240" w:lineRule="auto"/>
      </w:pPr>
      <w:r>
        <w:t xml:space="preserve">After a very long gestation the </w:t>
      </w:r>
      <w:r w:rsidRPr="00772BE3">
        <w:rPr>
          <w:i/>
        </w:rPr>
        <w:t>Mental Capacity Bill</w:t>
      </w:r>
      <w:r w:rsidR="00772BE3" w:rsidRPr="00772BE3">
        <w:rPr>
          <w:rStyle w:val="FootnoteReference"/>
          <w:i/>
        </w:rPr>
        <w:footnoteReference w:id="2"/>
      </w:r>
      <w:r w:rsidRPr="00772BE3">
        <w:rPr>
          <w:i/>
        </w:rPr>
        <w:t xml:space="preserve"> (the Bill)</w:t>
      </w:r>
      <w:r>
        <w:t xml:space="preserve"> was published earlier this year.</w:t>
      </w:r>
    </w:p>
    <w:p w:rsidR="00886F77" w:rsidRDefault="00886F77" w:rsidP="001F1A10">
      <w:pPr>
        <w:spacing w:line="240" w:lineRule="auto"/>
      </w:pPr>
      <w:r>
        <w:t>Among its proposals was the incorporation into statute of advance decisions. These are devices</w:t>
      </w:r>
    </w:p>
    <w:p w:rsidR="00886F77" w:rsidRDefault="00886F77" w:rsidP="001F1A10">
      <w:pPr>
        <w:spacing w:line="240" w:lineRule="auto"/>
      </w:pPr>
      <w:r>
        <w:t>whereby a person, while retaining capacity, can make certain decisions regarding their future</w:t>
      </w:r>
    </w:p>
    <w:p w:rsidR="00886F77" w:rsidRDefault="00886F77" w:rsidP="001F1A10">
      <w:pPr>
        <w:spacing w:line="240" w:lineRule="auto"/>
      </w:pPr>
      <w:r>
        <w:t>treatment for such a time as they have lost capacity and so are unable to make legally binding</w:t>
      </w:r>
    </w:p>
    <w:p w:rsidR="00886F77" w:rsidRDefault="00886F77" w:rsidP="001F1A10">
      <w:pPr>
        <w:spacing w:line="240" w:lineRule="auto"/>
      </w:pPr>
      <w:r>
        <w:t>decisions about their own treatment. As the Bill is phrased, advance decisions (ADs) only permit</w:t>
      </w:r>
    </w:p>
    <w:p w:rsidR="00886F77" w:rsidRDefault="00886F77" w:rsidP="001F1A10">
      <w:pPr>
        <w:spacing w:line="240" w:lineRule="auto"/>
      </w:pPr>
      <w:proofErr w:type="gramStart"/>
      <w:r>
        <w:t>a</w:t>
      </w:r>
      <w:proofErr w:type="gramEnd"/>
      <w:r>
        <w:t xml:space="preserve"> person to refuse treatment. There is no provision for that person to use ADs to express a positive</w:t>
      </w:r>
    </w:p>
    <w:p w:rsidR="00886F77" w:rsidRDefault="00886F77" w:rsidP="001F1A10">
      <w:pPr>
        <w:spacing w:line="240" w:lineRule="auto"/>
      </w:pPr>
      <w:r>
        <w:t>preference for particular forms of treatment. It will be argued this represents a missed opportunity</w:t>
      </w:r>
    </w:p>
    <w:p w:rsidR="00886F77" w:rsidRDefault="00886F77" w:rsidP="001F1A10">
      <w:pPr>
        <w:spacing w:line="240" w:lineRule="auto"/>
      </w:pPr>
      <w:proofErr w:type="gramStart"/>
      <w:r>
        <w:t>to</w:t>
      </w:r>
      <w:proofErr w:type="gramEnd"/>
      <w:r>
        <w:t xml:space="preserve"> allow patients and clinicians to engage in a more constructive approach to treatment planning.</w:t>
      </w:r>
    </w:p>
    <w:p w:rsidR="00886F77" w:rsidRDefault="00886F77" w:rsidP="001F1A10">
      <w:pPr>
        <w:spacing w:line="240" w:lineRule="auto"/>
      </w:pPr>
      <w:r>
        <w:t>Experience from the USA demonstrates psychiatric advance directives (PADs) have a role to play</w:t>
      </w:r>
    </w:p>
    <w:p w:rsidR="00886F77" w:rsidRDefault="00886F77" w:rsidP="001F1A10">
      <w:pPr>
        <w:spacing w:line="240" w:lineRule="auto"/>
      </w:pPr>
      <w:proofErr w:type="gramStart"/>
      <w:r>
        <w:t>in</w:t>
      </w:r>
      <w:proofErr w:type="gramEnd"/>
      <w:r>
        <w:t xml:space="preserve"> engaging psychiatric patients and promoting adherence to their treatment plans.</w:t>
      </w:r>
    </w:p>
    <w:p w:rsidR="002438A6" w:rsidRDefault="002438A6" w:rsidP="001F1A10">
      <w:pPr>
        <w:spacing w:line="240" w:lineRule="auto"/>
      </w:pPr>
    </w:p>
    <w:p w:rsidR="00886F77" w:rsidRDefault="00886F77" w:rsidP="001F1A10">
      <w:pPr>
        <w:spacing w:line="240" w:lineRule="auto"/>
      </w:pPr>
      <w:r>
        <w:t>This paper will only address the use of AD in relation to mental health treatment, although it is</w:t>
      </w:r>
    </w:p>
    <w:p w:rsidR="00886F77" w:rsidRDefault="00886F77" w:rsidP="001F1A10">
      <w:pPr>
        <w:spacing w:line="240" w:lineRule="auto"/>
      </w:pPr>
      <w:r>
        <w:t>recognised they have an application far wider than this, including decisions regarding life-sustaining</w:t>
      </w:r>
    </w:p>
    <w:p w:rsidR="00886F77" w:rsidRDefault="00886F77" w:rsidP="001F1A10">
      <w:pPr>
        <w:spacing w:line="240" w:lineRule="auto"/>
      </w:pPr>
      <w:r>
        <w:t>treatment.</w:t>
      </w:r>
    </w:p>
    <w:p w:rsidR="00772BE3" w:rsidRPr="00772BE3" w:rsidRDefault="00772BE3" w:rsidP="002438A6">
      <w:pPr>
        <w:spacing w:line="240" w:lineRule="auto"/>
        <w:rPr>
          <w:b/>
        </w:rPr>
      </w:pPr>
    </w:p>
    <w:p w:rsidR="00886F77" w:rsidRPr="00772BE3" w:rsidRDefault="00886F77" w:rsidP="002438A6">
      <w:pPr>
        <w:spacing w:line="240" w:lineRule="auto"/>
        <w:rPr>
          <w:b/>
        </w:rPr>
      </w:pPr>
      <w:r w:rsidRPr="00772BE3">
        <w:rPr>
          <w:b/>
        </w:rPr>
        <w:t>Background to the Mental Capacity Bill</w:t>
      </w:r>
    </w:p>
    <w:p w:rsidR="00886F77" w:rsidRDefault="00886F77" w:rsidP="001F1A10">
      <w:pPr>
        <w:spacing w:line="240" w:lineRule="auto"/>
      </w:pPr>
      <w:r>
        <w:t>The process of delivering a statute codifying the law relating to the assessment and treatment of</w:t>
      </w:r>
    </w:p>
    <w:p w:rsidR="00886F77" w:rsidRPr="006D2DAD" w:rsidRDefault="00886F77" w:rsidP="001F1A10">
      <w:pPr>
        <w:spacing w:line="240" w:lineRule="auto"/>
        <w:rPr>
          <w:i/>
        </w:rPr>
      </w:pPr>
      <w:r>
        <w:t xml:space="preserve">people lacking capacity dates back to 1989, when the Law Commission embarked </w:t>
      </w:r>
      <w:r w:rsidRPr="006D2DAD">
        <w:rPr>
          <w:i/>
        </w:rPr>
        <w:t>on ‘an</w:t>
      </w:r>
    </w:p>
    <w:p w:rsidR="001F1A10" w:rsidRPr="006D2DAD" w:rsidRDefault="00886F77" w:rsidP="001F1A10">
      <w:pPr>
        <w:spacing w:line="240" w:lineRule="auto"/>
        <w:rPr>
          <w:i/>
        </w:rPr>
      </w:pPr>
      <w:r w:rsidRPr="006D2DAD">
        <w:rPr>
          <w:i/>
        </w:rPr>
        <w:t xml:space="preserve">investigation into the adequacy of the legal and other procedures for the making of decisions on </w:t>
      </w:r>
    </w:p>
    <w:p w:rsidR="00886F77" w:rsidRDefault="00886F77" w:rsidP="001F1A10">
      <w:pPr>
        <w:spacing w:line="240" w:lineRule="auto"/>
      </w:pPr>
      <w:r w:rsidRPr="006D2DAD">
        <w:rPr>
          <w:i/>
        </w:rPr>
        <w:t>behalf of</w:t>
      </w:r>
      <w:r w:rsidR="001F1A10" w:rsidRPr="006D2DAD">
        <w:rPr>
          <w:i/>
        </w:rPr>
        <w:t xml:space="preserve"> </w:t>
      </w:r>
      <w:r w:rsidRPr="006D2DAD">
        <w:rPr>
          <w:i/>
        </w:rPr>
        <w:t>mentally incapacitated adults’</w:t>
      </w:r>
      <w:r w:rsidR="001F1A10">
        <w:rPr>
          <w:rStyle w:val="FootnoteReference"/>
        </w:rPr>
        <w:footnoteReference w:id="3"/>
      </w:r>
      <w:r>
        <w:t>. This programme had been initiated following a Law Society</w:t>
      </w:r>
    </w:p>
    <w:p w:rsidR="00886F77" w:rsidRDefault="00886F77" w:rsidP="0068713F">
      <w:pPr>
        <w:spacing w:line="240" w:lineRule="auto"/>
      </w:pPr>
      <w:r>
        <w:lastRenderedPageBreak/>
        <w:t>discussion document</w:t>
      </w:r>
      <w:r w:rsidR="001F1A10">
        <w:rPr>
          <w:rStyle w:val="FootnoteReference"/>
        </w:rPr>
        <w:footnoteReference w:id="4"/>
      </w:r>
      <w:r>
        <w:t xml:space="preserve"> and then the judgment in Re F,</w:t>
      </w:r>
      <w:r w:rsidR="001F1A10">
        <w:rPr>
          <w:rStyle w:val="FootnoteReference"/>
        </w:rPr>
        <w:footnoteReference w:id="5"/>
      </w:r>
      <w:r>
        <w:t xml:space="preserve"> which highlighted the lacuna in English law</w:t>
      </w:r>
    </w:p>
    <w:p w:rsidR="001F1A10" w:rsidRPr="006D2DAD" w:rsidRDefault="00886F77" w:rsidP="0068713F">
      <w:pPr>
        <w:spacing w:line="240" w:lineRule="auto"/>
        <w:rPr>
          <w:i/>
        </w:rPr>
      </w:pPr>
      <w:r>
        <w:t>that ‘</w:t>
      </w:r>
      <w:r w:rsidRPr="006D2DAD">
        <w:rPr>
          <w:i/>
        </w:rPr>
        <w:t xml:space="preserve">no procedure [exists] whereby any other person or court can take a medical decision on behalf </w:t>
      </w:r>
    </w:p>
    <w:p w:rsidR="00886F77" w:rsidRDefault="00886F77" w:rsidP="0068713F">
      <w:pPr>
        <w:spacing w:line="240" w:lineRule="auto"/>
      </w:pPr>
      <w:proofErr w:type="gramStart"/>
      <w:r w:rsidRPr="006D2DAD">
        <w:rPr>
          <w:i/>
        </w:rPr>
        <w:t>of</w:t>
      </w:r>
      <w:proofErr w:type="gramEnd"/>
      <w:r w:rsidRPr="006D2DAD">
        <w:rPr>
          <w:i/>
        </w:rPr>
        <w:t xml:space="preserve"> an</w:t>
      </w:r>
      <w:r w:rsidR="001F1A10" w:rsidRPr="006D2DAD">
        <w:rPr>
          <w:i/>
        </w:rPr>
        <w:t xml:space="preserve"> </w:t>
      </w:r>
      <w:r w:rsidRPr="006D2DAD">
        <w:rPr>
          <w:i/>
        </w:rPr>
        <w:t>adult patient without c</w:t>
      </w:r>
      <w:r w:rsidR="001F1A10" w:rsidRPr="006D2DAD">
        <w:rPr>
          <w:i/>
        </w:rPr>
        <w:t>apacity to take that decision’</w:t>
      </w:r>
      <w:r w:rsidR="001F1A10">
        <w:t>.</w:t>
      </w:r>
      <w:r w:rsidR="001F1A10">
        <w:rPr>
          <w:rStyle w:val="FootnoteReference"/>
        </w:rPr>
        <w:footnoteReference w:id="6"/>
      </w:r>
    </w:p>
    <w:p w:rsidR="00B26F81" w:rsidRDefault="00B26F81" w:rsidP="0068713F">
      <w:pPr>
        <w:spacing w:line="240" w:lineRule="auto"/>
      </w:pPr>
    </w:p>
    <w:p w:rsidR="00B26F81" w:rsidRDefault="00B26F81" w:rsidP="0068713F">
      <w:pPr>
        <w:spacing w:line="240" w:lineRule="auto"/>
      </w:pPr>
      <w:r>
        <w:t>In the interim there have also been two significant cases focussing on the question of refusal of</w:t>
      </w:r>
    </w:p>
    <w:p w:rsidR="00B26F81" w:rsidRDefault="00B26F81" w:rsidP="0068713F">
      <w:pPr>
        <w:spacing w:line="240" w:lineRule="auto"/>
      </w:pPr>
      <w:r>
        <w:t xml:space="preserve">treatment for physical conditions. </w:t>
      </w:r>
      <w:r w:rsidRPr="00B26F81">
        <w:rPr>
          <w:i/>
        </w:rPr>
        <w:t>Re T</w:t>
      </w:r>
      <w:r>
        <w:rPr>
          <w:rStyle w:val="FootnoteReference"/>
        </w:rPr>
        <w:footnoteReference w:id="7"/>
      </w:r>
      <w:r>
        <w:t xml:space="preserve"> involved a young woman, Miss T, who was 34 weeks</w:t>
      </w:r>
    </w:p>
    <w:p w:rsidR="00B26F81" w:rsidRDefault="00B26F81" w:rsidP="0068713F">
      <w:pPr>
        <w:spacing w:line="240" w:lineRule="auto"/>
      </w:pPr>
      <w:r>
        <w:t>pregnant when she was involved in a car accident. She was admitted to hospital and some time later</w:t>
      </w:r>
    </w:p>
    <w:p w:rsidR="00B26F81" w:rsidRDefault="00B26F81" w:rsidP="0068713F">
      <w:pPr>
        <w:spacing w:line="240" w:lineRule="auto"/>
      </w:pPr>
      <w:r>
        <w:t>went into labour, which led to an emergency Caesarian section. Thereafter, Miss T’s condition</w:t>
      </w:r>
    </w:p>
    <w:p w:rsidR="00B26F81" w:rsidRDefault="00B26F81" w:rsidP="0068713F">
      <w:pPr>
        <w:spacing w:line="240" w:lineRule="auto"/>
      </w:pPr>
      <w:r>
        <w:t>deteriorated and she was admitted to the intensive care unit. The consultant anaesthetist would</w:t>
      </w:r>
    </w:p>
    <w:p w:rsidR="00B26F81" w:rsidRDefault="00B26F81" w:rsidP="0068713F">
      <w:pPr>
        <w:spacing w:line="240" w:lineRule="auto"/>
      </w:pPr>
      <w:r>
        <w:t>normally have given Miss T a blood transfusion but, on this occasion, was reluctant to do so</w:t>
      </w:r>
    </w:p>
    <w:p w:rsidR="00B26F81" w:rsidRDefault="00B26F81" w:rsidP="0068713F">
      <w:pPr>
        <w:spacing w:line="240" w:lineRule="auto"/>
      </w:pPr>
      <w:r>
        <w:t>because Miss T had twice told clinical staff she did not want a blood transfusion. Both instances</w:t>
      </w:r>
    </w:p>
    <w:p w:rsidR="00B26F81" w:rsidRDefault="00B26F81" w:rsidP="0068713F">
      <w:pPr>
        <w:spacing w:line="240" w:lineRule="auto"/>
      </w:pPr>
      <w:r>
        <w:t>had occurred shortly after Miss T had had a private conversation with her mother, who was a</w:t>
      </w:r>
    </w:p>
    <w:p w:rsidR="00B26F81" w:rsidRDefault="00B26F81" w:rsidP="0068713F">
      <w:pPr>
        <w:spacing w:line="240" w:lineRule="auto"/>
      </w:pPr>
      <w:r>
        <w:t>Jehovah’s Witness. Although Miss T had been brought up by her mother after her parents</w:t>
      </w:r>
    </w:p>
    <w:p w:rsidR="00B26F81" w:rsidRDefault="00B26F81" w:rsidP="0068713F">
      <w:pPr>
        <w:spacing w:line="240" w:lineRule="auto"/>
      </w:pPr>
      <w:r>
        <w:t>separated, she was not an adherent to that faith and it was contended Miss T had made her</w:t>
      </w:r>
    </w:p>
    <w:p w:rsidR="00B26F81" w:rsidRDefault="00B26F81" w:rsidP="0068713F">
      <w:pPr>
        <w:spacing w:line="240" w:lineRule="auto"/>
      </w:pPr>
      <w:r>
        <w:t>pronouncements under the influence of her mother. Miss T’s father applied to the court for a</w:t>
      </w:r>
    </w:p>
    <w:p w:rsidR="00B26F81" w:rsidRDefault="00B26F81" w:rsidP="0068713F">
      <w:pPr>
        <w:spacing w:line="240" w:lineRule="auto"/>
      </w:pPr>
      <w:r>
        <w:t>declaration as to whether it would be lawful to give her the blood transfusion that was thought</w:t>
      </w:r>
    </w:p>
    <w:p w:rsidR="00B26F81" w:rsidRDefault="00B26F81" w:rsidP="0068713F">
      <w:pPr>
        <w:spacing w:line="240" w:lineRule="auto"/>
      </w:pPr>
      <w:r>
        <w:t>necessary to save her life.</w:t>
      </w:r>
    </w:p>
    <w:p w:rsidR="00E81817" w:rsidRDefault="00E81817" w:rsidP="0068713F">
      <w:pPr>
        <w:spacing w:line="240" w:lineRule="auto"/>
      </w:pPr>
    </w:p>
    <w:p w:rsidR="00E81817" w:rsidRDefault="00E81817" w:rsidP="0068713F">
      <w:pPr>
        <w:spacing w:line="240" w:lineRule="auto"/>
      </w:pPr>
      <w:r>
        <w:t>The court of first instance authorised the blood transfusion and held Miss T had neither</w:t>
      </w:r>
    </w:p>
    <w:p w:rsidR="00E81817" w:rsidRDefault="00E81817" w:rsidP="0068713F">
      <w:pPr>
        <w:spacing w:line="240" w:lineRule="auto"/>
      </w:pPr>
      <w:r>
        <w:t>consented nor refused the transfusion in the emergency that had arisen. To proceed with the</w:t>
      </w:r>
    </w:p>
    <w:p w:rsidR="00E81817" w:rsidRDefault="00E81817" w:rsidP="0068713F">
      <w:pPr>
        <w:spacing w:line="240" w:lineRule="auto"/>
      </w:pPr>
      <w:r>
        <w:t>transfusion was seen to be acting in her best interests. The case went to the Court of Appeal after</w:t>
      </w:r>
    </w:p>
    <w:p w:rsidR="00E81817" w:rsidRPr="0099729C" w:rsidRDefault="00E81817" w:rsidP="0068713F">
      <w:pPr>
        <w:spacing w:line="240" w:lineRule="auto"/>
        <w:rPr>
          <w:i/>
        </w:rPr>
      </w:pPr>
      <w:r>
        <w:t xml:space="preserve">Miss T appealed but the importance of providing </w:t>
      </w:r>
      <w:r w:rsidRPr="0099729C">
        <w:rPr>
          <w:i/>
        </w:rPr>
        <w:t>‘guidance to hospital authorities and to the medical</w:t>
      </w:r>
    </w:p>
    <w:p w:rsidR="00E81817" w:rsidRDefault="00E81817" w:rsidP="0068713F">
      <w:pPr>
        <w:spacing w:line="240" w:lineRule="auto"/>
      </w:pPr>
      <w:r w:rsidRPr="0099729C">
        <w:rPr>
          <w:i/>
        </w:rPr>
        <w:t>profession on the appropriate response to a refusal by an adult to accept treatment’</w:t>
      </w:r>
      <w:r w:rsidR="0099729C">
        <w:rPr>
          <w:rStyle w:val="FootnoteReference"/>
        </w:rPr>
        <w:footnoteReference w:id="8"/>
      </w:r>
      <w:r>
        <w:t xml:space="preserve"> was also </w:t>
      </w:r>
    </w:p>
    <w:p w:rsidR="00E81817" w:rsidRDefault="00E81817" w:rsidP="0068713F">
      <w:pPr>
        <w:spacing w:line="240" w:lineRule="auto"/>
      </w:pPr>
      <w:r>
        <w:t>recognised.</w:t>
      </w:r>
    </w:p>
    <w:p w:rsidR="008D2A5B" w:rsidRDefault="008D2A5B" w:rsidP="00E81817">
      <w:pPr>
        <w:spacing w:line="240" w:lineRule="auto"/>
      </w:pPr>
    </w:p>
    <w:p w:rsidR="008D2A5B" w:rsidRDefault="008D2A5B" w:rsidP="00777B68">
      <w:pPr>
        <w:spacing w:line="240" w:lineRule="auto"/>
      </w:pPr>
      <w:r>
        <w:lastRenderedPageBreak/>
        <w:t>In his leading judgment, Lord Donaldson, MR, held that</w:t>
      </w:r>
    </w:p>
    <w:p w:rsidR="008D2A5B" w:rsidRPr="00777B68" w:rsidRDefault="008D2A5B" w:rsidP="00777B68">
      <w:pPr>
        <w:spacing w:line="240" w:lineRule="auto"/>
        <w:rPr>
          <w:i/>
        </w:rPr>
      </w:pPr>
      <w:r>
        <w:t>‘</w:t>
      </w:r>
      <w:r w:rsidRPr="00777B68">
        <w:rPr>
          <w:i/>
        </w:rPr>
        <w:t>Prima facie every adult has the right and capacity to decide whether or not he will accept medical</w:t>
      </w:r>
    </w:p>
    <w:p w:rsidR="00777B68" w:rsidRPr="00777B68" w:rsidRDefault="008D2A5B" w:rsidP="00777B68">
      <w:pPr>
        <w:spacing w:line="240" w:lineRule="auto"/>
        <w:rPr>
          <w:i/>
        </w:rPr>
      </w:pPr>
      <w:r w:rsidRPr="00777B68">
        <w:rPr>
          <w:i/>
        </w:rPr>
        <w:t xml:space="preserve">treatment, even if a refusal may risk permanent injury to his health or even lead to premature </w:t>
      </w:r>
    </w:p>
    <w:p w:rsidR="00777B68" w:rsidRPr="00777B68" w:rsidRDefault="00777B68" w:rsidP="00777B68">
      <w:pPr>
        <w:spacing w:line="240" w:lineRule="auto"/>
        <w:rPr>
          <w:i/>
        </w:rPr>
      </w:pPr>
      <w:r w:rsidRPr="00777B68">
        <w:rPr>
          <w:i/>
        </w:rPr>
        <w:t xml:space="preserve">death. </w:t>
      </w:r>
      <w:r w:rsidR="008D2A5B" w:rsidRPr="00777B68">
        <w:rPr>
          <w:i/>
        </w:rPr>
        <w:t xml:space="preserve">Furthermore, it matters not whether the reasons for the refusal were rational or irrational, </w:t>
      </w:r>
    </w:p>
    <w:p w:rsidR="00777B68" w:rsidRPr="00777B68" w:rsidRDefault="008D2A5B" w:rsidP="00777B68">
      <w:pPr>
        <w:spacing w:line="240" w:lineRule="auto"/>
        <w:rPr>
          <w:i/>
        </w:rPr>
      </w:pPr>
      <w:r w:rsidRPr="00777B68">
        <w:rPr>
          <w:i/>
        </w:rPr>
        <w:t xml:space="preserve">unknown </w:t>
      </w:r>
      <w:r w:rsidR="00777B68" w:rsidRPr="00777B68">
        <w:rPr>
          <w:i/>
        </w:rPr>
        <w:t xml:space="preserve"> or </w:t>
      </w:r>
      <w:r w:rsidRPr="00777B68">
        <w:rPr>
          <w:i/>
        </w:rPr>
        <w:t xml:space="preserve">even non-existent. ...... However, the presumption of capacity to decide, which stems </w:t>
      </w:r>
    </w:p>
    <w:p w:rsidR="008D2A5B" w:rsidRDefault="008D2A5B" w:rsidP="00777B68">
      <w:pPr>
        <w:spacing w:line="240" w:lineRule="auto"/>
      </w:pPr>
      <w:r w:rsidRPr="00777B68">
        <w:rPr>
          <w:i/>
        </w:rPr>
        <w:t xml:space="preserve">from </w:t>
      </w:r>
      <w:r w:rsidR="00777B68" w:rsidRPr="00777B68">
        <w:rPr>
          <w:i/>
        </w:rPr>
        <w:t xml:space="preserve">the fact that </w:t>
      </w:r>
      <w:r w:rsidRPr="00777B68">
        <w:rPr>
          <w:i/>
        </w:rPr>
        <w:t>the patie</w:t>
      </w:r>
      <w:r w:rsidR="00777B68" w:rsidRPr="00777B68">
        <w:rPr>
          <w:i/>
        </w:rPr>
        <w:t>nt is an adult, is rebuttable</w:t>
      </w:r>
      <w:r w:rsidR="00777B68">
        <w:t>.’</w:t>
      </w:r>
      <w:r w:rsidR="00777B68">
        <w:rPr>
          <w:rStyle w:val="FootnoteReference"/>
        </w:rPr>
        <w:footnoteReference w:id="9"/>
      </w:r>
    </w:p>
    <w:p w:rsidR="00777B68" w:rsidRDefault="00777B68" w:rsidP="00777B68">
      <w:pPr>
        <w:spacing w:line="240" w:lineRule="auto"/>
      </w:pPr>
    </w:p>
    <w:p w:rsidR="00777B68" w:rsidRPr="00777B68" w:rsidRDefault="008D2A5B" w:rsidP="00777B68">
      <w:pPr>
        <w:spacing w:line="240" w:lineRule="auto"/>
        <w:rPr>
          <w:i/>
        </w:rPr>
      </w:pPr>
      <w:r>
        <w:t>He also emphasised that ‘</w:t>
      </w:r>
      <w:r w:rsidRPr="00777B68">
        <w:rPr>
          <w:i/>
        </w:rPr>
        <w:t xml:space="preserve">an adult patient who ... suffers from no mental incapacity has an absolute </w:t>
      </w:r>
    </w:p>
    <w:p w:rsidR="00777B68" w:rsidRPr="00777B68" w:rsidRDefault="00777B68" w:rsidP="00777B68">
      <w:pPr>
        <w:spacing w:line="240" w:lineRule="auto"/>
        <w:rPr>
          <w:i/>
        </w:rPr>
      </w:pPr>
      <w:r w:rsidRPr="00777B68">
        <w:rPr>
          <w:i/>
        </w:rPr>
        <w:t xml:space="preserve">right </w:t>
      </w:r>
      <w:r w:rsidR="008D2A5B" w:rsidRPr="00777B68">
        <w:rPr>
          <w:i/>
        </w:rPr>
        <w:t xml:space="preserve">to choose whether to consent to medical treatment, to refuse it or to choose one rather than </w:t>
      </w:r>
    </w:p>
    <w:p w:rsidR="00777B68" w:rsidRDefault="00777B68" w:rsidP="00777B68">
      <w:pPr>
        <w:spacing w:line="240" w:lineRule="auto"/>
      </w:pPr>
      <w:proofErr w:type="gramStart"/>
      <w:r w:rsidRPr="00777B68">
        <w:rPr>
          <w:i/>
        </w:rPr>
        <w:t>another</w:t>
      </w:r>
      <w:proofErr w:type="gramEnd"/>
      <w:r w:rsidRPr="00777B68">
        <w:rPr>
          <w:i/>
        </w:rPr>
        <w:t xml:space="preserve"> of the </w:t>
      </w:r>
      <w:r w:rsidR="008D2A5B" w:rsidRPr="00777B68">
        <w:rPr>
          <w:i/>
        </w:rPr>
        <w:t>treatments being offered</w:t>
      </w:r>
      <w:r w:rsidR="008D2A5B">
        <w:t>’.</w:t>
      </w:r>
      <w:r>
        <w:rPr>
          <w:rStyle w:val="FootnoteReference"/>
        </w:rPr>
        <w:footnoteReference w:id="10"/>
      </w:r>
      <w:r w:rsidR="008D2A5B">
        <w:t xml:space="preserve"> </w:t>
      </w:r>
      <w:r w:rsidR="008D2A5B" w:rsidRPr="009548FD">
        <w:rPr>
          <w:i/>
        </w:rPr>
        <w:t>Re T</w:t>
      </w:r>
      <w:r w:rsidR="008D2A5B">
        <w:t xml:space="preserve"> was concerned with refusal of the medical </w:t>
      </w:r>
    </w:p>
    <w:p w:rsidR="00777B68" w:rsidRDefault="00777B68" w:rsidP="00777B68">
      <w:pPr>
        <w:spacing w:line="240" w:lineRule="auto"/>
      </w:pPr>
      <w:r>
        <w:t xml:space="preserve">treatment proposed but </w:t>
      </w:r>
      <w:r w:rsidR="008D2A5B">
        <w:t xml:space="preserve">this did not exclude the possibility of any patient giving consent to the </w:t>
      </w:r>
    </w:p>
    <w:p w:rsidR="008D2A5B" w:rsidRDefault="00777B68" w:rsidP="00777B68">
      <w:pPr>
        <w:spacing w:line="240" w:lineRule="auto"/>
      </w:pPr>
      <w:r>
        <w:t xml:space="preserve">future administration of </w:t>
      </w:r>
      <w:r w:rsidR="008D2A5B">
        <w:t>treatment in particular circumstances.</w:t>
      </w:r>
    </w:p>
    <w:p w:rsidR="00777B68" w:rsidRDefault="00777B68" w:rsidP="00777B68">
      <w:pPr>
        <w:spacing w:line="240" w:lineRule="auto"/>
      </w:pPr>
    </w:p>
    <w:p w:rsidR="00777B68" w:rsidRDefault="00777B68" w:rsidP="00777B68">
      <w:pPr>
        <w:spacing w:line="240" w:lineRule="auto"/>
      </w:pPr>
      <w:r>
        <w:t xml:space="preserve">The case of </w:t>
      </w:r>
      <w:r w:rsidRPr="00777B68">
        <w:rPr>
          <w:i/>
        </w:rPr>
        <w:t>Re C</w:t>
      </w:r>
      <w:r>
        <w:rPr>
          <w:rStyle w:val="FootnoteReference"/>
          <w:i/>
        </w:rPr>
        <w:footnoteReference w:id="11"/>
      </w:r>
      <w:r>
        <w:t xml:space="preserve"> involved a man suffering from chronic paranoid schizophrenia who developed</w:t>
      </w:r>
    </w:p>
    <w:p w:rsidR="00777B68" w:rsidRDefault="00777B68" w:rsidP="00777B68">
      <w:pPr>
        <w:spacing w:line="240" w:lineRule="auto"/>
      </w:pPr>
      <w:r>
        <w:t>gangrene in his right foot. His surgeon advised amputation of the lower leg as he considered death</w:t>
      </w:r>
    </w:p>
    <w:p w:rsidR="00777B68" w:rsidRDefault="00777B68" w:rsidP="00777B68">
      <w:pPr>
        <w:spacing w:line="240" w:lineRule="auto"/>
      </w:pPr>
      <w:proofErr w:type="gramStart"/>
      <w:r>
        <w:t>was</w:t>
      </w:r>
      <w:proofErr w:type="gramEnd"/>
      <w:r>
        <w:t xml:space="preserve"> imminent without such radical surgery. C refused to consent to such a procedure but did agree</w:t>
      </w:r>
    </w:p>
    <w:p w:rsidR="00777B68" w:rsidRDefault="00777B68" w:rsidP="00777B68">
      <w:pPr>
        <w:spacing w:line="240" w:lineRule="auto"/>
      </w:pPr>
      <w:proofErr w:type="gramStart"/>
      <w:r>
        <w:t>to</w:t>
      </w:r>
      <w:proofErr w:type="gramEnd"/>
      <w:r>
        <w:t xml:space="preserve"> more conservative treatment. Faced with the possibility of a recurrence of the gangrene,</w:t>
      </w:r>
    </w:p>
    <w:p w:rsidR="00777B68" w:rsidRDefault="00777B68" w:rsidP="00777B68">
      <w:pPr>
        <w:spacing w:line="240" w:lineRule="auto"/>
      </w:pPr>
      <w:r>
        <w:t>C sought an undertaking, in vain, that the hospital would not amputate his leg in any future</w:t>
      </w:r>
    </w:p>
    <w:p w:rsidR="00777B68" w:rsidRDefault="00777B68" w:rsidP="00777B68">
      <w:pPr>
        <w:spacing w:line="240" w:lineRule="auto"/>
      </w:pPr>
      <w:r>
        <w:t>circumstances. C then approached the High Court seeking an injunction to prevent the hospital</w:t>
      </w:r>
    </w:p>
    <w:p w:rsidR="00777B68" w:rsidRDefault="00777B68" w:rsidP="00777B68">
      <w:pPr>
        <w:spacing w:line="240" w:lineRule="auto"/>
      </w:pPr>
      <w:r>
        <w:t>operating at that time or in the future without his consent. Judgment from Thorpe, J. confirmed a</w:t>
      </w:r>
    </w:p>
    <w:p w:rsidR="00777B68" w:rsidRDefault="00777B68" w:rsidP="00777B68">
      <w:pPr>
        <w:spacing w:line="240" w:lineRule="auto"/>
      </w:pPr>
      <w:r>
        <w:t>capacitous patient’s entitlement not only to refuse the proposed treatment but also his right to</w:t>
      </w:r>
    </w:p>
    <w:p w:rsidR="00777B68" w:rsidRDefault="00777B68" w:rsidP="00777B68">
      <w:pPr>
        <w:spacing w:line="240" w:lineRule="auto"/>
      </w:pPr>
      <w:proofErr w:type="gramStart"/>
      <w:r>
        <w:t>have</w:t>
      </w:r>
      <w:proofErr w:type="gramEnd"/>
      <w:r>
        <w:t xml:space="preserve"> such a refusal respected in the future even if he should become incapacitated in the meantime.</w:t>
      </w:r>
    </w:p>
    <w:p w:rsidR="005619D2" w:rsidRDefault="005619D2" w:rsidP="00777B68">
      <w:pPr>
        <w:spacing w:line="240" w:lineRule="auto"/>
      </w:pPr>
    </w:p>
    <w:p w:rsidR="005619D2" w:rsidRDefault="005619D2" w:rsidP="005619D2">
      <w:pPr>
        <w:spacing w:line="240" w:lineRule="auto"/>
      </w:pPr>
      <w:r>
        <w:t>The Law Commission’s final report</w:t>
      </w:r>
      <w:r>
        <w:rPr>
          <w:rStyle w:val="FootnoteReference"/>
        </w:rPr>
        <w:footnoteReference w:id="12"/>
      </w:r>
      <w:r>
        <w:t xml:space="preserve"> in 1995 considered ‘</w:t>
      </w:r>
      <w:r w:rsidRPr="005619D2">
        <w:rPr>
          <w:i/>
        </w:rPr>
        <w:t>Advance Statements about Health care</w:t>
      </w:r>
      <w:r>
        <w:t>’</w:t>
      </w:r>
      <w:r>
        <w:rPr>
          <w:rStyle w:val="FootnoteReference"/>
        </w:rPr>
        <w:footnoteReference w:id="13"/>
      </w:r>
    </w:p>
    <w:p w:rsidR="005619D2" w:rsidRPr="005619D2" w:rsidRDefault="005619D2" w:rsidP="005619D2">
      <w:pPr>
        <w:spacing w:line="240" w:lineRule="auto"/>
        <w:rPr>
          <w:i/>
        </w:rPr>
      </w:pPr>
      <w:r>
        <w:t>and distinguished between ‘</w:t>
      </w:r>
      <w:r w:rsidRPr="005619D2">
        <w:rPr>
          <w:i/>
        </w:rPr>
        <w:t>an advance expression of views and preferences .... and an advance</w:t>
      </w:r>
    </w:p>
    <w:p w:rsidR="005619D2" w:rsidRDefault="005619D2" w:rsidP="005619D2">
      <w:pPr>
        <w:spacing w:line="240" w:lineRule="auto"/>
      </w:pPr>
      <w:r w:rsidRPr="005619D2">
        <w:rPr>
          <w:i/>
        </w:rPr>
        <w:t>decision..</w:t>
      </w:r>
      <w:proofErr w:type="gramStart"/>
      <w:r>
        <w:t>’.</w:t>
      </w:r>
      <w:proofErr w:type="gramEnd"/>
      <w:r>
        <w:rPr>
          <w:rStyle w:val="FootnoteReference"/>
        </w:rPr>
        <w:footnoteReference w:id="14"/>
      </w:r>
      <w:r>
        <w:t xml:space="preserve"> It pointed out many model advance directives take the form of anticipatory consent to</w:t>
      </w:r>
    </w:p>
    <w:p w:rsidR="005619D2" w:rsidRDefault="005619D2" w:rsidP="009D0748">
      <w:pPr>
        <w:spacing w:line="240" w:lineRule="auto"/>
      </w:pPr>
      <w:r>
        <w:lastRenderedPageBreak/>
        <w:t>types of treatment in relation to physical conditions.</w:t>
      </w:r>
      <w:r w:rsidR="009D0748">
        <w:rPr>
          <w:rStyle w:val="FootnoteReference"/>
        </w:rPr>
        <w:footnoteReference w:id="15"/>
      </w:r>
      <w:r>
        <w:t xml:space="preserve"> Indeed, surgery under general anaesthesia,</w:t>
      </w:r>
    </w:p>
    <w:p w:rsidR="005619D2" w:rsidRDefault="005619D2" w:rsidP="009D0748">
      <w:pPr>
        <w:spacing w:line="240" w:lineRule="auto"/>
      </w:pPr>
      <w:r>
        <w:t>except in an emergency situation, requires an anticipatory decision to consent to the proposed</w:t>
      </w:r>
    </w:p>
    <w:p w:rsidR="005619D2" w:rsidRDefault="005619D2" w:rsidP="009D0748">
      <w:pPr>
        <w:spacing w:line="240" w:lineRule="auto"/>
      </w:pPr>
      <w:r>
        <w:t>procedure.</w:t>
      </w:r>
      <w:r w:rsidR="009D0748">
        <w:rPr>
          <w:rStyle w:val="FootnoteReference"/>
        </w:rPr>
        <w:footnoteReference w:id="16"/>
      </w:r>
      <w:r>
        <w:t xml:space="preserve"> The Law Commission also made the point that case law in this area will focus on</w:t>
      </w:r>
    </w:p>
    <w:p w:rsidR="005619D2" w:rsidRDefault="005619D2" w:rsidP="009D0748">
      <w:pPr>
        <w:spacing w:line="240" w:lineRule="auto"/>
      </w:pPr>
      <w:r>
        <w:t>advance decisions to refuse particular forms of treatment, since if the person has already</w:t>
      </w:r>
    </w:p>
    <w:p w:rsidR="005619D2" w:rsidRDefault="005619D2" w:rsidP="009D0748">
      <w:pPr>
        <w:spacing w:line="240" w:lineRule="auto"/>
      </w:pPr>
      <w:r>
        <w:t>consented, prior to losing capacity, to the type of treatment the treating physician later wishes to</w:t>
      </w:r>
    </w:p>
    <w:p w:rsidR="005619D2" w:rsidRDefault="005619D2" w:rsidP="009D0748">
      <w:pPr>
        <w:spacing w:line="240" w:lineRule="auto"/>
      </w:pPr>
      <w:r>
        <w:t>administer, there will be no dispute and the treatment will be given. However, this presupposes</w:t>
      </w:r>
    </w:p>
    <w:p w:rsidR="005619D2" w:rsidRDefault="005619D2" w:rsidP="009D0748">
      <w:pPr>
        <w:spacing w:line="240" w:lineRule="auto"/>
      </w:pPr>
      <w:r>
        <w:t>there is no conflict between the treatment specified by the patient and the treatment considered</w:t>
      </w:r>
    </w:p>
    <w:p w:rsidR="005619D2" w:rsidRDefault="005619D2" w:rsidP="009D0748">
      <w:pPr>
        <w:spacing w:line="240" w:lineRule="auto"/>
      </w:pPr>
      <w:r>
        <w:t>appropriate by the physician. For example, both patient and psychiatrist may agree on the</w:t>
      </w:r>
    </w:p>
    <w:p w:rsidR="005619D2" w:rsidRDefault="005619D2" w:rsidP="009D0748">
      <w:pPr>
        <w:spacing w:line="240" w:lineRule="auto"/>
      </w:pPr>
      <w:r>
        <w:t>desirability of restarting antipsychotic medication but while the former is only willing to consider</w:t>
      </w:r>
    </w:p>
    <w:p w:rsidR="005619D2" w:rsidRDefault="005619D2" w:rsidP="009D0748">
      <w:pPr>
        <w:spacing w:line="240" w:lineRule="auto"/>
      </w:pPr>
      <w:r>
        <w:t>oral medication the latter may believe the long acting preparations given by depot injections are</w:t>
      </w:r>
    </w:p>
    <w:p w:rsidR="005619D2" w:rsidRDefault="005619D2" w:rsidP="009D0748">
      <w:pPr>
        <w:spacing w:line="240" w:lineRule="auto"/>
      </w:pPr>
      <w:r>
        <w:t>necessary.</w:t>
      </w:r>
    </w:p>
    <w:p w:rsidR="009D0748" w:rsidRDefault="009D0748" w:rsidP="009D0748">
      <w:pPr>
        <w:spacing w:line="240" w:lineRule="auto"/>
      </w:pPr>
    </w:p>
    <w:p w:rsidR="005619D2" w:rsidRDefault="005619D2" w:rsidP="009D0748">
      <w:pPr>
        <w:spacing w:line="240" w:lineRule="auto"/>
      </w:pPr>
      <w:r>
        <w:t>Advance consent is considered in three paragraphs with the remaining 25 being concerned with</w:t>
      </w:r>
    </w:p>
    <w:p w:rsidR="005619D2" w:rsidRDefault="005619D2" w:rsidP="009D0748">
      <w:pPr>
        <w:spacing w:line="240" w:lineRule="auto"/>
      </w:pPr>
      <w:r>
        <w:t>advance refusals of treatment. The Commission’s Report does argue that ‘to maintain the effect of</w:t>
      </w:r>
    </w:p>
    <w:p w:rsidR="005619D2" w:rsidRDefault="005619D2" w:rsidP="009D0748">
      <w:pPr>
        <w:spacing w:line="240" w:lineRule="auto"/>
      </w:pPr>
      <w:r>
        <w:t>the present law (by incorporating the judgments of Re C and Re T into statute) is consistent with our</w:t>
      </w:r>
    </w:p>
    <w:p w:rsidR="005619D2" w:rsidRDefault="005619D2" w:rsidP="009D0748">
      <w:pPr>
        <w:spacing w:line="240" w:lineRule="auto"/>
      </w:pPr>
      <w:r>
        <w:t>policy aim of enabling people to make such decisions as they are</w:t>
      </w:r>
      <w:r w:rsidR="009D0748">
        <w:t xml:space="preserve"> able to make for themselves’.</w:t>
      </w:r>
      <w:r w:rsidR="009D0748">
        <w:rPr>
          <w:rStyle w:val="FootnoteReference"/>
        </w:rPr>
        <w:footnoteReference w:id="17"/>
      </w:r>
    </w:p>
    <w:p w:rsidR="005619D2" w:rsidRDefault="005619D2" w:rsidP="009D0748">
      <w:pPr>
        <w:spacing w:line="240" w:lineRule="auto"/>
      </w:pPr>
      <w:r>
        <w:t>This appears to sidestep the issue of advance consent although does not exclude it. Patients with</w:t>
      </w:r>
    </w:p>
    <w:p w:rsidR="005619D2" w:rsidRDefault="005619D2" w:rsidP="009D0748">
      <w:pPr>
        <w:spacing w:line="240" w:lineRule="auto"/>
      </w:pPr>
      <w:r>
        <w:t>capacity are able to make decisions to give consent as well as to refuse treatment options.</w:t>
      </w:r>
    </w:p>
    <w:p w:rsidR="005619D2" w:rsidRDefault="005619D2" w:rsidP="009D0748">
      <w:pPr>
        <w:spacing w:line="240" w:lineRule="auto"/>
      </w:pPr>
      <w:r>
        <w:t>The common law, however, would recognise the latter but not the former as an advance decision.</w:t>
      </w:r>
    </w:p>
    <w:p w:rsidR="009D0748" w:rsidRPr="009D0748" w:rsidRDefault="009D0748" w:rsidP="009D0748">
      <w:pPr>
        <w:spacing w:line="240" w:lineRule="auto"/>
        <w:rPr>
          <w:b/>
        </w:rPr>
      </w:pPr>
    </w:p>
    <w:p w:rsidR="005619D2" w:rsidRPr="009D0748" w:rsidRDefault="005619D2" w:rsidP="009D0748">
      <w:pPr>
        <w:spacing w:line="240" w:lineRule="auto"/>
        <w:rPr>
          <w:b/>
        </w:rPr>
      </w:pPr>
      <w:r w:rsidRPr="009D0748">
        <w:rPr>
          <w:b/>
        </w:rPr>
        <w:t>Advance Statements in England and Wales</w:t>
      </w:r>
    </w:p>
    <w:p w:rsidR="005619D2" w:rsidRPr="005821CF" w:rsidRDefault="005619D2" w:rsidP="009D0748">
      <w:pPr>
        <w:spacing w:line="240" w:lineRule="auto"/>
        <w:rPr>
          <w:i/>
        </w:rPr>
      </w:pPr>
      <w:r>
        <w:t>The General Medical Council (GMC) acknowledges capacitous adult patients ‘</w:t>
      </w:r>
      <w:r w:rsidRPr="005821CF">
        <w:rPr>
          <w:i/>
        </w:rPr>
        <w:t>can express their</w:t>
      </w:r>
    </w:p>
    <w:p w:rsidR="005619D2" w:rsidRDefault="005619D2" w:rsidP="009D0748">
      <w:pPr>
        <w:spacing w:line="240" w:lineRule="auto"/>
      </w:pPr>
      <w:proofErr w:type="gramStart"/>
      <w:r w:rsidRPr="005821CF">
        <w:rPr>
          <w:i/>
        </w:rPr>
        <w:t>wishes</w:t>
      </w:r>
      <w:proofErr w:type="gramEnd"/>
      <w:r w:rsidRPr="005821CF">
        <w:rPr>
          <w:i/>
        </w:rPr>
        <w:t xml:space="preserve"> about future treatment in an advance statement</w:t>
      </w:r>
      <w:r>
        <w:t>’ but notes only a valid advance refusal of</w:t>
      </w:r>
    </w:p>
    <w:p w:rsidR="005619D2" w:rsidRDefault="005619D2" w:rsidP="009D0748">
      <w:pPr>
        <w:spacing w:line="240" w:lineRule="auto"/>
      </w:pPr>
      <w:r>
        <w:t>treatment is legally binding.</w:t>
      </w:r>
      <w:r w:rsidR="009D0748">
        <w:rPr>
          <w:rStyle w:val="FootnoteReference"/>
        </w:rPr>
        <w:footnoteReference w:id="18"/>
      </w:r>
      <w:r>
        <w:t xml:space="preserve"> It makes no distinction between treatment for physical and mental</w:t>
      </w:r>
    </w:p>
    <w:p w:rsidR="005619D2" w:rsidRDefault="005619D2" w:rsidP="009D0748">
      <w:pPr>
        <w:spacing w:line="240" w:lineRule="auto"/>
      </w:pPr>
      <w:r>
        <w:lastRenderedPageBreak/>
        <w:t>disorders.</w:t>
      </w:r>
    </w:p>
    <w:p w:rsidR="00BB241F" w:rsidRDefault="00BB241F" w:rsidP="009D0748">
      <w:pPr>
        <w:spacing w:line="240" w:lineRule="auto"/>
      </w:pPr>
    </w:p>
    <w:p w:rsidR="005619D2" w:rsidRDefault="005619D2" w:rsidP="00C2569E">
      <w:pPr>
        <w:spacing w:line="240" w:lineRule="auto"/>
      </w:pPr>
      <w:r>
        <w:t>The British Medical Association (BMA) has drawn up a Code of P</w:t>
      </w:r>
      <w:r w:rsidR="009D0748">
        <w:t>ractice on advance statements.</w:t>
      </w:r>
      <w:r w:rsidR="009D0748">
        <w:rPr>
          <w:rStyle w:val="FootnoteReference"/>
        </w:rPr>
        <w:footnoteReference w:id="19"/>
      </w:r>
    </w:p>
    <w:p w:rsidR="005619D2" w:rsidRDefault="005619D2" w:rsidP="00C2569E">
      <w:pPr>
        <w:spacing w:line="240" w:lineRule="auto"/>
      </w:pPr>
      <w:r>
        <w:t>It recognises that accommodating a patient’s views, values and attitudes about his treatment is both</w:t>
      </w:r>
    </w:p>
    <w:p w:rsidR="005619D2" w:rsidRDefault="005619D2" w:rsidP="00C2569E">
      <w:pPr>
        <w:spacing w:line="240" w:lineRule="auto"/>
      </w:pPr>
      <w:r>
        <w:t>fundamental to good practice but also a curb on clinical decision-making. Advance statements can</w:t>
      </w:r>
    </w:p>
    <w:p w:rsidR="005619D2" w:rsidRDefault="005619D2" w:rsidP="00C2569E">
      <w:pPr>
        <w:spacing w:line="240" w:lineRule="auto"/>
      </w:pPr>
      <w:r>
        <w:t>take many forms, varying from a general description of a person’s preferences and belief systems</w:t>
      </w:r>
    </w:p>
    <w:p w:rsidR="005619D2" w:rsidRDefault="005619D2" w:rsidP="00C2569E">
      <w:pPr>
        <w:spacing w:line="240" w:lineRule="auto"/>
      </w:pPr>
      <w:proofErr w:type="gramStart"/>
      <w:r>
        <w:t>to</w:t>
      </w:r>
      <w:proofErr w:type="gramEnd"/>
      <w:r>
        <w:t xml:space="preserve"> a clear instruction not to provide certain treatments (advance directive). However, any advance</w:t>
      </w:r>
    </w:p>
    <w:p w:rsidR="005619D2" w:rsidRDefault="005619D2" w:rsidP="00C2569E">
      <w:pPr>
        <w:spacing w:line="240" w:lineRule="auto"/>
      </w:pPr>
      <w:r>
        <w:t>statement is limited by existing statute and so could be overridden by the provisions permitting</w:t>
      </w:r>
    </w:p>
    <w:p w:rsidR="005821CF" w:rsidRDefault="005821CF" w:rsidP="00C2569E">
      <w:pPr>
        <w:spacing w:line="240" w:lineRule="auto"/>
      </w:pPr>
      <w:r>
        <w:t>compulsory treatment for mental disorder under the Mental Health Act 1983. Such statements</w:t>
      </w:r>
    </w:p>
    <w:p w:rsidR="005821CF" w:rsidRDefault="005821CF" w:rsidP="00C2569E">
      <w:pPr>
        <w:spacing w:line="240" w:lineRule="auto"/>
      </w:pPr>
      <w:r>
        <w:t>also cannot direct a clinician to act in a manner that is harmful, illegal, inappropriate to accepted</w:t>
      </w:r>
    </w:p>
    <w:p w:rsidR="005821CF" w:rsidRDefault="005821CF" w:rsidP="00C2569E">
      <w:pPr>
        <w:spacing w:line="240" w:lineRule="auto"/>
      </w:pPr>
      <w:r>
        <w:t>clinical practice or contrary to their conscience.</w:t>
      </w:r>
    </w:p>
    <w:p w:rsidR="005821CF" w:rsidRDefault="005821CF" w:rsidP="00C2569E">
      <w:pPr>
        <w:spacing w:line="240" w:lineRule="auto"/>
      </w:pPr>
    </w:p>
    <w:p w:rsidR="005821CF" w:rsidRDefault="005821CF" w:rsidP="00C2569E">
      <w:pPr>
        <w:spacing w:line="240" w:lineRule="auto"/>
      </w:pPr>
      <w:r>
        <w:t>In psychiatry, clinical guidelines for the treatment of schizophrenia, commissioned by the National</w:t>
      </w:r>
    </w:p>
    <w:p w:rsidR="005821CF" w:rsidRPr="00C2569E" w:rsidRDefault="005821CF" w:rsidP="00C2569E">
      <w:pPr>
        <w:spacing w:line="240" w:lineRule="auto"/>
        <w:rPr>
          <w:i/>
        </w:rPr>
      </w:pPr>
      <w:r>
        <w:t xml:space="preserve">Institute for Clinical Excellence (NICE), have advocated </w:t>
      </w:r>
      <w:r w:rsidRPr="00C2569E">
        <w:rPr>
          <w:i/>
        </w:rPr>
        <w:t>‘advance directives about the choice of</w:t>
      </w:r>
    </w:p>
    <w:p w:rsidR="005821CF" w:rsidRDefault="005821CF" w:rsidP="00C2569E">
      <w:pPr>
        <w:spacing w:line="240" w:lineRule="auto"/>
      </w:pPr>
      <w:r w:rsidRPr="00C2569E">
        <w:rPr>
          <w:i/>
        </w:rPr>
        <w:t>medication’</w:t>
      </w:r>
      <w:r>
        <w:t xml:space="preserve"> should be filed in patients’ records.</w:t>
      </w:r>
      <w:r w:rsidR="00C2569E">
        <w:rPr>
          <w:rStyle w:val="FootnoteReference"/>
        </w:rPr>
        <w:footnoteReference w:id="20"/>
      </w:r>
      <w:r>
        <w:t xml:space="preserve"> This would permit positive choices as well as</w:t>
      </w:r>
    </w:p>
    <w:p w:rsidR="005821CF" w:rsidRDefault="005821CF" w:rsidP="00C2569E">
      <w:pPr>
        <w:spacing w:line="240" w:lineRule="auto"/>
      </w:pPr>
      <w:r>
        <w:t>refusal of particular medication to be documented. The report’s actual recommendations</w:t>
      </w:r>
    </w:p>
    <w:p w:rsidR="005821CF" w:rsidRPr="00C2569E" w:rsidRDefault="005821CF" w:rsidP="00C2569E">
      <w:pPr>
        <w:spacing w:line="240" w:lineRule="auto"/>
        <w:rPr>
          <w:i/>
        </w:rPr>
      </w:pPr>
      <w:r>
        <w:t xml:space="preserve">withdraw from this absolute position, recognising </w:t>
      </w:r>
      <w:r w:rsidRPr="00C2569E">
        <w:rPr>
          <w:i/>
        </w:rPr>
        <w:t>‘there are limitations with advance directives</w:t>
      </w:r>
    </w:p>
    <w:p w:rsidR="005821CF" w:rsidRDefault="005821CF" w:rsidP="00C2569E">
      <w:pPr>
        <w:spacing w:line="240" w:lineRule="auto"/>
      </w:pPr>
      <w:r w:rsidRPr="00C2569E">
        <w:rPr>
          <w:i/>
        </w:rPr>
        <w:t>regarding the choice of treatment for individuals with schizophrenia’</w:t>
      </w:r>
      <w:r>
        <w:t xml:space="preserve"> but encouraging they are</w:t>
      </w:r>
    </w:p>
    <w:p w:rsidR="005821CF" w:rsidRDefault="005821CF" w:rsidP="00C2569E">
      <w:pPr>
        <w:spacing w:line="240" w:lineRule="auto"/>
      </w:pPr>
      <w:r>
        <w:t>developed as part of the care programme.</w:t>
      </w:r>
      <w:r w:rsidR="00C2569E">
        <w:rPr>
          <w:rStyle w:val="FootnoteReference"/>
        </w:rPr>
        <w:footnoteReference w:id="21"/>
      </w:r>
      <w:r>
        <w:t xml:space="preserve"> The nature of those limitations is not spelt out in the</w:t>
      </w:r>
    </w:p>
    <w:p w:rsidR="005821CF" w:rsidRDefault="005821CF" w:rsidP="00C2569E">
      <w:pPr>
        <w:spacing w:line="240" w:lineRule="auto"/>
      </w:pPr>
      <w:r>
        <w:t>report.</w:t>
      </w:r>
    </w:p>
    <w:p w:rsidR="00C2569E" w:rsidRDefault="00C2569E" w:rsidP="00C2569E">
      <w:pPr>
        <w:spacing w:line="240" w:lineRule="auto"/>
      </w:pPr>
    </w:p>
    <w:p w:rsidR="005821CF" w:rsidRDefault="005821CF" w:rsidP="00383649">
      <w:pPr>
        <w:spacing w:line="240" w:lineRule="auto"/>
      </w:pPr>
      <w:r>
        <w:t>Judging by the published research there is little practical experience of the use of advance</w:t>
      </w:r>
    </w:p>
    <w:p w:rsidR="005821CF" w:rsidRDefault="005821CF" w:rsidP="00383649">
      <w:pPr>
        <w:spacing w:line="240" w:lineRule="auto"/>
      </w:pPr>
      <w:r>
        <w:t>statements or directives in psychiatry. One group, at the Maudsley Hospital, London, encouraged</w:t>
      </w:r>
    </w:p>
    <w:p w:rsidR="005821CF" w:rsidRDefault="005821CF" w:rsidP="00383649">
      <w:pPr>
        <w:spacing w:line="240" w:lineRule="auto"/>
      </w:pPr>
      <w:proofErr w:type="gramStart"/>
      <w:r>
        <w:t>the</w:t>
      </w:r>
      <w:proofErr w:type="gramEnd"/>
      <w:r>
        <w:t xml:space="preserve"> use of ‘crisis cards’ among known psychiatric patients.</w:t>
      </w:r>
      <w:r w:rsidR="00C2569E">
        <w:rPr>
          <w:rStyle w:val="FootnoteReference"/>
        </w:rPr>
        <w:footnoteReference w:id="22"/>
      </w:r>
      <w:r>
        <w:t xml:space="preserve"> ‘Crisis cards’ record, among other</w:t>
      </w:r>
    </w:p>
    <w:p w:rsidR="005821CF" w:rsidRPr="00383649" w:rsidRDefault="005821CF" w:rsidP="00383649">
      <w:pPr>
        <w:spacing w:line="240" w:lineRule="auto"/>
        <w:rPr>
          <w:i/>
        </w:rPr>
      </w:pPr>
      <w:proofErr w:type="gramStart"/>
      <w:r>
        <w:t>details</w:t>
      </w:r>
      <w:proofErr w:type="gramEnd"/>
      <w:r>
        <w:t>, a patient’s current treatment and ‘</w:t>
      </w:r>
      <w:r w:rsidRPr="00383649">
        <w:rPr>
          <w:i/>
        </w:rPr>
        <w:t>preferences in anticipation of a later occasion when the</w:t>
      </w:r>
    </w:p>
    <w:p w:rsidR="005821CF" w:rsidRDefault="005821CF" w:rsidP="00383649">
      <w:pPr>
        <w:spacing w:line="240" w:lineRule="auto"/>
      </w:pPr>
      <w:proofErr w:type="gramStart"/>
      <w:r w:rsidRPr="00383649">
        <w:rPr>
          <w:i/>
        </w:rPr>
        <w:t>patient</w:t>
      </w:r>
      <w:proofErr w:type="gramEnd"/>
      <w:r w:rsidRPr="00383649">
        <w:rPr>
          <w:i/>
        </w:rPr>
        <w:t xml:space="preserve"> might be too ill to express them directly</w:t>
      </w:r>
      <w:r>
        <w:t>’. The cards were drawn up in discussion with the</w:t>
      </w:r>
    </w:p>
    <w:p w:rsidR="005821CF" w:rsidRDefault="005821CF" w:rsidP="006836BD">
      <w:pPr>
        <w:spacing w:line="240" w:lineRule="auto"/>
      </w:pPr>
      <w:r>
        <w:lastRenderedPageBreak/>
        <w:t>patient’s clinical team so as to produce an agreed plan of action to manage the next crisis for the</w:t>
      </w:r>
    </w:p>
    <w:p w:rsidR="005821CF" w:rsidRDefault="005821CF" w:rsidP="006836BD">
      <w:pPr>
        <w:spacing w:line="240" w:lineRule="auto"/>
      </w:pPr>
      <w:r>
        <w:t>patient. 65% of patients stated certain treatment preferences and 53% made advance refusals of</w:t>
      </w:r>
    </w:p>
    <w:p w:rsidR="005821CF" w:rsidRDefault="005821CF" w:rsidP="006836BD">
      <w:pPr>
        <w:spacing w:line="240" w:lineRule="auto"/>
      </w:pPr>
      <w:r>
        <w:t>specific medication.</w:t>
      </w:r>
      <w:r w:rsidR="006836BD">
        <w:t xml:space="preserve"> </w:t>
      </w:r>
      <w:r>
        <w:t xml:space="preserve"> At follow up one year later the rate of hospital admission for this group of</w:t>
      </w:r>
    </w:p>
    <w:p w:rsidR="005821CF" w:rsidRDefault="005821CF" w:rsidP="006836BD">
      <w:pPr>
        <w:spacing w:line="240" w:lineRule="auto"/>
      </w:pPr>
      <w:r>
        <w:t>patients had been reduced by 30% and the researchers also commented on the psychological</w:t>
      </w:r>
    </w:p>
    <w:p w:rsidR="005821CF" w:rsidRDefault="005821CF" w:rsidP="006836BD">
      <w:pPr>
        <w:spacing w:line="240" w:lineRule="auto"/>
      </w:pPr>
      <w:r>
        <w:t>benefits to the patients accruing from working collaboratively with the psychiatric services.</w:t>
      </w:r>
    </w:p>
    <w:p w:rsidR="005821CF" w:rsidRDefault="005821CF" w:rsidP="006836BD">
      <w:pPr>
        <w:spacing w:line="240" w:lineRule="auto"/>
      </w:pPr>
      <w:r>
        <w:t>However, another research team, also in London, found that patients who had completed an</w:t>
      </w:r>
    </w:p>
    <w:p w:rsidR="005821CF" w:rsidRDefault="005821CF" w:rsidP="006836BD">
      <w:pPr>
        <w:spacing w:line="240" w:lineRule="auto"/>
      </w:pPr>
      <w:r>
        <w:t>‘</w:t>
      </w:r>
      <w:r w:rsidRPr="006836BD">
        <w:rPr>
          <w:i/>
        </w:rPr>
        <w:t>advance directive’</w:t>
      </w:r>
      <w:r>
        <w:t xml:space="preserve"> did not have a lower readmission rate compared to patients without such a</w:t>
      </w:r>
    </w:p>
    <w:p w:rsidR="006836BD" w:rsidRPr="006836BD" w:rsidRDefault="006836BD" w:rsidP="006836BD">
      <w:pPr>
        <w:spacing w:line="240" w:lineRule="auto"/>
        <w:rPr>
          <w:i/>
        </w:rPr>
      </w:pPr>
      <w:r>
        <w:t>document.</w:t>
      </w:r>
      <w:r>
        <w:rPr>
          <w:rStyle w:val="FootnoteReference"/>
        </w:rPr>
        <w:footnoteReference w:id="23"/>
      </w:r>
      <w:r w:rsidR="005821CF">
        <w:t xml:space="preserve"> As Geller has pointed out, these were not ‘</w:t>
      </w:r>
      <w:r w:rsidR="005821CF" w:rsidRPr="006836BD">
        <w:rPr>
          <w:i/>
        </w:rPr>
        <w:t>directives</w:t>
      </w:r>
      <w:r w:rsidR="005821CF">
        <w:t>’ but rather ‘</w:t>
      </w:r>
      <w:r w:rsidR="005821CF" w:rsidRPr="006836BD">
        <w:rPr>
          <w:i/>
        </w:rPr>
        <w:t xml:space="preserve">preference </w:t>
      </w:r>
    </w:p>
    <w:p w:rsidR="006836BD" w:rsidRDefault="005821CF" w:rsidP="006836BD">
      <w:pPr>
        <w:spacing w:line="240" w:lineRule="auto"/>
      </w:pPr>
      <w:r w:rsidRPr="006836BD">
        <w:rPr>
          <w:i/>
        </w:rPr>
        <w:t>statements</w:t>
      </w:r>
      <w:r w:rsidR="006836BD">
        <w:t xml:space="preserve">’ </w:t>
      </w:r>
      <w:r>
        <w:t xml:space="preserve">and this may account for the lack of a demonstrable reduction in readmission </w:t>
      </w:r>
    </w:p>
    <w:p w:rsidR="006836BD" w:rsidRDefault="006836BD" w:rsidP="006836BD">
      <w:pPr>
        <w:spacing w:line="240" w:lineRule="auto"/>
      </w:pPr>
      <w:r>
        <w:t>rates.</w:t>
      </w:r>
      <w:r>
        <w:rPr>
          <w:rStyle w:val="FootnoteReference"/>
        </w:rPr>
        <w:footnoteReference w:id="24"/>
      </w:r>
      <w:r>
        <w:t xml:space="preserve">While more </w:t>
      </w:r>
      <w:r w:rsidR="005821CF">
        <w:t xml:space="preserve">research is required to isolate the ‘active ingredient(s)’ in such documents, </w:t>
      </w:r>
    </w:p>
    <w:p w:rsidR="006836BD" w:rsidRDefault="006836BD" w:rsidP="006836BD">
      <w:pPr>
        <w:spacing w:line="240" w:lineRule="auto"/>
      </w:pPr>
      <w:r>
        <w:t xml:space="preserve">Geller’s comments </w:t>
      </w:r>
      <w:r w:rsidR="005821CF">
        <w:t xml:space="preserve">highlight a problem: the literature is replete with examples of loose terminology </w:t>
      </w:r>
    </w:p>
    <w:p w:rsidR="006836BD" w:rsidRDefault="006836BD" w:rsidP="006836BD">
      <w:pPr>
        <w:spacing w:line="240" w:lineRule="auto"/>
      </w:pPr>
      <w:proofErr w:type="gramStart"/>
      <w:r>
        <w:t>in</w:t>
      </w:r>
      <w:proofErr w:type="gramEnd"/>
      <w:r>
        <w:t xml:space="preserve"> this area. </w:t>
      </w:r>
      <w:r w:rsidR="005821CF">
        <w:t xml:space="preserve">Advance statements may be decisions, or directives or simply a record of certain </w:t>
      </w:r>
    </w:p>
    <w:p w:rsidR="006836BD" w:rsidRDefault="006836BD" w:rsidP="006836BD">
      <w:pPr>
        <w:spacing w:line="240" w:lineRule="auto"/>
      </w:pPr>
      <w:r>
        <w:t xml:space="preserve">preferences by </w:t>
      </w:r>
      <w:r w:rsidR="005821CF">
        <w:t xml:space="preserve">the patient. As such they contain differing blends of collaboration, directive force and </w:t>
      </w:r>
    </w:p>
    <w:p w:rsidR="005821CF" w:rsidRDefault="005821CF" w:rsidP="006836BD">
      <w:pPr>
        <w:spacing w:line="240" w:lineRule="auto"/>
      </w:pPr>
      <w:r>
        <w:t>import.</w:t>
      </w:r>
    </w:p>
    <w:p w:rsidR="006836BD" w:rsidRDefault="006836BD" w:rsidP="006836BD">
      <w:pPr>
        <w:spacing w:line="240" w:lineRule="auto"/>
      </w:pPr>
    </w:p>
    <w:p w:rsidR="005821CF" w:rsidRDefault="005821CF" w:rsidP="006836BD">
      <w:pPr>
        <w:spacing w:line="240" w:lineRule="auto"/>
      </w:pPr>
      <w:r>
        <w:t>The interpretation of ADs may also be problematic. In one study health professionals, presented</w:t>
      </w:r>
    </w:p>
    <w:p w:rsidR="005821CF" w:rsidRDefault="005821CF" w:rsidP="006836BD">
      <w:pPr>
        <w:spacing w:line="240" w:lineRule="auto"/>
      </w:pPr>
      <w:r>
        <w:t>with a hypothetical vignette concerning a patient with dementia, came to very different</w:t>
      </w:r>
    </w:p>
    <w:p w:rsidR="005821CF" w:rsidRDefault="005821CF" w:rsidP="006836BD">
      <w:pPr>
        <w:spacing w:line="240" w:lineRule="auto"/>
      </w:pPr>
      <w:r>
        <w:t>conclusions as to how to proceed.</w:t>
      </w:r>
      <w:r w:rsidR="008B19A2">
        <w:rPr>
          <w:rStyle w:val="FootnoteReference"/>
        </w:rPr>
        <w:footnoteReference w:id="25"/>
      </w:r>
      <w:r w:rsidR="00C121FC">
        <w:t xml:space="preserve"> </w:t>
      </w:r>
      <w:r>
        <w:t xml:space="preserve"> Those who chose to override the AD seemed to be prepared</w:t>
      </w:r>
    </w:p>
    <w:p w:rsidR="005821CF" w:rsidRDefault="005821CF" w:rsidP="006836BD">
      <w:pPr>
        <w:spacing w:line="240" w:lineRule="auto"/>
      </w:pPr>
      <w:proofErr w:type="gramStart"/>
      <w:r>
        <w:t>to</w:t>
      </w:r>
      <w:proofErr w:type="gramEnd"/>
      <w:r>
        <w:t xml:space="preserve"> make subjective interpretations on quality of life issues when to uphold the AD was regarded</w:t>
      </w:r>
    </w:p>
    <w:p w:rsidR="005821CF" w:rsidRDefault="005821CF" w:rsidP="006836BD">
      <w:pPr>
        <w:spacing w:line="240" w:lineRule="auto"/>
      </w:pPr>
      <w:r>
        <w:t>as not being in the patient’s best clinical interests. The authors cautioned that anyone completing</w:t>
      </w:r>
    </w:p>
    <w:p w:rsidR="00C121FC" w:rsidRDefault="00C121FC" w:rsidP="00C121FC">
      <w:pPr>
        <w:spacing w:line="240" w:lineRule="auto"/>
      </w:pPr>
      <w:r>
        <w:t>an AD cannot be assured of a particular outcome in a particular situation. Another commentator</w:t>
      </w:r>
    </w:p>
    <w:p w:rsidR="00C121FC" w:rsidRDefault="00C121FC" w:rsidP="00C121FC">
      <w:pPr>
        <w:spacing w:line="240" w:lineRule="auto"/>
      </w:pPr>
      <w:r>
        <w:t>advised when an AD appeared to advocate a course of action that would be detrimental to the</w:t>
      </w:r>
    </w:p>
    <w:p w:rsidR="00C121FC" w:rsidRDefault="00C121FC" w:rsidP="00C121FC">
      <w:pPr>
        <w:spacing w:line="240" w:lineRule="auto"/>
      </w:pPr>
      <w:r>
        <w:t>patient, its validity should be carefully scrutinised to ensure it was applicable to the situation under</w:t>
      </w:r>
    </w:p>
    <w:p w:rsidR="00C121FC" w:rsidRDefault="00C121FC" w:rsidP="00C121FC">
      <w:pPr>
        <w:spacing w:line="240" w:lineRule="auto"/>
      </w:pPr>
      <w:r>
        <w:t>discussion.</w:t>
      </w:r>
      <w:r>
        <w:rPr>
          <w:rStyle w:val="FootnoteReference"/>
        </w:rPr>
        <w:footnoteReference w:id="26"/>
      </w:r>
    </w:p>
    <w:p w:rsidR="00C121FC" w:rsidRDefault="00C121FC" w:rsidP="00C121FC">
      <w:pPr>
        <w:spacing w:line="240" w:lineRule="auto"/>
      </w:pPr>
    </w:p>
    <w:p w:rsidR="00C121FC" w:rsidRDefault="00C121FC" w:rsidP="00C121FC">
      <w:pPr>
        <w:spacing w:line="240" w:lineRule="auto"/>
      </w:pPr>
      <w:r>
        <w:lastRenderedPageBreak/>
        <w:t>A patient has no enforceable right to demand a particular type of treatment. However, is advance</w:t>
      </w:r>
    </w:p>
    <w:p w:rsidR="00C121FC" w:rsidRDefault="00C121FC" w:rsidP="00C121FC">
      <w:pPr>
        <w:spacing w:line="240" w:lineRule="auto"/>
      </w:pPr>
      <w:r>
        <w:t>consent for a particular drug a demand for that drug and no other; or is it consent to take that drug</w:t>
      </w:r>
    </w:p>
    <w:p w:rsidR="00C121FC" w:rsidRDefault="00C121FC" w:rsidP="00C121FC">
      <w:pPr>
        <w:spacing w:line="240" w:lineRule="auto"/>
      </w:pPr>
      <w:r>
        <w:t xml:space="preserve">should it be prescribed by the doctor who has, in the exercise of professional judgment, </w:t>
      </w:r>
      <w:proofErr w:type="gramStart"/>
      <w:r>
        <w:t>decided</w:t>
      </w:r>
      <w:proofErr w:type="gramEnd"/>
    </w:p>
    <w:p w:rsidR="00C121FC" w:rsidRDefault="00C121FC" w:rsidP="00C121FC">
      <w:pPr>
        <w:spacing w:line="240" w:lineRule="auto"/>
      </w:pPr>
      <w:proofErr w:type="gramStart"/>
      <w:r>
        <w:t>it</w:t>
      </w:r>
      <w:proofErr w:type="gramEnd"/>
      <w:r>
        <w:t xml:space="preserve"> is the most appropriate treatment? In one respect at least, psychiatric patients have an advantage</w:t>
      </w:r>
    </w:p>
    <w:p w:rsidR="00C121FC" w:rsidRDefault="00C121FC" w:rsidP="00C121FC">
      <w:pPr>
        <w:spacing w:line="240" w:lineRule="auto"/>
      </w:pPr>
      <w:proofErr w:type="gramStart"/>
      <w:r>
        <w:t>over</w:t>
      </w:r>
      <w:proofErr w:type="gramEnd"/>
      <w:r>
        <w:t xml:space="preserve"> other people drawing up advance statements with regard to, for example, end of life decisions.</w:t>
      </w:r>
    </w:p>
    <w:p w:rsidR="00C121FC" w:rsidRDefault="00C121FC" w:rsidP="00C121FC">
      <w:pPr>
        <w:spacing w:line="240" w:lineRule="auto"/>
      </w:pPr>
      <w:r>
        <w:t>Having had a previous episode of illness they have their own experiences to draw on and these can</w:t>
      </w:r>
    </w:p>
    <w:p w:rsidR="00C121FC" w:rsidRDefault="00C121FC" w:rsidP="00C121FC">
      <w:pPr>
        <w:spacing w:line="240" w:lineRule="auto"/>
      </w:pPr>
      <w:r>
        <w:t>inform their subsequent decisions as to what treatment strategies, including medication, were</w:t>
      </w:r>
    </w:p>
    <w:p w:rsidR="00C121FC" w:rsidRDefault="00C121FC" w:rsidP="00C121FC">
      <w:pPr>
        <w:spacing w:line="240" w:lineRule="auto"/>
      </w:pPr>
      <w:r>
        <w:t>helpful and which were not. Intuitively, advance treatment plans are likely to be most successful if</w:t>
      </w:r>
    </w:p>
    <w:p w:rsidR="00C121FC" w:rsidRDefault="00C121FC" w:rsidP="00C121FC">
      <w:pPr>
        <w:spacing w:line="240" w:lineRule="auto"/>
      </w:pPr>
      <w:r>
        <w:t>they have been constructed in a collaborative fashion, rather than either party taking up unrealistic</w:t>
      </w:r>
    </w:p>
    <w:p w:rsidR="00C121FC" w:rsidRDefault="00C121FC" w:rsidP="00C121FC">
      <w:pPr>
        <w:spacing w:line="240" w:lineRule="auto"/>
      </w:pPr>
      <w:proofErr w:type="gramStart"/>
      <w:r>
        <w:t>or</w:t>
      </w:r>
      <w:proofErr w:type="gramEnd"/>
      <w:r>
        <w:t xml:space="preserve"> dogmatic positions.</w:t>
      </w:r>
    </w:p>
    <w:p w:rsidR="003326D7" w:rsidRPr="003326D7" w:rsidRDefault="003326D7" w:rsidP="00C121FC">
      <w:pPr>
        <w:spacing w:line="240" w:lineRule="auto"/>
        <w:rPr>
          <w:b/>
        </w:rPr>
      </w:pPr>
    </w:p>
    <w:p w:rsidR="003326D7" w:rsidRPr="003326D7" w:rsidRDefault="003326D7" w:rsidP="003326D7">
      <w:pPr>
        <w:spacing w:line="240" w:lineRule="auto"/>
        <w:rPr>
          <w:b/>
        </w:rPr>
      </w:pPr>
      <w:r w:rsidRPr="003326D7">
        <w:rPr>
          <w:b/>
        </w:rPr>
        <w:t>Psychiatric Advance Directives in the USA</w:t>
      </w:r>
    </w:p>
    <w:p w:rsidR="003326D7" w:rsidRDefault="003326D7" w:rsidP="003326D7">
      <w:pPr>
        <w:spacing w:line="240" w:lineRule="auto"/>
      </w:pPr>
      <w:proofErr w:type="spellStart"/>
      <w:r>
        <w:t>Szasz</w:t>
      </w:r>
      <w:proofErr w:type="spellEnd"/>
      <w:r>
        <w:t xml:space="preserve"> is credited with first proposing what he termed a ‘</w:t>
      </w:r>
      <w:r w:rsidRPr="003326D7">
        <w:rPr>
          <w:i/>
        </w:rPr>
        <w:t>psychiatric will</w:t>
      </w:r>
      <w:r>
        <w:t>’</w:t>
      </w:r>
      <w:r>
        <w:rPr>
          <w:rStyle w:val="FootnoteReference"/>
        </w:rPr>
        <w:footnoteReference w:id="27"/>
      </w:r>
      <w:r>
        <w:t xml:space="preserve"> but psychiatric advance</w:t>
      </w:r>
    </w:p>
    <w:p w:rsidR="003326D7" w:rsidRDefault="003326D7" w:rsidP="003326D7">
      <w:pPr>
        <w:spacing w:line="240" w:lineRule="auto"/>
      </w:pPr>
      <w:r>
        <w:t xml:space="preserve">directives became more prominent with the passage of the </w:t>
      </w:r>
      <w:r w:rsidRPr="003326D7">
        <w:rPr>
          <w:i/>
        </w:rPr>
        <w:t>Patient Self-Determination Act</w:t>
      </w:r>
      <w:r>
        <w:t xml:space="preserve"> in 1991.</w:t>
      </w:r>
    </w:p>
    <w:p w:rsidR="003326D7" w:rsidRDefault="003326D7" w:rsidP="003326D7">
      <w:pPr>
        <w:spacing w:line="240" w:lineRule="auto"/>
      </w:pPr>
      <w:r>
        <w:t>This Act required hospitals receiving federal funding to inform all admitted patients of their right</w:t>
      </w:r>
    </w:p>
    <w:p w:rsidR="003326D7" w:rsidRDefault="003326D7" w:rsidP="003326D7">
      <w:pPr>
        <w:spacing w:line="240" w:lineRule="auto"/>
      </w:pPr>
      <w:r>
        <w:t>to formulate an advance directive. As elsewhere, in the United States of America advance directives</w:t>
      </w:r>
    </w:p>
    <w:p w:rsidR="003326D7" w:rsidRDefault="003326D7" w:rsidP="003326D7">
      <w:pPr>
        <w:spacing w:line="240" w:lineRule="auto"/>
      </w:pPr>
      <w:r>
        <w:t>can be divided into instructional directives, which record the person’s decisions regarding</w:t>
      </w:r>
    </w:p>
    <w:p w:rsidR="003326D7" w:rsidRDefault="003326D7" w:rsidP="003326D7">
      <w:pPr>
        <w:spacing w:line="240" w:lineRule="auto"/>
      </w:pPr>
      <w:r>
        <w:t>treatment in anticipation of the time when they do not have the capacity to take such decisions,</w:t>
      </w:r>
    </w:p>
    <w:p w:rsidR="003326D7" w:rsidRDefault="003326D7" w:rsidP="003326D7">
      <w:pPr>
        <w:spacing w:line="240" w:lineRule="auto"/>
      </w:pPr>
      <w:r>
        <w:t>and proxy directives, which may also be combined with specific directions regarding treatment.</w:t>
      </w:r>
    </w:p>
    <w:p w:rsidR="003326D7" w:rsidRDefault="003326D7" w:rsidP="003326D7">
      <w:pPr>
        <w:spacing w:line="240" w:lineRule="auto"/>
      </w:pPr>
      <w:r>
        <w:t>These appoint another person who is empowered to take health care decisions whenever the</w:t>
      </w:r>
    </w:p>
    <w:p w:rsidR="003326D7" w:rsidRDefault="003326D7" w:rsidP="003326D7">
      <w:pPr>
        <w:spacing w:line="240" w:lineRule="auto"/>
      </w:pPr>
      <w:r>
        <w:t>individual is lacking capacity.</w:t>
      </w:r>
    </w:p>
    <w:p w:rsidR="003326D7" w:rsidRDefault="003326D7" w:rsidP="003326D7">
      <w:pPr>
        <w:spacing w:line="240" w:lineRule="auto"/>
      </w:pPr>
    </w:p>
    <w:p w:rsidR="003326D7" w:rsidRDefault="003326D7" w:rsidP="003326D7">
      <w:pPr>
        <w:spacing w:line="240" w:lineRule="auto"/>
      </w:pPr>
      <w:r>
        <w:t>All American states now have advance directive statutes, covering healthcare generally, and</w:t>
      </w:r>
    </w:p>
    <w:p w:rsidR="003326D7" w:rsidRDefault="003326D7" w:rsidP="003326D7">
      <w:pPr>
        <w:spacing w:line="240" w:lineRule="auto"/>
      </w:pPr>
      <w:r>
        <w:t>14 states have explicit laws addressing psychiatric advance directives.</w:t>
      </w:r>
      <w:r>
        <w:rPr>
          <w:rStyle w:val="FootnoteReference"/>
        </w:rPr>
        <w:footnoteReference w:id="28"/>
      </w:r>
      <w:r>
        <w:t xml:space="preserve"> An example is North</w:t>
      </w:r>
    </w:p>
    <w:p w:rsidR="003326D7" w:rsidRDefault="003326D7" w:rsidP="003326D7">
      <w:pPr>
        <w:spacing w:line="240" w:lineRule="auto"/>
      </w:pPr>
      <w:r>
        <w:t xml:space="preserve">Carolina’s </w:t>
      </w:r>
      <w:r w:rsidRPr="003326D7">
        <w:rPr>
          <w:i/>
        </w:rPr>
        <w:t>Advance Instructions for Mental Health Treatment</w:t>
      </w:r>
      <w:r>
        <w:t>.</w:t>
      </w:r>
      <w:r>
        <w:rPr>
          <w:rStyle w:val="FootnoteReference"/>
        </w:rPr>
        <w:footnoteReference w:id="29"/>
      </w:r>
      <w:r>
        <w:t xml:space="preserve"> The advance directive can be used to</w:t>
      </w:r>
    </w:p>
    <w:p w:rsidR="003326D7" w:rsidRDefault="003326D7" w:rsidP="003326D7">
      <w:pPr>
        <w:spacing w:line="240" w:lineRule="auto"/>
      </w:pPr>
      <w:r>
        <w:t>consent to or refuse specific psychiatric treatment.</w:t>
      </w:r>
      <w:r>
        <w:rPr>
          <w:rStyle w:val="FootnoteReference"/>
        </w:rPr>
        <w:footnoteReference w:id="30"/>
      </w:r>
      <w:r>
        <w:t xml:space="preserve"> Although the person can specify his options</w:t>
      </w:r>
    </w:p>
    <w:p w:rsidR="003326D7" w:rsidRDefault="003326D7" w:rsidP="00542D35">
      <w:pPr>
        <w:spacing w:line="240" w:lineRule="auto"/>
      </w:pPr>
      <w:r>
        <w:lastRenderedPageBreak/>
        <w:t>for mental health treatment these can be set aside if the instructions are not consistent with</w:t>
      </w:r>
    </w:p>
    <w:p w:rsidR="003326D7" w:rsidRDefault="003326D7" w:rsidP="00542D35">
      <w:pPr>
        <w:spacing w:line="240" w:lineRule="auto"/>
      </w:pPr>
      <w:r>
        <w:t>established standards of appropriate practice or with the availability of the treatment requested.</w:t>
      </w:r>
    </w:p>
    <w:p w:rsidR="003326D7" w:rsidRDefault="003326D7" w:rsidP="00542D35">
      <w:pPr>
        <w:spacing w:line="240" w:lineRule="auto"/>
      </w:pPr>
      <w:r>
        <w:t>This has raised concerns that non-clinical factors may determine whether an advance instruction is</w:t>
      </w:r>
    </w:p>
    <w:p w:rsidR="003326D7" w:rsidRDefault="003326D7" w:rsidP="00542D35">
      <w:pPr>
        <w:spacing w:line="240" w:lineRule="auto"/>
      </w:pPr>
      <w:r>
        <w:t>honoured or not.</w:t>
      </w:r>
      <w:r>
        <w:rPr>
          <w:rStyle w:val="FootnoteReference"/>
        </w:rPr>
        <w:footnoteReference w:id="31"/>
      </w:r>
      <w:r>
        <w:t xml:space="preserve"> In addition an individual can appoint a proxy decision-maker to act on his</w:t>
      </w:r>
    </w:p>
    <w:p w:rsidR="003326D7" w:rsidRDefault="003326D7" w:rsidP="00542D35">
      <w:pPr>
        <w:spacing w:line="240" w:lineRule="auto"/>
      </w:pPr>
      <w:proofErr w:type="gramStart"/>
      <w:r>
        <w:t>behalf</w:t>
      </w:r>
      <w:proofErr w:type="gramEnd"/>
      <w:r>
        <w:t xml:space="preserve"> when he is incapable of making a decision, through the Health Care Power of Attorney Act.</w:t>
      </w:r>
    </w:p>
    <w:p w:rsidR="00542D35" w:rsidRDefault="00542D35" w:rsidP="00542D35">
      <w:pPr>
        <w:spacing w:line="240" w:lineRule="auto"/>
      </w:pPr>
      <w:r>
        <w:t>The appointee is obligated to act in accordance with the individual’s previously stated decisions.</w:t>
      </w:r>
    </w:p>
    <w:p w:rsidR="00DD3175" w:rsidRDefault="00DD3175" w:rsidP="00542D35">
      <w:pPr>
        <w:spacing w:line="240" w:lineRule="auto"/>
      </w:pPr>
    </w:p>
    <w:p w:rsidR="00542D35" w:rsidRDefault="00542D35" w:rsidP="00542D35">
      <w:pPr>
        <w:spacing w:line="240" w:lineRule="auto"/>
      </w:pPr>
      <w:r>
        <w:t xml:space="preserve">In Washington D.C. the </w:t>
      </w:r>
      <w:r w:rsidRPr="00DD3175">
        <w:rPr>
          <w:i/>
        </w:rPr>
        <w:t>Health Care Decisions Act</w:t>
      </w:r>
      <w:r>
        <w:t xml:space="preserve"> of 1988</w:t>
      </w:r>
      <w:r>
        <w:rPr>
          <w:rStyle w:val="FootnoteReference"/>
        </w:rPr>
        <w:footnoteReference w:id="32"/>
      </w:r>
      <w:r>
        <w:t xml:space="preserve"> made provision for a person’s</w:t>
      </w:r>
    </w:p>
    <w:p w:rsidR="00542D35" w:rsidRDefault="00542D35" w:rsidP="00542D35">
      <w:pPr>
        <w:spacing w:line="240" w:lineRule="auto"/>
      </w:pPr>
      <w:r>
        <w:t>treatment preferences to be included in a durable power of attorney for health care, which would</w:t>
      </w:r>
    </w:p>
    <w:p w:rsidR="00542D35" w:rsidRPr="00DD3175" w:rsidRDefault="00542D35" w:rsidP="00542D35">
      <w:pPr>
        <w:spacing w:line="240" w:lineRule="auto"/>
        <w:rPr>
          <w:i/>
        </w:rPr>
      </w:pPr>
      <w:proofErr w:type="gramStart"/>
      <w:r>
        <w:t>be</w:t>
      </w:r>
      <w:proofErr w:type="gramEnd"/>
      <w:r>
        <w:t xml:space="preserve"> followed by the appointee or any other substitute decision-maker. In 2001 the </w:t>
      </w:r>
      <w:r w:rsidRPr="00DD3175">
        <w:rPr>
          <w:i/>
        </w:rPr>
        <w:t>Mental Health</w:t>
      </w:r>
    </w:p>
    <w:p w:rsidR="00542D35" w:rsidRDefault="00542D35" w:rsidP="00542D35">
      <w:pPr>
        <w:spacing w:line="240" w:lineRule="auto"/>
      </w:pPr>
      <w:r w:rsidRPr="00DD3175">
        <w:rPr>
          <w:i/>
        </w:rPr>
        <w:t>Consumers’ Rights Protection Act</w:t>
      </w:r>
      <w:r>
        <w:rPr>
          <w:rStyle w:val="FootnoteReference"/>
        </w:rPr>
        <w:footnoteReference w:id="33"/>
      </w:r>
      <w:r>
        <w:t xml:space="preserve"> emphasised the importance of a psychiatric advance directive.</w:t>
      </w:r>
    </w:p>
    <w:p w:rsidR="00542D35" w:rsidRDefault="00542D35" w:rsidP="00542D35">
      <w:pPr>
        <w:spacing w:line="240" w:lineRule="auto"/>
      </w:pPr>
      <w:r>
        <w:t>Medication could only be administered with the consent of the patient. If incapacitated then the</w:t>
      </w:r>
    </w:p>
    <w:p w:rsidR="00542D35" w:rsidRDefault="00542D35" w:rsidP="00542D35">
      <w:pPr>
        <w:spacing w:line="240" w:lineRule="auto"/>
      </w:pPr>
      <w:r>
        <w:t>patient’s proxy decision-maker was bound by the treatment decisions contained within the</w:t>
      </w:r>
    </w:p>
    <w:p w:rsidR="00542D35" w:rsidRDefault="00542D35" w:rsidP="00542D35">
      <w:pPr>
        <w:spacing w:line="240" w:lineRule="auto"/>
      </w:pPr>
      <w:r>
        <w:t>patient’s advance directive or durable power of attorney.</w:t>
      </w:r>
    </w:p>
    <w:p w:rsidR="00542D35" w:rsidRDefault="00542D35" w:rsidP="00542D35">
      <w:pPr>
        <w:spacing w:line="240" w:lineRule="auto"/>
      </w:pPr>
    </w:p>
    <w:p w:rsidR="00542D35" w:rsidRDefault="00542D35" w:rsidP="00F3665C">
      <w:pPr>
        <w:spacing w:line="240" w:lineRule="auto"/>
      </w:pPr>
      <w:r>
        <w:t>Psychiatric advance directives are regarded as potentially powerful, non-coercive instruments that</w:t>
      </w:r>
    </w:p>
    <w:p w:rsidR="00542D35" w:rsidRDefault="00542D35" w:rsidP="00F3665C">
      <w:pPr>
        <w:spacing w:line="240" w:lineRule="auto"/>
      </w:pPr>
      <w:r>
        <w:t>make the clients the ‘</w:t>
      </w:r>
      <w:r w:rsidRPr="00DD3175">
        <w:rPr>
          <w:i/>
        </w:rPr>
        <w:t>active agents</w:t>
      </w:r>
      <w:r>
        <w:t>’ and so enhance their ‘</w:t>
      </w:r>
      <w:r w:rsidRPr="00DD3175">
        <w:rPr>
          <w:i/>
        </w:rPr>
        <w:t>sense of autonomy, control and dignity’</w:t>
      </w:r>
      <w:r>
        <w:t>.</w:t>
      </w:r>
      <w:r>
        <w:rPr>
          <w:rStyle w:val="FootnoteReference"/>
        </w:rPr>
        <w:footnoteReference w:id="34"/>
      </w:r>
    </w:p>
    <w:p w:rsidR="00542D35" w:rsidRDefault="00542D35" w:rsidP="00F3665C">
      <w:pPr>
        <w:spacing w:line="240" w:lineRule="auto"/>
      </w:pPr>
      <w:r>
        <w:t>By engaging the person in the process of deliberating on their illness history and the factors,</w:t>
      </w:r>
    </w:p>
    <w:p w:rsidR="00542D35" w:rsidRDefault="00542D35" w:rsidP="00F3665C">
      <w:pPr>
        <w:spacing w:line="240" w:lineRule="auto"/>
      </w:pPr>
      <w:r>
        <w:t>including medication, that had been effective during previous psychiatric episodes it is believed</w:t>
      </w:r>
    </w:p>
    <w:p w:rsidR="00542D35" w:rsidRDefault="00542D35" w:rsidP="00F3665C">
      <w:pPr>
        <w:spacing w:line="240" w:lineRule="auto"/>
      </w:pPr>
      <w:r>
        <w:t xml:space="preserve">advance directives could improve the therapeutic alliance between clinicians and patient and </w:t>
      </w:r>
      <w:proofErr w:type="gramStart"/>
      <w:r>
        <w:t>may</w:t>
      </w:r>
      <w:proofErr w:type="gramEnd"/>
    </w:p>
    <w:p w:rsidR="00542D35" w:rsidRDefault="00542D35" w:rsidP="00F3665C">
      <w:pPr>
        <w:spacing w:line="240" w:lineRule="auto"/>
      </w:pPr>
      <w:r>
        <w:t>improve the person’s treatment adherence</w:t>
      </w:r>
      <w:r>
        <w:rPr>
          <w:rStyle w:val="FootnoteReference"/>
        </w:rPr>
        <w:footnoteReference w:id="35"/>
      </w:r>
      <w:r>
        <w:t xml:space="preserve"> with its consequent benefits in terms of quality of life</w:t>
      </w:r>
    </w:p>
    <w:p w:rsidR="00542D35" w:rsidRDefault="00542D35" w:rsidP="00F3665C">
      <w:pPr>
        <w:spacing w:line="240" w:lineRule="auto"/>
      </w:pPr>
      <w:r>
        <w:t>and reduced need for hospitalisation. Through such a process a PAD could be beneficial even if</w:t>
      </w:r>
    </w:p>
    <w:p w:rsidR="00542D35" w:rsidRDefault="00542D35" w:rsidP="00F3665C">
      <w:pPr>
        <w:spacing w:line="240" w:lineRule="auto"/>
      </w:pPr>
      <w:proofErr w:type="gramStart"/>
      <w:r>
        <w:t>the</w:t>
      </w:r>
      <w:proofErr w:type="gramEnd"/>
      <w:r>
        <w:t xml:space="preserve"> person does not lose their capacity for decision-making and the document is never formally</w:t>
      </w:r>
    </w:p>
    <w:p w:rsidR="00542D35" w:rsidRDefault="00542D35" w:rsidP="00F3665C">
      <w:pPr>
        <w:spacing w:line="240" w:lineRule="auto"/>
      </w:pPr>
      <w:r>
        <w:t>enacted. Perhaps not surprisingly, patients have been more enthusiastic about PADs than clinicians,</w:t>
      </w:r>
    </w:p>
    <w:p w:rsidR="00542D35" w:rsidRDefault="00542D35" w:rsidP="00F3665C">
      <w:pPr>
        <w:spacing w:line="240" w:lineRule="auto"/>
      </w:pPr>
      <w:r>
        <w:lastRenderedPageBreak/>
        <w:t>who tend to have concerns over their clinical autonomy and legal liability in following or not</w:t>
      </w:r>
    </w:p>
    <w:p w:rsidR="00542D35" w:rsidRDefault="00542D35" w:rsidP="00F3665C">
      <w:pPr>
        <w:spacing w:line="240" w:lineRule="auto"/>
      </w:pPr>
      <w:r>
        <w:t>following the person’s advance instructions.</w:t>
      </w:r>
      <w:r>
        <w:rPr>
          <w:rStyle w:val="FootnoteReference"/>
        </w:rPr>
        <w:footnoteReference w:id="36"/>
      </w:r>
    </w:p>
    <w:p w:rsidR="0021182D" w:rsidRDefault="0021182D" w:rsidP="00F3665C">
      <w:pPr>
        <w:spacing w:line="240" w:lineRule="auto"/>
      </w:pPr>
    </w:p>
    <w:p w:rsidR="00542D35" w:rsidRDefault="00542D35" w:rsidP="00F3665C">
      <w:pPr>
        <w:spacing w:line="240" w:lineRule="auto"/>
      </w:pPr>
      <w:r>
        <w:t>There is also a perceived risk that PADs could increase the use of commitment orders permitting</w:t>
      </w:r>
    </w:p>
    <w:p w:rsidR="00542D35" w:rsidRDefault="00542D35" w:rsidP="00F3665C">
      <w:pPr>
        <w:spacing w:line="240" w:lineRule="auto"/>
      </w:pPr>
      <w:r>
        <w:t>psychiatrists to bypass the</w:t>
      </w:r>
      <w:r w:rsidR="00DD3175">
        <w:t xml:space="preserve"> patients’ advance instructions</w:t>
      </w:r>
      <w:r w:rsidR="00DD3175">
        <w:rPr>
          <w:rStyle w:val="FootnoteReference"/>
        </w:rPr>
        <w:footnoteReference w:id="37"/>
      </w:r>
      <w:r>
        <w:t xml:space="preserve"> or, alternatively, if drafted with too</w:t>
      </w:r>
    </w:p>
    <w:p w:rsidR="00542D35" w:rsidRDefault="00542D35" w:rsidP="00F3665C">
      <w:pPr>
        <w:spacing w:line="240" w:lineRule="auto"/>
      </w:pPr>
      <w:r>
        <w:t>many caveats may be frequently ignored and leave patients feeling further marginalized in their</w:t>
      </w:r>
    </w:p>
    <w:p w:rsidR="00542D35" w:rsidRPr="0021182D" w:rsidRDefault="00542D35" w:rsidP="00F3665C">
      <w:pPr>
        <w:spacing w:line="240" w:lineRule="auto"/>
        <w:rPr>
          <w:i/>
        </w:rPr>
      </w:pPr>
      <w:r>
        <w:t>own treatment decisions.</w:t>
      </w:r>
      <w:r w:rsidR="00DD3175">
        <w:rPr>
          <w:rStyle w:val="FootnoteReference"/>
        </w:rPr>
        <w:footnoteReference w:id="38"/>
      </w:r>
      <w:r>
        <w:t xml:space="preserve"> However, used sensitively, they have been advocated as ‘</w:t>
      </w:r>
      <w:r w:rsidRPr="0021182D">
        <w:rPr>
          <w:i/>
        </w:rPr>
        <w:t>a means of</w:t>
      </w:r>
    </w:p>
    <w:p w:rsidR="0021182D" w:rsidRPr="0021182D" w:rsidRDefault="00542D35" w:rsidP="00F3665C">
      <w:pPr>
        <w:spacing w:line="240" w:lineRule="auto"/>
        <w:rPr>
          <w:i/>
        </w:rPr>
      </w:pPr>
      <w:r w:rsidRPr="0021182D">
        <w:rPr>
          <w:i/>
        </w:rPr>
        <w:t xml:space="preserve">reconciling </w:t>
      </w:r>
      <w:r w:rsidRPr="00AC012D">
        <w:t>(patient)</w:t>
      </w:r>
      <w:r w:rsidRPr="0021182D">
        <w:rPr>
          <w:i/>
        </w:rPr>
        <w:t xml:space="preserve"> autonomy and the initiation of non-consensual treatment at an early stage of </w:t>
      </w:r>
    </w:p>
    <w:p w:rsidR="0021182D" w:rsidRDefault="00542D35" w:rsidP="00F3665C">
      <w:pPr>
        <w:spacing w:line="240" w:lineRule="auto"/>
      </w:pPr>
      <w:r w:rsidRPr="0021182D">
        <w:rPr>
          <w:i/>
        </w:rPr>
        <w:t>relapse’</w:t>
      </w:r>
      <w:r w:rsidR="0021182D">
        <w:t xml:space="preserve">, </w:t>
      </w:r>
      <w:r>
        <w:t xml:space="preserve">which could avert the need for rehospitalisation and, in the future, the need for more </w:t>
      </w:r>
    </w:p>
    <w:p w:rsidR="00542D35" w:rsidRDefault="00542D35" w:rsidP="00F3665C">
      <w:pPr>
        <w:spacing w:line="240" w:lineRule="auto"/>
      </w:pPr>
      <w:r>
        <w:t>coerci</w:t>
      </w:r>
      <w:r w:rsidR="0021182D">
        <w:t xml:space="preserve">ve </w:t>
      </w:r>
      <w:r w:rsidR="00DD3175">
        <w:t>community treatment orders.</w:t>
      </w:r>
      <w:r w:rsidR="00DD3175">
        <w:rPr>
          <w:rStyle w:val="FootnoteReference"/>
        </w:rPr>
        <w:footnoteReference w:id="39"/>
      </w:r>
    </w:p>
    <w:p w:rsidR="00D9399D" w:rsidRDefault="00D9399D" w:rsidP="00F3665C">
      <w:pPr>
        <w:spacing w:line="240" w:lineRule="auto"/>
      </w:pPr>
    </w:p>
    <w:p w:rsidR="00D9399D" w:rsidRPr="00D9399D" w:rsidRDefault="00D9399D" w:rsidP="00D9399D">
      <w:pPr>
        <w:spacing w:line="240" w:lineRule="auto"/>
      </w:pPr>
      <w:r w:rsidRPr="00D9399D">
        <w:rPr>
          <w:b/>
        </w:rPr>
        <w:t>The Mental Capacity Bill for England and Wales</w:t>
      </w:r>
      <w:r>
        <w:rPr>
          <w:rStyle w:val="FootnoteReference"/>
          <w:b/>
        </w:rPr>
        <w:footnoteReference w:id="40"/>
      </w:r>
    </w:p>
    <w:p w:rsidR="00D9399D" w:rsidRPr="00806D9C" w:rsidRDefault="00D9399D" w:rsidP="00D9399D">
      <w:pPr>
        <w:spacing w:line="240" w:lineRule="auto"/>
        <w:rPr>
          <w:i/>
        </w:rPr>
      </w:pPr>
      <w:r>
        <w:t xml:space="preserve">The </w:t>
      </w:r>
      <w:r w:rsidRPr="00806D9C">
        <w:rPr>
          <w:i/>
        </w:rPr>
        <w:t>Mental Capacity Bill</w:t>
      </w:r>
      <w:r>
        <w:rPr>
          <w:rStyle w:val="FootnoteReference"/>
        </w:rPr>
        <w:footnoteReference w:id="41"/>
      </w:r>
      <w:r>
        <w:t xml:space="preserve"> (the Bill) was presented to Parliament in June 2004. A </w:t>
      </w:r>
      <w:r w:rsidRPr="00806D9C">
        <w:rPr>
          <w:i/>
        </w:rPr>
        <w:t>draft Mental</w:t>
      </w:r>
    </w:p>
    <w:p w:rsidR="00D9399D" w:rsidRDefault="00D9399D" w:rsidP="00D9399D">
      <w:pPr>
        <w:spacing w:line="240" w:lineRule="auto"/>
      </w:pPr>
      <w:r w:rsidRPr="00806D9C">
        <w:rPr>
          <w:i/>
        </w:rPr>
        <w:t>Incapacity Bill</w:t>
      </w:r>
      <w:r>
        <w:rPr>
          <w:rStyle w:val="FootnoteReference"/>
        </w:rPr>
        <w:footnoteReference w:id="42"/>
      </w:r>
      <w:r>
        <w:t>, published the previous year, had been subjected to pre-legislative scrutiny by a</w:t>
      </w:r>
    </w:p>
    <w:p w:rsidR="00D9399D" w:rsidRDefault="00D9399D" w:rsidP="00D9399D">
      <w:pPr>
        <w:spacing w:line="240" w:lineRule="auto"/>
      </w:pPr>
      <w:r>
        <w:t>Joint Committee from the two Houses of Parliament.</w:t>
      </w:r>
      <w:r>
        <w:rPr>
          <w:rStyle w:val="FootnoteReference"/>
        </w:rPr>
        <w:footnoteReference w:id="43"/>
      </w:r>
      <w:r>
        <w:t xml:space="preserve"> A number of recommendations were made</w:t>
      </w:r>
    </w:p>
    <w:p w:rsidR="00D9399D" w:rsidRDefault="00D9399D" w:rsidP="00D9399D">
      <w:pPr>
        <w:spacing w:line="240" w:lineRule="auto"/>
      </w:pPr>
      <w:r>
        <w:t>and responded to by the Government.</w:t>
      </w:r>
      <w:r>
        <w:rPr>
          <w:rStyle w:val="FootnoteReference"/>
        </w:rPr>
        <w:footnoteReference w:id="44"/>
      </w:r>
    </w:p>
    <w:p w:rsidR="00D9399D" w:rsidRDefault="00D9399D" w:rsidP="00D9399D">
      <w:pPr>
        <w:spacing w:line="240" w:lineRule="auto"/>
      </w:pPr>
    </w:p>
    <w:p w:rsidR="00D9399D" w:rsidRDefault="00D9399D" w:rsidP="00D9399D">
      <w:pPr>
        <w:spacing w:line="240" w:lineRule="auto"/>
      </w:pPr>
      <w:r>
        <w:t>The Bill applies to people over the age of 16 years, who lack decision-making capacity. It is not</w:t>
      </w:r>
    </w:p>
    <w:p w:rsidR="00D9399D" w:rsidRDefault="00D9399D" w:rsidP="00D9399D">
      <w:pPr>
        <w:spacing w:line="240" w:lineRule="auto"/>
      </w:pPr>
      <w:r>
        <w:t>concerned with the compulsory detention or treatment of patients suffering from mental</w:t>
      </w:r>
    </w:p>
    <w:p w:rsidR="00D9399D" w:rsidRDefault="00D9399D" w:rsidP="00D9399D">
      <w:pPr>
        <w:spacing w:line="240" w:lineRule="auto"/>
      </w:pPr>
      <w:r>
        <w:t>disorder</w:t>
      </w:r>
      <w:r>
        <w:rPr>
          <w:rStyle w:val="FootnoteReference"/>
        </w:rPr>
        <w:footnoteReference w:id="45"/>
      </w:r>
      <w:r>
        <w:t xml:space="preserve"> but its provisions will replace Part VII Mental Health Act (MHA),</w:t>
      </w:r>
      <w:r>
        <w:rPr>
          <w:rStyle w:val="FootnoteReference"/>
        </w:rPr>
        <w:footnoteReference w:id="46"/>
      </w:r>
      <w:r>
        <w:t xml:space="preserve"> as well as the</w:t>
      </w:r>
    </w:p>
    <w:p w:rsidR="00D9399D" w:rsidRPr="00806D9C" w:rsidRDefault="00D9399D" w:rsidP="00D9399D">
      <w:pPr>
        <w:spacing w:line="240" w:lineRule="auto"/>
        <w:rPr>
          <w:i/>
        </w:rPr>
      </w:pPr>
      <w:r>
        <w:t>Enduring Powers of Attorney Act 1985.</w:t>
      </w:r>
      <w:r>
        <w:rPr>
          <w:rStyle w:val="FootnoteReference"/>
        </w:rPr>
        <w:footnoteReference w:id="47"/>
      </w:r>
      <w:r>
        <w:t xml:space="preserve"> The Bill’s purpose is ‘</w:t>
      </w:r>
      <w:r w:rsidRPr="00806D9C">
        <w:rPr>
          <w:i/>
        </w:rPr>
        <w:t>to clarify a number of legal</w:t>
      </w:r>
    </w:p>
    <w:p w:rsidR="00806D9C" w:rsidRDefault="00D9399D" w:rsidP="00D9399D">
      <w:pPr>
        <w:spacing w:line="240" w:lineRule="auto"/>
        <w:rPr>
          <w:i/>
        </w:rPr>
      </w:pPr>
      <w:proofErr w:type="gramStart"/>
      <w:r w:rsidRPr="00806D9C">
        <w:rPr>
          <w:i/>
        </w:rPr>
        <w:lastRenderedPageBreak/>
        <w:t>uncertainties</w:t>
      </w:r>
      <w:proofErr w:type="gramEnd"/>
      <w:r w:rsidRPr="00806D9C">
        <w:rPr>
          <w:i/>
        </w:rPr>
        <w:t xml:space="preserve"> and reform and update the current law where decisions need to be made on behalf of </w:t>
      </w:r>
    </w:p>
    <w:p w:rsidR="00806D9C" w:rsidRDefault="00806D9C" w:rsidP="001F26A9">
      <w:pPr>
        <w:spacing w:line="240" w:lineRule="auto"/>
        <w:rPr>
          <w:i/>
        </w:rPr>
      </w:pPr>
      <w:r>
        <w:rPr>
          <w:i/>
        </w:rPr>
        <w:t xml:space="preserve">others. </w:t>
      </w:r>
      <w:r w:rsidR="00D9399D" w:rsidRPr="00806D9C">
        <w:rPr>
          <w:i/>
        </w:rPr>
        <w:t xml:space="preserve">The Bill .... covers a wide range of decisions, on personal welfare as well as financial matters </w:t>
      </w:r>
    </w:p>
    <w:p w:rsidR="00806D9C" w:rsidRDefault="00806D9C" w:rsidP="001F26A9">
      <w:pPr>
        <w:spacing w:line="240" w:lineRule="auto"/>
        <w:rPr>
          <w:i/>
        </w:rPr>
      </w:pPr>
      <w:proofErr w:type="gramStart"/>
      <w:r>
        <w:rPr>
          <w:i/>
        </w:rPr>
        <w:t>and</w:t>
      </w:r>
      <w:proofErr w:type="gramEnd"/>
      <w:r>
        <w:rPr>
          <w:i/>
        </w:rPr>
        <w:t xml:space="preserve"> substitute </w:t>
      </w:r>
      <w:r w:rsidR="00D9399D" w:rsidRPr="00806D9C">
        <w:rPr>
          <w:i/>
        </w:rPr>
        <w:t xml:space="preserve">decision-making ... and clarifies the position where no such formal process has been </w:t>
      </w:r>
    </w:p>
    <w:p w:rsidR="00D9399D" w:rsidRPr="00806D9C" w:rsidRDefault="00D9399D" w:rsidP="001F26A9">
      <w:pPr>
        <w:spacing w:line="240" w:lineRule="auto"/>
        <w:rPr>
          <w:i/>
        </w:rPr>
      </w:pPr>
      <w:r w:rsidRPr="00806D9C">
        <w:rPr>
          <w:i/>
        </w:rPr>
        <w:t>adopted</w:t>
      </w:r>
      <w:r w:rsidR="00806D9C">
        <w:t>.’</w:t>
      </w:r>
      <w:r w:rsidR="00806D9C">
        <w:rPr>
          <w:rStyle w:val="FootnoteReference"/>
        </w:rPr>
        <w:footnoteReference w:id="48"/>
      </w:r>
    </w:p>
    <w:p w:rsidR="00806D9C" w:rsidRDefault="00806D9C" w:rsidP="001F26A9">
      <w:pPr>
        <w:spacing w:line="240" w:lineRule="auto"/>
      </w:pPr>
    </w:p>
    <w:p w:rsidR="00D9399D" w:rsidRDefault="00D9399D" w:rsidP="001F26A9">
      <w:pPr>
        <w:spacing w:line="240" w:lineRule="auto"/>
      </w:pPr>
      <w:r>
        <w:t>The Expert Committee reviewing reform of the MHA</w:t>
      </w:r>
      <w:r w:rsidR="00806D9C">
        <w:rPr>
          <w:rStyle w:val="FootnoteReference"/>
        </w:rPr>
        <w:footnoteReference w:id="49"/>
      </w:r>
      <w:r>
        <w:t xml:space="preserve"> placed importance, in its General</w:t>
      </w:r>
    </w:p>
    <w:p w:rsidR="00806D9C" w:rsidRPr="00806D9C" w:rsidRDefault="00D9399D" w:rsidP="001F26A9">
      <w:pPr>
        <w:spacing w:line="240" w:lineRule="auto"/>
        <w:rPr>
          <w:i/>
        </w:rPr>
      </w:pPr>
      <w:r>
        <w:t>Principles, on ‘</w:t>
      </w:r>
      <w:r w:rsidRPr="00806D9C">
        <w:rPr>
          <w:i/>
        </w:rPr>
        <w:t xml:space="preserve">respect for patient autonomy [which] implies respect for the treatment choices of </w:t>
      </w:r>
    </w:p>
    <w:p w:rsidR="00806D9C" w:rsidRPr="00806D9C" w:rsidRDefault="00806D9C" w:rsidP="001F26A9">
      <w:pPr>
        <w:spacing w:line="240" w:lineRule="auto"/>
        <w:rPr>
          <w:i/>
        </w:rPr>
      </w:pPr>
      <w:r w:rsidRPr="00806D9C">
        <w:rPr>
          <w:i/>
        </w:rPr>
        <w:t xml:space="preserve">those who </w:t>
      </w:r>
      <w:r w:rsidR="00D9399D" w:rsidRPr="00806D9C">
        <w:rPr>
          <w:i/>
        </w:rPr>
        <w:t xml:space="preserve">have the capacity necessary to make them. Patient autonomy therefore brings with it an </w:t>
      </w:r>
    </w:p>
    <w:p w:rsidR="00806D9C" w:rsidRDefault="00806D9C" w:rsidP="001F26A9">
      <w:pPr>
        <w:spacing w:line="240" w:lineRule="auto"/>
      </w:pPr>
      <w:r w:rsidRPr="00806D9C">
        <w:rPr>
          <w:i/>
        </w:rPr>
        <w:t xml:space="preserve">inevitable emphasis </w:t>
      </w:r>
      <w:r w:rsidR="00D9399D" w:rsidRPr="00806D9C">
        <w:rPr>
          <w:i/>
        </w:rPr>
        <w:t>on capacity’</w:t>
      </w:r>
      <w:r w:rsidR="00D9399D">
        <w:t>.</w:t>
      </w:r>
      <w:r>
        <w:rPr>
          <w:rStyle w:val="FootnoteReference"/>
        </w:rPr>
        <w:footnoteReference w:id="50"/>
      </w:r>
      <w:r w:rsidR="00D9399D">
        <w:t xml:space="preserve"> The </w:t>
      </w:r>
      <w:r w:rsidR="00D9399D" w:rsidRPr="00806D9C">
        <w:rPr>
          <w:i/>
        </w:rPr>
        <w:t>Mental Capacity Bill</w:t>
      </w:r>
      <w:r w:rsidR="00D9399D">
        <w:t xml:space="preserve"> includes, as its first principle, a </w:t>
      </w:r>
    </w:p>
    <w:p w:rsidR="00D9399D" w:rsidRPr="00806D9C" w:rsidRDefault="00D9399D" w:rsidP="001F26A9">
      <w:pPr>
        <w:spacing w:line="240" w:lineRule="auto"/>
        <w:rPr>
          <w:i/>
        </w:rPr>
      </w:pPr>
      <w:r>
        <w:t>capacity; adding that a person cannot be said to lack capacity for a particular decision ‘</w:t>
      </w:r>
      <w:r w:rsidRPr="00806D9C">
        <w:rPr>
          <w:i/>
        </w:rPr>
        <w:t>unless all</w:t>
      </w:r>
    </w:p>
    <w:p w:rsidR="00D9399D" w:rsidRPr="00806D9C" w:rsidRDefault="00D9399D" w:rsidP="001F26A9">
      <w:pPr>
        <w:spacing w:line="240" w:lineRule="auto"/>
        <w:rPr>
          <w:i/>
        </w:rPr>
      </w:pPr>
      <w:r w:rsidRPr="00806D9C">
        <w:rPr>
          <w:i/>
        </w:rPr>
        <w:t>practicable steps to help him</w:t>
      </w:r>
      <w:r>
        <w:t>’ have been tried or, conversely, simply because he makes ‘</w:t>
      </w:r>
      <w:r w:rsidRPr="00806D9C">
        <w:rPr>
          <w:i/>
        </w:rPr>
        <w:t>an unwise</w:t>
      </w:r>
    </w:p>
    <w:p w:rsidR="00D9399D" w:rsidRDefault="00D9399D" w:rsidP="001F26A9">
      <w:pPr>
        <w:spacing w:line="240" w:lineRule="auto"/>
      </w:pPr>
      <w:r w:rsidRPr="00806D9C">
        <w:rPr>
          <w:i/>
        </w:rPr>
        <w:t>decision</w:t>
      </w:r>
      <w:r>
        <w:t>’.</w:t>
      </w:r>
      <w:r w:rsidR="00806D9C">
        <w:rPr>
          <w:rStyle w:val="FootnoteReference"/>
        </w:rPr>
        <w:footnoteReference w:id="51"/>
      </w:r>
    </w:p>
    <w:p w:rsidR="00806D9C" w:rsidRDefault="00806D9C" w:rsidP="001F26A9">
      <w:pPr>
        <w:spacing w:line="240" w:lineRule="auto"/>
      </w:pPr>
    </w:p>
    <w:p w:rsidR="00D9399D" w:rsidRDefault="00D9399D" w:rsidP="001F26A9">
      <w:pPr>
        <w:spacing w:line="240" w:lineRule="auto"/>
      </w:pPr>
      <w:r>
        <w:t>Clause 2 of the Bill defines a person lacking capacity as one who is unable to make a decision</w:t>
      </w:r>
    </w:p>
    <w:p w:rsidR="007A57E7" w:rsidRPr="001F26A9" w:rsidRDefault="00D9399D" w:rsidP="001F26A9">
      <w:pPr>
        <w:spacing w:line="240" w:lineRule="auto"/>
        <w:rPr>
          <w:i/>
        </w:rPr>
      </w:pPr>
      <w:r w:rsidRPr="001F26A9">
        <w:rPr>
          <w:i/>
        </w:rPr>
        <w:t xml:space="preserve">‘because of an impairment of, or a disturbance [whether permanent or temporary] in the </w:t>
      </w:r>
    </w:p>
    <w:p w:rsidR="007A57E7" w:rsidRDefault="007A57E7" w:rsidP="001F26A9">
      <w:pPr>
        <w:spacing w:line="240" w:lineRule="auto"/>
      </w:pPr>
      <w:r w:rsidRPr="001F26A9">
        <w:rPr>
          <w:i/>
        </w:rPr>
        <w:t xml:space="preserve">functioning of, </w:t>
      </w:r>
      <w:r w:rsidR="00D9399D" w:rsidRPr="001F26A9">
        <w:rPr>
          <w:i/>
        </w:rPr>
        <w:t>the mind or brain</w:t>
      </w:r>
      <w:r w:rsidR="00D9399D">
        <w:t>’.</w:t>
      </w:r>
      <w:r w:rsidR="001F26A9">
        <w:rPr>
          <w:rStyle w:val="FootnoteReference"/>
        </w:rPr>
        <w:footnoteReference w:id="52"/>
      </w:r>
      <w:r w:rsidR="00D9399D">
        <w:t xml:space="preserve"> It is a functional test which is both specific in time and to the </w:t>
      </w:r>
    </w:p>
    <w:p w:rsidR="007A57E7" w:rsidRDefault="007A57E7" w:rsidP="001F26A9">
      <w:pPr>
        <w:spacing w:line="240" w:lineRule="auto"/>
      </w:pPr>
      <w:r>
        <w:t xml:space="preserve">type of decision </w:t>
      </w:r>
      <w:r w:rsidR="00D9399D">
        <w:t xml:space="preserve">to be made. Clause 3 then defines the four bases on which a person may be unable </w:t>
      </w:r>
    </w:p>
    <w:p w:rsidR="007A57E7" w:rsidRDefault="007A57E7" w:rsidP="001F26A9">
      <w:pPr>
        <w:spacing w:line="240" w:lineRule="auto"/>
      </w:pPr>
      <w:proofErr w:type="gramStart"/>
      <w:r>
        <w:t>to</w:t>
      </w:r>
      <w:proofErr w:type="gramEnd"/>
      <w:r>
        <w:t xml:space="preserve"> make a </w:t>
      </w:r>
      <w:r w:rsidR="00D9399D">
        <w:t xml:space="preserve">decision: being unable to understand, retain or use the relevant information in making a </w:t>
      </w:r>
    </w:p>
    <w:p w:rsidR="007A57E7" w:rsidRDefault="007A57E7" w:rsidP="001F26A9">
      <w:pPr>
        <w:spacing w:line="240" w:lineRule="auto"/>
      </w:pPr>
      <w:r>
        <w:t xml:space="preserve">decision, </w:t>
      </w:r>
      <w:r w:rsidR="00D9399D">
        <w:t xml:space="preserve">or unable to communicate the decision using any means. The test thus codifies the </w:t>
      </w:r>
    </w:p>
    <w:p w:rsidR="00D9399D" w:rsidRDefault="007A57E7" w:rsidP="001F26A9">
      <w:pPr>
        <w:spacing w:line="240" w:lineRule="auto"/>
      </w:pPr>
      <w:r>
        <w:t xml:space="preserve">threshold of </w:t>
      </w:r>
      <w:r w:rsidR="00D9399D">
        <w:t xml:space="preserve">capacity articulated in </w:t>
      </w:r>
      <w:r w:rsidR="00D9399D" w:rsidRPr="001F26A9">
        <w:rPr>
          <w:i/>
        </w:rPr>
        <w:t>Re C</w:t>
      </w:r>
      <w:r w:rsidR="001F26A9">
        <w:t>.</w:t>
      </w:r>
      <w:r w:rsidR="001F26A9">
        <w:rPr>
          <w:rStyle w:val="FootnoteReference"/>
        </w:rPr>
        <w:footnoteReference w:id="53"/>
      </w:r>
    </w:p>
    <w:p w:rsidR="004322B7" w:rsidRDefault="004322B7" w:rsidP="001F26A9">
      <w:pPr>
        <w:spacing w:line="240" w:lineRule="auto"/>
      </w:pPr>
    </w:p>
    <w:p w:rsidR="004322B7" w:rsidRPr="004322B7" w:rsidRDefault="004322B7" w:rsidP="004853D3">
      <w:pPr>
        <w:spacing w:line="240" w:lineRule="auto"/>
        <w:rPr>
          <w:b/>
        </w:rPr>
      </w:pPr>
      <w:r w:rsidRPr="004322B7">
        <w:rPr>
          <w:b/>
        </w:rPr>
        <w:t>Outline of the new Statutory Scheme for Decision-Making</w:t>
      </w:r>
    </w:p>
    <w:p w:rsidR="004322B7" w:rsidRDefault="004322B7" w:rsidP="004853D3">
      <w:pPr>
        <w:spacing w:line="240" w:lineRule="auto"/>
      </w:pPr>
      <w:r>
        <w:t>The concept of ‘best interests’ provides the overriding consideration for decisions taken on behalf</w:t>
      </w:r>
    </w:p>
    <w:p w:rsidR="004322B7" w:rsidRDefault="004322B7" w:rsidP="004853D3">
      <w:pPr>
        <w:spacing w:line="240" w:lineRule="auto"/>
      </w:pPr>
      <w:proofErr w:type="gramStart"/>
      <w:r>
        <w:t>of</w:t>
      </w:r>
      <w:proofErr w:type="gramEnd"/>
      <w:r>
        <w:t xml:space="preserve"> incapacitated people and it appears throughout the proposed statutory scheme. Even for people</w:t>
      </w:r>
    </w:p>
    <w:p w:rsidR="00144B77" w:rsidRDefault="004322B7" w:rsidP="004853D3">
      <w:pPr>
        <w:spacing w:line="240" w:lineRule="auto"/>
      </w:pPr>
      <w:r>
        <w:t xml:space="preserve">lacking capacity the Bill encourages their participation ‘as fully as possible in any act done for him </w:t>
      </w:r>
    </w:p>
    <w:p w:rsidR="00144B77" w:rsidRDefault="00144B77" w:rsidP="004853D3">
      <w:pPr>
        <w:spacing w:line="240" w:lineRule="auto"/>
      </w:pPr>
      <w:r>
        <w:lastRenderedPageBreak/>
        <w:t xml:space="preserve">and </w:t>
      </w:r>
      <w:r w:rsidR="004322B7">
        <w:t>any decision affecting him’.</w:t>
      </w:r>
      <w:r>
        <w:rPr>
          <w:rStyle w:val="FootnoteReference"/>
        </w:rPr>
        <w:footnoteReference w:id="54"/>
      </w:r>
      <w:r w:rsidR="004322B7">
        <w:t xml:space="preserve"> Best interests is broader than just focussed on medical interests </w:t>
      </w:r>
    </w:p>
    <w:p w:rsidR="00144B77" w:rsidRDefault="00144B77" w:rsidP="004853D3">
      <w:pPr>
        <w:spacing w:line="240" w:lineRule="auto"/>
      </w:pPr>
      <w:r>
        <w:t xml:space="preserve">but </w:t>
      </w:r>
      <w:r w:rsidR="004322B7">
        <w:t xml:space="preserve">includes the person’s ‘past and present wishes and feelings ... and the other factors ... he would </w:t>
      </w:r>
    </w:p>
    <w:p w:rsidR="00F303EA" w:rsidRDefault="00F303EA" w:rsidP="004853D3">
      <w:pPr>
        <w:spacing w:line="240" w:lineRule="auto"/>
      </w:pPr>
      <w:proofErr w:type="gramStart"/>
      <w:r>
        <w:t>be</w:t>
      </w:r>
      <w:proofErr w:type="gramEnd"/>
      <w:r>
        <w:t xml:space="preserve"> likely </w:t>
      </w:r>
      <w:r w:rsidR="004322B7">
        <w:t xml:space="preserve">to consider if he were able to do so’. Additionally, views on the same issues should be </w:t>
      </w:r>
    </w:p>
    <w:p w:rsidR="00F303EA" w:rsidRDefault="00F303EA" w:rsidP="004853D3">
      <w:pPr>
        <w:spacing w:line="240" w:lineRule="auto"/>
      </w:pPr>
      <w:r>
        <w:t xml:space="preserve">sought, if </w:t>
      </w:r>
      <w:r w:rsidR="004322B7">
        <w:t xml:space="preserve">‘practicable and appropriate’ from any person nominated by the person, any carer or </w:t>
      </w:r>
    </w:p>
    <w:p w:rsidR="00F303EA" w:rsidRDefault="00F303EA" w:rsidP="004853D3">
      <w:pPr>
        <w:spacing w:line="240" w:lineRule="auto"/>
      </w:pPr>
      <w:r>
        <w:t xml:space="preserve">those ‘interested </w:t>
      </w:r>
      <w:r w:rsidR="004322B7">
        <w:t xml:space="preserve">in his welfare’, donee of a lasting power of attorney and any court appointed </w:t>
      </w:r>
    </w:p>
    <w:p w:rsidR="004853D3" w:rsidRDefault="00F303EA" w:rsidP="004853D3">
      <w:pPr>
        <w:spacing w:line="240" w:lineRule="auto"/>
      </w:pPr>
      <w:r>
        <w:t>deputy (see below).</w:t>
      </w:r>
      <w:r>
        <w:rPr>
          <w:rStyle w:val="FootnoteReference"/>
        </w:rPr>
        <w:footnoteReference w:id="55"/>
      </w:r>
      <w:r w:rsidR="004853D3">
        <w:t xml:space="preserve"> </w:t>
      </w:r>
      <w:r w:rsidR="004322B7">
        <w:t xml:space="preserve">However, none of the views is binding but need only be </w:t>
      </w:r>
      <w:r w:rsidR="004853D3">
        <w:t>‘take (</w:t>
      </w:r>
      <w:r w:rsidR="004322B7">
        <w:t xml:space="preserve">n) into </w:t>
      </w:r>
    </w:p>
    <w:p w:rsidR="004853D3" w:rsidRDefault="004853D3" w:rsidP="004853D3">
      <w:pPr>
        <w:spacing w:line="240" w:lineRule="auto"/>
      </w:pPr>
      <w:r>
        <w:t>account’.</w:t>
      </w:r>
      <w:r>
        <w:rPr>
          <w:rStyle w:val="FootnoteReference"/>
        </w:rPr>
        <w:footnoteReference w:id="56"/>
      </w:r>
      <w:r w:rsidR="004322B7">
        <w:t xml:space="preserve"> </w:t>
      </w:r>
      <w:r>
        <w:t xml:space="preserve"> Indeed, it may not </w:t>
      </w:r>
      <w:r w:rsidR="004322B7">
        <w:t xml:space="preserve">be appropriate to involve a donee or deputy if their role is related to </w:t>
      </w:r>
    </w:p>
    <w:p w:rsidR="004322B7" w:rsidRDefault="004322B7" w:rsidP="004853D3">
      <w:pPr>
        <w:spacing w:line="240" w:lineRule="auto"/>
      </w:pPr>
      <w:r>
        <w:t>decision-making in a differen</w:t>
      </w:r>
      <w:r w:rsidR="004853D3">
        <w:t xml:space="preserve">t </w:t>
      </w:r>
      <w:r>
        <w:t>sphere of the person’s life.</w:t>
      </w:r>
    </w:p>
    <w:p w:rsidR="004853D3" w:rsidRDefault="004853D3" w:rsidP="004853D3">
      <w:pPr>
        <w:spacing w:line="240" w:lineRule="auto"/>
      </w:pPr>
    </w:p>
    <w:p w:rsidR="004322B7" w:rsidRPr="004853D3" w:rsidRDefault="004322B7" w:rsidP="004853D3">
      <w:pPr>
        <w:spacing w:line="240" w:lineRule="auto"/>
        <w:rPr>
          <w:b/>
        </w:rPr>
      </w:pPr>
      <w:r w:rsidRPr="004853D3">
        <w:rPr>
          <w:b/>
        </w:rPr>
        <w:t>(</w:t>
      </w:r>
      <w:proofErr w:type="spellStart"/>
      <w:r w:rsidRPr="004853D3">
        <w:rPr>
          <w:b/>
        </w:rPr>
        <w:t>i</w:t>
      </w:r>
      <w:proofErr w:type="spellEnd"/>
      <w:r w:rsidRPr="004853D3">
        <w:rPr>
          <w:b/>
        </w:rPr>
        <w:t>) Acts in connection with care or treatment</w:t>
      </w:r>
    </w:p>
    <w:p w:rsidR="004853D3" w:rsidRDefault="004322B7" w:rsidP="004853D3">
      <w:pPr>
        <w:spacing w:line="240" w:lineRule="auto"/>
      </w:pPr>
      <w:r>
        <w:t xml:space="preserve">This provision provides ‘statutory protection against liability for certain acts done in connection with </w:t>
      </w:r>
    </w:p>
    <w:p w:rsidR="004853D3" w:rsidRDefault="004853D3" w:rsidP="004853D3">
      <w:pPr>
        <w:spacing w:line="240" w:lineRule="auto"/>
      </w:pPr>
      <w:r>
        <w:t xml:space="preserve">the </w:t>
      </w:r>
      <w:r w:rsidR="004322B7">
        <w:t>care and treatment of another person’.</w:t>
      </w:r>
      <w:r>
        <w:rPr>
          <w:rStyle w:val="FootnoteReference"/>
        </w:rPr>
        <w:footnoteReference w:id="57"/>
      </w:r>
      <w:r w:rsidR="004322B7">
        <w:t xml:space="preserve"> Previously the power of </w:t>
      </w:r>
      <w:r w:rsidR="004322B7" w:rsidRPr="004853D3">
        <w:rPr>
          <w:i/>
        </w:rPr>
        <w:t>‘General Authority’</w:t>
      </w:r>
      <w:r w:rsidR="004322B7">
        <w:t xml:space="preserve"> in the </w:t>
      </w:r>
    </w:p>
    <w:p w:rsidR="004853D3" w:rsidRDefault="004853D3" w:rsidP="004853D3">
      <w:pPr>
        <w:spacing w:line="240" w:lineRule="auto"/>
      </w:pPr>
      <w:r>
        <w:t xml:space="preserve">draft </w:t>
      </w:r>
      <w:r w:rsidR="004322B7" w:rsidRPr="004853D3">
        <w:rPr>
          <w:i/>
        </w:rPr>
        <w:t>Mental Incapacity Bill</w:t>
      </w:r>
      <w:r w:rsidR="004322B7">
        <w:t>,</w:t>
      </w:r>
      <w:r>
        <w:rPr>
          <w:rStyle w:val="FootnoteReference"/>
        </w:rPr>
        <w:footnoteReference w:id="58"/>
      </w:r>
      <w:r w:rsidR="004322B7">
        <w:t xml:space="preserve"> this provision relates to everyday decisions taken by a carer on behalf </w:t>
      </w:r>
    </w:p>
    <w:p w:rsidR="004322B7" w:rsidRPr="004853D3" w:rsidRDefault="004853D3" w:rsidP="004853D3">
      <w:pPr>
        <w:spacing w:line="240" w:lineRule="auto"/>
        <w:rPr>
          <w:i/>
        </w:rPr>
      </w:pPr>
      <w:proofErr w:type="gramStart"/>
      <w:r>
        <w:t>of</w:t>
      </w:r>
      <w:proofErr w:type="gramEnd"/>
      <w:r>
        <w:t xml:space="preserve"> </w:t>
      </w:r>
      <w:r w:rsidR="004322B7">
        <w:t xml:space="preserve">an incapacitated person but hitherto on an informal, and potentially unlawful, basis. It aims </w:t>
      </w:r>
      <w:r w:rsidR="004322B7" w:rsidRPr="004853D3">
        <w:t>‘</w:t>
      </w:r>
      <w:r w:rsidR="004322B7" w:rsidRPr="004853D3">
        <w:rPr>
          <w:i/>
        </w:rPr>
        <w:t>to</w:t>
      </w:r>
    </w:p>
    <w:p w:rsidR="004853D3" w:rsidRPr="004853D3" w:rsidRDefault="004322B7" w:rsidP="004853D3">
      <w:pPr>
        <w:spacing w:line="240" w:lineRule="auto"/>
        <w:rPr>
          <w:i/>
        </w:rPr>
      </w:pPr>
      <w:r w:rsidRPr="004853D3">
        <w:rPr>
          <w:i/>
        </w:rPr>
        <w:t xml:space="preserve">clarify aspects of the common law principle of necessity as it applies to key actions done for people </w:t>
      </w:r>
    </w:p>
    <w:p w:rsidR="004853D3" w:rsidRDefault="004853D3" w:rsidP="004853D3">
      <w:pPr>
        <w:spacing w:line="240" w:lineRule="auto"/>
      </w:pPr>
      <w:r w:rsidRPr="004853D3">
        <w:rPr>
          <w:i/>
        </w:rPr>
        <w:t xml:space="preserve">who lack </w:t>
      </w:r>
      <w:r w:rsidR="004322B7" w:rsidRPr="004853D3">
        <w:rPr>
          <w:i/>
        </w:rPr>
        <w:t>capacity.</w:t>
      </w:r>
      <w:r w:rsidR="004322B7">
        <w:t>’</w:t>
      </w:r>
      <w:r>
        <w:rPr>
          <w:rStyle w:val="FootnoteReference"/>
        </w:rPr>
        <w:footnoteReference w:id="59"/>
      </w:r>
      <w:r w:rsidR="004322B7">
        <w:t xml:space="preserve"> Its informality persists as the power will be assumed by, rather than given to, </w:t>
      </w:r>
    </w:p>
    <w:p w:rsidR="004853D3" w:rsidRPr="004853D3" w:rsidRDefault="004853D3" w:rsidP="004853D3">
      <w:pPr>
        <w:spacing w:line="240" w:lineRule="auto"/>
        <w:rPr>
          <w:i/>
        </w:rPr>
      </w:pPr>
      <w:proofErr w:type="gramStart"/>
      <w:r>
        <w:t>the</w:t>
      </w:r>
      <w:proofErr w:type="gramEnd"/>
      <w:r>
        <w:t xml:space="preserve"> </w:t>
      </w:r>
      <w:r w:rsidR="004322B7">
        <w:t xml:space="preserve">provider of care. Its assumption is based on a reasonableness test: that the carer </w:t>
      </w:r>
      <w:r w:rsidR="004322B7" w:rsidRPr="004853D3">
        <w:rPr>
          <w:i/>
        </w:rPr>
        <w:t xml:space="preserve">‘reasonably </w:t>
      </w:r>
    </w:p>
    <w:p w:rsidR="004853D3" w:rsidRDefault="004322B7" w:rsidP="004853D3">
      <w:pPr>
        <w:spacing w:line="240" w:lineRule="auto"/>
      </w:pPr>
      <w:r w:rsidRPr="004853D3">
        <w:rPr>
          <w:i/>
        </w:rPr>
        <w:t>believes</w:t>
      </w:r>
      <w:r w:rsidR="004853D3">
        <w:t xml:space="preserve">’ </w:t>
      </w:r>
      <w:r>
        <w:t>the person lacks capacity and the act is i</w:t>
      </w:r>
      <w:r w:rsidR="004853D3">
        <w:t>n the person’s best interests’.</w:t>
      </w:r>
      <w:r w:rsidR="004853D3">
        <w:rPr>
          <w:rStyle w:val="FootnoteReference"/>
        </w:rPr>
        <w:footnoteReference w:id="60"/>
      </w:r>
      <w:r>
        <w:t xml:space="preserve"> It will exist for the </w:t>
      </w:r>
    </w:p>
    <w:p w:rsidR="004853D3" w:rsidRDefault="004853D3" w:rsidP="004853D3">
      <w:pPr>
        <w:spacing w:line="240" w:lineRule="auto"/>
      </w:pPr>
      <w:r>
        <w:t xml:space="preserve">duration </w:t>
      </w:r>
      <w:r w:rsidR="004322B7">
        <w:t xml:space="preserve">of the task under consideration. The Joint Committee recommended recognition of a </w:t>
      </w:r>
    </w:p>
    <w:p w:rsidR="004853D3" w:rsidRDefault="004853D3" w:rsidP="004853D3">
      <w:pPr>
        <w:spacing w:line="240" w:lineRule="auto"/>
      </w:pPr>
      <w:r>
        <w:t xml:space="preserve">concept of </w:t>
      </w:r>
      <w:r w:rsidR="004322B7" w:rsidRPr="004853D3">
        <w:rPr>
          <w:i/>
        </w:rPr>
        <w:t>‘general incapacity’</w:t>
      </w:r>
      <w:r w:rsidR="004322B7">
        <w:t xml:space="preserve"> for people with on-going incapacity, which would avoid the necessity </w:t>
      </w:r>
    </w:p>
    <w:p w:rsidR="004853D3" w:rsidRDefault="004853D3" w:rsidP="004853D3">
      <w:pPr>
        <w:spacing w:line="240" w:lineRule="auto"/>
      </w:pPr>
      <w:proofErr w:type="gramStart"/>
      <w:r>
        <w:t>of</w:t>
      </w:r>
      <w:proofErr w:type="gramEnd"/>
      <w:r>
        <w:t xml:space="preserve"> a series </w:t>
      </w:r>
      <w:r w:rsidR="004322B7">
        <w:t>of repeated decision specific assessments of capacity.</w:t>
      </w:r>
      <w:r>
        <w:rPr>
          <w:rStyle w:val="FootnoteReference"/>
        </w:rPr>
        <w:footnoteReference w:id="61"/>
      </w:r>
      <w:r w:rsidR="004322B7">
        <w:t xml:space="preserve"> This was not accepted in the </w:t>
      </w:r>
    </w:p>
    <w:p w:rsidR="004853D3" w:rsidRDefault="004853D3" w:rsidP="004853D3">
      <w:pPr>
        <w:spacing w:line="240" w:lineRule="auto"/>
      </w:pPr>
      <w:r>
        <w:t xml:space="preserve">Government’s </w:t>
      </w:r>
      <w:r w:rsidR="004322B7">
        <w:t xml:space="preserve">Response and has also failed to appear in the </w:t>
      </w:r>
      <w:r w:rsidR="004322B7" w:rsidRPr="004853D3">
        <w:rPr>
          <w:i/>
        </w:rPr>
        <w:t>Bill</w:t>
      </w:r>
      <w:r w:rsidR="004322B7">
        <w:t xml:space="preserve">. The </w:t>
      </w:r>
      <w:r w:rsidR="004322B7" w:rsidRPr="004853D3">
        <w:rPr>
          <w:i/>
        </w:rPr>
        <w:t>Bill</w:t>
      </w:r>
      <w:r w:rsidR="004322B7">
        <w:t xml:space="preserve"> places certain limitations on </w:t>
      </w:r>
    </w:p>
    <w:p w:rsidR="004853D3" w:rsidRDefault="004853D3" w:rsidP="004853D3">
      <w:pPr>
        <w:spacing w:line="240" w:lineRule="auto"/>
      </w:pPr>
      <w:r>
        <w:t xml:space="preserve">the exercise </w:t>
      </w:r>
      <w:r w:rsidR="004322B7">
        <w:t>of this provision</w:t>
      </w:r>
      <w:r>
        <w:rPr>
          <w:rStyle w:val="FootnoteReference"/>
        </w:rPr>
        <w:footnoteReference w:id="62"/>
      </w:r>
      <w:r w:rsidR="004322B7">
        <w:t xml:space="preserve"> but as the Government’s Response made clear it is not expected to </w:t>
      </w:r>
    </w:p>
    <w:p w:rsidR="004322B7" w:rsidRDefault="004853D3" w:rsidP="004853D3">
      <w:pPr>
        <w:spacing w:line="240" w:lineRule="auto"/>
      </w:pPr>
      <w:r>
        <w:t xml:space="preserve">be limited </w:t>
      </w:r>
      <w:r w:rsidR="004322B7">
        <w:t xml:space="preserve">entirely </w:t>
      </w:r>
      <w:proofErr w:type="gramStart"/>
      <w:r w:rsidR="004322B7">
        <w:t>to</w:t>
      </w:r>
      <w:proofErr w:type="gramEnd"/>
      <w:r w:rsidR="004322B7">
        <w:t xml:space="preserve"> everyday, routine matters.</w:t>
      </w:r>
      <w:r>
        <w:rPr>
          <w:rStyle w:val="FootnoteReference"/>
        </w:rPr>
        <w:footnoteReference w:id="63"/>
      </w:r>
    </w:p>
    <w:p w:rsidR="004853D3" w:rsidRDefault="004853D3" w:rsidP="004853D3">
      <w:pPr>
        <w:spacing w:line="240" w:lineRule="auto"/>
      </w:pPr>
    </w:p>
    <w:p w:rsidR="004322B7" w:rsidRPr="00A85C6F" w:rsidRDefault="004322B7" w:rsidP="00254F95">
      <w:pPr>
        <w:spacing w:line="240" w:lineRule="auto"/>
        <w:rPr>
          <w:b/>
        </w:rPr>
      </w:pPr>
      <w:r w:rsidRPr="00A85C6F">
        <w:rPr>
          <w:b/>
        </w:rPr>
        <w:t>(ii) Lasting Power of Attorney</w:t>
      </w:r>
    </w:p>
    <w:p w:rsidR="004322B7" w:rsidRDefault="004322B7" w:rsidP="00254F95">
      <w:pPr>
        <w:spacing w:line="240" w:lineRule="auto"/>
      </w:pPr>
      <w:r>
        <w:t>A capacitous person (donor) may elect to confer on another person (donee) the authority to make</w:t>
      </w:r>
    </w:p>
    <w:p w:rsidR="004322B7" w:rsidRDefault="004322B7" w:rsidP="00254F95">
      <w:pPr>
        <w:spacing w:line="240" w:lineRule="auto"/>
      </w:pPr>
      <w:r>
        <w:t>decisions in the spheres of personal welfare and/or property and affairs when the donor no longer</w:t>
      </w:r>
    </w:p>
    <w:p w:rsidR="004322B7" w:rsidRDefault="004322B7" w:rsidP="00254F95">
      <w:pPr>
        <w:spacing w:line="240" w:lineRule="auto"/>
      </w:pPr>
      <w:r>
        <w:t>has capacity</w:t>
      </w:r>
      <w:r w:rsidR="00A85C6F">
        <w:rPr>
          <w:rStyle w:val="FootnoteReference"/>
        </w:rPr>
        <w:footnoteReference w:id="64"/>
      </w:r>
      <w:r>
        <w:t xml:space="preserve"> (otherwise known as lasting power of attorney: LPA).</w:t>
      </w:r>
      <w:r w:rsidR="00A85C6F">
        <w:rPr>
          <w:rStyle w:val="FootnoteReference"/>
        </w:rPr>
        <w:footnoteReference w:id="65"/>
      </w:r>
      <w:r>
        <w:t xml:space="preserve"> The authority has to be</w:t>
      </w:r>
    </w:p>
    <w:p w:rsidR="004322B7" w:rsidRDefault="004322B7" w:rsidP="00254F95">
      <w:pPr>
        <w:spacing w:line="240" w:lineRule="auto"/>
      </w:pPr>
      <w:r>
        <w:t>conferred via an instrument, which may contain conditions or restrictions, and is subject to the</w:t>
      </w:r>
    </w:p>
    <w:p w:rsidR="004322B7" w:rsidRDefault="004322B7" w:rsidP="00254F95">
      <w:pPr>
        <w:spacing w:line="240" w:lineRule="auto"/>
      </w:pPr>
      <w:r>
        <w:t>overriding principle of being in the donor’s best interests.</w:t>
      </w:r>
      <w:r w:rsidR="00A85C6F">
        <w:rPr>
          <w:rStyle w:val="FootnoteReference"/>
        </w:rPr>
        <w:footnoteReference w:id="66"/>
      </w:r>
      <w:r>
        <w:t xml:space="preserve"> In the sphere of personal welfare, the</w:t>
      </w:r>
    </w:p>
    <w:p w:rsidR="004322B7" w:rsidRDefault="004322B7" w:rsidP="00254F95">
      <w:pPr>
        <w:spacing w:line="240" w:lineRule="auto"/>
      </w:pPr>
      <w:r>
        <w:t>scope of LPA extends to health care decisions, namely, the ‘</w:t>
      </w:r>
      <w:r w:rsidRPr="005B1AF2">
        <w:rPr>
          <w:i/>
        </w:rPr>
        <w:t>giving or refusing consent to the carrying</w:t>
      </w:r>
    </w:p>
    <w:p w:rsidR="005B1AF2" w:rsidRDefault="005B1AF2" w:rsidP="00254F95">
      <w:pPr>
        <w:spacing w:line="240" w:lineRule="auto"/>
      </w:pPr>
      <w:r w:rsidRPr="005B1AF2">
        <w:rPr>
          <w:i/>
        </w:rPr>
        <w:t>out or continuation of a treatment’</w:t>
      </w:r>
      <w:r>
        <w:rPr>
          <w:rStyle w:val="FootnoteReference"/>
          <w:i/>
        </w:rPr>
        <w:footnoteReference w:id="67"/>
      </w:r>
      <w:r>
        <w:rPr>
          <w:i/>
        </w:rPr>
        <w:t xml:space="preserve"> </w:t>
      </w:r>
      <w:r w:rsidR="00E02508">
        <w:rPr>
          <w:i/>
        </w:rPr>
        <w:t xml:space="preserve"> </w:t>
      </w:r>
      <w:r>
        <w:t xml:space="preserve">but does not extend to giving or refusing consent to </w:t>
      </w:r>
    </w:p>
    <w:p w:rsidR="005B1AF2" w:rsidRDefault="00E02508" w:rsidP="00254F95">
      <w:pPr>
        <w:spacing w:line="240" w:lineRule="auto"/>
      </w:pPr>
      <w:r>
        <w:t xml:space="preserve">life sustaining </w:t>
      </w:r>
      <w:r w:rsidR="005B1AF2">
        <w:t>treatment unless the donor has expressly stated that is his intention before he loses</w:t>
      </w:r>
    </w:p>
    <w:p w:rsidR="005B1AF2" w:rsidRDefault="00E02508" w:rsidP="00254F95">
      <w:pPr>
        <w:spacing w:line="240" w:lineRule="auto"/>
      </w:pPr>
      <w:r>
        <w:t>capacity.</w:t>
      </w:r>
      <w:r>
        <w:rPr>
          <w:rStyle w:val="FootnoteReference"/>
        </w:rPr>
        <w:footnoteReference w:id="68"/>
      </w:r>
      <w:r>
        <w:t xml:space="preserve"> </w:t>
      </w:r>
      <w:r w:rsidR="005B1AF2">
        <w:t xml:space="preserve"> Depending on the degree of thoroughness and specificity in the instrument, the</w:t>
      </w:r>
    </w:p>
    <w:p w:rsidR="005B1AF2" w:rsidRDefault="005B1AF2" w:rsidP="00254F95">
      <w:pPr>
        <w:spacing w:line="240" w:lineRule="auto"/>
      </w:pPr>
      <w:r>
        <w:t>authority of LPA may be restricted to enacting previously made decisions on behalf of the</w:t>
      </w:r>
    </w:p>
    <w:p w:rsidR="005B1AF2" w:rsidRDefault="005B1AF2" w:rsidP="00254F95">
      <w:pPr>
        <w:spacing w:line="240" w:lineRule="auto"/>
      </w:pPr>
      <w:r>
        <w:t>incapacitated person or it may take the form of substituted decision making.</w:t>
      </w:r>
    </w:p>
    <w:p w:rsidR="00E02508" w:rsidRPr="00E02508" w:rsidRDefault="00E02508" w:rsidP="00254F95">
      <w:pPr>
        <w:spacing w:line="240" w:lineRule="auto"/>
        <w:rPr>
          <w:b/>
        </w:rPr>
      </w:pPr>
    </w:p>
    <w:p w:rsidR="005B1AF2" w:rsidRPr="00E02508" w:rsidRDefault="005B1AF2" w:rsidP="00254F95">
      <w:pPr>
        <w:spacing w:line="240" w:lineRule="auto"/>
        <w:rPr>
          <w:b/>
        </w:rPr>
      </w:pPr>
      <w:r w:rsidRPr="00E02508">
        <w:rPr>
          <w:b/>
        </w:rPr>
        <w:t>(iii) Court of Protection and its deputies.</w:t>
      </w:r>
    </w:p>
    <w:p w:rsidR="005B1AF2" w:rsidRPr="00254F95" w:rsidRDefault="005B1AF2" w:rsidP="00254F95">
      <w:pPr>
        <w:spacing w:line="240" w:lineRule="auto"/>
        <w:rPr>
          <w:i/>
        </w:rPr>
      </w:pPr>
      <w:r>
        <w:t>The Bill will create a new Court of Protection</w:t>
      </w:r>
      <w:r w:rsidR="00254F95">
        <w:rPr>
          <w:rStyle w:val="FootnoteReference"/>
        </w:rPr>
        <w:footnoteReference w:id="69"/>
      </w:r>
      <w:r>
        <w:t xml:space="preserve"> with extended jurisdiction </w:t>
      </w:r>
      <w:r w:rsidRPr="00254F95">
        <w:rPr>
          <w:i/>
        </w:rPr>
        <w:t>‘(1) to make substitute</w:t>
      </w:r>
    </w:p>
    <w:p w:rsidR="00254F95" w:rsidRPr="00254F95" w:rsidRDefault="005B1AF2" w:rsidP="00254F95">
      <w:pPr>
        <w:spacing w:line="240" w:lineRule="auto"/>
        <w:rPr>
          <w:i/>
        </w:rPr>
      </w:pPr>
      <w:r w:rsidRPr="00254F95">
        <w:rPr>
          <w:i/>
        </w:rPr>
        <w:t xml:space="preserve">decisions about personal welfare or property and affairs for persons lacking capacity, or (2) to </w:t>
      </w:r>
    </w:p>
    <w:p w:rsidR="005B1AF2" w:rsidRDefault="00254F95" w:rsidP="00254F95">
      <w:pPr>
        <w:spacing w:line="240" w:lineRule="auto"/>
      </w:pPr>
      <w:r w:rsidRPr="00254F95">
        <w:rPr>
          <w:i/>
        </w:rPr>
        <w:t xml:space="preserve">appoint a </w:t>
      </w:r>
      <w:r w:rsidR="005B1AF2" w:rsidRPr="00254F95">
        <w:rPr>
          <w:i/>
        </w:rPr>
        <w:t>deputy to do so.</w:t>
      </w:r>
      <w:r w:rsidR="005B1AF2">
        <w:t>’</w:t>
      </w:r>
      <w:r>
        <w:rPr>
          <w:rStyle w:val="FootnoteReference"/>
        </w:rPr>
        <w:footnoteReference w:id="70"/>
      </w:r>
      <w:r w:rsidR="005B1AF2">
        <w:t xml:space="preserve"> The Court will also have the authority to make declarations.</w:t>
      </w:r>
      <w:r>
        <w:rPr>
          <w:rStyle w:val="FootnoteReference"/>
        </w:rPr>
        <w:footnoteReference w:id="71"/>
      </w:r>
    </w:p>
    <w:p w:rsidR="00254F95" w:rsidRDefault="00254F95" w:rsidP="00254F95">
      <w:pPr>
        <w:spacing w:line="240" w:lineRule="auto"/>
      </w:pPr>
    </w:p>
    <w:p w:rsidR="005B1AF2" w:rsidRDefault="005B1AF2" w:rsidP="00254F95">
      <w:pPr>
        <w:spacing w:line="240" w:lineRule="auto"/>
      </w:pPr>
      <w:r>
        <w:t>In the realm of welfare matters the court appointed deputy will be permitted to decide on health</w:t>
      </w:r>
    </w:p>
    <w:p w:rsidR="005B1AF2" w:rsidRDefault="005B1AF2" w:rsidP="00254F95">
      <w:pPr>
        <w:spacing w:line="240" w:lineRule="auto"/>
      </w:pPr>
      <w:proofErr w:type="gramStart"/>
      <w:r>
        <w:t>care</w:t>
      </w:r>
      <w:proofErr w:type="gramEnd"/>
      <w:r>
        <w:t xml:space="preserve"> issues including ‘</w:t>
      </w:r>
      <w:r w:rsidRPr="00254F95">
        <w:rPr>
          <w:i/>
        </w:rPr>
        <w:t>giving or refusing consent to the carrying out or continuation of a treatment’</w:t>
      </w:r>
      <w:r>
        <w:t>.</w:t>
      </w:r>
      <w:r w:rsidR="00254F95">
        <w:rPr>
          <w:rStyle w:val="FootnoteReference"/>
        </w:rPr>
        <w:footnoteReference w:id="72"/>
      </w:r>
    </w:p>
    <w:p w:rsidR="005B1AF2" w:rsidRDefault="005B1AF2" w:rsidP="00254F95">
      <w:pPr>
        <w:spacing w:line="240" w:lineRule="auto"/>
      </w:pPr>
      <w:r>
        <w:t>In the draft Bill, deputies also had the authority to give consent to the withdrawal of life-sustaining</w:t>
      </w:r>
    </w:p>
    <w:p w:rsidR="005B1AF2" w:rsidRDefault="005B1AF2" w:rsidP="00254F95">
      <w:pPr>
        <w:spacing w:line="240" w:lineRule="auto"/>
      </w:pPr>
      <w:r>
        <w:t>treatment. The Joint Committee ‘</w:t>
      </w:r>
      <w:r w:rsidRPr="00FD576B">
        <w:rPr>
          <w:i/>
        </w:rPr>
        <w:t>strongly urged’</w:t>
      </w:r>
      <w:r>
        <w:t xml:space="preserve"> the Government to exclude such a provision when</w:t>
      </w:r>
    </w:p>
    <w:p w:rsidR="005B1AF2" w:rsidRDefault="005B1AF2" w:rsidP="005B1AF2">
      <w:pPr>
        <w:spacing w:line="240" w:lineRule="auto"/>
      </w:pPr>
      <w:r>
        <w:lastRenderedPageBreak/>
        <w:t>the Bill was redrafted and reser</w:t>
      </w:r>
      <w:bookmarkStart w:id="0" w:name="_GoBack"/>
      <w:bookmarkEnd w:id="0"/>
      <w:r>
        <w:t>ve such decisions to t</w:t>
      </w:r>
      <w:r w:rsidR="00254F95">
        <w:t>he Court of Protection itself.</w:t>
      </w:r>
      <w:r w:rsidR="00254F95">
        <w:rPr>
          <w:rStyle w:val="FootnoteReference"/>
        </w:rPr>
        <w:footnoteReference w:id="73"/>
      </w:r>
    </w:p>
    <w:p w:rsidR="005B1AF2" w:rsidRDefault="005B1AF2" w:rsidP="005B1AF2">
      <w:pPr>
        <w:spacing w:line="240" w:lineRule="auto"/>
      </w:pPr>
      <w:r>
        <w:t>The Government declined to take up this recommendation, believing it was not necessary to have</w:t>
      </w:r>
    </w:p>
    <w:p w:rsidR="005B1AF2" w:rsidRDefault="005B1AF2" w:rsidP="005B1AF2">
      <w:pPr>
        <w:spacing w:line="240" w:lineRule="auto"/>
      </w:pPr>
      <w:r w:rsidRPr="00FD576B">
        <w:rPr>
          <w:i/>
        </w:rPr>
        <w:t>‘</w:t>
      </w:r>
      <w:proofErr w:type="gramStart"/>
      <w:r w:rsidRPr="00FD576B">
        <w:rPr>
          <w:i/>
        </w:rPr>
        <w:t>a</w:t>
      </w:r>
      <w:proofErr w:type="gramEnd"/>
      <w:r w:rsidRPr="00FD576B">
        <w:rPr>
          <w:i/>
        </w:rPr>
        <w:t xml:space="preserve"> blanket exclusion of a power to refuse treatment’</w:t>
      </w:r>
      <w:r>
        <w:t>.</w:t>
      </w:r>
      <w:r w:rsidR="00FD576B">
        <w:rPr>
          <w:rStyle w:val="FootnoteReference"/>
        </w:rPr>
        <w:footnoteReference w:id="74"/>
      </w:r>
      <w:r>
        <w:t xml:space="preserve"> </w:t>
      </w:r>
      <w:r w:rsidR="00FD576B">
        <w:t xml:space="preserve"> </w:t>
      </w:r>
      <w:r>
        <w:t>However, the Bill now requires the Court of</w:t>
      </w:r>
    </w:p>
    <w:p w:rsidR="005B1AF2" w:rsidRDefault="005B1AF2" w:rsidP="005B1AF2">
      <w:pPr>
        <w:spacing w:line="240" w:lineRule="auto"/>
      </w:pPr>
      <w:r>
        <w:t xml:space="preserve">Protection to give ‘express authority’ to the deputy to refuse consent </w:t>
      </w:r>
      <w:r w:rsidR="00FD576B">
        <w:t>for life sustaining treatment.</w:t>
      </w:r>
      <w:r w:rsidR="00FD576B">
        <w:rPr>
          <w:rStyle w:val="FootnoteReference"/>
        </w:rPr>
        <w:footnoteReference w:id="75"/>
      </w:r>
    </w:p>
    <w:p w:rsidR="00FD576B" w:rsidRDefault="00FD576B" w:rsidP="005B1AF2">
      <w:pPr>
        <w:spacing w:line="240" w:lineRule="auto"/>
      </w:pPr>
    </w:p>
    <w:p w:rsidR="005B1AF2" w:rsidRPr="00FD576B" w:rsidRDefault="005B1AF2" w:rsidP="005B1AF2">
      <w:pPr>
        <w:spacing w:line="240" w:lineRule="auto"/>
        <w:rPr>
          <w:b/>
        </w:rPr>
      </w:pPr>
      <w:r w:rsidRPr="00FD576B">
        <w:rPr>
          <w:b/>
        </w:rPr>
        <w:t>Advance Decisions in the Mental Capacity Bill</w:t>
      </w:r>
    </w:p>
    <w:p w:rsidR="005B1AF2" w:rsidRDefault="005B1AF2" w:rsidP="005B1AF2">
      <w:pPr>
        <w:spacing w:line="240" w:lineRule="auto"/>
      </w:pPr>
      <w:r>
        <w:t>The Minister of State for the Government Department responsible for the Bill, the Department of</w:t>
      </w:r>
    </w:p>
    <w:p w:rsidR="005B1AF2" w:rsidRPr="001A4910" w:rsidRDefault="005B1AF2" w:rsidP="005B1AF2">
      <w:pPr>
        <w:spacing w:line="240" w:lineRule="auto"/>
        <w:rPr>
          <w:i/>
        </w:rPr>
      </w:pPr>
      <w:r>
        <w:t xml:space="preserve">Constitutional Affairs, has declared that ‘advance decisions </w:t>
      </w:r>
      <w:r w:rsidRPr="001A4910">
        <w:rPr>
          <w:i/>
        </w:rPr>
        <w:t>are just one aspect of a Bill that will</w:t>
      </w:r>
    </w:p>
    <w:p w:rsidR="00FD576B" w:rsidRPr="001A4910" w:rsidRDefault="005B1AF2" w:rsidP="005B1AF2">
      <w:pPr>
        <w:spacing w:line="240" w:lineRule="auto"/>
        <w:rPr>
          <w:i/>
        </w:rPr>
      </w:pPr>
      <w:r w:rsidRPr="001A4910">
        <w:rPr>
          <w:i/>
        </w:rPr>
        <w:t xml:space="preserve">empower vulnerable people to make as many decisions for themselves as possible’; adding that </w:t>
      </w:r>
    </w:p>
    <w:p w:rsidR="001A4910" w:rsidRPr="001A4910" w:rsidRDefault="001A4910" w:rsidP="005B1AF2">
      <w:pPr>
        <w:spacing w:line="240" w:lineRule="auto"/>
        <w:rPr>
          <w:i/>
        </w:rPr>
      </w:pPr>
      <w:r w:rsidRPr="001A4910">
        <w:rPr>
          <w:i/>
        </w:rPr>
        <w:t xml:space="preserve">‘positive </w:t>
      </w:r>
      <w:r w:rsidR="005B1AF2" w:rsidRPr="001A4910">
        <w:rPr>
          <w:i/>
        </w:rPr>
        <w:t xml:space="preserve">requests for treatment will need to be taken account of when making a decision on behalf </w:t>
      </w:r>
    </w:p>
    <w:p w:rsidR="005B1AF2" w:rsidRDefault="001A4910" w:rsidP="005B1AF2">
      <w:pPr>
        <w:spacing w:line="240" w:lineRule="auto"/>
      </w:pPr>
      <w:proofErr w:type="gramStart"/>
      <w:r w:rsidRPr="001A4910">
        <w:rPr>
          <w:i/>
        </w:rPr>
        <w:t>of</w:t>
      </w:r>
      <w:proofErr w:type="gramEnd"/>
      <w:r w:rsidRPr="001A4910">
        <w:rPr>
          <w:i/>
        </w:rPr>
        <w:t xml:space="preserve"> a person lacking capacity</w:t>
      </w:r>
      <w:r>
        <w:t>’.</w:t>
      </w:r>
      <w:r>
        <w:rPr>
          <w:rStyle w:val="FootnoteReference"/>
        </w:rPr>
        <w:footnoteReference w:id="76"/>
      </w:r>
    </w:p>
    <w:p w:rsidR="001A4910" w:rsidRDefault="001A4910" w:rsidP="005B1AF2">
      <w:pPr>
        <w:spacing w:line="240" w:lineRule="auto"/>
      </w:pPr>
    </w:p>
    <w:p w:rsidR="005B1AF2" w:rsidRDefault="005B1AF2" w:rsidP="005B1AF2">
      <w:pPr>
        <w:spacing w:line="240" w:lineRule="auto"/>
      </w:pPr>
      <w:r>
        <w:t xml:space="preserve">Clause 23 of the Bill defines an </w:t>
      </w:r>
      <w:r w:rsidRPr="001A4910">
        <w:rPr>
          <w:i/>
        </w:rPr>
        <w:t>‘advance decision’</w:t>
      </w:r>
      <w:r>
        <w:t xml:space="preserve"> as</w:t>
      </w:r>
    </w:p>
    <w:p w:rsidR="005B1AF2" w:rsidRPr="001A4910" w:rsidRDefault="005B1AF2" w:rsidP="001A4910">
      <w:pPr>
        <w:spacing w:line="240" w:lineRule="auto"/>
        <w:ind w:firstLine="284"/>
        <w:rPr>
          <w:i/>
        </w:rPr>
      </w:pPr>
      <w:r w:rsidRPr="001A4910">
        <w:rPr>
          <w:i/>
        </w:rPr>
        <w:t>‘a decision made by a person, after he has reached 18 and when he has capacity to do so, that if –</w:t>
      </w:r>
    </w:p>
    <w:p w:rsidR="001A4910" w:rsidRPr="001A4910" w:rsidRDefault="005B1AF2" w:rsidP="001A4910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1A4910">
        <w:rPr>
          <w:i/>
        </w:rPr>
        <w:t xml:space="preserve">at a later time and in such circumstances as he may specify, a specified treatment is proposed </w:t>
      </w:r>
    </w:p>
    <w:p w:rsidR="001A4910" w:rsidRPr="001A4910" w:rsidRDefault="001A4910" w:rsidP="001A4910">
      <w:pPr>
        <w:pStyle w:val="ListParagraph"/>
        <w:spacing w:line="240" w:lineRule="auto"/>
        <w:ind w:left="644"/>
        <w:rPr>
          <w:i/>
        </w:rPr>
      </w:pPr>
    </w:p>
    <w:p w:rsidR="005B1AF2" w:rsidRPr="001A4910" w:rsidRDefault="005B1AF2" w:rsidP="001A4910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1A4910">
        <w:rPr>
          <w:i/>
        </w:rPr>
        <w:t>to be</w:t>
      </w:r>
    </w:p>
    <w:p w:rsidR="005B1AF2" w:rsidRPr="001A4910" w:rsidRDefault="005B1AF2" w:rsidP="001A4910">
      <w:pPr>
        <w:spacing w:line="240" w:lineRule="auto"/>
        <w:ind w:firstLine="284"/>
        <w:rPr>
          <w:i/>
        </w:rPr>
      </w:pPr>
      <w:r w:rsidRPr="001A4910">
        <w:rPr>
          <w:i/>
        </w:rPr>
        <w:t>carried out or continued by a person providing health care for him, and</w:t>
      </w:r>
    </w:p>
    <w:p w:rsidR="005B1AF2" w:rsidRPr="001A4910" w:rsidRDefault="005B1AF2" w:rsidP="001A4910">
      <w:pPr>
        <w:spacing w:line="240" w:lineRule="auto"/>
        <w:ind w:firstLine="284"/>
        <w:rPr>
          <w:i/>
        </w:rPr>
      </w:pPr>
      <w:r w:rsidRPr="001A4910">
        <w:rPr>
          <w:i/>
        </w:rPr>
        <w:t>(b) at that time he lacks capacity to consent to the carrying out or continuation of the treatment,</w:t>
      </w:r>
    </w:p>
    <w:p w:rsidR="005B1AF2" w:rsidRDefault="005B1AF2" w:rsidP="001A4910">
      <w:pPr>
        <w:spacing w:line="240" w:lineRule="auto"/>
        <w:ind w:firstLine="284"/>
      </w:pPr>
      <w:r w:rsidRPr="001A4910">
        <w:rPr>
          <w:i/>
        </w:rPr>
        <w:t>the specified treatment is not to</w:t>
      </w:r>
      <w:r w:rsidR="001A4910" w:rsidRPr="001A4910">
        <w:rPr>
          <w:i/>
        </w:rPr>
        <w:t xml:space="preserve"> be carried out or continued.’</w:t>
      </w:r>
      <w:r w:rsidR="001A4910">
        <w:rPr>
          <w:rStyle w:val="FootnoteReference"/>
        </w:rPr>
        <w:footnoteReference w:id="77"/>
      </w:r>
    </w:p>
    <w:p w:rsidR="005B1AF2" w:rsidRDefault="005B1AF2" w:rsidP="005B1AF2">
      <w:pPr>
        <w:spacing w:line="240" w:lineRule="auto"/>
      </w:pPr>
      <w:r>
        <w:t xml:space="preserve">Thus the </w:t>
      </w:r>
      <w:r w:rsidRPr="001A4910">
        <w:rPr>
          <w:i/>
        </w:rPr>
        <w:t xml:space="preserve">Bill </w:t>
      </w:r>
      <w:r>
        <w:t>permits anticipated decision making by the person concerned since it is made while</w:t>
      </w:r>
    </w:p>
    <w:p w:rsidR="005B1AF2" w:rsidRDefault="005B1AF2" w:rsidP="005B1AF2">
      <w:pPr>
        <w:spacing w:line="240" w:lineRule="auto"/>
      </w:pPr>
      <w:r>
        <w:t>the person retains capacity but only becomes operative after capacity has been lost and when the</w:t>
      </w:r>
    </w:p>
    <w:p w:rsidR="00B14C83" w:rsidRDefault="00B14C83" w:rsidP="00B14C83">
      <w:pPr>
        <w:spacing w:line="240" w:lineRule="auto"/>
      </w:pPr>
      <w:r>
        <w:t>treatment specified is being contemplated. While the person retains capacity the AD may be</w:t>
      </w:r>
    </w:p>
    <w:p w:rsidR="00B14C83" w:rsidRPr="00467DD5" w:rsidRDefault="00B14C83" w:rsidP="00B14C83">
      <w:pPr>
        <w:spacing w:line="240" w:lineRule="auto"/>
        <w:rPr>
          <w:i/>
        </w:rPr>
      </w:pPr>
      <w:proofErr w:type="gramStart"/>
      <w:r>
        <w:t>amended</w:t>
      </w:r>
      <w:proofErr w:type="gramEnd"/>
      <w:r>
        <w:t xml:space="preserve"> or withdrawn at any time.</w:t>
      </w:r>
      <w:r>
        <w:rPr>
          <w:rStyle w:val="FootnoteReference"/>
        </w:rPr>
        <w:footnoteReference w:id="78"/>
      </w:r>
      <w:r>
        <w:t xml:space="preserve"> The AD will become invalid if the person does ‘</w:t>
      </w:r>
      <w:r w:rsidRPr="00467DD5">
        <w:rPr>
          <w:i/>
        </w:rPr>
        <w:t>anything else</w:t>
      </w:r>
    </w:p>
    <w:p w:rsidR="00B14C83" w:rsidRDefault="00B14C83" w:rsidP="00B14C83">
      <w:pPr>
        <w:spacing w:line="240" w:lineRule="auto"/>
      </w:pPr>
      <w:proofErr w:type="gramStart"/>
      <w:r w:rsidRPr="00467DD5">
        <w:rPr>
          <w:i/>
        </w:rPr>
        <w:t>clearly</w:t>
      </w:r>
      <w:proofErr w:type="gramEnd"/>
      <w:r w:rsidRPr="00467DD5">
        <w:rPr>
          <w:i/>
        </w:rPr>
        <w:t xml:space="preserve"> inconsistent with the advance decision remaining his fixed decision’</w:t>
      </w:r>
      <w:r>
        <w:t>.</w:t>
      </w:r>
      <w:r>
        <w:rPr>
          <w:rStyle w:val="FootnoteReference"/>
        </w:rPr>
        <w:footnoteReference w:id="79"/>
      </w:r>
      <w:r>
        <w:t xml:space="preserve"> It will also not apply if </w:t>
      </w:r>
    </w:p>
    <w:p w:rsidR="00B14C83" w:rsidRDefault="00B14C83" w:rsidP="00B14C83">
      <w:pPr>
        <w:spacing w:line="240" w:lineRule="auto"/>
      </w:pPr>
      <w:proofErr w:type="gramStart"/>
      <w:r>
        <w:t>the</w:t>
      </w:r>
      <w:proofErr w:type="gramEnd"/>
      <w:r>
        <w:t xml:space="preserve"> </w:t>
      </w:r>
      <w:r>
        <w:t>proposed treatment is not included in the AD, the circumstances described are absent, or novel</w:t>
      </w:r>
    </w:p>
    <w:p w:rsidR="00B14C83" w:rsidRPr="00467DD5" w:rsidRDefault="00B14C83" w:rsidP="00467DD5">
      <w:pPr>
        <w:spacing w:line="240" w:lineRule="auto"/>
        <w:rPr>
          <w:i/>
        </w:rPr>
      </w:pPr>
      <w:r>
        <w:lastRenderedPageBreak/>
        <w:t xml:space="preserve">circumstances exist which the person did not foresee but had they been anticipated </w:t>
      </w:r>
      <w:r w:rsidRPr="00467DD5">
        <w:rPr>
          <w:i/>
        </w:rPr>
        <w:t>‘would have</w:t>
      </w:r>
    </w:p>
    <w:p w:rsidR="00467DD5" w:rsidRDefault="00B14C83" w:rsidP="00467DD5">
      <w:pPr>
        <w:spacing w:line="240" w:lineRule="auto"/>
      </w:pPr>
      <w:r w:rsidRPr="00467DD5">
        <w:rPr>
          <w:i/>
        </w:rPr>
        <w:t>affected his decision’</w:t>
      </w:r>
      <w:r>
        <w:t>.</w:t>
      </w:r>
      <w:r w:rsidR="00467DD5">
        <w:rPr>
          <w:rStyle w:val="FootnoteReference"/>
        </w:rPr>
        <w:footnoteReference w:id="80"/>
      </w:r>
      <w:r>
        <w:t xml:space="preserve"> The last point calls for an element of </w:t>
      </w:r>
      <w:r w:rsidRPr="00467DD5">
        <w:rPr>
          <w:i/>
        </w:rPr>
        <w:t>‘substituted judgment</w:t>
      </w:r>
      <w:r>
        <w:t xml:space="preserve">’ on the part of </w:t>
      </w:r>
    </w:p>
    <w:p w:rsidR="00B14C83" w:rsidRDefault="00467DD5" w:rsidP="00467DD5">
      <w:pPr>
        <w:spacing w:line="240" w:lineRule="auto"/>
      </w:pPr>
      <w:r>
        <w:t xml:space="preserve">the </w:t>
      </w:r>
      <w:r w:rsidR="00B14C83">
        <w:t>health professional, in deciding whether to make the AD inapplicable but the wording sets the</w:t>
      </w:r>
    </w:p>
    <w:p w:rsidR="00B14C83" w:rsidRDefault="00B14C83" w:rsidP="00467DD5">
      <w:pPr>
        <w:spacing w:line="240" w:lineRule="auto"/>
      </w:pPr>
      <w:r>
        <w:t>higher threshold of ‘would’ rather than ‘may have’ affected the decision. An AD can also be</w:t>
      </w:r>
    </w:p>
    <w:p w:rsidR="00B14C83" w:rsidRDefault="00B14C83" w:rsidP="00467DD5">
      <w:pPr>
        <w:spacing w:line="240" w:lineRule="auto"/>
      </w:pPr>
      <w:r>
        <w:t>overridden when the person subsequently makes a lasting power of attorney that specifically</w:t>
      </w:r>
    </w:p>
    <w:p w:rsidR="00B14C83" w:rsidRDefault="00B14C83" w:rsidP="00467DD5">
      <w:pPr>
        <w:spacing w:line="240" w:lineRule="auto"/>
      </w:pPr>
      <w:r>
        <w:t>relates to the treatment detailed in the AD.</w:t>
      </w:r>
      <w:r w:rsidR="00467DD5">
        <w:rPr>
          <w:rStyle w:val="FootnoteReference"/>
        </w:rPr>
        <w:footnoteReference w:id="81"/>
      </w:r>
      <w:r>
        <w:t xml:space="preserve"> Furthermore the effect of an AD can be suspended</w:t>
      </w:r>
    </w:p>
    <w:p w:rsidR="00B14C83" w:rsidRDefault="00B14C83" w:rsidP="00467DD5">
      <w:pPr>
        <w:spacing w:line="240" w:lineRule="auto"/>
      </w:pPr>
      <w:r>
        <w:t>pending a declaration by the Court of Protection as to whether or not it is applicable to the</w:t>
      </w:r>
    </w:p>
    <w:p w:rsidR="00B14C83" w:rsidRDefault="00B14C83" w:rsidP="00467DD5">
      <w:pPr>
        <w:spacing w:line="240" w:lineRule="auto"/>
      </w:pPr>
      <w:r>
        <w:t>proposed</w:t>
      </w:r>
      <w:r w:rsidR="00467DD5">
        <w:t xml:space="preserve"> treatment.</w:t>
      </w:r>
      <w:r w:rsidR="00467DD5">
        <w:rPr>
          <w:rStyle w:val="FootnoteReference"/>
        </w:rPr>
        <w:footnoteReference w:id="82"/>
      </w:r>
    </w:p>
    <w:p w:rsidR="00467DD5" w:rsidRDefault="00467DD5" w:rsidP="00467DD5">
      <w:pPr>
        <w:spacing w:line="240" w:lineRule="auto"/>
      </w:pPr>
    </w:p>
    <w:p w:rsidR="00D01068" w:rsidRPr="0081381C" w:rsidRDefault="00B14C83" w:rsidP="00467DD5">
      <w:pPr>
        <w:spacing w:line="240" w:lineRule="auto"/>
        <w:rPr>
          <w:i/>
        </w:rPr>
      </w:pPr>
      <w:r>
        <w:t xml:space="preserve">Advance decisions </w:t>
      </w:r>
      <w:r w:rsidRPr="0081381C">
        <w:rPr>
          <w:i/>
        </w:rPr>
        <w:t>‘give statutory confirmation to existing court rulings</w:t>
      </w:r>
      <w:r w:rsidR="001C508E" w:rsidRPr="0081381C">
        <w:rPr>
          <w:rStyle w:val="FootnoteReference"/>
          <w:i/>
        </w:rPr>
        <w:footnoteReference w:id="83"/>
      </w:r>
      <w:r w:rsidRPr="0081381C">
        <w:rPr>
          <w:i/>
        </w:rPr>
        <w:t xml:space="preserve"> that a treating doctor is </w:t>
      </w:r>
    </w:p>
    <w:p w:rsidR="00D01068" w:rsidRDefault="00D01068" w:rsidP="00467DD5">
      <w:pPr>
        <w:spacing w:line="240" w:lineRule="auto"/>
      </w:pPr>
      <w:r w:rsidRPr="0081381C">
        <w:rPr>
          <w:i/>
        </w:rPr>
        <w:t xml:space="preserve">obliged </w:t>
      </w:r>
      <w:r w:rsidR="00B14C83" w:rsidRPr="0081381C">
        <w:rPr>
          <w:i/>
        </w:rPr>
        <w:t>to respect a lawfully-made advance decision about a specified treatment’</w:t>
      </w:r>
      <w:r w:rsidR="00B14C83">
        <w:t>.</w:t>
      </w:r>
      <w:r w:rsidR="001C508E">
        <w:rPr>
          <w:rStyle w:val="FootnoteReference"/>
        </w:rPr>
        <w:footnoteReference w:id="84"/>
      </w:r>
      <w:r w:rsidR="00B14C83">
        <w:t xml:space="preserve"> Many of the </w:t>
      </w:r>
    </w:p>
    <w:p w:rsidR="00D01068" w:rsidRDefault="00D01068" w:rsidP="00467DD5">
      <w:pPr>
        <w:spacing w:line="240" w:lineRule="auto"/>
      </w:pPr>
      <w:r>
        <w:t xml:space="preserve">submissions to </w:t>
      </w:r>
      <w:r w:rsidR="00B14C83">
        <w:t xml:space="preserve">the Joint Committee scrutinising the draft Bill were concerned with the withdrawal of </w:t>
      </w:r>
    </w:p>
    <w:p w:rsidR="001C508E" w:rsidRDefault="001C508E" w:rsidP="00467DD5">
      <w:pPr>
        <w:spacing w:line="240" w:lineRule="auto"/>
      </w:pPr>
      <w:r>
        <w:t>life-sustaining</w:t>
      </w:r>
      <w:r w:rsidR="00D01068">
        <w:t xml:space="preserve"> </w:t>
      </w:r>
      <w:r>
        <w:t xml:space="preserve"> </w:t>
      </w:r>
      <w:r w:rsidR="00B14C83">
        <w:t xml:space="preserve">treatment and ADs. The Committee rejected the argument this would bring </w:t>
      </w:r>
    </w:p>
    <w:p w:rsidR="001C508E" w:rsidRPr="0081381C" w:rsidRDefault="001C508E" w:rsidP="00467DD5">
      <w:pPr>
        <w:spacing w:line="240" w:lineRule="auto"/>
        <w:rPr>
          <w:i/>
        </w:rPr>
      </w:pPr>
      <w:r>
        <w:t xml:space="preserve">euthanasia </w:t>
      </w:r>
      <w:r w:rsidR="00B14C83">
        <w:t>a step closer; instead regarding an AD as ‘</w:t>
      </w:r>
      <w:r w:rsidR="00B14C83" w:rsidRPr="0081381C">
        <w:rPr>
          <w:i/>
        </w:rPr>
        <w:t xml:space="preserve">appropriate continuation of respect for a </w:t>
      </w:r>
    </w:p>
    <w:p w:rsidR="001C508E" w:rsidRDefault="0081381C" w:rsidP="00467DD5">
      <w:pPr>
        <w:spacing w:line="240" w:lineRule="auto"/>
      </w:pPr>
      <w:r w:rsidRPr="0081381C">
        <w:rPr>
          <w:i/>
        </w:rPr>
        <w:t>patient’s individual</w:t>
      </w:r>
      <w:r w:rsidR="00D01068" w:rsidRPr="0081381C">
        <w:rPr>
          <w:i/>
        </w:rPr>
        <w:t xml:space="preserve"> </w:t>
      </w:r>
      <w:r w:rsidR="00B14C83" w:rsidRPr="0081381C">
        <w:rPr>
          <w:i/>
        </w:rPr>
        <w:t>autonomy’</w:t>
      </w:r>
      <w:r w:rsidR="00B14C83">
        <w:t>.</w:t>
      </w:r>
      <w:r w:rsidR="001C508E">
        <w:rPr>
          <w:rStyle w:val="FootnoteReference"/>
        </w:rPr>
        <w:footnoteReference w:id="85"/>
      </w:r>
      <w:r w:rsidR="00B14C83">
        <w:t xml:space="preserve"> Among the Committee’s recommendations the importance of </w:t>
      </w:r>
    </w:p>
    <w:p w:rsidR="001C508E" w:rsidRDefault="00B14C83" w:rsidP="00467DD5">
      <w:pPr>
        <w:spacing w:line="240" w:lineRule="auto"/>
      </w:pPr>
      <w:r>
        <w:t xml:space="preserve">having </w:t>
      </w:r>
      <w:r w:rsidR="00C4497B">
        <w:t>access to</w:t>
      </w:r>
      <w:r w:rsidR="00D01068">
        <w:t xml:space="preserve"> </w:t>
      </w:r>
      <w:r>
        <w:t xml:space="preserve">professional advice when preparing an advance decision was mentioned, as was </w:t>
      </w:r>
    </w:p>
    <w:p w:rsidR="00B14C83" w:rsidRDefault="001C508E" w:rsidP="00467DD5">
      <w:pPr>
        <w:spacing w:line="240" w:lineRule="auto"/>
      </w:pPr>
      <w:r>
        <w:t xml:space="preserve">the need for </w:t>
      </w:r>
      <w:r w:rsidR="00B14C83">
        <w:t>guidance in the Code of Practice as to what constituted a valid and applicable AD. The</w:t>
      </w:r>
    </w:p>
    <w:p w:rsidR="00B14C83" w:rsidRDefault="00B14C83" w:rsidP="00467DD5">
      <w:pPr>
        <w:spacing w:line="240" w:lineRule="auto"/>
      </w:pPr>
      <w:r>
        <w:t>Government signalled its willingness to work with health professionals and patient groups in</w:t>
      </w:r>
    </w:p>
    <w:p w:rsidR="00B14C83" w:rsidRDefault="00B14C83" w:rsidP="00467DD5">
      <w:pPr>
        <w:spacing w:line="240" w:lineRule="auto"/>
      </w:pPr>
      <w:r>
        <w:t>formulating the Codes of Practice</w:t>
      </w:r>
      <w:r w:rsidR="001C508E">
        <w:rPr>
          <w:rStyle w:val="FootnoteReference"/>
        </w:rPr>
        <w:footnoteReference w:id="86"/>
      </w:r>
      <w:r>
        <w:t xml:space="preserve"> and ADs are specifically included in the Codes required of the</w:t>
      </w:r>
    </w:p>
    <w:p w:rsidR="00B14C83" w:rsidRDefault="001C508E" w:rsidP="00467DD5">
      <w:pPr>
        <w:spacing w:line="240" w:lineRule="auto"/>
      </w:pPr>
      <w:r>
        <w:t xml:space="preserve">Lord Chancellor by the </w:t>
      </w:r>
      <w:r w:rsidRPr="0081381C">
        <w:rPr>
          <w:i/>
        </w:rPr>
        <w:t>Bill</w:t>
      </w:r>
      <w:r>
        <w:t>.</w:t>
      </w:r>
      <w:r>
        <w:rPr>
          <w:rStyle w:val="FootnoteReference"/>
        </w:rPr>
        <w:footnoteReference w:id="87"/>
      </w:r>
    </w:p>
    <w:p w:rsidR="001C508E" w:rsidRPr="001C508E" w:rsidRDefault="001C508E" w:rsidP="00467DD5">
      <w:pPr>
        <w:spacing w:line="240" w:lineRule="auto"/>
        <w:rPr>
          <w:b/>
        </w:rPr>
      </w:pPr>
    </w:p>
    <w:p w:rsidR="00B14C83" w:rsidRPr="001C508E" w:rsidRDefault="00B14C83" w:rsidP="00467DD5">
      <w:pPr>
        <w:spacing w:line="240" w:lineRule="auto"/>
        <w:rPr>
          <w:b/>
        </w:rPr>
      </w:pPr>
      <w:r w:rsidRPr="001C508E">
        <w:rPr>
          <w:b/>
        </w:rPr>
        <w:t>Advance Decisions and Mental Health Treatment</w:t>
      </w:r>
    </w:p>
    <w:p w:rsidR="00B14C83" w:rsidRDefault="00B14C83" w:rsidP="00467DD5">
      <w:pPr>
        <w:spacing w:line="240" w:lineRule="auto"/>
      </w:pPr>
      <w:r>
        <w:t>The Bill has an ‘enabling’ philosophy</w:t>
      </w:r>
      <w:r w:rsidR="00653EFF">
        <w:rPr>
          <w:rStyle w:val="FootnoteReference"/>
        </w:rPr>
        <w:footnoteReference w:id="88"/>
      </w:r>
      <w:r>
        <w:t xml:space="preserve"> and is constructed around the concept of capacity whereas</w:t>
      </w:r>
    </w:p>
    <w:p w:rsidR="00B14C83" w:rsidRDefault="00B14C83" w:rsidP="00467DD5">
      <w:pPr>
        <w:spacing w:line="240" w:lineRule="auto"/>
      </w:pPr>
      <w:r>
        <w:t>the Mental Health Act 1983 is concerned with compulsion, which is not reliant on the lack of</w:t>
      </w:r>
    </w:p>
    <w:p w:rsidR="00B14C83" w:rsidRDefault="00B14C83" w:rsidP="00467DD5">
      <w:pPr>
        <w:spacing w:line="240" w:lineRule="auto"/>
      </w:pPr>
      <w:r>
        <w:lastRenderedPageBreak/>
        <w:t>capacity. Views have been expressed that the next Mental Health Act should be based around</w:t>
      </w:r>
    </w:p>
    <w:p w:rsidR="00B14C83" w:rsidRDefault="00B14C83" w:rsidP="00467DD5">
      <w:pPr>
        <w:spacing w:line="240" w:lineRule="auto"/>
      </w:pPr>
      <w:r>
        <w:t>capacity</w:t>
      </w:r>
      <w:r w:rsidR="00653EFF">
        <w:rPr>
          <w:rStyle w:val="FootnoteReference"/>
        </w:rPr>
        <w:footnoteReference w:id="89"/>
      </w:r>
      <w:r>
        <w:t xml:space="preserve"> or, indeed, that there would be little need for one if a Mental Incapacity Act was</w:t>
      </w:r>
    </w:p>
    <w:p w:rsidR="00B14C83" w:rsidRDefault="00653EFF" w:rsidP="00467DD5">
      <w:pPr>
        <w:spacing w:line="240" w:lineRule="auto"/>
      </w:pPr>
      <w:r>
        <w:t>comprehensive.</w:t>
      </w:r>
      <w:r>
        <w:rPr>
          <w:rStyle w:val="FootnoteReference"/>
        </w:rPr>
        <w:footnoteReference w:id="90"/>
      </w:r>
    </w:p>
    <w:p w:rsidR="007148AD" w:rsidRDefault="007148AD" w:rsidP="007148AD">
      <w:pPr>
        <w:spacing w:line="240" w:lineRule="auto"/>
      </w:pPr>
    </w:p>
    <w:p w:rsidR="007148AD" w:rsidRDefault="007148AD" w:rsidP="007148AD">
      <w:pPr>
        <w:spacing w:line="240" w:lineRule="auto"/>
      </w:pPr>
      <w:r>
        <w:t>Under the provisions of the</w:t>
      </w:r>
      <w:r w:rsidRPr="006F626B">
        <w:rPr>
          <w:i/>
        </w:rPr>
        <w:t xml:space="preserve"> Bill</w:t>
      </w:r>
      <w:r>
        <w:t xml:space="preserve"> it would be possible for treatment for mental disorder to be given</w:t>
      </w:r>
    </w:p>
    <w:p w:rsidR="007148AD" w:rsidRDefault="007148AD" w:rsidP="007148AD">
      <w:pPr>
        <w:spacing w:line="240" w:lineRule="auto"/>
      </w:pPr>
      <w:r>
        <w:t>under the authority of Clause 5</w:t>
      </w:r>
      <w:r>
        <w:rPr>
          <w:rStyle w:val="FootnoteReference"/>
        </w:rPr>
        <w:footnoteReference w:id="91"/>
      </w:r>
      <w:r>
        <w:t xml:space="preserve"> or within the scope of LPA</w:t>
      </w:r>
      <w:r>
        <w:rPr>
          <w:rStyle w:val="FootnoteReference"/>
        </w:rPr>
        <w:footnoteReference w:id="92"/>
      </w:r>
      <w:r>
        <w:t xml:space="preserve"> and even in the face of resistance</w:t>
      </w:r>
    </w:p>
    <w:p w:rsidR="007148AD" w:rsidRDefault="007148AD" w:rsidP="007148AD">
      <w:pPr>
        <w:spacing w:line="240" w:lineRule="auto"/>
      </w:pPr>
      <w:r>
        <w:t>from the person concerned.</w:t>
      </w:r>
      <w:r>
        <w:rPr>
          <w:rStyle w:val="FootnoteReference"/>
        </w:rPr>
        <w:footnoteReference w:id="93"/>
      </w:r>
      <w:r>
        <w:t xml:space="preserve"> These provisions would give a statutory footing to the provision of</w:t>
      </w:r>
    </w:p>
    <w:p w:rsidR="007148AD" w:rsidRDefault="007148AD" w:rsidP="007148AD">
      <w:pPr>
        <w:spacing w:line="240" w:lineRule="auto"/>
      </w:pPr>
      <w:r>
        <w:t xml:space="preserve">psychiatric treatment, which was both necessary and in their best interests, to </w:t>
      </w:r>
      <w:r w:rsidRPr="006F626B">
        <w:rPr>
          <w:i/>
        </w:rPr>
        <w:t>Bournewood</w:t>
      </w:r>
    </w:p>
    <w:p w:rsidR="007148AD" w:rsidRDefault="007148AD" w:rsidP="007148AD">
      <w:pPr>
        <w:spacing w:line="240" w:lineRule="auto"/>
      </w:pPr>
      <w:r>
        <w:t>patients</w:t>
      </w:r>
      <w:r>
        <w:rPr>
          <w:rStyle w:val="FootnoteReference"/>
        </w:rPr>
        <w:footnoteReference w:id="94"/>
      </w:r>
      <w:r>
        <w:t xml:space="preserve"> who, by definition, would not be detained under the MHA. To the Joint Committee, the</w:t>
      </w:r>
    </w:p>
    <w:p w:rsidR="007148AD" w:rsidRDefault="007148AD" w:rsidP="007148AD">
      <w:pPr>
        <w:spacing w:line="240" w:lineRule="auto"/>
      </w:pPr>
      <w:r w:rsidRPr="006F626B">
        <w:rPr>
          <w:i/>
        </w:rPr>
        <w:t>Bournewood gap</w:t>
      </w:r>
      <w:r>
        <w:t xml:space="preserve"> represented the lack of statutory safeguards</w:t>
      </w:r>
      <w:r>
        <w:rPr>
          <w:rStyle w:val="FootnoteReference"/>
        </w:rPr>
        <w:footnoteReference w:id="95"/>
      </w:r>
      <w:r>
        <w:t xml:space="preserve"> for such patients. It highlighted the</w:t>
      </w:r>
    </w:p>
    <w:p w:rsidR="007148AD" w:rsidRDefault="007148AD" w:rsidP="007148AD">
      <w:pPr>
        <w:spacing w:line="240" w:lineRule="auto"/>
      </w:pPr>
      <w:r>
        <w:t>current paucity of safeguards in the Bill and clarification as to what measures might be</w:t>
      </w:r>
    </w:p>
    <w:p w:rsidR="007148AD" w:rsidRDefault="007148AD" w:rsidP="007148AD">
      <w:pPr>
        <w:spacing w:line="240" w:lineRule="auto"/>
      </w:pPr>
      <w:r>
        <w:t xml:space="preserve">incorporated to fill </w:t>
      </w:r>
      <w:r w:rsidRPr="006F626B">
        <w:rPr>
          <w:i/>
        </w:rPr>
        <w:t>‘the gap’</w:t>
      </w:r>
      <w:r>
        <w:t xml:space="preserve"> was called for.</w:t>
      </w:r>
      <w:r>
        <w:rPr>
          <w:rStyle w:val="FootnoteReference"/>
        </w:rPr>
        <w:footnoteReference w:id="96"/>
      </w:r>
    </w:p>
    <w:p w:rsidR="007148AD" w:rsidRDefault="007148AD" w:rsidP="007148AD">
      <w:pPr>
        <w:spacing w:line="240" w:lineRule="auto"/>
      </w:pPr>
    </w:p>
    <w:p w:rsidR="007148AD" w:rsidRDefault="007148AD" w:rsidP="007148AD">
      <w:pPr>
        <w:spacing w:line="240" w:lineRule="auto"/>
      </w:pPr>
      <w:r>
        <w:t>Clause 28 specifically excludes the mechanisms in the Bill from being applied to treatment for</w:t>
      </w:r>
    </w:p>
    <w:p w:rsidR="007148AD" w:rsidRDefault="007148AD" w:rsidP="007148AD">
      <w:pPr>
        <w:spacing w:line="240" w:lineRule="auto"/>
      </w:pPr>
      <w:r>
        <w:t xml:space="preserve">mental disorder if that treatment is </w:t>
      </w:r>
      <w:r w:rsidRPr="001C6696">
        <w:rPr>
          <w:i/>
        </w:rPr>
        <w:t>‘regulated by Part IV of the Mental Health Act’</w:t>
      </w:r>
      <w:r>
        <w:t>.</w:t>
      </w:r>
      <w:r w:rsidR="001C6696">
        <w:rPr>
          <w:rStyle w:val="FootnoteReference"/>
        </w:rPr>
        <w:footnoteReference w:id="97"/>
      </w:r>
      <w:r>
        <w:t xml:space="preserve"> The</w:t>
      </w:r>
    </w:p>
    <w:p w:rsidR="007148AD" w:rsidRDefault="007148AD" w:rsidP="007148AD">
      <w:pPr>
        <w:spacing w:line="240" w:lineRule="auto"/>
      </w:pPr>
      <w:r>
        <w:t>Government has clarified that when a person is subject to the relevant powers of the MHA then</w:t>
      </w:r>
    </w:p>
    <w:p w:rsidR="007148AD" w:rsidRDefault="007148AD" w:rsidP="007148AD">
      <w:pPr>
        <w:spacing w:line="240" w:lineRule="auto"/>
      </w:pPr>
      <w:r>
        <w:t>the provisions of the Bill will be inapplicable.</w:t>
      </w:r>
      <w:r w:rsidR="001C6696">
        <w:rPr>
          <w:rStyle w:val="FootnoteReference"/>
        </w:rPr>
        <w:footnoteReference w:id="98"/>
      </w:r>
      <w:r>
        <w:t xml:space="preserve"> However, Clause 28 will still not apply to the</w:t>
      </w:r>
    </w:p>
    <w:p w:rsidR="007148AD" w:rsidRDefault="007148AD" w:rsidP="007148AD">
      <w:pPr>
        <w:spacing w:line="240" w:lineRule="auto"/>
      </w:pPr>
      <w:r>
        <w:t>majority of psychiatric patients receiving treatment, including voluntary patients in hospital, those</w:t>
      </w:r>
    </w:p>
    <w:p w:rsidR="007148AD" w:rsidRDefault="007148AD" w:rsidP="007148AD">
      <w:pPr>
        <w:spacing w:line="240" w:lineRule="auto"/>
      </w:pPr>
      <w:r>
        <w:t>detained under the MHA but not subject to Part IV MHA</w:t>
      </w:r>
      <w:r w:rsidR="001C6696">
        <w:rPr>
          <w:rStyle w:val="FootnoteReference"/>
        </w:rPr>
        <w:footnoteReference w:id="99"/>
      </w:r>
      <w:r>
        <w:t xml:space="preserve"> and those in the community and not</w:t>
      </w:r>
    </w:p>
    <w:p w:rsidR="007148AD" w:rsidRDefault="007148AD" w:rsidP="007148AD">
      <w:pPr>
        <w:spacing w:line="240" w:lineRule="auto"/>
      </w:pPr>
      <w:r>
        <w:t>liable to be detained.</w:t>
      </w:r>
      <w:r w:rsidR="001C6696">
        <w:rPr>
          <w:rStyle w:val="FootnoteReference"/>
        </w:rPr>
        <w:footnoteReference w:id="100"/>
      </w:r>
      <w:r>
        <w:t xml:space="preserve"> Nonetheless, this would mean that an otherwise valid and applicable</w:t>
      </w:r>
    </w:p>
    <w:p w:rsidR="007148AD" w:rsidRDefault="007148AD" w:rsidP="00391BD6">
      <w:pPr>
        <w:spacing w:line="240" w:lineRule="auto"/>
      </w:pPr>
      <w:r>
        <w:lastRenderedPageBreak/>
        <w:t>advance decision would be overruled for detained patients for whom Part IV, MHA applies.</w:t>
      </w:r>
    </w:p>
    <w:p w:rsidR="007148AD" w:rsidRDefault="007148AD" w:rsidP="00391BD6">
      <w:pPr>
        <w:spacing w:line="240" w:lineRule="auto"/>
      </w:pPr>
      <w:r>
        <w:t>The position of advance decisions in the proposed reform of the Mental Health Act also requires</w:t>
      </w:r>
    </w:p>
    <w:p w:rsidR="007148AD" w:rsidRDefault="007148AD" w:rsidP="00391BD6">
      <w:pPr>
        <w:spacing w:line="240" w:lineRule="auto"/>
      </w:pPr>
      <w:r>
        <w:t xml:space="preserve">consideration. The White Paper </w:t>
      </w:r>
      <w:r w:rsidRPr="00FA0257">
        <w:rPr>
          <w:i/>
        </w:rPr>
        <w:t>‘Reforming the Mental Health Act’</w:t>
      </w:r>
      <w:r w:rsidR="00FA0257">
        <w:rPr>
          <w:rStyle w:val="FootnoteReference"/>
        </w:rPr>
        <w:footnoteReference w:id="101"/>
      </w:r>
      <w:r>
        <w:t xml:space="preserve"> made brief reference to what</w:t>
      </w:r>
    </w:p>
    <w:p w:rsidR="00FA0257" w:rsidRDefault="007148AD" w:rsidP="00391BD6">
      <w:pPr>
        <w:spacing w:line="240" w:lineRule="auto"/>
      </w:pPr>
      <w:proofErr w:type="gramStart"/>
      <w:r>
        <w:t>it</w:t>
      </w:r>
      <w:proofErr w:type="gramEnd"/>
      <w:r>
        <w:t xml:space="preserve"> termed </w:t>
      </w:r>
      <w:r w:rsidRPr="00FA0257">
        <w:rPr>
          <w:i/>
        </w:rPr>
        <w:t>‘advance agreements’</w:t>
      </w:r>
      <w:r w:rsidR="00FA0257">
        <w:rPr>
          <w:rStyle w:val="FootnoteReference"/>
        </w:rPr>
        <w:footnoteReference w:id="102"/>
      </w:r>
      <w:r>
        <w:t xml:space="preserve">. It noted patients may draw on their past experiences of </w:t>
      </w:r>
    </w:p>
    <w:p w:rsidR="00FA0257" w:rsidRPr="00FA0257" w:rsidRDefault="00FA0257" w:rsidP="00391BD6">
      <w:pPr>
        <w:spacing w:line="240" w:lineRule="auto"/>
        <w:rPr>
          <w:i/>
        </w:rPr>
      </w:pPr>
      <w:r>
        <w:t xml:space="preserve">treatment </w:t>
      </w:r>
      <w:r w:rsidR="007148AD">
        <w:t>to stat</w:t>
      </w:r>
      <w:r w:rsidR="007148AD" w:rsidRPr="00FA0257">
        <w:rPr>
          <w:i/>
        </w:rPr>
        <w:t xml:space="preserve">e ‘what sort of treatment he or she would prefer if the mental disorder </w:t>
      </w:r>
    </w:p>
    <w:p w:rsidR="00FA0257" w:rsidRDefault="007148AD" w:rsidP="00391BD6">
      <w:pPr>
        <w:spacing w:line="240" w:lineRule="auto"/>
      </w:pPr>
      <w:r w:rsidRPr="00FA0257">
        <w:rPr>
          <w:i/>
        </w:rPr>
        <w:t>deteriorates’</w:t>
      </w:r>
      <w:r>
        <w:t xml:space="preserve">, </w:t>
      </w:r>
      <w:r w:rsidR="00FA0257">
        <w:t xml:space="preserve">adding that </w:t>
      </w:r>
      <w:r>
        <w:t xml:space="preserve">such a record would be an important source to consult in determining </w:t>
      </w:r>
    </w:p>
    <w:p w:rsidR="00FA0257" w:rsidRDefault="00FA0257" w:rsidP="00391BD6">
      <w:pPr>
        <w:spacing w:line="240" w:lineRule="auto"/>
      </w:pPr>
      <w:r>
        <w:t xml:space="preserve">‘what care and treatment is </w:t>
      </w:r>
      <w:r w:rsidR="007148AD">
        <w:t xml:space="preserve">in a patient’s best interests’. Advance agreements, as their name </w:t>
      </w:r>
    </w:p>
    <w:p w:rsidR="00FA0257" w:rsidRPr="00FA0257" w:rsidRDefault="00FA0257" w:rsidP="00391BD6">
      <w:pPr>
        <w:spacing w:line="240" w:lineRule="auto"/>
        <w:rPr>
          <w:i/>
        </w:rPr>
      </w:pPr>
      <w:r>
        <w:t xml:space="preserve">suggests, should be drawn up in </w:t>
      </w:r>
      <w:r w:rsidR="007148AD">
        <w:t xml:space="preserve">consultation with the clinical team, who </w:t>
      </w:r>
      <w:r w:rsidR="007148AD" w:rsidRPr="00FA0257">
        <w:rPr>
          <w:i/>
        </w:rPr>
        <w:t xml:space="preserve">would ‘be expected to take </w:t>
      </w:r>
    </w:p>
    <w:p w:rsidR="00FA0257" w:rsidRPr="00FA0257" w:rsidRDefault="00FA0257" w:rsidP="00391BD6">
      <w:pPr>
        <w:spacing w:line="240" w:lineRule="auto"/>
        <w:rPr>
          <w:i/>
        </w:rPr>
      </w:pPr>
      <w:r w:rsidRPr="00FA0257">
        <w:rPr>
          <w:i/>
        </w:rPr>
        <w:t xml:space="preserve">account of any recent advance </w:t>
      </w:r>
      <w:r w:rsidR="007148AD" w:rsidRPr="00FA0257">
        <w:rPr>
          <w:i/>
        </w:rPr>
        <w:t xml:space="preserve">agreement developed in consultation with specialist mental health </w:t>
      </w:r>
    </w:p>
    <w:p w:rsidR="007148AD" w:rsidRDefault="00FA0257" w:rsidP="00391BD6">
      <w:pPr>
        <w:spacing w:line="240" w:lineRule="auto"/>
      </w:pPr>
      <w:r w:rsidRPr="00FA0257">
        <w:rPr>
          <w:i/>
        </w:rPr>
        <w:t>services’</w:t>
      </w:r>
      <w:r>
        <w:rPr>
          <w:rStyle w:val="FootnoteReference"/>
        </w:rPr>
        <w:footnoteReference w:id="103"/>
      </w:r>
      <w:r w:rsidR="007148AD">
        <w:t>.</w:t>
      </w:r>
    </w:p>
    <w:p w:rsidR="00FA0257" w:rsidRDefault="00FA0257" w:rsidP="00391BD6">
      <w:pPr>
        <w:spacing w:line="240" w:lineRule="auto"/>
      </w:pPr>
    </w:p>
    <w:p w:rsidR="007148AD" w:rsidRDefault="007148AD" w:rsidP="00391BD6">
      <w:pPr>
        <w:spacing w:line="240" w:lineRule="auto"/>
      </w:pPr>
      <w:r>
        <w:t>As set out in the White Paper advance agreements could state positive preferences for treatments.</w:t>
      </w:r>
    </w:p>
    <w:p w:rsidR="007148AD" w:rsidRDefault="007148AD" w:rsidP="00391BD6">
      <w:pPr>
        <w:spacing w:line="240" w:lineRule="auto"/>
      </w:pPr>
      <w:r>
        <w:t>This would incorporate the express principle of patient autonomy espoused by the Expert</w:t>
      </w:r>
    </w:p>
    <w:p w:rsidR="007148AD" w:rsidRDefault="007148AD" w:rsidP="00391BD6">
      <w:pPr>
        <w:spacing w:line="240" w:lineRule="auto"/>
      </w:pPr>
      <w:r>
        <w:t>Committee reviewing the Mental Health Act 1983.</w:t>
      </w:r>
      <w:r w:rsidR="00391BD6">
        <w:rPr>
          <w:rStyle w:val="FootnoteReference"/>
        </w:rPr>
        <w:footnoteReference w:id="104"/>
      </w:r>
      <w:r>
        <w:t xml:space="preserve"> The Expert Committee also suggested that</w:t>
      </w:r>
    </w:p>
    <w:p w:rsidR="00391BD6" w:rsidRPr="00D14A02" w:rsidRDefault="007148AD" w:rsidP="00391BD6">
      <w:pPr>
        <w:spacing w:line="240" w:lineRule="auto"/>
        <w:rPr>
          <w:i/>
        </w:rPr>
      </w:pPr>
      <w:r w:rsidRPr="00D14A02">
        <w:rPr>
          <w:i/>
        </w:rPr>
        <w:t xml:space="preserve">‘advance directives </w:t>
      </w:r>
      <w:proofErr w:type="gramStart"/>
      <w:r w:rsidRPr="00D14A02">
        <w:rPr>
          <w:i/>
        </w:rPr>
        <w:t>be</w:t>
      </w:r>
      <w:proofErr w:type="gramEnd"/>
      <w:r w:rsidRPr="00D14A02">
        <w:rPr>
          <w:i/>
        </w:rPr>
        <w:t xml:space="preserve"> recognised as expressions of a patient’s capable wishes, and that they be </w:t>
      </w:r>
    </w:p>
    <w:p w:rsidR="00391BD6" w:rsidRPr="00D14A02" w:rsidRDefault="007148AD" w:rsidP="00391BD6">
      <w:pPr>
        <w:spacing w:line="240" w:lineRule="auto"/>
        <w:rPr>
          <w:i/>
        </w:rPr>
      </w:pPr>
      <w:r w:rsidRPr="00D14A02">
        <w:rPr>
          <w:i/>
        </w:rPr>
        <w:t>allowed to</w:t>
      </w:r>
      <w:r w:rsidR="00391BD6" w:rsidRPr="00D14A02">
        <w:rPr>
          <w:i/>
        </w:rPr>
        <w:t xml:space="preserve"> </w:t>
      </w:r>
      <w:r w:rsidR="00391BD6" w:rsidRPr="00D14A02">
        <w:rPr>
          <w:i/>
        </w:rPr>
        <w:t xml:space="preserve">prevail in the same circumstances under the new act as those in which the wishes of the </w:t>
      </w:r>
    </w:p>
    <w:p w:rsidR="00D14A02" w:rsidRDefault="00391BD6" w:rsidP="00391BD6">
      <w:pPr>
        <w:spacing w:line="240" w:lineRule="auto"/>
      </w:pPr>
      <w:r w:rsidRPr="00D14A02">
        <w:rPr>
          <w:i/>
        </w:rPr>
        <w:t xml:space="preserve">patient with </w:t>
      </w:r>
      <w:r w:rsidRPr="00D14A02">
        <w:rPr>
          <w:i/>
        </w:rPr>
        <w:t>capacity at the time would be allowed to prevail’</w:t>
      </w:r>
      <w:r>
        <w:rPr>
          <w:rStyle w:val="FootnoteReference"/>
        </w:rPr>
        <w:footnoteReference w:id="105"/>
      </w:r>
    </w:p>
    <w:p w:rsidR="00D14A02" w:rsidRDefault="00D14A02" w:rsidP="00391BD6">
      <w:pPr>
        <w:spacing w:line="240" w:lineRule="auto"/>
      </w:pPr>
    </w:p>
    <w:p w:rsidR="00D14A02" w:rsidRDefault="00D14A02" w:rsidP="00D14A02">
      <w:pPr>
        <w:spacing w:line="240" w:lineRule="auto"/>
      </w:pPr>
      <w:r>
        <w:t xml:space="preserve">By the time the </w:t>
      </w:r>
      <w:r w:rsidRPr="00D14A02">
        <w:rPr>
          <w:i/>
        </w:rPr>
        <w:t>draft</w:t>
      </w:r>
      <w:r>
        <w:t xml:space="preserve"> </w:t>
      </w:r>
      <w:r w:rsidRPr="00D14A02">
        <w:rPr>
          <w:i/>
        </w:rPr>
        <w:t>Mental Health Bill</w:t>
      </w:r>
      <w:r>
        <w:rPr>
          <w:rStyle w:val="FootnoteReference"/>
        </w:rPr>
        <w:footnoteReference w:id="106"/>
      </w:r>
      <w:r>
        <w:t xml:space="preserve"> was published advance statements had been relegated </w:t>
      </w:r>
    </w:p>
    <w:p w:rsidR="00D14A02" w:rsidRDefault="00D14A02" w:rsidP="00D14A02">
      <w:pPr>
        <w:spacing w:line="240" w:lineRule="auto"/>
      </w:pPr>
      <w:proofErr w:type="gramStart"/>
      <w:r>
        <w:t>t</w:t>
      </w:r>
      <w:r>
        <w:t>o</w:t>
      </w:r>
      <w:proofErr w:type="gramEnd"/>
      <w:r>
        <w:t xml:space="preserve"> </w:t>
      </w:r>
      <w:r>
        <w:t>the Code of Practice</w:t>
      </w:r>
      <w:r>
        <w:rPr>
          <w:rStyle w:val="FootnoteReference"/>
        </w:rPr>
        <w:footnoteReference w:id="107"/>
      </w:r>
      <w:r>
        <w:t xml:space="preserve"> but they are still framed as positive statements allowing patients to </w:t>
      </w:r>
    </w:p>
    <w:p w:rsidR="00D14A02" w:rsidRDefault="00D14A02" w:rsidP="00D14A02">
      <w:pPr>
        <w:spacing w:line="240" w:lineRule="auto"/>
      </w:pPr>
      <w:r>
        <w:t xml:space="preserve">identify </w:t>
      </w:r>
      <w:r w:rsidRPr="00D14A02">
        <w:rPr>
          <w:i/>
        </w:rPr>
        <w:t xml:space="preserve">‘what sort of treatment they would </w:t>
      </w:r>
      <w:r w:rsidRPr="00D14A02">
        <w:rPr>
          <w:i/>
          <w:u w:val="single"/>
        </w:rPr>
        <w:t xml:space="preserve">prefer </w:t>
      </w:r>
      <w:r w:rsidRPr="00D14A02">
        <w:rPr>
          <w:i/>
        </w:rPr>
        <w:t>if they become unwell’</w:t>
      </w:r>
      <w:r>
        <w:t xml:space="preserve"> (</w:t>
      </w:r>
      <w:r>
        <w:t xml:space="preserve">emphasis added). </w:t>
      </w:r>
    </w:p>
    <w:p w:rsidR="00D14A02" w:rsidRPr="00D14A02" w:rsidRDefault="00D14A02" w:rsidP="00D14A02">
      <w:pPr>
        <w:spacing w:line="240" w:lineRule="auto"/>
        <w:rPr>
          <w:i/>
        </w:rPr>
      </w:pPr>
      <w:r>
        <w:t xml:space="preserve">However, befits </w:t>
      </w:r>
      <w:r>
        <w:t xml:space="preserve">an advance statement as opposed to an advance directive, they need only </w:t>
      </w:r>
      <w:r w:rsidRPr="00D14A02">
        <w:rPr>
          <w:i/>
        </w:rPr>
        <w:t xml:space="preserve">‘be taken </w:t>
      </w:r>
    </w:p>
    <w:p w:rsidR="00D14A02" w:rsidRDefault="00D14A02" w:rsidP="00D14A02">
      <w:pPr>
        <w:spacing w:line="240" w:lineRule="auto"/>
      </w:pPr>
      <w:proofErr w:type="gramStart"/>
      <w:r w:rsidRPr="00D14A02">
        <w:rPr>
          <w:i/>
        </w:rPr>
        <w:t>into</w:t>
      </w:r>
      <w:proofErr w:type="gramEnd"/>
      <w:r w:rsidRPr="00D14A02">
        <w:rPr>
          <w:i/>
        </w:rPr>
        <w:t xml:space="preserve"> account’</w:t>
      </w:r>
      <w:r>
        <w:rPr>
          <w:i/>
        </w:rPr>
        <w:t xml:space="preserve"> </w:t>
      </w:r>
      <w:r>
        <w:t xml:space="preserve">during the formal assessment and should be recent as well as drafted ‘in consultation’ </w:t>
      </w:r>
    </w:p>
    <w:p w:rsidR="00D14A02" w:rsidRDefault="00D14A02" w:rsidP="00D14A02">
      <w:pPr>
        <w:spacing w:line="240" w:lineRule="auto"/>
      </w:pPr>
      <w:r>
        <w:lastRenderedPageBreak/>
        <w:t>with the</w:t>
      </w:r>
      <w:r>
        <w:rPr>
          <w:i/>
        </w:rPr>
        <w:t xml:space="preserve"> </w:t>
      </w:r>
      <w:r>
        <w:t>mental health professionals.</w:t>
      </w:r>
      <w:r>
        <w:rPr>
          <w:rStyle w:val="FootnoteReference"/>
        </w:rPr>
        <w:footnoteReference w:id="108"/>
      </w:r>
      <w:r>
        <w:t xml:space="preserve"> On the face of the draft Mental Health Bill negative </w:t>
      </w:r>
    </w:p>
    <w:p w:rsidR="00D14A02" w:rsidRDefault="00D14A02" w:rsidP="00D14A02">
      <w:pPr>
        <w:spacing w:line="240" w:lineRule="auto"/>
      </w:pPr>
      <w:r>
        <w:t>phraseology is</w:t>
      </w:r>
      <w:r>
        <w:rPr>
          <w:i/>
        </w:rPr>
        <w:t xml:space="preserve"> </w:t>
      </w:r>
      <w:r>
        <w:t xml:space="preserve">used. Clause 121 refers to circumstances when informal treatment is not available </w:t>
      </w:r>
    </w:p>
    <w:p w:rsidR="00D14A02" w:rsidRPr="00D14A02" w:rsidRDefault="00D14A02" w:rsidP="00D14A02">
      <w:pPr>
        <w:spacing w:line="240" w:lineRule="auto"/>
        <w:rPr>
          <w:i/>
        </w:rPr>
      </w:pPr>
      <w:r>
        <w:t>because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>‘(a) the patient is not capable of consenting to the treatment, and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 xml:space="preserve">(b) </w:t>
      </w:r>
      <w:proofErr w:type="gramStart"/>
      <w:r w:rsidRPr="00D14A02">
        <w:rPr>
          <w:i/>
        </w:rPr>
        <w:t>he</w:t>
      </w:r>
      <w:proofErr w:type="gramEnd"/>
      <w:r w:rsidRPr="00D14A02">
        <w:rPr>
          <w:i/>
        </w:rPr>
        <w:t xml:space="preserve"> either –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>(</w:t>
      </w:r>
      <w:proofErr w:type="spellStart"/>
      <w:r w:rsidRPr="00D14A02">
        <w:rPr>
          <w:i/>
        </w:rPr>
        <w:t>i</w:t>
      </w:r>
      <w:proofErr w:type="spellEnd"/>
      <w:r w:rsidRPr="00D14A02">
        <w:rPr>
          <w:i/>
        </w:rPr>
        <w:t>) would resist the treatment if given, or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>(ii) ..............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>(4) .... it is to be assumed that a patient who has at any time indicated that he does not want to</w:t>
      </w:r>
    </w:p>
    <w:p w:rsidR="00D14A02" w:rsidRPr="00D14A02" w:rsidRDefault="00D14A02" w:rsidP="00D14A02">
      <w:pPr>
        <w:spacing w:line="240" w:lineRule="auto"/>
        <w:rPr>
          <w:i/>
        </w:rPr>
      </w:pPr>
      <w:r w:rsidRPr="00D14A02">
        <w:rPr>
          <w:i/>
        </w:rPr>
        <w:t>receive treatment for mental disorder or particular treatment would resist such treatment.’</w:t>
      </w:r>
    </w:p>
    <w:p w:rsidR="00D14A02" w:rsidRDefault="00D14A02" w:rsidP="00D14A02">
      <w:pPr>
        <w:spacing w:line="240" w:lineRule="auto"/>
      </w:pPr>
    </w:p>
    <w:p w:rsidR="00D14A02" w:rsidRPr="00D14A02" w:rsidRDefault="00D14A02" w:rsidP="00D14A02">
      <w:pPr>
        <w:spacing w:line="240" w:lineRule="auto"/>
        <w:rPr>
          <w:i/>
        </w:rPr>
      </w:pPr>
      <w:r>
        <w:t xml:space="preserve">The Explanatory Notes to this draft Bill reinforces that the advance statement </w:t>
      </w:r>
      <w:r w:rsidRPr="00D14A02">
        <w:rPr>
          <w:i/>
        </w:rPr>
        <w:t>‘whether in writing or</w:t>
      </w:r>
    </w:p>
    <w:p w:rsidR="00D14A02" w:rsidRDefault="00D14A02" w:rsidP="00D14A02">
      <w:pPr>
        <w:spacing w:line="240" w:lineRule="auto"/>
      </w:pPr>
      <w:r w:rsidRPr="00D14A02">
        <w:rPr>
          <w:i/>
        </w:rPr>
        <w:t xml:space="preserve">otherwise’ </w:t>
      </w:r>
      <w:r>
        <w:t>would be couched in terms of withholding consent.</w:t>
      </w:r>
      <w:r>
        <w:rPr>
          <w:rStyle w:val="FootnoteReference"/>
        </w:rPr>
        <w:footnoteReference w:id="109"/>
      </w:r>
      <w:r>
        <w:t xml:space="preserve"> Moreover, the contents of an</w:t>
      </w:r>
    </w:p>
    <w:p w:rsidR="00D14A02" w:rsidRDefault="00D14A02" w:rsidP="00D14A02">
      <w:pPr>
        <w:spacing w:line="240" w:lineRule="auto"/>
      </w:pPr>
      <w:r>
        <w:t>advance statement could be overridden ‘</w:t>
      </w:r>
      <w:r w:rsidRPr="00D14A02">
        <w:rPr>
          <w:i/>
        </w:rPr>
        <w:t>in a case of urgency’</w:t>
      </w:r>
      <w:r>
        <w:t xml:space="preserve"> or if the proposed treatment was</w:t>
      </w:r>
    </w:p>
    <w:p w:rsidR="00D14A02" w:rsidRDefault="00D14A02" w:rsidP="00D14A02">
      <w:pPr>
        <w:spacing w:line="240" w:lineRule="auto"/>
      </w:pPr>
      <w:r>
        <w:t>included within the terms of a (mental health) order made under the provisions of Part II of the</w:t>
      </w:r>
    </w:p>
    <w:p w:rsidR="00D14A02" w:rsidRDefault="00D14A02" w:rsidP="00D14A02">
      <w:pPr>
        <w:spacing w:line="240" w:lineRule="auto"/>
      </w:pPr>
      <w:r>
        <w:t>Bill.</w:t>
      </w:r>
      <w:r>
        <w:rPr>
          <w:rStyle w:val="FootnoteReference"/>
        </w:rPr>
        <w:footnoteReference w:id="110"/>
      </w:r>
    </w:p>
    <w:p w:rsidR="00D14A02" w:rsidRDefault="00D14A02" w:rsidP="00D14A02">
      <w:pPr>
        <w:spacing w:line="240" w:lineRule="auto"/>
      </w:pPr>
    </w:p>
    <w:p w:rsidR="00D14A02" w:rsidRPr="00D14A02" w:rsidRDefault="00D14A02" w:rsidP="00D14A02">
      <w:pPr>
        <w:spacing w:line="240" w:lineRule="auto"/>
        <w:rPr>
          <w:i/>
        </w:rPr>
      </w:pPr>
      <w:r>
        <w:t>In cases of informal treatment of patients not capable of consenting</w:t>
      </w:r>
      <w:r>
        <w:rPr>
          <w:rStyle w:val="FootnoteReference"/>
        </w:rPr>
        <w:footnoteReference w:id="111"/>
      </w:r>
      <w:r>
        <w:t xml:space="preserve"> the role of the </w:t>
      </w:r>
      <w:r w:rsidRPr="00D14A02">
        <w:rPr>
          <w:i/>
        </w:rPr>
        <w:t>‘nominated</w:t>
      </w:r>
    </w:p>
    <w:p w:rsidR="00D14A02" w:rsidRDefault="00D14A02" w:rsidP="00D14A02">
      <w:pPr>
        <w:spacing w:line="240" w:lineRule="auto"/>
      </w:pPr>
      <w:r w:rsidRPr="00D14A02">
        <w:rPr>
          <w:i/>
        </w:rPr>
        <w:t>person’</w:t>
      </w:r>
      <w:r>
        <w:rPr>
          <w:rStyle w:val="FootnoteReference"/>
        </w:rPr>
        <w:footnoteReference w:id="112"/>
      </w:r>
      <w:r>
        <w:t xml:space="preserve"> </w:t>
      </w:r>
      <w:r>
        <w:t xml:space="preserve"> </w:t>
      </w:r>
      <w:r>
        <w:t xml:space="preserve">becomes an important safeguard. </w:t>
      </w:r>
      <w:r w:rsidRPr="00D14A02">
        <w:rPr>
          <w:i/>
        </w:rPr>
        <w:t>‘If it appears to the nominated person’</w:t>
      </w:r>
      <w:r>
        <w:t xml:space="preserve"> that the </w:t>
      </w:r>
    </w:p>
    <w:p w:rsidR="00D14A02" w:rsidRDefault="00D14A02" w:rsidP="00D14A02">
      <w:pPr>
        <w:spacing w:line="240" w:lineRule="auto"/>
      </w:pPr>
      <w:r>
        <w:t xml:space="preserve">patient  </w:t>
      </w:r>
      <w:r>
        <w:t xml:space="preserve">would not have consented to the proposed treatment, had he been capable, then the </w:t>
      </w:r>
    </w:p>
    <w:p w:rsidR="00D14A02" w:rsidRDefault="00D14A02" w:rsidP="00D14A02">
      <w:pPr>
        <w:spacing w:line="240" w:lineRule="auto"/>
      </w:pPr>
      <w:r>
        <w:t xml:space="preserve">nominated </w:t>
      </w:r>
      <w:r>
        <w:t xml:space="preserve">person </w:t>
      </w:r>
      <w:r w:rsidRPr="00D14A02">
        <w:rPr>
          <w:i/>
        </w:rPr>
        <w:t xml:space="preserve">‘must inform the clinical supervisor’ </w:t>
      </w:r>
      <w:r>
        <w:t xml:space="preserve">who </w:t>
      </w:r>
      <w:r w:rsidRPr="00D14A02">
        <w:rPr>
          <w:i/>
        </w:rPr>
        <w:t>‘must then ensure’</w:t>
      </w:r>
      <w:r>
        <w:t xml:space="preserve"> that the proposed </w:t>
      </w:r>
    </w:p>
    <w:p w:rsidR="00D14A02" w:rsidRDefault="00D14A02" w:rsidP="00D14A02">
      <w:pPr>
        <w:spacing w:line="240" w:lineRule="auto"/>
      </w:pPr>
      <w:r>
        <w:t xml:space="preserve">treatment is not </w:t>
      </w:r>
      <w:r>
        <w:t xml:space="preserve">used </w:t>
      </w:r>
      <w:r w:rsidRPr="00D14A02">
        <w:rPr>
          <w:i/>
        </w:rPr>
        <w:t>‘except in a case of urgency’</w:t>
      </w:r>
      <w:r>
        <w:t>.</w:t>
      </w:r>
      <w:r>
        <w:rPr>
          <w:rStyle w:val="FootnoteReference"/>
        </w:rPr>
        <w:footnoteReference w:id="113"/>
      </w:r>
      <w:r>
        <w:t xml:space="preserve"> This could occur when the nominated person </w:t>
      </w:r>
    </w:p>
    <w:p w:rsidR="00D14A02" w:rsidRDefault="00D14A02" w:rsidP="00D14A02">
      <w:pPr>
        <w:spacing w:line="240" w:lineRule="auto"/>
      </w:pPr>
      <w:proofErr w:type="gramStart"/>
      <w:r>
        <w:t>is</w:t>
      </w:r>
      <w:proofErr w:type="gramEnd"/>
      <w:r>
        <w:t xml:space="preserve"> aware of the </w:t>
      </w:r>
      <w:r>
        <w:t>patient’s advance statement, which refers to the circumstances proposed.</w:t>
      </w:r>
    </w:p>
    <w:p w:rsidR="00D14A02" w:rsidRPr="00D14A02" w:rsidRDefault="00D14A02" w:rsidP="00D14A02">
      <w:pPr>
        <w:spacing w:line="240" w:lineRule="auto"/>
        <w:rPr>
          <w:b/>
        </w:rPr>
      </w:pPr>
    </w:p>
    <w:p w:rsidR="00D14A02" w:rsidRPr="00D14A02" w:rsidRDefault="00D14A02" w:rsidP="00D14A02">
      <w:pPr>
        <w:spacing w:line="240" w:lineRule="auto"/>
        <w:rPr>
          <w:b/>
        </w:rPr>
      </w:pPr>
      <w:r w:rsidRPr="00D14A02">
        <w:rPr>
          <w:b/>
        </w:rPr>
        <w:t>Conclusion</w:t>
      </w:r>
    </w:p>
    <w:p w:rsidR="00D14A02" w:rsidRDefault="00D14A02" w:rsidP="00D14A02">
      <w:pPr>
        <w:spacing w:line="240" w:lineRule="auto"/>
      </w:pPr>
      <w:r>
        <w:t>This paper, although it describes the proposed decision-making scheme for proxy directives</w:t>
      </w:r>
    </w:p>
    <w:p w:rsidR="00D14A02" w:rsidRDefault="00D14A02" w:rsidP="00D14A02">
      <w:pPr>
        <w:spacing w:line="240" w:lineRule="auto"/>
      </w:pPr>
      <w:r>
        <w:t xml:space="preserve">contained within the </w:t>
      </w:r>
      <w:r w:rsidRPr="00D14A02">
        <w:rPr>
          <w:i/>
        </w:rPr>
        <w:t>Mental Capacity Bill</w:t>
      </w:r>
      <w:r>
        <w:t>, is primarily concerned with instructional directives.</w:t>
      </w:r>
    </w:p>
    <w:p w:rsidR="00D14A02" w:rsidRDefault="00D14A02" w:rsidP="00930D01">
      <w:pPr>
        <w:spacing w:line="240" w:lineRule="auto"/>
      </w:pPr>
      <w:r w:rsidRPr="00AD7B3C">
        <w:rPr>
          <w:i/>
        </w:rPr>
        <w:lastRenderedPageBreak/>
        <w:t>The Bill</w:t>
      </w:r>
      <w:r>
        <w:t xml:space="preserve"> is promoted as ‘enabling’ and ‘empowering’ but, by restricting the instructional directives</w:t>
      </w:r>
    </w:p>
    <w:p w:rsidR="00D14A02" w:rsidRDefault="00D14A02" w:rsidP="00930D01">
      <w:pPr>
        <w:spacing w:line="240" w:lineRule="auto"/>
      </w:pPr>
      <w:proofErr w:type="gramStart"/>
      <w:r>
        <w:t>to</w:t>
      </w:r>
      <w:proofErr w:type="gramEnd"/>
      <w:r>
        <w:t xml:space="preserve"> recognition only of a refusal to consent to treatment, it places a significant impediment on the</w:t>
      </w:r>
    </w:p>
    <w:p w:rsidR="00D14A02" w:rsidRDefault="00D14A02" w:rsidP="00930D01">
      <w:pPr>
        <w:spacing w:line="240" w:lineRule="auto"/>
      </w:pPr>
      <w:r>
        <w:t>expression of an individual’s ability to have his choice respected after he has lost the capacity to</w:t>
      </w:r>
    </w:p>
    <w:p w:rsidR="00D14A02" w:rsidRDefault="00D14A02" w:rsidP="00930D01">
      <w:pPr>
        <w:spacing w:line="240" w:lineRule="auto"/>
      </w:pPr>
      <w:r>
        <w:t>make legally competent decisions. The Bill does permit positive preferences for treatment to be</w:t>
      </w:r>
    </w:p>
    <w:p w:rsidR="00D14A02" w:rsidRDefault="00D14A02" w:rsidP="00930D01">
      <w:pPr>
        <w:spacing w:line="240" w:lineRule="auto"/>
      </w:pPr>
      <w:r>
        <w:t>expressed. However, these have to be mediated through the proxy of a lasting power of attorney</w:t>
      </w:r>
    </w:p>
    <w:p w:rsidR="00D14A02" w:rsidRDefault="00D14A02" w:rsidP="00930D01">
      <w:pPr>
        <w:spacing w:line="240" w:lineRule="auto"/>
      </w:pPr>
      <w:r>
        <w:t>rather than via a directive giving advance consent to a specified treatment.</w:t>
      </w:r>
      <w:r w:rsidR="00AD7B3C">
        <w:rPr>
          <w:rStyle w:val="FootnoteReference"/>
        </w:rPr>
        <w:footnoteReference w:id="114"/>
      </w:r>
    </w:p>
    <w:p w:rsidR="00AD7B3C" w:rsidRDefault="00AD7B3C" w:rsidP="00930D01">
      <w:pPr>
        <w:spacing w:line="240" w:lineRule="auto"/>
      </w:pPr>
    </w:p>
    <w:p w:rsidR="00D14A02" w:rsidRDefault="00D14A02" w:rsidP="00930D01">
      <w:pPr>
        <w:spacing w:line="240" w:lineRule="auto"/>
      </w:pPr>
      <w:r>
        <w:t xml:space="preserve">In </w:t>
      </w:r>
      <w:r w:rsidRPr="00AD7B3C">
        <w:rPr>
          <w:i/>
        </w:rPr>
        <w:t xml:space="preserve">Re T </w:t>
      </w:r>
      <w:r>
        <w:t xml:space="preserve">Butler-Sloss, LJ. </w:t>
      </w:r>
      <w:proofErr w:type="gramStart"/>
      <w:r>
        <w:t>quoted</w:t>
      </w:r>
      <w:proofErr w:type="gramEnd"/>
      <w:r>
        <w:t xml:space="preserve">, with approval, from the Canadian case of </w:t>
      </w:r>
      <w:proofErr w:type="spellStart"/>
      <w:r>
        <w:t>Malette</w:t>
      </w:r>
      <w:proofErr w:type="spellEnd"/>
      <w:r>
        <w:t xml:space="preserve"> v Shulman:</w:t>
      </w:r>
    </w:p>
    <w:p w:rsidR="00AD7B3C" w:rsidRDefault="00D14A02" w:rsidP="00930D01">
      <w:pPr>
        <w:spacing w:line="240" w:lineRule="auto"/>
        <w:ind w:firstLine="284"/>
      </w:pPr>
      <w:r>
        <w:t xml:space="preserve">‘The right to determine what shall be done with one’s own body is a fundamental right in our </w:t>
      </w:r>
    </w:p>
    <w:p w:rsidR="00AD7B3C" w:rsidRDefault="00AD7B3C" w:rsidP="00930D01">
      <w:pPr>
        <w:spacing w:line="240" w:lineRule="auto"/>
        <w:ind w:firstLine="284"/>
      </w:pPr>
      <w:proofErr w:type="gramStart"/>
      <w:r>
        <w:t>society.</w:t>
      </w:r>
      <w:proofErr w:type="gramEnd"/>
      <w:r>
        <w:t xml:space="preserve"> </w:t>
      </w:r>
      <w:r w:rsidR="00D14A02">
        <w:t>The concepts inherent in this right are the bedrock upon which the principles of self-</w:t>
      </w:r>
    </w:p>
    <w:p w:rsidR="00AD7B3C" w:rsidRDefault="00AD7B3C" w:rsidP="00930D01">
      <w:pPr>
        <w:spacing w:line="240" w:lineRule="auto"/>
        <w:ind w:firstLine="284"/>
      </w:pPr>
      <w:r>
        <w:t xml:space="preserve">determination and </w:t>
      </w:r>
      <w:r w:rsidR="00D14A02">
        <w:t xml:space="preserve">individual autonomy are based. Free individual choice in matters affecting this </w:t>
      </w:r>
    </w:p>
    <w:p w:rsidR="00D14A02" w:rsidRDefault="00AD7B3C" w:rsidP="00930D01">
      <w:pPr>
        <w:spacing w:line="240" w:lineRule="auto"/>
        <w:ind w:firstLine="284"/>
      </w:pPr>
      <w:proofErr w:type="gramStart"/>
      <w:r>
        <w:t>right</w:t>
      </w:r>
      <w:proofErr w:type="gramEnd"/>
      <w:r>
        <w:t xml:space="preserve"> should, in my </w:t>
      </w:r>
      <w:r w:rsidR="00D14A02">
        <w:t xml:space="preserve">opinion, be </w:t>
      </w:r>
      <w:r>
        <w:t>accorded very high priority’.</w:t>
      </w:r>
      <w:r>
        <w:rPr>
          <w:rStyle w:val="FootnoteReference"/>
        </w:rPr>
        <w:footnoteReference w:id="115"/>
      </w:r>
    </w:p>
    <w:p w:rsidR="00AD7B3C" w:rsidRDefault="00AD7B3C" w:rsidP="00930D01">
      <w:pPr>
        <w:spacing w:line="240" w:lineRule="auto"/>
      </w:pPr>
    </w:p>
    <w:p w:rsidR="00AD7B3C" w:rsidRDefault="00D14A02" w:rsidP="00930D01">
      <w:pPr>
        <w:spacing w:line="240" w:lineRule="auto"/>
      </w:pPr>
      <w:r>
        <w:t xml:space="preserve">In English law it is accepted that ‘an advance refusal made with capacity simply survives any </w:t>
      </w:r>
    </w:p>
    <w:p w:rsidR="00AD7B3C" w:rsidRDefault="00AD7B3C" w:rsidP="00930D01">
      <w:pPr>
        <w:spacing w:line="240" w:lineRule="auto"/>
      </w:pPr>
      <w:r>
        <w:t xml:space="preserve">supervening </w:t>
      </w:r>
      <w:r w:rsidR="00D14A02">
        <w:t>incapacity’.</w:t>
      </w:r>
      <w:r>
        <w:rPr>
          <w:rStyle w:val="FootnoteReference"/>
        </w:rPr>
        <w:footnoteReference w:id="116"/>
      </w:r>
      <w:r w:rsidR="00D14A02">
        <w:t xml:space="preserve"> Equally, in surgery advance consents survive the incapacity of general </w:t>
      </w:r>
    </w:p>
    <w:p w:rsidR="00AD7B3C" w:rsidRDefault="00AD7B3C" w:rsidP="00930D01">
      <w:pPr>
        <w:spacing w:line="240" w:lineRule="auto"/>
      </w:pPr>
      <w:r>
        <w:t xml:space="preserve">anaesthesia. </w:t>
      </w:r>
      <w:r w:rsidR="00D14A02">
        <w:t xml:space="preserve">A surgeon can discuss the possibility of needing a more extensive operation than the </w:t>
      </w:r>
    </w:p>
    <w:p w:rsidR="00AD7B3C" w:rsidRDefault="00AD7B3C" w:rsidP="00930D01">
      <w:pPr>
        <w:spacing w:line="240" w:lineRule="auto"/>
      </w:pPr>
      <w:r>
        <w:t xml:space="preserve">one </w:t>
      </w:r>
      <w:r w:rsidR="00D14A02">
        <w:t xml:space="preserve">anticipated and the patient is asked to consent to that, as well as the planned operation, in </w:t>
      </w:r>
    </w:p>
    <w:p w:rsidR="00D14A02" w:rsidRDefault="00AD7B3C" w:rsidP="00930D01">
      <w:pPr>
        <w:spacing w:line="240" w:lineRule="auto"/>
      </w:pPr>
      <w:r>
        <w:t xml:space="preserve">advance </w:t>
      </w:r>
      <w:r w:rsidR="00D14A02">
        <w:t>and without knowing whether the ‘second’ consent will be acted upon after he has lost</w:t>
      </w:r>
    </w:p>
    <w:p w:rsidR="00D14A02" w:rsidRDefault="00D14A02" w:rsidP="00930D01">
      <w:pPr>
        <w:spacing w:line="240" w:lineRule="auto"/>
      </w:pPr>
      <w:r>
        <w:t>(temporarily) capacity.</w:t>
      </w:r>
    </w:p>
    <w:p w:rsidR="00AD7B3C" w:rsidRDefault="00AD7B3C" w:rsidP="00930D01">
      <w:pPr>
        <w:spacing w:line="240" w:lineRule="auto"/>
      </w:pPr>
    </w:p>
    <w:p w:rsidR="00D14A02" w:rsidRDefault="00D14A02" w:rsidP="00930D01">
      <w:pPr>
        <w:spacing w:line="240" w:lineRule="auto"/>
      </w:pPr>
      <w:r>
        <w:t>Advance decisions in favour of specified psychiatric treatments offer the prospect of more than</w:t>
      </w:r>
    </w:p>
    <w:p w:rsidR="00D14A02" w:rsidRDefault="00D14A02" w:rsidP="00930D01">
      <w:pPr>
        <w:spacing w:line="240" w:lineRule="auto"/>
      </w:pPr>
      <w:r>
        <w:t>just a ready reference to a person’s legally competent choices after he has lost capacity. The process</w:t>
      </w:r>
    </w:p>
    <w:p w:rsidR="00D14A02" w:rsidRDefault="00D14A02" w:rsidP="00930D01">
      <w:pPr>
        <w:spacing w:line="240" w:lineRule="auto"/>
      </w:pPr>
      <w:proofErr w:type="gramStart"/>
      <w:r>
        <w:t>of</w:t>
      </w:r>
      <w:proofErr w:type="gramEnd"/>
      <w:r>
        <w:t xml:space="preserve"> formulating an appropriate and relevant advance decision demands a dialogue between the</w:t>
      </w:r>
    </w:p>
    <w:p w:rsidR="00D14A02" w:rsidRDefault="00D14A02" w:rsidP="00930D01">
      <w:pPr>
        <w:spacing w:line="240" w:lineRule="auto"/>
      </w:pPr>
      <w:r>
        <w:t>individual concerned and the mental health professionals. This can be beneficial in its own right</w:t>
      </w:r>
    </w:p>
    <w:p w:rsidR="00D14A02" w:rsidRDefault="00D14A02" w:rsidP="00930D01">
      <w:pPr>
        <w:spacing w:line="240" w:lineRule="auto"/>
      </w:pPr>
      <w:proofErr w:type="gramStart"/>
      <w:r>
        <w:t>and</w:t>
      </w:r>
      <w:proofErr w:type="gramEnd"/>
      <w:r>
        <w:t xml:space="preserve"> can also have a more pervasive effect on the therapeutic relationship and the person’s</w:t>
      </w:r>
    </w:p>
    <w:p w:rsidR="00D14A02" w:rsidRDefault="00D14A02" w:rsidP="00930D01">
      <w:pPr>
        <w:spacing w:line="240" w:lineRule="auto"/>
      </w:pPr>
      <w:r>
        <w:t>subsequent psychiatric career. However, ultimately, advance decisions, to consent and to refuse, are</w:t>
      </w:r>
    </w:p>
    <w:p w:rsidR="00D14A02" w:rsidRDefault="00D14A02" w:rsidP="00930D01">
      <w:pPr>
        <w:spacing w:line="240" w:lineRule="auto"/>
      </w:pPr>
      <w:r>
        <w:t>about the limits we place on the person’s right to self-determination and for that autonomy to exist</w:t>
      </w:r>
    </w:p>
    <w:p w:rsidR="00D14A02" w:rsidRDefault="00D14A02" w:rsidP="00930D01">
      <w:pPr>
        <w:spacing w:line="240" w:lineRule="auto"/>
      </w:pPr>
      <w:r>
        <w:lastRenderedPageBreak/>
        <w:t>beyond the time when capacity has been lost.</w:t>
      </w:r>
    </w:p>
    <w:p w:rsidR="00D14A02" w:rsidRDefault="00D14A02" w:rsidP="00930D01">
      <w:pPr>
        <w:spacing w:line="240" w:lineRule="auto"/>
      </w:pPr>
      <w:r>
        <w:t xml:space="preserve">The </w:t>
      </w:r>
      <w:r w:rsidRPr="00930D01">
        <w:rPr>
          <w:i/>
        </w:rPr>
        <w:t>Mental Capacity Bill</w:t>
      </w:r>
      <w:r>
        <w:t xml:space="preserve"> has squandered the opportunity to go beyond statutory recognition of</w:t>
      </w:r>
    </w:p>
    <w:p w:rsidR="00D14A02" w:rsidRDefault="00D14A02" w:rsidP="00930D01">
      <w:pPr>
        <w:spacing w:line="240" w:lineRule="auto"/>
      </w:pPr>
      <w:proofErr w:type="gramStart"/>
      <w:r>
        <w:t>the</w:t>
      </w:r>
      <w:proofErr w:type="gramEnd"/>
      <w:r>
        <w:t xml:space="preserve"> existing common law and create a law that could have been truly therapeutic in intent and</w:t>
      </w:r>
    </w:p>
    <w:p w:rsidR="00D14A02" w:rsidRDefault="00D14A02" w:rsidP="00930D01">
      <w:pPr>
        <w:spacing w:line="240" w:lineRule="auto"/>
      </w:pPr>
      <w:r>
        <w:t>practice. Perhaps the debate over advance decisions is ultimately less to do with missing that</w:t>
      </w:r>
    </w:p>
    <w:p w:rsidR="00D14A02" w:rsidRDefault="00D14A02" w:rsidP="00930D01">
      <w:pPr>
        <w:spacing w:line="240" w:lineRule="auto"/>
      </w:pPr>
      <w:r>
        <w:t>opportunity and is more concerned with opposing further moves towards capacity-based mental</w:t>
      </w:r>
    </w:p>
    <w:p w:rsidR="00D14A02" w:rsidRDefault="00D14A02" w:rsidP="00930D01">
      <w:pPr>
        <w:spacing w:line="240" w:lineRule="auto"/>
      </w:pPr>
      <w:r>
        <w:t>health legislation.</w:t>
      </w:r>
    </w:p>
    <w:p w:rsidR="00930D01" w:rsidRDefault="00930D01" w:rsidP="00930D01">
      <w:pPr>
        <w:spacing w:line="240" w:lineRule="auto"/>
      </w:pPr>
    </w:p>
    <w:p w:rsidR="00D14A02" w:rsidRPr="00930D01" w:rsidRDefault="00D14A02" w:rsidP="00930D01">
      <w:pPr>
        <w:spacing w:line="240" w:lineRule="auto"/>
        <w:rPr>
          <w:i/>
        </w:rPr>
      </w:pPr>
      <w:r w:rsidRPr="00930D01">
        <w:rPr>
          <w:i/>
        </w:rPr>
        <w:t>Acknowledgements</w:t>
      </w:r>
    </w:p>
    <w:p w:rsidR="00D14A02" w:rsidRDefault="00D14A02" w:rsidP="00930D01">
      <w:pPr>
        <w:spacing w:line="240" w:lineRule="auto"/>
      </w:pPr>
      <w:r>
        <w:t>Part of the research for this paper was carried out with funding for a Fellowship from the Winston</w:t>
      </w:r>
    </w:p>
    <w:p w:rsidR="00D14A02" w:rsidRDefault="00D14A02" w:rsidP="00930D01">
      <w:pPr>
        <w:spacing w:line="240" w:lineRule="auto"/>
      </w:pPr>
      <w:r>
        <w:t>Churchill Memorial Trust. I also wish to express my sincere gratitude to Professor John Monahan</w:t>
      </w:r>
    </w:p>
    <w:p w:rsidR="00D14A02" w:rsidRDefault="00D14A02" w:rsidP="00930D01">
      <w:pPr>
        <w:spacing w:line="240" w:lineRule="auto"/>
      </w:pPr>
      <w:r>
        <w:t>(University of Virginia) and Professors Marvin Swartz and Jeffrey Swanson (Duke University,</w:t>
      </w:r>
    </w:p>
    <w:p w:rsidR="00D14A02" w:rsidRDefault="00D14A02" w:rsidP="00930D01">
      <w:pPr>
        <w:spacing w:line="240" w:lineRule="auto"/>
      </w:pPr>
      <w:r>
        <w:t>North Carolina) for their assistance during this part of the Fellowship. The views expressed are</w:t>
      </w:r>
    </w:p>
    <w:p w:rsidR="00D14A02" w:rsidRPr="00D14A02" w:rsidRDefault="00D14A02" w:rsidP="00930D01">
      <w:pPr>
        <w:spacing w:line="240" w:lineRule="auto"/>
      </w:pPr>
      <w:r>
        <w:t>mine alone.</w:t>
      </w:r>
    </w:p>
    <w:p w:rsidR="008D2A5B" w:rsidRPr="00B02565" w:rsidRDefault="008D2A5B" w:rsidP="00FA0257">
      <w:pPr>
        <w:spacing w:line="240" w:lineRule="auto"/>
      </w:pPr>
    </w:p>
    <w:p w:rsidR="00777B68" w:rsidRPr="00B02565" w:rsidRDefault="00777B68" w:rsidP="00FA0257">
      <w:pPr>
        <w:spacing w:line="240" w:lineRule="auto"/>
      </w:pPr>
    </w:p>
    <w:sectPr w:rsidR="00777B68" w:rsidRPr="00B0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2A" w:rsidRDefault="0061722A" w:rsidP="006E72FC">
      <w:pPr>
        <w:spacing w:after="0" w:line="240" w:lineRule="auto"/>
      </w:pPr>
      <w:r>
        <w:separator/>
      </w:r>
    </w:p>
  </w:endnote>
  <w:endnote w:type="continuationSeparator" w:id="0">
    <w:p w:rsidR="0061722A" w:rsidRDefault="0061722A" w:rsidP="006E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2A" w:rsidRDefault="0061722A" w:rsidP="006E72FC">
      <w:pPr>
        <w:spacing w:after="0" w:line="240" w:lineRule="auto"/>
      </w:pPr>
      <w:r>
        <w:separator/>
      </w:r>
    </w:p>
  </w:footnote>
  <w:footnote w:type="continuationSeparator" w:id="0">
    <w:p w:rsidR="0061722A" w:rsidRDefault="0061722A" w:rsidP="006E72FC">
      <w:pPr>
        <w:spacing w:after="0" w:line="240" w:lineRule="auto"/>
      </w:pPr>
      <w:r>
        <w:continuationSeparator/>
      </w:r>
    </w:p>
  </w:footnote>
  <w:footnote w:id="1">
    <w:p w:rsidR="0061722A" w:rsidRPr="00D60794" w:rsidRDefault="0061722A" w:rsidP="00D60794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Pr="00D60794">
        <w:rPr>
          <w:sz w:val="16"/>
        </w:rPr>
        <w:t>Consultant Forensic P</w:t>
      </w:r>
      <w:r>
        <w:rPr>
          <w:sz w:val="16"/>
        </w:rPr>
        <w:t xml:space="preserve">sychiatrist who has worked both </w:t>
      </w:r>
      <w:r w:rsidRPr="00D60794">
        <w:rPr>
          <w:sz w:val="16"/>
        </w:rPr>
        <w:t>at Broadmoor (high sec</w:t>
      </w:r>
      <w:r>
        <w:rPr>
          <w:sz w:val="16"/>
        </w:rPr>
        <w:t xml:space="preserve">ure) Hospital and, currently in </w:t>
      </w:r>
      <w:r w:rsidRPr="00D60794">
        <w:rPr>
          <w:sz w:val="16"/>
        </w:rPr>
        <w:t>a medium secure psychi</w:t>
      </w:r>
      <w:r>
        <w:rPr>
          <w:sz w:val="16"/>
        </w:rPr>
        <w:t xml:space="preserve">atric unit. He has published in </w:t>
      </w:r>
      <w:r w:rsidRPr="00D60794">
        <w:rPr>
          <w:sz w:val="16"/>
        </w:rPr>
        <w:t>the areas of ps</w:t>
      </w:r>
      <w:r>
        <w:rPr>
          <w:sz w:val="16"/>
        </w:rPr>
        <w:t xml:space="preserve">ychiatric assessment schemes in </w:t>
      </w:r>
      <w:r w:rsidRPr="00D60794">
        <w:rPr>
          <w:sz w:val="16"/>
        </w:rPr>
        <w:t>magistrates courts, forensi</w:t>
      </w:r>
      <w:r>
        <w:rPr>
          <w:sz w:val="16"/>
        </w:rPr>
        <w:t xml:space="preserve">c psychiatric service provision </w:t>
      </w:r>
      <w:r w:rsidRPr="00D60794">
        <w:rPr>
          <w:sz w:val="16"/>
        </w:rPr>
        <w:t>and mental health legislation</w:t>
      </w:r>
      <w:r>
        <w:t>.</w:t>
      </w:r>
    </w:p>
  </w:footnote>
  <w:footnote w:id="2">
    <w:p w:rsidR="0061722A" w:rsidRPr="002D6FEE" w:rsidRDefault="0061722A" w:rsidP="002D6FE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D6FEE">
        <w:rPr>
          <w:sz w:val="16"/>
        </w:rPr>
        <w:t>Department of Const</w:t>
      </w:r>
      <w:r>
        <w:rPr>
          <w:sz w:val="16"/>
        </w:rPr>
        <w:t xml:space="preserve">itutional Affairs (2004) Mental </w:t>
      </w:r>
      <w:r w:rsidRPr="002D6FEE">
        <w:rPr>
          <w:sz w:val="16"/>
        </w:rPr>
        <w:t>Capacity Bill. Bill 120. London: The Stationery Office.</w:t>
      </w:r>
    </w:p>
  </w:footnote>
  <w:footnote w:id="3">
    <w:p w:rsidR="0061722A" w:rsidRPr="000F1AF4" w:rsidRDefault="0061722A" w:rsidP="000F1AF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F1AF4">
        <w:rPr>
          <w:sz w:val="16"/>
        </w:rPr>
        <w:t>Law Commission</w:t>
      </w:r>
      <w:r>
        <w:rPr>
          <w:sz w:val="16"/>
        </w:rPr>
        <w:t xml:space="preserve"> (1989) Fourth Programme of Law </w:t>
      </w:r>
      <w:r w:rsidRPr="000F1AF4">
        <w:rPr>
          <w:sz w:val="16"/>
        </w:rPr>
        <w:t>Reform: Mentally i</w:t>
      </w:r>
      <w:r>
        <w:rPr>
          <w:sz w:val="16"/>
        </w:rPr>
        <w:t xml:space="preserve">ncapacitated adults. Law Com No </w:t>
      </w:r>
      <w:r w:rsidRPr="000F1AF4">
        <w:rPr>
          <w:sz w:val="16"/>
        </w:rPr>
        <w:t>185 Cm 800; as summ</w:t>
      </w:r>
      <w:r>
        <w:rPr>
          <w:sz w:val="16"/>
        </w:rPr>
        <w:t xml:space="preserve">arised in Law Commission (1995) </w:t>
      </w:r>
      <w:r w:rsidRPr="000F1AF4">
        <w:rPr>
          <w:sz w:val="16"/>
        </w:rPr>
        <w:t>Mental Incapacity. Law Com No 231; at para 1.1.</w:t>
      </w:r>
    </w:p>
  </w:footnote>
  <w:footnote w:id="4">
    <w:p w:rsidR="0061722A" w:rsidRPr="000F1AF4" w:rsidRDefault="0061722A" w:rsidP="000F1AF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F1AF4">
        <w:rPr>
          <w:sz w:val="16"/>
        </w:rPr>
        <w:t>Law Society’s Men</w:t>
      </w:r>
      <w:r>
        <w:rPr>
          <w:sz w:val="16"/>
        </w:rPr>
        <w:t xml:space="preserve">tal Health sub-Committee (1989) </w:t>
      </w:r>
      <w:r w:rsidRPr="000F1AF4">
        <w:rPr>
          <w:sz w:val="16"/>
        </w:rPr>
        <w:t xml:space="preserve">Decision Making and </w:t>
      </w:r>
      <w:r>
        <w:rPr>
          <w:sz w:val="16"/>
        </w:rPr>
        <w:t xml:space="preserve">Mental Incapacity: A discussion </w:t>
      </w:r>
      <w:r w:rsidRPr="000F1AF4">
        <w:rPr>
          <w:sz w:val="16"/>
        </w:rPr>
        <w:t>document. London: Law Society.</w:t>
      </w:r>
    </w:p>
  </w:footnote>
  <w:footnote w:id="5">
    <w:p w:rsidR="0061722A" w:rsidRPr="000F1AF4" w:rsidRDefault="0061722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F1AF4">
        <w:rPr>
          <w:sz w:val="16"/>
        </w:rPr>
        <w:t>Re F (Mental Patient: Sterilisation) [1990] 2 AC 1.</w:t>
      </w:r>
    </w:p>
  </w:footnote>
  <w:footnote w:id="6">
    <w:p w:rsidR="0061722A" w:rsidRPr="000F1AF4" w:rsidRDefault="0061722A" w:rsidP="000F1AF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F1AF4">
        <w:rPr>
          <w:sz w:val="16"/>
        </w:rPr>
        <w:t>Law Commission</w:t>
      </w:r>
      <w:r>
        <w:rPr>
          <w:sz w:val="16"/>
        </w:rPr>
        <w:t xml:space="preserve">. (1995) Mental Incapacity. Law </w:t>
      </w:r>
      <w:r w:rsidRPr="000F1AF4">
        <w:rPr>
          <w:sz w:val="16"/>
        </w:rPr>
        <w:t>Com No 231; at para 1.4.</w:t>
      </w:r>
    </w:p>
  </w:footnote>
  <w:footnote w:id="7">
    <w:p w:rsidR="0061722A" w:rsidRDefault="0061722A" w:rsidP="008D2A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A5B">
        <w:rPr>
          <w:sz w:val="16"/>
        </w:rPr>
        <w:t>Re T (adult: refusal of medical treatment) [1992] 4 All ER 649.</w:t>
      </w:r>
    </w:p>
  </w:footnote>
  <w:footnote w:id="8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A5B">
        <w:rPr>
          <w:sz w:val="16"/>
        </w:rPr>
        <w:t>Ibid, per Lord Donaldson, MR, at 660.</w:t>
      </w:r>
    </w:p>
  </w:footnote>
  <w:footnote w:id="9">
    <w:p w:rsidR="0061722A" w:rsidRPr="004C0A60" w:rsidRDefault="0061722A" w:rsidP="004C0A6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C0A60">
        <w:rPr>
          <w:sz w:val="16"/>
        </w:rPr>
        <w:t>Ibid, at 664. See al</w:t>
      </w:r>
      <w:r>
        <w:rPr>
          <w:sz w:val="16"/>
        </w:rPr>
        <w:t xml:space="preserve">so </w:t>
      </w:r>
      <w:proofErr w:type="spellStart"/>
      <w:r>
        <w:rPr>
          <w:sz w:val="16"/>
        </w:rPr>
        <w:t>Sidaway</w:t>
      </w:r>
      <w:proofErr w:type="spellEnd"/>
      <w:r>
        <w:rPr>
          <w:sz w:val="16"/>
        </w:rPr>
        <w:t xml:space="preserve"> v Board of Governors </w:t>
      </w:r>
      <w:r w:rsidRPr="004C0A60">
        <w:rPr>
          <w:sz w:val="16"/>
        </w:rPr>
        <w:t xml:space="preserve">of the </w:t>
      </w:r>
      <w:proofErr w:type="spellStart"/>
      <w:r w:rsidRPr="004C0A60">
        <w:rPr>
          <w:sz w:val="16"/>
        </w:rPr>
        <w:t>Bethlem</w:t>
      </w:r>
      <w:proofErr w:type="spellEnd"/>
      <w:r w:rsidRPr="004C0A60">
        <w:rPr>
          <w:sz w:val="16"/>
        </w:rPr>
        <w:t xml:space="preserve"> Roya</w:t>
      </w:r>
      <w:r>
        <w:rPr>
          <w:sz w:val="16"/>
        </w:rPr>
        <w:t xml:space="preserve">l Hospital [1985] 1 All ER 643, </w:t>
      </w:r>
      <w:r w:rsidRPr="004C0A60">
        <w:rPr>
          <w:sz w:val="16"/>
        </w:rPr>
        <w:t xml:space="preserve">per Lord </w:t>
      </w:r>
      <w:proofErr w:type="spellStart"/>
      <w:r w:rsidRPr="004C0A60">
        <w:rPr>
          <w:sz w:val="16"/>
        </w:rPr>
        <w:t>Templeman</w:t>
      </w:r>
      <w:proofErr w:type="spellEnd"/>
      <w:r w:rsidRPr="004C0A60">
        <w:rPr>
          <w:sz w:val="16"/>
        </w:rPr>
        <w:t xml:space="preserve"> at 666.</w:t>
      </w:r>
    </w:p>
  </w:footnote>
  <w:footnote w:id="10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0A60">
        <w:rPr>
          <w:sz w:val="16"/>
        </w:rPr>
        <w:t>Ibid, at 652–3.</w:t>
      </w:r>
    </w:p>
  </w:footnote>
  <w:footnote w:id="11">
    <w:p w:rsidR="0061722A" w:rsidRDefault="0061722A" w:rsidP="004C0A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0A60">
        <w:rPr>
          <w:sz w:val="16"/>
        </w:rPr>
        <w:t>Re C (Refusal of medical treatment) [1994] 1 All ER 819.</w:t>
      </w:r>
    </w:p>
  </w:footnote>
  <w:footnote w:id="12">
    <w:p w:rsidR="0061722A" w:rsidRPr="005619D2" w:rsidRDefault="0061722A" w:rsidP="005619D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5619D2">
        <w:rPr>
          <w:sz w:val="16"/>
        </w:rPr>
        <w:t>Ibid.</w:t>
      </w:r>
      <w:proofErr w:type="gramEnd"/>
      <w:r w:rsidRPr="005619D2">
        <w:rPr>
          <w:sz w:val="16"/>
        </w:rPr>
        <w:t xml:space="preserve"> This r</w:t>
      </w:r>
      <w:r>
        <w:rPr>
          <w:sz w:val="16"/>
        </w:rPr>
        <w:t xml:space="preserve">eport had been preceded by four </w:t>
      </w:r>
      <w:r w:rsidRPr="005619D2">
        <w:rPr>
          <w:sz w:val="16"/>
        </w:rPr>
        <w:t>consultation papers publishe</w:t>
      </w:r>
      <w:r>
        <w:rPr>
          <w:sz w:val="16"/>
        </w:rPr>
        <w:t xml:space="preserve">d in 1989 (1) and 1993 </w:t>
      </w:r>
      <w:r w:rsidRPr="005619D2">
        <w:rPr>
          <w:sz w:val="16"/>
        </w:rPr>
        <w:t>(3).</w:t>
      </w:r>
    </w:p>
  </w:footnote>
  <w:footnote w:id="13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19D2">
        <w:rPr>
          <w:sz w:val="16"/>
        </w:rPr>
        <w:t>Op cit Note 5. Law Commission 1995, Part V.</w:t>
      </w:r>
    </w:p>
  </w:footnote>
  <w:footnote w:id="14">
    <w:p w:rsidR="0061722A" w:rsidRPr="005619D2" w:rsidRDefault="0061722A" w:rsidP="005619D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5619D2">
        <w:rPr>
          <w:sz w:val="16"/>
        </w:rPr>
        <w:t>Ibid; at para 5.1. Thi</w:t>
      </w:r>
      <w:r>
        <w:rPr>
          <w:sz w:val="16"/>
        </w:rPr>
        <w:t xml:space="preserve">s is later expanded on (at para </w:t>
      </w:r>
      <w:r w:rsidRPr="005619D2">
        <w:rPr>
          <w:sz w:val="16"/>
        </w:rPr>
        <w:t>5.10) and the d</w:t>
      </w:r>
      <w:r>
        <w:rPr>
          <w:sz w:val="16"/>
        </w:rPr>
        <w:t xml:space="preserve">ifference between ‘anticipatory </w:t>
      </w:r>
      <w:r w:rsidRPr="005619D2">
        <w:rPr>
          <w:sz w:val="16"/>
        </w:rPr>
        <w:t>decisions’ and me</w:t>
      </w:r>
      <w:r>
        <w:rPr>
          <w:sz w:val="16"/>
        </w:rPr>
        <w:t xml:space="preserve">re statements of wishes made in </w:t>
      </w:r>
      <w:r w:rsidRPr="005619D2">
        <w:rPr>
          <w:sz w:val="16"/>
        </w:rPr>
        <w:t>advance of the person’s loss of capacity is emphasised.</w:t>
      </w:r>
    </w:p>
  </w:footnote>
  <w:footnote w:id="15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241F">
        <w:rPr>
          <w:sz w:val="16"/>
        </w:rPr>
        <w:t>Ibid; at para 5.11.</w:t>
      </w:r>
    </w:p>
  </w:footnote>
  <w:footnote w:id="16">
    <w:p w:rsidR="0061722A" w:rsidRPr="00BB241F" w:rsidRDefault="0061722A" w:rsidP="00BB241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B241F">
        <w:rPr>
          <w:sz w:val="16"/>
        </w:rPr>
        <w:t xml:space="preserve">Francis, R. and </w:t>
      </w:r>
      <w:r>
        <w:rPr>
          <w:sz w:val="16"/>
        </w:rPr>
        <w:t xml:space="preserve">Johnston, C. Medical Treatment: </w:t>
      </w:r>
      <w:r w:rsidRPr="00BB241F">
        <w:rPr>
          <w:sz w:val="16"/>
        </w:rPr>
        <w:t>Decisions and the Law</w:t>
      </w:r>
      <w:r>
        <w:rPr>
          <w:sz w:val="16"/>
        </w:rPr>
        <w:t xml:space="preserve">. (2001). Butterworths: London; at p22. </w:t>
      </w:r>
      <w:r w:rsidRPr="00BB241F">
        <w:rPr>
          <w:sz w:val="16"/>
        </w:rPr>
        <w:t>Technically all co</w:t>
      </w:r>
      <w:r>
        <w:rPr>
          <w:sz w:val="16"/>
        </w:rPr>
        <w:t xml:space="preserve">nsents or refusals are given in </w:t>
      </w:r>
      <w:r w:rsidRPr="00BB241F">
        <w:rPr>
          <w:sz w:val="16"/>
        </w:rPr>
        <w:t>advance of the propose</w:t>
      </w:r>
      <w:r>
        <w:rPr>
          <w:sz w:val="16"/>
        </w:rPr>
        <w:t xml:space="preserve">d treatments, albeit the period </w:t>
      </w:r>
      <w:r w:rsidRPr="00BB241F">
        <w:rPr>
          <w:sz w:val="16"/>
        </w:rPr>
        <w:t>between consent and providing the treatment is almost</w:t>
      </w:r>
    </w:p>
    <w:p w:rsidR="0061722A" w:rsidRPr="00BB241F" w:rsidRDefault="0061722A" w:rsidP="00BB241F">
      <w:pPr>
        <w:pStyle w:val="FootnoteText"/>
        <w:rPr>
          <w:sz w:val="16"/>
        </w:rPr>
      </w:pPr>
      <w:r w:rsidRPr="00BB241F">
        <w:rPr>
          <w:sz w:val="16"/>
        </w:rPr>
        <w:t>always very short</w:t>
      </w:r>
      <w:r>
        <w:rPr>
          <w:sz w:val="16"/>
        </w:rPr>
        <w:t xml:space="preserve">. ‘Treatment without consent or </w:t>
      </w:r>
      <w:r w:rsidRPr="00BB241F">
        <w:rPr>
          <w:sz w:val="16"/>
        </w:rPr>
        <w:t>despite a refusal of co</w:t>
      </w:r>
      <w:r>
        <w:rPr>
          <w:sz w:val="16"/>
        </w:rPr>
        <w:t xml:space="preserve">nsent will constitute the civil </w:t>
      </w:r>
      <w:r w:rsidRPr="00BB241F">
        <w:rPr>
          <w:sz w:val="16"/>
        </w:rPr>
        <w:t xml:space="preserve">wrong of trespass to </w:t>
      </w:r>
      <w:r>
        <w:rPr>
          <w:sz w:val="16"/>
        </w:rPr>
        <w:t xml:space="preserve">the person and may constitute a </w:t>
      </w:r>
      <w:r w:rsidRPr="00BB241F">
        <w:rPr>
          <w:sz w:val="16"/>
        </w:rPr>
        <w:t>crime’ – Lord Donaldson in Re T at 653.</w:t>
      </w:r>
    </w:p>
  </w:footnote>
  <w:footnote w:id="1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668C">
        <w:rPr>
          <w:sz w:val="16"/>
        </w:rPr>
        <w:t>Op cit Note 5; at para 5.16.</w:t>
      </w:r>
    </w:p>
  </w:footnote>
  <w:footnote w:id="18">
    <w:p w:rsidR="0061722A" w:rsidRPr="0038668C" w:rsidRDefault="0061722A" w:rsidP="0038668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8668C">
        <w:rPr>
          <w:sz w:val="16"/>
        </w:rPr>
        <w:t>General Medical</w:t>
      </w:r>
      <w:r>
        <w:rPr>
          <w:sz w:val="16"/>
        </w:rPr>
        <w:t xml:space="preserve"> Council (2002) Withholding and </w:t>
      </w:r>
      <w:r w:rsidRPr="0038668C">
        <w:rPr>
          <w:sz w:val="16"/>
        </w:rPr>
        <w:t>withdrawing life-prolo</w:t>
      </w:r>
      <w:r>
        <w:rPr>
          <w:sz w:val="16"/>
        </w:rPr>
        <w:t xml:space="preserve">nging treatments: Good practice </w:t>
      </w:r>
      <w:r w:rsidRPr="0038668C">
        <w:rPr>
          <w:sz w:val="16"/>
        </w:rPr>
        <w:t>in decision-making. London: GMC.</w:t>
      </w:r>
    </w:p>
  </w:footnote>
  <w:footnote w:id="19">
    <w:p w:rsidR="0061722A" w:rsidRPr="00F55E96" w:rsidRDefault="0061722A" w:rsidP="00F55E9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55E96">
        <w:rPr>
          <w:sz w:val="16"/>
        </w:rPr>
        <w:t>British Med</w:t>
      </w:r>
      <w:r>
        <w:rPr>
          <w:sz w:val="16"/>
        </w:rPr>
        <w:t xml:space="preserve">ical Association (1995) Advance </w:t>
      </w:r>
      <w:r w:rsidRPr="00F55E96">
        <w:rPr>
          <w:sz w:val="16"/>
        </w:rPr>
        <w:t>Statements ab</w:t>
      </w:r>
      <w:r>
        <w:rPr>
          <w:sz w:val="16"/>
        </w:rPr>
        <w:t xml:space="preserve">out medical treatment – Code of </w:t>
      </w:r>
      <w:r w:rsidRPr="00F55E96">
        <w:rPr>
          <w:sz w:val="16"/>
        </w:rPr>
        <w:t>Practice. London: BMA.</w:t>
      </w:r>
    </w:p>
  </w:footnote>
  <w:footnote w:id="20">
    <w:p w:rsidR="0061722A" w:rsidRPr="00C2569E" w:rsidRDefault="0061722A" w:rsidP="00C2569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2569E">
        <w:rPr>
          <w:sz w:val="16"/>
        </w:rPr>
        <w:t>National Collabo</w:t>
      </w:r>
      <w:r>
        <w:rPr>
          <w:sz w:val="16"/>
        </w:rPr>
        <w:t xml:space="preserve">rating Centre for Mental Health </w:t>
      </w:r>
      <w:r w:rsidRPr="00C2569E">
        <w:rPr>
          <w:sz w:val="16"/>
        </w:rPr>
        <w:t>(2003) Schizophrenia: Full national clinical guidelines</w:t>
      </w:r>
      <w:r>
        <w:rPr>
          <w:sz w:val="16"/>
        </w:rPr>
        <w:t xml:space="preserve"> </w:t>
      </w:r>
      <w:r w:rsidRPr="00C2569E">
        <w:rPr>
          <w:sz w:val="16"/>
        </w:rPr>
        <w:t>on core interventions</w:t>
      </w:r>
      <w:r>
        <w:rPr>
          <w:sz w:val="16"/>
        </w:rPr>
        <w:t xml:space="preserve"> in primary and secondary care.</w:t>
      </w:r>
      <w:r w:rsidRPr="00C2569E">
        <w:rPr>
          <w:sz w:val="16"/>
        </w:rPr>
        <w:t>London: Gaskell and the</w:t>
      </w:r>
      <w:r>
        <w:rPr>
          <w:sz w:val="16"/>
        </w:rPr>
        <w:t xml:space="preserve"> British Psychological Society. </w:t>
      </w:r>
      <w:r w:rsidRPr="00C2569E">
        <w:rPr>
          <w:sz w:val="16"/>
        </w:rPr>
        <w:t>At para 7.10.3.</w:t>
      </w:r>
    </w:p>
  </w:footnote>
  <w:footnote w:id="21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569E">
        <w:rPr>
          <w:sz w:val="16"/>
        </w:rPr>
        <w:t>Ibid; at para 7.10.4.</w:t>
      </w:r>
    </w:p>
  </w:footnote>
  <w:footnote w:id="22">
    <w:p w:rsidR="0061722A" w:rsidRPr="00C2569E" w:rsidRDefault="0061722A" w:rsidP="00C2569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2569E">
        <w:rPr>
          <w:sz w:val="16"/>
        </w:rPr>
        <w:t>Sutherby</w:t>
      </w:r>
      <w:proofErr w:type="spellEnd"/>
      <w:r w:rsidRPr="00C2569E">
        <w:rPr>
          <w:sz w:val="16"/>
        </w:rPr>
        <w:t xml:space="preserve">, K., </w:t>
      </w:r>
      <w:proofErr w:type="spellStart"/>
      <w:r w:rsidRPr="00C2569E">
        <w:rPr>
          <w:sz w:val="16"/>
        </w:rPr>
        <w:t>Szmukler</w:t>
      </w:r>
      <w:proofErr w:type="spellEnd"/>
      <w:r w:rsidRPr="00C2569E">
        <w:rPr>
          <w:sz w:val="16"/>
        </w:rPr>
        <w:t>,</w:t>
      </w:r>
      <w:r>
        <w:rPr>
          <w:sz w:val="16"/>
        </w:rPr>
        <w:t xml:space="preserve"> G.I., Halpern, A. et al (1999) </w:t>
      </w:r>
      <w:r w:rsidRPr="00C2569E">
        <w:rPr>
          <w:sz w:val="16"/>
        </w:rPr>
        <w:t>A study of ‘crisis ca</w:t>
      </w:r>
      <w:r>
        <w:rPr>
          <w:sz w:val="16"/>
        </w:rPr>
        <w:t xml:space="preserve">rds’ in a community psychiatric </w:t>
      </w:r>
      <w:r w:rsidRPr="00C2569E">
        <w:rPr>
          <w:sz w:val="16"/>
        </w:rPr>
        <w:t xml:space="preserve">service. </w:t>
      </w:r>
      <w:proofErr w:type="spellStart"/>
      <w:r w:rsidRPr="00C2569E">
        <w:rPr>
          <w:sz w:val="16"/>
        </w:rPr>
        <w:t>Acta</w:t>
      </w:r>
      <w:proofErr w:type="spellEnd"/>
      <w:r w:rsidRPr="00C2569E">
        <w:rPr>
          <w:sz w:val="16"/>
        </w:rPr>
        <w:t xml:space="preserve"> Psychiatrica Scandinavica 100, 56–61.</w:t>
      </w:r>
    </w:p>
  </w:footnote>
  <w:footnote w:id="23">
    <w:p w:rsidR="0061722A" w:rsidRPr="006836BD" w:rsidRDefault="0061722A" w:rsidP="006836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836BD">
        <w:rPr>
          <w:sz w:val="16"/>
        </w:rPr>
        <w:t>Papageorgiou</w:t>
      </w:r>
      <w:proofErr w:type="spellEnd"/>
      <w:r w:rsidRPr="006836BD">
        <w:rPr>
          <w:sz w:val="16"/>
        </w:rPr>
        <w:t>, A.,</w:t>
      </w:r>
      <w:r>
        <w:rPr>
          <w:sz w:val="16"/>
        </w:rPr>
        <w:t xml:space="preserve"> King, M., </w:t>
      </w:r>
      <w:proofErr w:type="spellStart"/>
      <w:r>
        <w:rPr>
          <w:sz w:val="16"/>
        </w:rPr>
        <w:t>Janmohamed</w:t>
      </w:r>
      <w:proofErr w:type="spellEnd"/>
      <w:r>
        <w:rPr>
          <w:sz w:val="16"/>
        </w:rPr>
        <w:t xml:space="preserve">, A. et al </w:t>
      </w:r>
      <w:r w:rsidRPr="006836BD">
        <w:rPr>
          <w:sz w:val="16"/>
        </w:rPr>
        <w:t>(2002) Advance direc</w:t>
      </w:r>
      <w:r>
        <w:rPr>
          <w:sz w:val="16"/>
        </w:rPr>
        <w:t xml:space="preserve">tives for patients compulsorily </w:t>
      </w:r>
      <w:r w:rsidRPr="006836BD">
        <w:rPr>
          <w:sz w:val="16"/>
        </w:rPr>
        <w:t xml:space="preserve">admitted to hospital with </w:t>
      </w:r>
      <w:r>
        <w:rPr>
          <w:sz w:val="16"/>
        </w:rPr>
        <w:t xml:space="preserve">serious mental illness. British </w:t>
      </w:r>
      <w:r w:rsidRPr="006836BD">
        <w:rPr>
          <w:sz w:val="16"/>
        </w:rPr>
        <w:t>Journal of Psychiatry, 181, 513–519.</w:t>
      </w:r>
    </w:p>
  </w:footnote>
  <w:footnote w:id="24">
    <w:p w:rsidR="0061722A" w:rsidRPr="006836BD" w:rsidRDefault="0061722A" w:rsidP="006836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836BD">
        <w:rPr>
          <w:sz w:val="16"/>
        </w:rPr>
        <w:t xml:space="preserve">Geller, G.L. </w:t>
      </w:r>
      <w:r>
        <w:rPr>
          <w:sz w:val="16"/>
        </w:rPr>
        <w:t xml:space="preserve">(2003) Advance directives about </w:t>
      </w:r>
      <w:r w:rsidRPr="006836BD">
        <w:rPr>
          <w:sz w:val="16"/>
        </w:rPr>
        <w:t xml:space="preserve">treatment preferences </w:t>
      </w:r>
      <w:r>
        <w:rPr>
          <w:sz w:val="16"/>
        </w:rPr>
        <w:t xml:space="preserve">had little impact on compulsory </w:t>
      </w:r>
      <w:r w:rsidRPr="006836BD">
        <w:rPr>
          <w:sz w:val="16"/>
        </w:rPr>
        <w:t>readmissions for peop</w:t>
      </w:r>
      <w:r>
        <w:rPr>
          <w:sz w:val="16"/>
        </w:rPr>
        <w:t xml:space="preserve">le with serious mental illness. </w:t>
      </w:r>
      <w:r w:rsidRPr="006836BD">
        <w:rPr>
          <w:sz w:val="16"/>
        </w:rPr>
        <w:t>Evidence-Based Mental Health, 6, 88.</w:t>
      </w:r>
    </w:p>
  </w:footnote>
  <w:footnote w:id="25">
    <w:p w:rsidR="0061722A" w:rsidRPr="008B19A2" w:rsidRDefault="0061722A" w:rsidP="008B19A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B19A2">
        <w:rPr>
          <w:sz w:val="16"/>
        </w:rPr>
        <w:t>Thompson, T., Barb</w:t>
      </w:r>
      <w:r>
        <w:rPr>
          <w:sz w:val="16"/>
        </w:rPr>
        <w:t xml:space="preserve">our, R. and Schwartz, L. (2003) </w:t>
      </w:r>
      <w:r w:rsidRPr="008B19A2">
        <w:rPr>
          <w:sz w:val="16"/>
        </w:rPr>
        <w:t>Adherence to advance directives</w:t>
      </w:r>
      <w:r>
        <w:rPr>
          <w:sz w:val="16"/>
        </w:rPr>
        <w:t xml:space="preserve"> in critical care </w:t>
      </w:r>
      <w:r w:rsidRPr="008B19A2">
        <w:rPr>
          <w:sz w:val="16"/>
        </w:rPr>
        <w:t xml:space="preserve">decision making: </w:t>
      </w:r>
      <w:r>
        <w:rPr>
          <w:sz w:val="16"/>
        </w:rPr>
        <w:t xml:space="preserve">vignette study. British Medical </w:t>
      </w:r>
      <w:r w:rsidRPr="008B19A2">
        <w:rPr>
          <w:sz w:val="16"/>
        </w:rPr>
        <w:t>Journal, 327, 1011–1014.</w:t>
      </w:r>
    </w:p>
  </w:footnote>
  <w:footnote w:id="26">
    <w:p w:rsidR="0061722A" w:rsidRPr="008869F5" w:rsidRDefault="0061722A" w:rsidP="008869F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869F5">
        <w:rPr>
          <w:sz w:val="16"/>
        </w:rPr>
        <w:t>Treloar</w:t>
      </w:r>
      <w:proofErr w:type="spellEnd"/>
      <w:r w:rsidRPr="008869F5">
        <w:rPr>
          <w:sz w:val="16"/>
        </w:rPr>
        <w:t xml:space="preserve">, AJ. (1999) </w:t>
      </w:r>
      <w:r>
        <w:rPr>
          <w:sz w:val="16"/>
        </w:rPr>
        <w:t xml:space="preserve">Advance Directives: Limitations </w:t>
      </w:r>
      <w:r w:rsidRPr="008869F5">
        <w:rPr>
          <w:sz w:val="16"/>
        </w:rPr>
        <w:t>upon their applicability</w:t>
      </w:r>
      <w:r>
        <w:rPr>
          <w:sz w:val="16"/>
        </w:rPr>
        <w:t xml:space="preserve"> in elderly care. International </w:t>
      </w:r>
      <w:r w:rsidRPr="008869F5">
        <w:rPr>
          <w:sz w:val="16"/>
        </w:rPr>
        <w:t>Journal of Geriatric Psychiatry, 14, 1039–1043.</w:t>
      </w:r>
    </w:p>
  </w:footnote>
  <w:footnote w:id="27">
    <w:p w:rsidR="0061722A" w:rsidRPr="003326D7" w:rsidRDefault="0061722A" w:rsidP="003326D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326D7">
        <w:rPr>
          <w:sz w:val="16"/>
        </w:rPr>
        <w:t>Szasz</w:t>
      </w:r>
      <w:proofErr w:type="spellEnd"/>
      <w:r w:rsidRPr="003326D7">
        <w:rPr>
          <w:sz w:val="16"/>
        </w:rPr>
        <w:t>, T.S. (19</w:t>
      </w:r>
      <w:r>
        <w:rPr>
          <w:sz w:val="16"/>
        </w:rPr>
        <w:t xml:space="preserve">82)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psychiatric will: A new </w:t>
      </w:r>
      <w:r w:rsidRPr="003326D7">
        <w:rPr>
          <w:sz w:val="16"/>
        </w:rPr>
        <w:t>mechanism for protect</w:t>
      </w:r>
      <w:r>
        <w:rPr>
          <w:sz w:val="16"/>
        </w:rPr>
        <w:t xml:space="preserve">ing persons against ‘psychosis’ </w:t>
      </w:r>
      <w:r w:rsidRPr="003326D7">
        <w:rPr>
          <w:sz w:val="16"/>
        </w:rPr>
        <w:t>and psychiatry. Amer</w:t>
      </w:r>
      <w:r>
        <w:rPr>
          <w:sz w:val="16"/>
        </w:rPr>
        <w:t xml:space="preserve">ican Psychologist, 37, 762–770. </w:t>
      </w:r>
      <w:r w:rsidRPr="003326D7">
        <w:rPr>
          <w:sz w:val="16"/>
        </w:rPr>
        <w:t xml:space="preserve">See also: </w:t>
      </w:r>
      <w:proofErr w:type="spellStart"/>
      <w:r w:rsidRPr="003326D7">
        <w:rPr>
          <w:sz w:val="16"/>
        </w:rPr>
        <w:t>Appelbaum</w:t>
      </w:r>
      <w:proofErr w:type="spellEnd"/>
      <w:r w:rsidRPr="003326D7">
        <w:rPr>
          <w:sz w:val="16"/>
        </w:rPr>
        <w:t>,</w:t>
      </w:r>
      <w:r>
        <w:rPr>
          <w:sz w:val="16"/>
        </w:rPr>
        <w:t xml:space="preserve"> P.S. (1991) Advance directives </w:t>
      </w:r>
      <w:r w:rsidRPr="003326D7">
        <w:rPr>
          <w:sz w:val="16"/>
        </w:rPr>
        <w:t>for mental health treatment. Hospital and Community</w:t>
      </w:r>
    </w:p>
    <w:p w:rsidR="0061722A" w:rsidRDefault="0061722A" w:rsidP="003326D7">
      <w:pPr>
        <w:pStyle w:val="FootnoteText"/>
      </w:pPr>
      <w:proofErr w:type="gramStart"/>
      <w:r w:rsidRPr="003326D7">
        <w:rPr>
          <w:sz w:val="16"/>
        </w:rPr>
        <w:t>Psychiatry, 42, 983–4.</w:t>
      </w:r>
      <w:proofErr w:type="gramEnd"/>
    </w:p>
  </w:footnote>
  <w:footnote w:id="28">
    <w:p w:rsidR="0061722A" w:rsidRPr="003326D7" w:rsidRDefault="0061722A" w:rsidP="003326D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326D7">
        <w:rPr>
          <w:sz w:val="16"/>
        </w:rPr>
        <w:t>Bazelon</w:t>
      </w:r>
      <w:proofErr w:type="spellEnd"/>
      <w:r w:rsidRPr="003326D7">
        <w:rPr>
          <w:sz w:val="16"/>
        </w:rPr>
        <w:t xml:space="preserve"> </w:t>
      </w:r>
      <w:proofErr w:type="spellStart"/>
      <w:r w:rsidRPr="003326D7">
        <w:rPr>
          <w:sz w:val="16"/>
        </w:rPr>
        <w:t>Center</w:t>
      </w:r>
      <w:proofErr w:type="spellEnd"/>
      <w:r w:rsidRPr="003326D7">
        <w:rPr>
          <w:sz w:val="16"/>
        </w:rPr>
        <w:t xml:space="preserve"> for</w:t>
      </w:r>
      <w:r>
        <w:rPr>
          <w:sz w:val="16"/>
        </w:rPr>
        <w:t xml:space="preserve"> Mental Health Law. </w:t>
      </w:r>
      <w:proofErr w:type="gramStart"/>
      <w:r>
        <w:rPr>
          <w:sz w:val="16"/>
        </w:rPr>
        <w:t xml:space="preserve">Analysis of </w:t>
      </w:r>
      <w:r w:rsidRPr="003326D7">
        <w:rPr>
          <w:sz w:val="16"/>
        </w:rPr>
        <w:t>state laws.</w:t>
      </w:r>
      <w:proofErr w:type="gramEnd"/>
      <w:r w:rsidRPr="003326D7">
        <w:rPr>
          <w:sz w:val="16"/>
        </w:rPr>
        <w:t xml:space="preserve"> In: Power </w:t>
      </w:r>
      <w:r>
        <w:rPr>
          <w:sz w:val="16"/>
        </w:rPr>
        <w:t xml:space="preserve">in Planning: Self-determination </w:t>
      </w:r>
      <w:r w:rsidRPr="003326D7">
        <w:rPr>
          <w:sz w:val="16"/>
        </w:rPr>
        <w:t>through psychiatric advanc</w:t>
      </w:r>
      <w:r>
        <w:rPr>
          <w:sz w:val="16"/>
        </w:rPr>
        <w:t xml:space="preserve">e directives. </w:t>
      </w:r>
      <w:r w:rsidRPr="003326D7">
        <w:rPr>
          <w:sz w:val="16"/>
        </w:rPr>
        <w:t>www.bazelon.org/issues/adva</w:t>
      </w:r>
      <w:r>
        <w:rPr>
          <w:sz w:val="16"/>
        </w:rPr>
        <w:t>ncedirectives/publications/powe</w:t>
      </w:r>
      <w:r w:rsidRPr="003326D7">
        <w:rPr>
          <w:sz w:val="16"/>
        </w:rPr>
        <w:t>rinplanning/index.htm Accessed 4 June 2004.</w:t>
      </w:r>
    </w:p>
  </w:footnote>
  <w:footnote w:id="29">
    <w:p w:rsidR="0061722A" w:rsidRPr="003326D7" w:rsidRDefault="0061722A" w:rsidP="003326D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326D7">
        <w:rPr>
          <w:sz w:val="16"/>
        </w:rPr>
        <w:t>North Carolina Gener</w:t>
      </w:r>
      <w:r>
        <w:rPr>
          <w:sz w:val="16"/>
        </w:rPr>
        <w:t xml:space="preserve">al Statute. </w:t>
      </w:r>
      <w:proofErr w:type="gramStart"/>
      <w:r>
        <w:rPr>
          <w:sz w:val="16"/>
        </w:rPr>
        <w:t xml:space="preserve">Chapter 122C-71, et </w:t>
      </w:r>
      <w:r w:rsidRPr="003326D7">
        <w:rPr>
          <w:sz w:val="16"/>
        </w:rPr>
        <w:t>seq.</w:t>
      </w:r>
      <w:proofErr w:type="gramEnd"/>
      <w:r w:rsidRPr="003326D7">
        <w:rPr>
          <w:sz w:val="16"/>
        </w:rPr>
        <w:t xml:space="preserve"> This was model</w:t>
      </w:r>
      <w:r>
        <w:rPr>
          <w:sz w:val="16"/>
        </w:rPr>
        <w:t xml:space="preserve">led on Oregon’s statute and was </w:t>
      </w:r>
      <w:r w:rsidRPr="003326D7">
        <w:rPr>
          <w:sz w:val="16"/>
        </w:rPr>
        <w:t>later amended by the passage of the H</w:t>
      </w:r>
      <w:r>
        <w:rPr>
          <w:sz w:val="16"/>
        </w:rPr>
        <w:t xml:space="preserve">ealth Care </w:t>
      </w:r>
      <w:r w:rsidRPr="003326D7">
        <w:rPr>
          <w:sz w:val="16"/>
        </w:rPr>
        <w:t>Power of Attorney Act (1998).</w:t>
      </w:r>
    </w:p>
  </w:footnote>
  <w:footnote w:id="30">
    <w:p w:rsidR="0061722A" w:rsidRPr="00542D35" w:rsidRDefault="0061722A" w:rsidP="00542D3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542D35">
        <w:rPr>
          <w:sz w:val="16"/>
        </w:rPr>
        <w:t>Overview of PADs in</w:t>
      </w:r>
      <w:r>
        <w:rPr>
          <w:sz w:val="16"/>
        </w:rPr>
        <w:t xml:space="preserve"> the US at present. Accessed on 1 June 2004 from: </w:t>
      </w:r>
      <w:r w:rsidRPr="00542D35">
        <w:rPr>
          <w:sz w:val="16"/>
        </w:rPr>
        <w:t>http://pad.duhs.duke.edu/background.html</w:t>
      </w:r>
    </w:p>
  </w:footnote>
  <w:footnote w:id="31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D35">
        <w:rPr>
          <w:sz w:val="16"/>
        </w:rPr>
        <w:t>Op cit Note 27.</w:t>
      </w:r>
    </w:p>
  </w:footnote>
  <w:footnote w:id="32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3175">
        <w:rPr>
          <w:sz w:val="16"/>
        </w:rPr>
        <w:t>D.C. Code Ann. ss21–2201 et seq. 1998.</w:t>
      </w:r>
    </w:p>
  </w:footnote>
  <w:footnote w:id="33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D3175">
        <w:rPr>
          <w:sz w:val="16"/>
        </w:rPr>
        <w:t>Title II, section 101, et seq.</w:t>
      </w:r>
    </w:p>
  </w:footnote>
  <w:footnote w:id="34">
    <w:p w:rsidR="0061722A" w:rsidRPr="00DD3175" w:rsidRDefault="0061722A" w:rsidP="00DD317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D3175">
        <w:rPr>
          <w:sz w:val="16"/>
        </w:rPr>
        <w:t>Swanson, J.W., Tepper</w:t>
      </w:r>
      <w:r>
        <w:rPr>
          <w:sz w:val="16"/>
        </w:rPr>
        <w:t xml:space="preserve">, M.C., Backlar, P. and Swartz, </w:t>
      </w:r>
      <w:r w:rsidRPr="00DD3175">
        <w:rPr>
          <w:sz w:val="16"/>
        </w:rPr>
        <w:t>M.S. (2000) Psy</w:t>
      </w:r>
      <w:r>
        <w:rPr>
          <w:sz w:val="16"/>
        </w:rPr>
        <w:t xml:space="preserve">chiatric Advance Directives: An </w:t>
      </w:r>
      <w:r w:rsidRPr="00DD3175">
        <w:rPr>
          <w:sz w:val="16"/>
        </w:rPr>
        <w:t>alternative to coer</w:t>
      </w:r>
      <w:r>
        <w:rPr>
          <w:sz w:val="16"/>
        </w:rPr>
        <w:t xml:space="preserve">cive treatment? Psychiatry, 63, </w:t>
      </w:r>
      <w:r w:rsidRPr="00DD3175">
        <w:rPr>
          <w:sz w:val="16"/>
        </w:rPr>
        <w:t>160–172.</w:t>
      </w:r>
    </w:p>
  </w:footnote>
  <w:footnote w:id="35">
    <w:p w:rsidR="0061722A" w:rsidRPr="00DD3175" w:rsidRDefault="0061722A" w:rsidP="00DD317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D3175">
        <w:rPr>
          <w:sz w:val="16"/>
        </w:rPr>
        <w:t>American research has</w:t>
      </w:r>
      <w:r>
        <w:rPr>
          <w:sz w:val="16"/>
        </w:rPr>
        <w:t xml:space="preserve"> demonstrated active engagement </w:t>
      </w:r>
      <w:r w:rsidRPr="00DD3175">
        <w:rPr>
          <w:sz w:val="16"/>
        </w:rPr>
        <w:t xml:space="preserve">with the patient </w:t>
      </w:r>
      <w:r>
        <w:rPr>
          <w:sz w:val="16"/>
        </w:rPr>
        <w:t xml:space="preserve">during decision-making enhances </w:t>
      </w:r>
      <w:r w:rsidRPr="00DD3175">
        <w:rPr>
          <w:sz w:val="16"/>
        </w:rPr>
        <w:t>treatment comp</w:t>
      </w:r>
      <w:r>
        <w:rPr>
          <w:sz w:val="16"/>
        </w:rPr>
        <w:t xml:space="preserve">liance even when the outcome is </w:t>
      </w:r>
      <w:r w:rsidRPr="00DD3175">
        <w:rPr>
          <w:sz w:val="16"/>
        </w:rPr>
        <w:t>contrary to the patient</w:t>
      </w:r>
      <w:r>
        <w:rPr>
          <w:sz w:val="16"/>
        </w:rPr>
        <w:t xml:space="preserve">’s original wishes. See Monahan </w:t>
      </w:r>
      <w:r w:rsidRPr="00DD3175">
        <w:rPr>
          <w:sz w:val="16"/>
        </w:rPr>
        <w:t>et al (1996) Coercion to in-patient treatment: initial</w:t>
      </w:r>
    </w:p>
    <w:p w:rsidR="0061722A" w:rsidRPr="00DD3175" w:rsidRDefault="0061722A" w:rsidP="00DD3175">
      <w:pPr>
        <w:pStyle w:val="FootnoteText"/>
        <w:rPr>
          <w:sz w:val="16"/>
        </w:rPr>
      </w:pPr>
      <w:proofErr w:type="gramStart"/>
      <w:r w:rsidRPr="00DD3175">
        <w:rPr>
          <w:sz w:val="16"/>
        </w:rPr>
        <w:t>results</w:t>
      </w:r>
      <w:proofErr w:type="gramEnd"/>
      <w:r w:rsidRPr="00DD3175">
        <w:rPr>
          <w:sz w:val="16"/>
        </w:rPr>
        <w:t xml:space="preserve"> and implications</w:t>
      </w:r>
      <w:r>
        <w:rPr>
          <w:sz w:val="16"/>
        </w:rPr>
        <w:t xml:space="preserve"> for assertive treatment in the </w:t>
      </w:r>
      <w:r w:rsidRPr="00DD3175">
        <w:rPr>
          <w:sz w:val="16"/>
        </w:rPr>
        <w:t>community. In: Co</w:t>
      </w:r>
      <w:r>
        <w:rPr>
          <w:sz w:val="16"/>
        </w:rPr>
        <w:t xml:space="preserve">ercion and aggressive community </w:t>
      </w:r>
      <w:r w:rsidRPr="00DD3175">
        <w:rPr>
          <w:sz w:val="16"/>
        </w:rPr>
        <w:t>treatment: A new frontie</w:t>
      </w:r>
      <w:r>
        <w:rPr>
          <w:sz w:val="16"/>
        </w:rPr>
        <w:t xml:space="preserve">r in mental health law. Editors </w:t>
      </w:r>
      <w:r w:rsidRPr="00DD3175">
        <w:rPr>
          <w:sz w:val="16"/>
        </w:rPr>
        <w:t>D. Dennis and J. Monahan. Kluwer Academi</w:t>
      </w:r>
      <w:r>
        <w:rPr>
          <w:sz w:val="16"/>
        </w:rPr>
        <w:t xml:space="preserve">c </w:t>
      </w:r>
      <w:r w:rsidRPr="00DD3175">
        <w:rPr>
          <w:sz w:val="16"/>
        </w:rPr>
        <w:t>Publishers.</w:t>
      </w:r>
    </w:p>
  </w:footnote>
  <w:footnote w:id="36">
    <w:p w:rsidR="0061722A" w:rsidRPr="002F7CAF" w:rsidRDefault="0061722A" w:rsidP="002F7CA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F7CAF">
        <w:rPr>
          <w:sz w:val="16"/>
        </w:rPr>
        <w:t>Swanson, J.W., Sw</w:t>
      </w:r>
      <w:r>
        <w:rPr>
          <w:sz w:val="16"/>
        </w:rPr>
        <w:t xml:space="preserve">artz, M.S., Hannon, M.J. et al </w:t>
      </w:r>
      <w:r w:rsidRPr="002F7CAF">
        <w:rPr>
          <w:sz w:val="16"/>
        </w:rPr>
        <w:t xml:space="preserve">(2003) Psychiatric </w:t>
      </w:r>
      <w:r>
        <w:rPr>
          <w:sz w:val="16"/>
        </w:rPr>
        <w:t xml:space="preserve">Advance Directives: A survey of </w:t>
      </w:r>
      <w:r w:rsidRPr="002F7CAF">
        <w:rPr>
          <w:sz w:val="16"/>
        </w:rPr>
        <w:t>persons with sch</w:t>
      </w:r>
      <w:r>
        <w:rPr>
          <w:sz w:val="16"/>
        </w:rPr>
        <w:t xml:space="preserve">izophrenia, family members, and </w:t>
      </w:r>
      <w:r w:rsidRPr="002F7CAF">
        <w:rPr>
          <w:sz w:val="16"/>
        </w:rPr>
        <w:t>treatment providers. In</w:t>
      </w:r>
      <w:r>
        <w:rPr>
          <w:sz w:val="16"/>
        </w:rPr>
        <w:t xml:space="preserve">ternational Journal of Forensic </w:t>
      </w:r>
      <w:r w:rsidRPr="002F7CAF">
        <w:rPr>
          <w:sz w:val="16"/>
        </w:rPr>
        <w:t>Mental Health, 2, 73–86.</w:t>
      </w:r>
    </w:p>
  </w:footnote>
  <w:footnote w:id="3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CAF">
        <w:rPr>
          <w:sz w:val="16"/>
        </w:rPr>
        <w:t>Ibid.</w:t>
      </w:r>
    </w:p>
  </w:footnote>
  <w:footnote w:id="38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CAF">
        <w:rPr>
          <w:sz w:val="16"/>
        </w:rPr>
        <w:t>Op cit Note 33.</w:t>
      </w:r>
    </w:p>
  </w:footnote>
  <w:footnote w:id="39">
    <w:p w:rsidR="0061722A" w:rsidRPr="002F7CAF" w:rsidRDefault="0061722A" w:rsidP="002F7CA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F7CAF">
        <w:rPr>
          <w:sz w:val="16"/>
        </w:rPr>
        <w:t xml:space="preserve">Halpern, A. and </w:t>
      </w:r>
      <w:proofErr w:type="spellStart"/>
      <w:r w:rsidRPr="002F7CAF">
        <w:rPr>
          <w:sz w:val="16"/>
        </w:rPr>
        <w:t>Szmukler</w:t>
      </w:r>
      <w:proofErr w:type="spellEnd"/>
      <w:r w:rsidRPr="002F7CAF">
        <w:rPr>
          <w:sz w:val="16"/>
        </w:rPr>
        <w:t>, G</w:t>
      </w:r>
      <w:r>
        <w:rPr>
          <w:sz w:val="16"/>
        </w:rPr>
        <w:t xml:space="preserve">. (1997) Psychiatric  </w:t>
      </w:r>
      <w:r w:rsidRPr="002F7CAF">
        <w:rPr>
          <w:sz w:val="16"/>
        </w:rPr>
        <w:t>advance directives: reconciling autonomy and non-consensual</w:t>
      </w:r>
    </w:p>
    <w:p w:rsidR="0061722A" w:rsidRPr="002F7CAF" w:rsidRDefault="0061722A" w:rsidP="002F7CAF">
      <w:pPr>
        <w:pStyle w:val="FootnoteText"/>
        <w:rPr>
          <w:sz w:val="16"/>
        </w:rPr>
      </w:pPr>
      <w:r w:rsidRPr="002F7CAF">
        <w:rPr>
          <w:sz w:val="16"/>
        </w:rPr>
        <w:t>treat</w:t>
      </w:r>
      <w:r>
        <w:rPr>
          <w:sz w:val="16"/>
        </w:rPr>
        <w:t xml:space="preserve">ment. Psychiatric Bulletin, 21, </w:t>
      </w:r>
      <w:r w:rsidRPr="002F7CAF">
        <w:rPr>
          <w:sz w:val="16"/>
        </w:rPr>
        <w:t>323–327.</w:t>
      </w:r>
    </w:p>
  </w:footnote>
  <w:footnote w:id="40">
    <w:p w:rsidR="0061722A" w:rsidRPr="001F26A9" w:rsidRDefault="0061722A" w:rsidP="001F26A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F26A9">
        <w:rPr>
          <w:sz w:val="16"/>
        </w:rPr>
        <w:t>Scotland passed its Ad</w:t>
      </w:r>
      <w:r>
        <w:rPr>
          <w:sz w:val="16"/>
        </w:rPr>
        <w:t xml:space="preserve">ults with Incapacity (Scotland) </w:t>
      </w:r>
      <w:r w:rsidRPr="001F26A9">
        <w:rPr>
          <w:sz w:val="16"/>
        </w:rPr>
        <w:t>Act in 2000. This statute does not prov</w:t>
      </w:r>
      <w:r>
        <w:rPr>
          <w:sz w:val="16"/>
        </w:rPr>
        <w:t xml:space="preserve">ide for advance </w:t>
      </w:r>
      <w:r w:rsidRPr="001F26A9">
        <w:rPr>
          <w:sz w:val="16"/>
        </w:rPr>
        <w:t>directives although pr</w:t>
      </w:r>
      <w:r>
        <w:rPr>
          <w:sz w:val="16"/>
        </w:rPr>
        <w:t xml:space="preserve">oxy decision-making does permit </w:t>
      </w:r>
      <w:r w:rsidRPr="001F26A9">
        <w:rPr>
          <w:sz w:val="16"/>
        </w:rPr>
        <w:t>cognisance to be taken of</w:t>
      </w:r>
      <w:r>
        <w:rPr>
          <w:sz w:val="16"/>
        </w:rPr>
        <w:t xml:space="preserve"> the patient’s past and present </w:t>
      </w:r>
      <w:r w:rsidRPr="001F26A9">
        <w:rPr>
          <w:sz w:val="16"/>
        </w:rPr>
        <w:t>wishes.</w:t>
      </w:r>
    </w:p>
  </w:footnote>
  <w:footnote w:id="41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3FF1">
        <w:rPr>
          <w:sz w:val="16"/>
        </w:rPr>
        <w:t>Op cit Note 1.</w:t>
      </w:r>
    </w:p>
  </w:footnote>
  <w:footnote w:id="42">
    <w:p w:rsidR="0061722A" w:rsidRPr="00203FF1" w:rsidRDefault="0061722A" w:rsidP="00203FF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03FF1">
        <w:rPr>
          <w:sz w:val="16"/>
        </w:rPr>
        <w:t>Department of Cons</w:t>
      </w:r>
      <w:r>
        <w:rPr>
          <w:sz w:val="16"/>
        </w:rPr>
        <w:t xml:space="preserve">titutional Affairs (2003) Draft </w:t>
      </w:r>
      <w:r w:rsidRPr="00203FF1">
        <w:rPr>
          <w:sz w:val="16"/>
        </w:rPr>
        <w:t>Mental Incapa</w:t>
      </w:r>
      <w:r>
        <w:rPr>
          <w:sz w:val="16"/>
        </w:rPr>
        <w:t xml:space="preserve">city Bill. Cm 5859. London: The </w:t>
      </w:r>
      <w:r w:rsidRPr="00203FF1">
        <w:rPr>
          <w:sz w:val="16"/>
        </w:rPr>
        <w:t>Stationery Office.</w:t>
      </w:r>
    </w:p>
  </w:footnote>
  <w:footnote w:id="43">
    <w:p w:rsidR="0061722A" w:rsidRPr="00203FF1" w:rsidRDefault="0061722A" w:rsidP="00203FF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03FF1">
        <w:rPr>
          <w:sz w:val="16"/>
        </w:rPr>
        <w:t>House of Lords, Hous</w:t>
      </w:r>
      <w:r>
        <w:rPr>
          <w:sz w:val="16"/>
        </w:rPr>
        <w:t xml:space="preserve">e of Commons Joint Committee on </w:t>
      </w:r>
      <w:r w:rsidRPr="00203FF1">
        <w:rPr>
          <w:sz w:val="16"/>
        </w:rPr>
        <w:t>the Draft Mental Inca</w:t>
      </w:r>
      <w:r>
        <w:rPr>
          <w:sz w:val="16"/>
        </w:rPr>
        <w:t xml:space="preserve">pacity Bill (2003) Draft Mental </w:t>
      </w:r>
      <w:r w:rsidRPr="00203FF1">
        <w:rPr>
          <w:sz w:val="16"/>
        </w:rPr>
        <w:t>Incapacity Bill. Sess</w:t>
      </w:r>
      <w:r>
        <w:rPr>
          <w:sz w:val="16"/>
        </w:rPr>
        <w:t xml:space="preserve">ion 2002–03. Volume I. HL Paper </w:t>
      </w:r>
      <w:r w:rsidRPr="00203FF1">
        <w:rPr>
          <w:sz w:val="16"/>
        </w:rPr>
        <w:t>189-1, HC 1083-1.</w:t>
      </w:r>
      <w:r>
        <w:rPr>
          <w:sz w:val="16"/>
        </w:rPr>
        <w:t xml:space="preserve"> London: The Stationery Office. </w:t>
      </w:r>
      <w:r w:rsidRPr="00203FF1">
        <w:rPr>
          <w:sz w:val="16"/>
        </w:rPr>
        <w:t>A</w:t>
      </w:r>
      <w:r>
        <w:rPr>
          <w:sz w:val="16"/>
        </w:rPr>
        <w:t xml:space="preserve">ccessed on 20 January 2004, at: </w:t>
      </w:r>
      <w:r w:rsidRPr="00203FF1">
        <w:rPr>
          <w:sz w:val="16"/>
        </w:rPr>
        <w:t>www.parliament.uk/parliamentary_committees/jcmib.cfm</w:t>
      </w:r>
    </w:p>
  </w:footnote>
  <w:footnote w:id="44">
    <w:p w:rsidR="0061722A" w:rsidRPr="00D83DC8" w:rsidRDefault="0061722A" w:rsidP="00D83DC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83DC8">
        <w:rPr>
          <w:sz w:val="16"/>
        </w:rPr>
        <w:t>The Government Respo</w:t>
      </w:r>
      <w:r>
        <w:rPr>
          <w:sz w:val="16"/>
        </w:rPr>
        <w:t xml:space="preserve">nse to The Scrutiny Committee’s </w:t>
      </w:r>
      <w:r w:rsidRPr="00D83DC8">
        <w:rPr>
          <w:sz w:val="16"/>
        </w:rPr>
        <w:t>Report on the draft M</w:t>
      </w:r>
      <w:r>
        <w:rPr>
          <w:sz w:val="16"/>
        </w:rPr>
        <w:t xml:space="preserve">ental Incapacity Bill. February </w:t>
      </w:r>
      <w:r w:rsidRPr="00D83DC8">
        <w:rPr>
          <w:sz w:val="16"/>
        </w:rPr>
        <w:t>2004. Accessed from t</w:t>
      </w:r>
      <w:r>
        <w:rPr>
          <w:sz w:val="16"/>
        </w:rPr>
        <w:t xml:space="preserve">he Department of Constitutional </w:t>
      </w:r>
      <w:r w:rsidRPr="00D83DC8">
        <w:rPr>
          <w:sz w:val="16"/>
        </w:rPr>
        <w:t>Af</w:t>
      </w:r>
      <w:r>
        <w:rPr>
          <w:sz w:val="16"/>
        </w:rPr>
        <w:t xml:space="preserve">fairs website on 20 April 2004. </w:t>
      </w:r>
      <w:r w:rsidRPr="00D83DC8">
        <w:rPr>
          <w:sz w:val="16"/>
        </w:rPr>
        <w:t>(www.dca.gov.uk/pubs/reports/mental-incapacity.htm)</w:t>
      </w:r>
    </w:p>
  </w:footnote>
  <w:footnote w:id="45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3DC8">
        <w:rPr>
          <w:sz w:val="16"/>
        </w:rPr>
        <w:t>Op cit Note 1; Explanatory Notes para 86.</w:t>
      </w:r>
    </w:p>
  </w:footnote>
  <w:footnote w:id="46">
    <w:p w:rsidR="0061722A" w:rsidRDefault="0061722A" w:rsidP="00D83DC8">
      <w:pPr>
        <w:pStyle w:val="FootnoteText"/>
      </w:pPr>
      <w:r>
        <w:rPr>
          <w:rStyle w:val="FootnoteReference"/>
        </w:rPr>
        <w:footnoteRef/>
      </w:r>
      <w:r w:rsidRPr="00D83DC8">
        <w:rPr>
          <w:sz w:val="16"/>
        </w:rPr>
        <w:t xml:space="preserve"> Dealing with the ‘Management of Property and Affairs of Patients’.</w:t>
      </w:r>
    </w:p>
  </w:footnote>
  <w:footnote w:id="4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Op cit Note 1; Explanatory Notes para 5.</w:t>
      </w:r>
    </w:p>
  </w:footnote>
  <w:footnote w:id="48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Op cit Note 1; Explanatory Notes para 4.</w:t>
      </w:r>
    </w:p>
  </w:footnote>
  <w:footnote w:id="49">
    <w:p w:rsidR="0061722A" w:rsidRPr="009B54A4" w:rsidRDefault="0061722A" w:rsidP="009B54A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Expert Committee (</w:t>
      </w:r>
      <w:r>
        <w:rPr>
          <w:sz w:val="16"/>
        </w:rPr>
        <w:t xml:space="preserve">1999) Review of the Mental </w:t>
      </w:r>
      <w:r w:rsidRPr="009B54A4">
        <w:rPr>
          <w:sz w:val="16"/>
        </w:rPr>
        <w:t>Health Act 1983 (C</w:t>
      </w:r>
      <w:r>
        <w:rPr>
          <w:sz w:val="16"/>
        </w:rPr>
        <w:t xml:space="preserve">hair: Professor G. Richardson). </w:t>
      </w:r>
      <w:r w:rsidRPr="009B54A4">
        <w:rPr>
          <w:sz w:val="16"/>
        </w:rPr>
        <w:t>London: Department of Health.</w:t>
      </w:r>
    </w:p>
  </w:footnote>
  <w:footnote w:id="50">
    <w:p w:rsidR="0061722A" w:rsidRDefault="0061722A">
      <w:pPr>
        <w:pStyle w:val="FootnoteText"/>
      </w:pPr>
      <w:r>
        <w:rPr>
          <w:rStyle w:val="FootnoteReference"/>
        </w:rPr>
        <w:footnoteRef/>
      </w:r>
      <w:r w:rsidRPr="009B54A4">
        <w:rPr>
          <w:sz w:val="16"/>
        </w:rPr>
        <w:t xml:space="preserve">Ibid; at para 2.4. </w:t>
      </w:r>
    </w:p>
  </w:footnote>
  <w:footnote w:id="51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Op cit Note 1; Clause 1.</w:t>
      </w:r>
    </w:p>
  </w:footnote>
  <w:footnote w:id="52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Op cit Note 1; Clause 2(1).</w:t>
      </w:r>
    </w:p>
  </w:footnote>
  <w:footnote w:id="53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54A4">
        <w:rPr>
          <w:sz w:val="16"/>
        </w:rPr>
        <w:t>Op cit Note 10.</w:t>
      </w:r>
    </w:p>
  </w:footnote>
  <w:footnote w:id="54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1, Clause 4(4).</w:t>
      </w:r>
    </w:p>
  </w:footnote>
  <w:footnote w:id="55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1, Clause 4(6).</w:t>
      </w:r>
    </w:p>
  </w:footnote>
  <w:footnote w:id="56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Ibid.</w:t>
      </w:r>
    </w:p>
  </w:footnote>
  <w:footnote w:id="5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1, Explanatory Notes para 30.</w:t>
      </w:r>
    </w:p>
  </w:footnote>
  <w:footnote w:id="58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41; Clause 6.</w:t>
      </w:r>
    </w:p>
  </w:footnote>
  <w:footnote w:id="59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1; Explanatory Notes; at para 30.</w:t>
      </w:r>
    </w:p>
  </w:footnote>
  <w:footnote w:id="60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1; Clause 5(1).</w:t>
      </w:r>
    </w:p>
  </w:footnote>
  <w:footnote w:id="61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42; at para 68.</w:t>
      </w:r>
    </w:p>
  </w:footnote>
  <w:footnote w:id="62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1; Clause 6.</w:t>
      </w:r>
    </w:p>
  </w:footnote>
  <w:footnote w:id="63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4238">
        <w:rPr>
          <w:sz w:val="16"/>
        </w:rPr>
        <w:t>Op cit Note 43; Response to Recommendation 36.</w:t>
      </w:r>
    </w:p>
  </w:footnote>
  <w:footnote w:id="64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clause 9(1).</w:t>
      </w:r>
    </w:p>
  </w:footnote>
  <w:footnote w:id="65">
    <w:p w:rsidR="0061722A" w:rsidRPr="00254F95" w:rsidRDefault="0061722A" w:rsidP="00254F9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Under existing provi</w:t>
      </w:r>
      <w:r>
        <w:rPr>
          <w:sz w:val="16"/>
        </w:rPr>
        <w:t xml:space="preserve">sions in the Enduring Powers of </w:t>
      </w:r>
      <w:r w:rsidRPr="00254F95">
        <w:rPr>
          <w:sz w:val="16"/>
        </w:rPr>
        <w:t xml:space="preserve">Attorney Act 1985 </w:t>
      </w:r>
      <w:r>
        <w:rPr>
          <w:sz w:val="16"/>
        </w:rPr>
        <w:t xml:space="preserve">(which would be repealed by the </w:t>
      </w:r>
      <w:r w:rsidRPr="00254F95">
        <w:rPr>
          <w:sz w:val="16"/>
        </w:rPr>
        <w:t xml:space="preserve">Bill on becoming </w:t>
      </w:r>
      <w:r>
        <w:rPr>
          <w:sz w:val="16"/>
        </w:rPr>
        <w:t xml:space="preserve">law) the appointed donee has no </w:t>
      </w:r>
      <w:r w:rsidRPr="00254F95">
        <w:rPr>
          <w:sz w:val="16"/>
        </w:rPr>
        <w:t>authority to act for the donor in matters of healthcare.</w:t>
      </w:r>
    </w:p>
  </w:footnote>
  <w:footnote w:id="66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Clause 9(4).</w:t>
      </w:r>
    </w:p>
  </w:footnote>
  <w:footnote w:id="6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Clause 11(6).</w:t>
      </w:r>
    </w:p>
  </w:footnote>
  <w:footnote w:id="68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Clause 11(7</w:t>
      </w:r>
      <w:proofErr w:type="gramStart"/>
      <w:r w:rsidRPr="00254F95">
        <w:rPr>
          <w:sz w:val="16"/>
        </w:rPr>
        <w:t>)(</w:t>
      </w:r>
      <w:proofErr w:type="gramEnd"/>
      <w:r w:rsidRPr="00254F95">
        <w:rPr>
          <w:sz w:val="16"/>
        </w:rPr>
        <w:t>a).</w:t>
      </w:r>
    </w:p>
  </w:footnote>
  <w:footnote w:id="69">
    <w:p w:rsidR="0061722A" w:rsidRDefault="0061722A" w:rsidP="00254F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Described in Part 2 of the Bill: ‘The Court of Protection and the Public Guardian’.</w:t>
      </w:r>
    </w:p>
  </w:footnote>
  <w:footnote w:id="70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Explanatory Notes, para 58.</w:t>
      </w:r>
    </w:p>
  </w:footnote>
  <w:footnote w:id="71">
    <w:p w:rsidR="0061722A" w:rsidRPr="00254F95" w:rsidRDefault="0061722A" w:rsidP="00254F9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</w:t>
      </w:r>
      <w:r>
        <w:rPr>
          <w:sz w:val="16"/>
        </w:rPr>
        <w:t xml:space="preserve">; Clause 15. The Court may make </w:t>
      </w:r>
      <w:r w:rsidRPr="00254F95">
        <w:rPr>
          <w:sz w:val="16"/>
        </w:rPr>
        <w:t>declarations as to whet</w:t>
      </w:r>
      <w:r>
        <w:rPr>
          <w:sz w:val="16"/>
        </w:rPr>
        <w:t xml:space="preserve">her a person has capacity for a </w:t>
      </w:r>
      <w:r w:rsidRPr="00254F95">
        <w:rPr>
          <w:sz w:val="16"/>
        </w:rPr>
        <w:t>particular decision or whet</w:t>
      </w:r>
      <w:r>
        <w:rPr>
          <w:sz w:val="16"/>
        </w:rPr>
        <w:t xml:space="preserve">her ‘an act or proposed act was </w:t>
      </w:r>
      <w:r w:rsidRPr="00254F95">
        <w:rPr>
          <w:sz w:val="16"/>
        </w:rPr>
        <w:t>or would be lawful’. In its exercise of t</w:t>
      </w:r>
      <w:r>
        <w:rPr>
          <w:sz w:val="16"/>
        </w:rPr>
        <w:t xml:space="preserve">he latter power the </w:t>
      </w:r>
      <w:r w:rsidRPr="00254F95">
        <w:rPr>
          <w:sz w:val="16"/>
        </w:rPr>
        <w:t xml:space="preserve">Court would function as a </w:t>
      </w:r>
      <w:r>
        <w:rPr>
          <w:sz w:val="16"/>
        </w:rPr>
        <w:t xml:space="preserve">superior court of record with a </w:t>
      </w:r>
      <w:r w:rsidRPr="00254F95">
        <w:rPr>
          <w:sz w:val="16"/>
        </w:rPr>
        <w:t>range of powers and auth</w:t>
      </w:r>
      <w:r>
        <w:rPr>
          <w:sz w:val="16"/>
        </w:rPr>
        <w:t xml:space="preserve">ority similar to the High Court </w:t>
      </w:r>
      <w:r w:rsidRPr="00254F95">
        <w:rPr>
          <w:sz w:val="16"/>
        </w:rPr>
        <w:t>(see Explanatory Notes to the Bill, para 57).</w:t>
      </w:r>
    </w:p>
  </w:footnote>
  <w:footnote w:id="72">
    <w:p w:rsidR="0061722A" w:rsidRPr="00254F95" w:rsidRDefault="0061722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254F95">
        <w:rPr>
          <w:sz w:val="16"/>
        </w:rPr>
        <w:t>Op cit Note 1; Clause 17(1</w:t>
      </w:r>
      <w:proofErr w:type="gramStart"/>
      <w:r w:rsidRPr="00254F95">
        <w:rPr>
          <w:sz w:val="16"/>
        </w:rPr>
        <w:t>)(</w:t>
      </w:r>
      <w:proofErr w:type="gramEnd"/>
      <w:r w:rsidRPr="00254F95">
        <w:rPr>
          <w:sz w:val="16"/>
        </w:rPr>
        <w:t>d).</w:t>
      </w:r>
    </w:p>
  </w:footnote>
  <w:footnote w:id="73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22A">
        <w:rPr>
          <w:sz w:val="16"/>
        </w:rPr>
        <w:t>Op cit Note 42; para 184.</w:t>
      </w:r>
    </w:p>
  </w:footnote>
  <w:footnote w:id="74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22A">
        <w:rPr>
          <w:sz w:val="16"/>
        </w:rPr>
        <w:t>Op cit Note 43; Response to Recommendation 54.</w:t>
      </w:r>
    </w:p>
  </w:footnote>
  <w:footnote w:id="75">
    <w:p w:rsidR="0061722A" w:rsidRDefault="0061722A">
      <w:pPr>
        <w:pStyle w:val="FootnoteText"/>
      </w:pPr>
      <w:r>
        <w:rPr>
          <w:rStyle w:val="FootnoteReference"/>
        </w:rPr>
        <w:footnoteRef/>
      </w:r>
      <w:r w:rsidRPr="00CE5E93">
        <w:rPr>
          <w:sz w:val="16"/>
        </w:rPr>
        <w:t xml:space="preserve"> </w:t>
      </w:r>
      <w:r w:rsidR="00CE5E93" w:rsidRPr="00CE5E93">
        <w:rPr>
          <w:sz w:val="16"/>
        </w:rPr>
        <w:t>Op cit Note 1; Clause 20(5).</w:t>
      </w:r>
    </w:p>
  </w:footnote>
  <w:footnote w:id="76">
    <w:p w:rsidR="0061722A" w:rsidRPr="00CE5E93" w:rsidRDefault="0061722A" w:rsidP="00CE5E9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E5E93" w:rsidRPr="00CE5E93">
        <w:rPr>
          <w:sz w:val="16"/>
        </w:rPr>
        <w:t>Lord Filkin: Depar</w:t>
      </w:r>
      <w:r w:rsidR="00CE5E93" w:rsidRPr="00CE5E93">
        <w:rPr>
          <w:sz w:val="16"/>
        </w:rPr>
        <w:t xml:space="preserve">tment of Constitutional Affairs </w:t>
      </w:r>
      <w:r w:rsidR="00CE5E93" w:rsidRPr="00CE5E93">
        <w:rPr>
          <w:sz w:val="16"/>
        </w:rPr>
        <w:t>Press Release 180/04, 22 April 2004.</w:t>
      </w:r>
    </w:p>
  </w:footnote>
  <w:footnote w:id="77">
    <w:p w:rsidR="0061722A" w:rsidRDefault="00617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5E93" w:rsidRPr="00CE5E93">
        <w:rPr>
          <w:sz w:val="16"/>
        </w:rPr>
        <w:t>Clause 24 (1).</w:t>
      </w:r>
    </w:p>
  </w:footnote>
  <w:footnote w:id="78">
    <w:p w:rsidR="00B14C83" w:rsidRDefault="00B14C83">
      <w:pPr>
        <w:pStyle w:val="FootnoteText"/>
      </w:pPr>
      <w:r>
        <w:rPr>
          <w:rStyle w:val="FootnoteReference"/>
        </w:rPr>
        <w:footnoteRef/>
      </w:r>
      <w:r w:rsidRPr="00CE5E93">
        <w:rPr>
          <w:sz w:val="16"/>
        </w:rPr>
        <w:t xml:space="preserve"> </w:t>
      </w:r>
      <w:r w:rsidR="00CE5E93" w:rsidRPr="00CE5E93">
        <w:rPr>
          <w:sz w:val="16"/>
        </w:rPr>
        <w:t>Clause 24 (3).</w:t>
      </w:r>
    </w:p>
  </w:footnote>
  <w:footnote w:id="79">
    <w:p w:rsidR="00B14C83" w:rsidRDefault="00B14C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5E93" w:rsidRPr="00CE5E93">
        <w:rPr>
          <w:sz w:val="16"/>
        </w:rPr>
        <w:t>Clause 25(2</w:t>
      </w:r>
      <w:proofErr w:type="gramStart"/>
      <w:r w:rsidR="00CE5E93" w:rsidRPr="00CE5E93">
        <w:rPr>
          <w:sz w:val="16"/>
        </w:rPr>
        <w:t>)(</w:t>
      </w:r>
      <w:proofErr w:type="gramEnd"/>
      <w:r w:rsidR="00CE5E93" w:rsidRPr="00CE5E93">
        <w:rPr>
          <w:sz w:val="16"/>
        </w:rPr>
        <w:t>c).</w:t>
      </w:r>
    </w:p>
  </w:footnote>
  <w:footnote w:id="80">
    <w:p w:rsidR="00467DD5" w:rsidRDefault="00467D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Clause 25(4</w:t>
      </w:r>
      <w:r w:rsidR="00CE393E" w:rsidRPr="00CC2401">
        <w:rPr>
          <w:sz w:val="16"/>
        </w:rPr>
        <w:t>) (</w:t>
      </w:r>
      <w:r w:rsidR="00CC2401" w:rsidRPr="00CC2401">
        <w:rPr>
          <w:sz w:val="16"/>
        </w:rPr>
        <w:t>c).</w:t>
      </w:r>
    </w:p>
  </w:footnote>
  <w:footnote w:id="81">
    <w:p w:rsidR="00467DD5" w:rsidRDefault="00467D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Clause 25(2</w:t>
      </w:r>
      <w:r w:rsidR="00CE393E" w:rsidRPr="00CC2401">
        <w:rPr>
          <w:sz w:val="16"/>
        </w:rPr>
        <w:t>) (</w:t>
      </w:r>
      <w:r w:rsidR="00CC2401" w:rsidRPr="00CC2401">
        <w:rPr>
          <w:sz w:val="16"/>
        </w:rPr>
        <w:t>b).</w:t>
      </w:r>
    </w:p>
  </w:footnote>
  <w:footnote w:id="82">
    <w:p w:rsidR="00467DD5" w:rsidRPr="00CC2401" w:rsidRDefault="00467DD5" w:rsidP="00CC240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Clause 26 (4). Wh</w:t>
      </w:r>
      <w:r w:rsidR="00CC2401">
        <w:rPr>
          <w:sz w:val="16"/>
        </w:rPr>
        <w:t xml:space="preserve">ile the declaration is awaited, </w:t>
      </w:r>
      <w:r w:rsidR="00CC2401" w:rsidRPr="00CC2401">
        <w:rPr>
          <w:sz w:val="16"/>
        </w:rPr>
        <w:t>interventions to preven</w:t>
      </w:r>
      <w:r w:rsidR="00CC2401">
        <w:rPr>
          <w:sz w:val="16"/>
        </w:rPr>
        <w:t xml:space="preserve">t the death of the person or to </w:t>
      </w:r>
      <w:r w:rsidR="00CC2401" w:rsidRPr="00CC2401">
        <w:rPr>
          <w:sz w:val="16"/>
        </w:rPr>
        <w:t>prevent a serious deterior</w:t>
      </w:r>
      <w:r w:rsidR="00CC2401">
        <w:rPr>
          <w:sz w:val="16"/>
        </w:rPr>
        <w:t xml:space="preserve">ation in the person’s condition </w:t>
      </w:r>
      <w:r w:rsidR="00CC2401" w:rsidRPr="00CC2401">
        <w:rPr>
          <w:sz w:val="16"/>
        </w:rPr>
        <w:t>are permitted.</w:t>
      </w:r>
    </w:p>
  </w:footnote>
  <w:footnote w:id="83">
    <w:p w:rsidR="001C508E" w:rsidRDefault="001C5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Op cit Notes 6 (Re T) &amp; 10 (re C).</w:t>
      </w:r>
    </w:p>
  </w:footnote>
  <w:footnote w:id="84">
    <w:p w:rsidR="001C508E" w:rsidRDefault="001C5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Op cit Note 42; para 194.</w:t>
      </w:r>
    </w:p>
  </w:footnote>
  <w:footnote w:id="85">
    <w:p w:rsidR="001C508E" w:rsidRDefault="001C5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Op cit Note 42; para 199.</w:t>
      </w:r>
    </w:p>
  </w:footnote>
  <w:footnote w:id="86">
    <w:p w:rsidR="001C508E" w:rsidRDefault="001C5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Op cit Note 43; Response to Recommendation 61.</w:t>
      </w:r>
    </w:p>
  </w:footnote>
  <w:footnote w:id="87">
    <w:p w:rsidR="001C508E" w:rsidRDefault="001C5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2401" w:rsidRPr="00CC2401">
        <w:rPr>
          <w:sz w:val="16"/>
        </w:rPr>
        <w:t>Op cit Note 1; Clause 40(1</w:t>
      </w:r>
      <w:r w:rsidR="00CE393E" w:rsidRPr="00CC2401">
        <w:rPr>
          <w:sz w:val="16"/>
        </w:rPr>
        <w:t>) (</w:t>
      </w:r>
      <w:r w:rsidR="00CC2401" w:rsidRPr="00CC2401">
        <w:rPr>
          <w:sz w:val="16"/>
        </w:rPr>
        <w:t>e).</w:t>
      </w:r>
    </w:p>
  </w:footnote>
  <w:footnote w:id="88">
    <w:p w:rsidR="00653EFF" w:rsidRDefault="00653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3EFF">
        <w:rPr>
          <w:sz w:val="16"/>
        </w:rPr>
        <w:t>Op cit Note 42; para 29.</w:t>
      </w:r>
    </w:p>
  </w:footnote>
  <w:footnote w:id="89">
    <w:p w:rsidR="00653EFF" w:rsidRPr="00CE393E" w:rsidRDefault="00653EFF" w:rsidP="00CE393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E393E" w:rsidRPr="00CE393E">
        <w:rPr>
          <w:sz w:val="16"/>
        </w:rPr>
        <w:t>Op cit Note 48: The</w:t>
      </w:r>
      <w:r w:rsidR="00CE393E">
        <w:rPr>
          <w:sz w:val="16"/>
        </w:rPr>
        <w:t xml:space="preserve"> Expert Committee reviewing the </w:t>
      </w:r>
      <w:r w:rsidR="00CE393E" w:rsidRPr="00CE393E">
        <w:rPr>
          <w:sz w:val="16"/>
        </w:rPr>
        <w:t>MHA put the princi</w:t>
      </w:r>
      <w:r w:rsidR="00CE393E">
        <w:rPr>
          <w:sz w:val="16"/>
        </w:rPr>
        <w:t xml:space="preserve">ple of patient autonomy and the </w:t>
      </w:r>
      <w:r w:rsidR="00CE393E" w:rsidRPr="00CE393E">
        <w:rPr>
          <w:sz w:val="16"/>
        </w:rPr>
        <w:t>‘notion of capacity which flows from it’ as one of</w:t>
      </w:r>
      <w:r w:rsidR="00CE393E">
        <w:rPr>
          <w:sz w:val="16"/>
        </w:rPr>
        <w:t xml:space="preserve"> its </w:t>
      </w:r>
      <w:r w:rsidR="00CE393E" w:rsidRPr="00CE393E">
        <w:rPr>
          <w:sz w:val="16"/>
        </w:rPr>
        <w:t xml:space="preserve">Guiding Principles. See </w:t>
      </w:r>
      <w:r w:rsidR="00CE393E">
        <w:rPr>
          <w:sz w:val="16"/>
        </w:rPr>
        <w:t xml:space="preserve">also </w:t>
      </w:r>
      <w:proofErr w:type="spellStart"/>
      <w:r w:rsidR="00CE393E">
        <w:rPr>
          <w:sz w:val="16"/>
        </w:rPr>
        <w:t>Szmukler</w:t>
      </w:r>
      <w:proofErr w:type="spellEnd"/>
      <w:r w:rsidR="00CE393E">
        <w:rPr>
          <w:sz w:val="16"/>
        </w:rPr>
        <w:t xml:space="preserve">, G. and Holloway, </w:t>
      </w:r>
      <w:r w:rsidR="00CE393E" w:rsidRPr="00CE393E">
        <w:rPr>
          <w:sz w:val="16"/>
        </w:rPr>
        <w:t>F. (2000) Reform of t</w:t>
      </w:r>
      <w:r w:rsidR="00CE393E">
        <w:rPr>
          <w:sz w:val="16"/>
        </w:rPr>
        <w:t xml:space="preserve">he Mental Health Act: Reform or </w:t>
      </w:r>
      <w:r w:rsidR="00CE393E" w:rsidRPr="00CE393E">
        <w:rPr>
          <w:sz w:val="16"/>
        </w:rPr>
        <w:t>safety? British Journal of Psychiatry, 177, 196–200.</w:t>
      </w:r>
    </w:p>
  </w:footnote>
  <w:footnote w:id="90">
    <w:p w:rsidR="00CE393E" w:rsidRPr="00CE393E" w:rsidRDefault="00653EFF" w:rsidP="00CE393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E393E" w:rsidRPr="00CE393E">
        <w:rPr>
          <w:sz w:val="16"/>
        </w:rPr>
        <w:t>Oral evidence taken be</w:t>
      </w:r>
      <w:r w:rsidR="00CE393E">
        <w:rPr>
          <w:sz w:val="16"/>
        </w:rPr>
        <w:t xml:space="preserve">fore the Joint Committee on the </w:t>
      </w:r>
      <w:r w:rsidR="00CE393E" w:rsidRPr="00CE393E">
        <w:rPr>
          <w:sz w:val="16"/>
        </w:rPr>
        <w:t>Draft Mental Incapacity Bill. Wednes</w:t>
      </w:r>
      <w:r w:rsidR="00CE393E">
        <w:rPr>
          <w:sz w:val="16"/>
        </w:rPr>
        <w:t xml:space="preserve">day 8 October </w:t>
      </w:r>
      <w:r w:rsidR="00CE393E" w:rsidRPr="00CE393E">
        <w:rPr>
          <w:sz w:val="16"/>
        </w:rPr>
        <w:t>2003. Response to Q29</w:t>
      </w:r>
      <w:r w:rsidR="00CE393E">
        <w:rPr>
          <w:sz w:val="16"/>
        </w:rPr>
        <w:t xml:space="preserve">8 (Dr Zigmond). The Bill is not </w:t>
      </w:r>
      <w:r w:rsidR="00CE393E" w:rsidRPr="00CE393E">
        <w:rPr>
          <w:sz w:val="16"/>
        </w:rPr>
        <w:t xml:space="preserve">seen as comprehensive </w:t>
      </w:r>
      <w:r w:rsidR="00CE393E">
        <w:rPr>
          <w:sz w:val="16"/>
        </w:rPr>
        <w:t xml:space="preserve">enough to fulfil that function. </w:t>
      </w:r>
      <w:r w:rsidR="00CE393E" w:rsidRPr="00CE393E">
        <w:rPr>
          <w:sz w:val="16"/>
        </w:rPr>
        <w:t>For example, separate legislation would still be</w:t>
      </w:r>
    </w:p>
    <w:p w:rsidR="00CE393E" w:rsidRPr="00CE393E" w:rsidRDefault="00CE393E" w:rsidP="00CE393E">
      <w:pPr>
        <w:pStyle w:val="FootnoteText"/>
        <w:rPr>
          <w:sz w:val="16"/>
        </w:rPr>
      </w:pPr>
      <w:proofErr w:type="gramStart"/>
      <w:r w:rsidRPr="00CE393E">
        <w:rPr>
          <w:sz w:val="16"/>
        </w:rPr>
        <w:t>required</w:t>
      </w:r>
      <w:proofErr w:type="gramEnd"/>
      <w:r w:rsidRPr="00CE393E">
        <w:rPr>
          <w:sz w:val="16"/>
        </w:rPr>
        <w:t xml:space="preserve"> for mental</w:t>
      </w:r>
      <w:r>
        <w:rPr>
          <w:sz w:val="16"/>
        </w:rPr>
        <w:t xml:space="preserve">ly disordered offenders but the </w:t>
      </w:r>
      <w:r w:rsidRPr="00CE393E">
        <w:rPr>
          <w:sz w:val="16"/>
        </w:rPr>
        <w:t>suggestion of a Mental Disorder Off</w:t>
      </w:r>
      <w:r>
        <w:rPr>
          <w:sz w:val="16"/>
        </w:rPr>
        <w:t xml:space="preserve">enders Bill would </w:t>
      </w:r>
      <w:r w:rsidRPr="00CE393E">
        <w:rPr>
          <w:sz w:val="16"/>
        </w:rPr>
        <w:t>be seen by many in the p</w:t>
      </w:r>
      <w:r>
        <w:rPr>
          <w:sz w:val="16"/>
        </w:rPr>
        <w:t xml:space="preserve">rofession as discriminating and </w:t>
      </w:r>
      <w:r w:rsidRPr="00CE393E">
        <w:rPr>
          <w:sz w:val="16"/>
        </w:rPr>
        <w:t>highly stigmatising to m</w:t>
      </w:r>
      <w:r>
        <w:rPr>
          <w:sz w:val="16"/>
        </w:rPr>
        <w:t xml:space="preserve">any patients. In addition, many </w:t>
      </w:r>
      <w:r w:rsidRPr="00CE393E">
        <w:rPr>
          <w:sz w:val="16"/>
        </w:rPr>
        <w:t>of the safeguards of the MHA are absent from the</w:t>
      </w:r>
    </w:p>
    <w:p w:rsidR="00653EFF" w:rsidRDefault="00CE393E" w:rsidP="00CE393E">
      <w:pPr>
        <w:pStyle w:val="FootnoteText"/>
      </w:pPr>
      <w:r w:rsidRPr="00CE393E">
        <w:rPr>
          <w:sz w:val="16"/>
        </w:rPr>
        <w:t>Mental Capacity Bill.</w:t>
      </w:r>
    </w:p>
  </w:footnote>
  <w:footnote w:id="91">
    <w:p w:rsidR="007148AD" w:rsidRDefault="007148AD" w:rsidP="00B0604C">
      <w:pPr>
        <w:pStyle w:val="FootnoteText"/>
      </w:pPr>
      <w:r>
        <w:rPr>
          <w:rStyle w:val="FootnoteReference"/>
        </w:rPr>
        <w:footnoteRef/>
      </w:r>
      <w:r w:rsidR="00B0604C" w:rsidRPr="00B0604C">
        <w:rPr>
          <w:sz w:val="16"/>
        </w:rPr>
        <w:t xml:space="preserve">Op cit Note 1; Clause </w:t>
      </w:r>
      <w:r w:rsidR="00B0604C" w:rsidRPr="00B0604C">
        <w:rPr>
          <w:sz w:val="16"/>
        </w:rPr>
        <w:t xml:space="preserve">5: Acts in connection with care </w:t>
      </w:r>
      <w:r w:rsidR="00B0604C" w:rsidRPr="00B0604C">
        <w:rPr>
          <w:sz w:val="16"/>
        </w:rPr>
        <w:t>or treatment.</w:t>
      </w:r>
      <w:r w:rsidRPr="00B0604C">
        <w:rPr>
          <w:sz w:val="16"/>
        </w:rPr>
        <w:t xml:space="preserve"> </w:t>
      </w:r>
    </w:p>
  </w:footnote>
  <w:footnote w:id="92">
    <w:p w:rsidR="007148AD" w:rsidRDefault="007148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604C" w:rsidRPr="00B0604C">
        <w:rPr>
          <w:sz w:val="16"/>
        </w:rPr>
        <w:t>Op cit Note 1; Clause 11(6</w:t>
      </w:r>
      <w:proofErr w:type="gramStart"/>
      <w:r w:rsidR="00B0604C" w:rsidRPr="00B0604C">
        <w:rPr>
          <w:sz w:val="16"/>
        </w:rPr>
        <w:t>)(</w:t>
      </w:r>
      <w:proofErr w:type="gramEnd"/>
      <w:r w:rsidR="00B0604C" w:rsidRPr="00B0604C">
        <w:rPr>
          <w:sz w:val="16"/>
        </w:rPr>
        <w:t>c).</w:t>
      </w:r>
    </w:p>
  </w:footnote>
  <w:footnote w:id="93">
    <w:p w:rsidR="007148AD" w:rsidRDefault="007148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604C" w:rsidRPr="00B0604C">
        <w:rPr>
          <w:sz w:val="16"/>
        </w:rPr>
        <w:t>Op cit Note 1; Clauses 11(1) to 11(5).</w:t>
      </w:r>
    </w:p>
  </w:footnote>
  <w:footnote w:id="94">
    <w:p w:rsidR="007148AD" w:rsidRPr="00B0604C" w:rsidRDefault="007148AD" w:rsidP="00B0604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B0604C" w:rsidRPr="00B0604C">
        <w:rPr>
          <w:sz w:val="16"/>
        </w:rPr>
        <w:t xml:space="preserve">That is, compliant but </w:t>
      </w:r>
      <w:r w:rsidR="00B0604C">
        <w:rPr>
          <w:sz w:val="16"/>
        </w:rPr>
        <w:t xml:space="preserve">incapacitated patients. From: R </w:t>
      </w:r>
      <w:r w:rsidR="00B0604C" w:rsidRPr="00B0604C">
        <w:rPr>
          <w:sz w:val="16"/>
        </w:rPr>
        <w:t xml:space="preserve">v Bournewood </w:t>
      </w:r>
      <w:r w:rsidR="00B0604C">
        <w:rPr>
          <w:sz w:val="16"/>
        </w:rPr>
        <w:t xml:space="preserve">Community and Mental Health NHS </w:t>
      </w:r>
      <w:r w:rsidR="00B0604C" w:rsidRPr="00B0604C">
        <w:rPr>
          <w:sz w:val="16"/>
        </w:rPr>
        <w:t>Trust, ex parte L [1998] 3 All ER 289.</w:t>
      </w:r>
    </w:p>
  </w:footnote>
  <w:footnote w:id="95">
    <w:p w:rsidR="007148AD" w:rsidRDefault="007148AD" w:rsidP="00B060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604C" w:rsidRPr="00B0604C">
        <w:rPr>
          <w:sz w:val="16"/>
        </w:rPr>
        <w:t>Ibid; at 308, p</w:t>
      </w:r>
      <w:r w:rsidR="00B0604C" w:rsidRPr="00B0604C">
        <w:rPr>
          <w:sz w:val="16"/>
        </w:rPr>
        <w:t xml:space="preserve">er Lord </w:t>
      </w:r>
      <w:proofErr w:type="spellStart"/>
      <w:r w:rsidR="00B0604C" w:rsidRPr="00B0604C">
        <w:rPr>
          <w:sz w:val="16"/>
        </w:rPr>
        <w:t>Steyn</w:t>
      </w:r>
      <w:proofErr w:type="spellEnd"/>
      <w:r w:rsidR="00B0604C" w:rsidRPr="00B0604C">
        <w:rPr>
          <w:sz w:val="16"/>
        </w:rPr>
        <w:t xml:space="preserve">. This was made in </w:t>
      </w:r>
      <w:r w:rsidR="00B0604C" w:rsidRPr="00B0604C">
        <w:rPr>
          <w:sz w:val="16"/>
        </w:rPr>
        <w:t>reference to the MHA 1983.</w:t>
      </w:r>
    </w:p>
  </w:footnote>
  <w:footnote w:id="96">
    <w:p w:rsidR="007148AD" w:rsidRDefault="007148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604C" w:rsidRPr="00B0604C">
        <w:rPr>
          <w:sz w:val="16"/>
        </w:rPr>
        <w:t>Op cit Note 42; at para 225.</w:t>
      </w:r>
    </w:p>
  </w:footnote>
  <w:footnote w:id="97">
    <w:p w:rsidR="001C6696" w:rsidRDefault="001C6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4C39" w:rsidRPr="00E14C39">
        <w:rPr>
          <w:sz w:val="16"/>
        </w:rPr>
        <w:t>Op cit note 1; Clause 28(1).</w:t>
      </w:r>
    </w:p>
  </w:footnote>
  <w:footnote w:id="98">
    <w:p w:rsidR="001C6696" w:rsidRDefault="001C6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4C39" w:rsidRPr="00E14C39">
        <w:rPr>
          <w:sz w:val="16"/>
        </w:rPr>
        <w:t>Op cit Note 43; Response to Recommendation 67.</w:t>
      </w:r>
    </w:p>
  </w:footnote>
  <w:footnote w:id="99">
    <w:p w:rsidR="001C6696" w:rsidRPr="00E14C39" w:rsidRDefault="001C6696" w:rsidP="00E14C3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E14C39" w:rsidRPr="00E14C39">
        <w:rPr>
          <w:sz w:val="16"/>
        </w:rPr>
        <w:t>As defined in secti</w:t>
      </w:r>
      <w:r w:rsidR="00E14C39">
        <w:rPr>
          <w:sz w:val="16"/>
        </w:rPr>
        <w:t xml:space="preserve">on 56, MHA and comprising those </w:t>
      </w:r>
      <w:r w:rsidR="00E14C39" w:rsidRPr="00E14C39">
        <w:rPr>
          <w:sz w:val="16"/>
        </w:rPr>
        <w:t>patients detained under s</w:t>
      </w:r>
      <w:r w:rsidR="00E14C39">
        <w:rPr>
          <w:sz w:val="16"/>
        </w:rPr>
        <w:t xml:space="preserve">ections 4, 5(2), 5(4), 35, 135, </w:t>
      </w:r>
      <w:r w:rsidR="00E14C39" w:rsidRPr="00E14C39">
        <w:rPr>
          <w:sz w:val="16"/>
        </w:rPr>
        <w:t>136 and conditionally discharged restricted patients.</w:t>
      </w:r>
    </w:p>
  </w:footnote>
  <w:footnote w:id="100">
    <w:p w:rsidR="001C6696" w:rsidRPr="00FA0257" w:rsidRDefault="001C6696" w:rsidP="00FA025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FA0257" w:rsidRPr="00FA0257">
        <w:rPr>
          <w:sz w:val="16"/>
        </w:rPr>
        <w:t>In other words those rece</w:t>
      </w:r>
      <w:r w:rsidR="00FA0257">
        <w:rPr>
          <w:sz w:val="16"/>
        </w:rPr>
        <w:t xml:space="preserve">iving treatment as out-patients </w:t>
      </w:r>
      <w:r w:rsidR="00FA0257" w:rsidRPr="00FA0257">
        <w:rPr>
          <w:sz w:val="16"/>
        </w:rPr>
        <w:t>on a voluntary basi</w:t>
      </w:r>
      <w:r w:rsidR="00FA0257">
        <w:rPr>
          <w:sz w:val="16"/>
        </w:rPr>
        <w:t xml:space="preserve">s and not subject to section 17 </w:t>
      </w:r>
      <w:r w:rsidR="00FA0257" w:rsidRPr="00FA0257">
        <w:rPr>
          <w:sz w:val="16"/>
        </w:rPr>
        <w:t>MHA.</w:t>
      </w:r>
    </w:p>
  </w:footnote>
  <w:footnote w:id="101">
    <w:p w:rsidR="00FA0257" w:rsidRPr="00391BD6" w:rsidRDefault="00FA0257" w:rsidP="00391BD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391BD6" w:rsidRPr="00391BD6">
        <w:rPr>
          <w:sz w:val="16"/>
        </w:rPr>
        <w:t>Department o</w:t>
      </w:r>
      <w:r w:rsidR="00391BD6">
        <w:rPr>
          <w:sz w:val="16"/>
        </w:rPr>
        <w:t xml:space="preserve">f Health and Home Office (2000) </w:t>
      </w:r>
      <w:r w:rsidR="00391BD6" w:rsidRPr="00391BD6">
        <w:rPr>
          <w:sz w:val="16"/>
        </w:rPr>
        <w:t>Reforming the Men</w:t>
      </w:r>
      <w:r w:rsidR="00391BD6">
        <w:rPr>
          <w:sz w:val="16"/>
        </w:rPr>
        <w:t xml:space="preserve">tal Health Act. Part I: The new </w:t>
      </w:r>
      <w:r w:rsidR="00391BD6" w:rsidRPr="00391BD6">
        <w:rPr>
          <w:sz w:val="16"/>
        </w:rPr>
        <w:t>legal framework. Cm</w:t>
      </w:r>
      <w:r w:rsidR="00391BD6">
        <w:rPr>
          <w:sz w:val="16"/>
        </w:rPr>
        <w:t xml:space="preserve"> 5016-I. London: The Stationery </w:t>
      </w:r>
      <w:r w:rsidR="00391BD6" w:rsidRPr="00391BD6">
        <w:rPr>
          <w:sz w:val="16"/>
        </w:rPr>
        <w:t>Office.</w:t>
      </w:r>
    </w:p>
  </w:footnote>
  <w:footnote w:id="102">
    <w:p w:rsidR="00FA0257" w:rsidRDefault="00FA02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91BD6" w:rsidRPr="00391BD6">
        <w:rPr>
          <w:sz w:val="16"/>
        </w:rPr>
        <w:t>Ibid; paras 5.14–5.15.</w:t>
      </w:r>
    </w:p>
  </w:footnote>
  <w:footnote w:id="103">
    <w:p w:rsidR="00FA0257" w:rsidRDefault="00FA0257" w:rsidP="00391B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91BD6" w:rsidRPr="00391BD6">
        <w:rPr>
          <w:sz w:val="16"/>
        </w:rPr>
        <w:t>A literal interpretation o</w:t>
      </w:r>
      <w:r w:rsidR="00391BD6" w:rsidRPr="00391BD6">
        <w:rPr>
          <w:sz w:val="16"/>
        </w:rPr>
        <w:t xml:space="preserve">f this phrase would suggest the </w:t>
      </w:r>
      <w:r w:rsidR="00391BD6" w:rsidRPr="00391BD6">
        <w:rPr>
          <w:sz w:val="16"/>
        </w:rPr>
        <w:t xml:space="preserve">advance agreement </w:t>
      </w:r>
      <w:r w:rsidR="00391BD6" w:rsidRPr="00391BD6">
        <w:rPr>
          <w:sz w:val="16"/>
        </w:rPr>
        <w:t xml:space="preserve">need only be considered but not </w:t>
      </w:r>
      <w:r w:rsidR="00391BD6" w:rsidRPr="00391BD6">
        <w:rPr>
          <w:sz w:val="16"/>
        </w:rPr>
        <w:t>necessarily followe</w:t>
      </w:r>
      <w:r w:rsidR="00391BD6" w:rsidRPr="00391BD6">
        <w:rPr>
          <w:sz w:val="16"/>
        </w:rPr>
        <w:t xml:space="preserve">d, even if the circumstances </w:t>
      </w:r>
      <w:r w:rsidR="00391BD6" w:rsidRPr="00391BD6">
        <w:rPr>
          <w:sz w:val="16"/>
        </w:rPr>
        <w:t>envisaged in t</w:t>
      </w:r>
      <w:r w:rsidR="00391BD6" w:rsidRPr="00391BD6">
        <w:rPr>
          <w:sz w:val="16"/>
        </w:rPr>
        <w:t xml:space="preserve">he document correspond to those </w:t>
      </w:r>
      <w:r w:rsidR="00391BD6" w:rsidRPr="00391BD6">
        <w:rPr>
          <w:sz w:val="16"/>
        </w:rPr>
        <w:t>prevailing at the time;</w:t>
      </w:r>
      <w:r w:rsidR="00391BD6" w:rsidRPr="00391BD6">
        <w:rPr>
          <w:sz w:val="16"/>
        </w:rPr>
        <w:t xml:space="preserve"> that ‘old’ agreements could be </w:t>
      </w:r>
      <w:r w:rsidR="00391BD6" w:rsidRPr="00391BD6">
        <w:rPr>
          <w:sz w:val="16"/>
        </w:rPr>
        <w:t>disregarded as could tho</w:t>
      </w:r>
      <w:r w:rsidR="00391BD6" w:rsidRPr="00391BD6">
        <w:rPr>
          <w:sz w:val="16"/>
        </w:rPr>
        <w:t xml:space="preserve">se produced unilaterally by the </w:t>
      </w:r>
      <w:r w:rsidR="00391BD6" w:rsidRPr="00391BD6">
        <w:rPr>
          <w:sz w:val="16"/>
        </w:rPr>
        <w:t>patient.</w:t>
      </w:r>
    </w:p>
  </w:footnote>
  <w:footnote w:id="104">
    <w:p w:rsidR="00391BD6" w:rsidRPr="00391BD6" w:rsidRDefault="00391BD6" w:rsidP="00391BD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91BD6">
        <w:rPr>
          <w:sz w:val="16"/>
        </w:rPr>
        <w:t>Op cit Note 48; a</w:t>
      </w:r>
      <w:r>
        <w:rPr>
          <w:sz w:val="16"/>
        </w:rPr>
        <w:t xml:space="preserve">t p22. The Committee themselves </w:t>
      </w:r>
      <w:r w:rsidRPr="00391BD6">
        <w:rPr>
          <w:sz w:val="16"/>
        </w:rPr>
        <w:t>recommended that ‘ad</w:t>
      </w:r>
      <w:r>
        <w:rPr>
          <w:sz w:val="16"/>
        </w:rPr>
        <w:t xml:space="preserve">vance agreements about care’ be </w:t>
      </w:r>
      <w:r w:rsidRPr="00391BD6">
        <w:rPr>
          <w:sz w:val="16"/>
        </w:rPr>
        <w:t>introduced by statute an</w:t>
      </w:r>
      <w:r>
        <w:rPr>
          <w:sz w:val="16"/>
        </w:rPr>
        <w:t xml:space="preserve">d that they should ‘address the </w:t>
      </w:r>
      <w:r w:rsidRPr="00391BD6">
        <w:rPr>
          <w:sz w:val="16"/>
        </w:rPr>
        <w:t>patient’s treatment pre</w:t>
      </w:r>
      <w:r>
        <w:rPr>
          <w:sz w:val="16"/>
        </w:rPr>
        <w:t xml:space="preserve">ference (if any) in relation to </w:t>
      </w:r>
      <w:r w:rsidRPr="00391BD6">
        <w:rPr>
          <w:sz w:val="16"/>
        </w:rPr>
        <w:t>any possible futur</w:t>
      </w:r>
      <w:r>
        <w:rPr>
          <w:sz w:val="16"/>
        </w:rPr>
        <w:t xml:space="preserve">e care and treatment for mental </w:t>
      </w:r>
      <w:r w:rsidRPr="00391BD6">
        <w:rPr>
          <w:sz w:val="16"/>
        </w:rPr>
        <w:t>disorder’ (at p106).</w:t>
      </w:r>
    </w:p>
  </w:footnote>
  <w:footnote w:id="105">
    <w:p w:rsidR="00391BD6" w:rsidRDefault="00391B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1BD6">
        <w:rPr>
          <w:sz w:val="16"/>
        </w:rPr>
        <w:t>Op cit Note 48; at p106</w:t>
      </w:r>
      <w:r w:rsidRPr="00391BD6">
        <w:t>.</w:t>
      </w:r>
    </w:p>
  </w:footnote>
  <w:footnote w:id="106">
    <w:p w:rsidR="00D14A02" w:rsidRDefault="00D14A02" w:rsidP="00D1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Department of He</w:t>
      </w:r>
      <w:r w:rsidRPr="00D14A02">
        <w:rPr>
          <w:sz w:val="16"/>
        </w:rPr>
        <w:t xml:space="preserve">alth (2002) Draft Mental Health </w:t>
      </w:r>
      <w:r w:rsidRPr="00D14A02">
        <w:rPr>
          <w:sz w:val="16"/>
        </w:rPr>
        <w:t>Bill. Cm 5538-I. London: The Stationery Office.</w:t>
      </w:r>
    </w:p>
  </w:footnote>
  <w:footnote w:id="107">
    <w:p w:rsidR="00D14A02" w:rsidRPr="00D14A02" w:rsidRDefault="00D14A02" w:rsidP="00D14A0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Department of He</w:t>
      </w:r>
      <w:r w:rsidRPr="00D14A02">
        <w:rPr>
          <w:sz w:val="16"/>
        </w:rPr>
        <w:t xml:space="preserve">alth (2002) Mental Health Bill. </w:t>
      </w:r>
      <w:r w:rsidRPr="00D14A02">
        <w:rPr>
          <w:sz w:val="16"/>
        </w:rPr>
        <w:t>Consultation Do</w:t>
      </w:r>
      <w:r>
        <w:rPr>
          <w:sz w:val="16"/>
        </w:rPr>
        <w:t xml:space="preserve">cument. </w:t>
      </w:r>
      <w:proofErr w:type="gramStart"/>
      <w:r>
        <w:rPr>
          <w:sz w:val="16"/>
        </w:rPr>
        <w:t>Cm 5538-II.</w:t>
      </w:r>
      <w:proofErr w:type="gramEnd"/>
      <w:r>
        <w:rPr>
          <w:sz w:val="16"/>
        </w:rPr>
        <w:t xml:space="preserve"> London: The </w:t>
      </w:r>
      <w:r w:rsidRPr="00D14A02">
        <w:rPr>
          <w:sz w:val="16"/>
        </w:rPr>
        <w:t xml:space="preserve">Stationery Office. </w:t>
      </w:r>
      <w:proofErr w:type="gramStart"/>
      <w:r w:rsidRPr="00D14A02">
        <w:rPr>
          <w:sz w:val="16"/>
        </w:rPr>
        <w:t>At p20.</w:t>
      </w:r>
      <w:proofErr w:type="gramEnd"/>
    </w:p>
  </w:footnote>
  <w:footnote w:id="108">
    <w:p w:rsidR="00D14A02" w:rsidRDefault="00D1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Ibid.</w:t>
      </w:r>
    </w:p>
  </w:footnote>
  <w:footnote w:id="109">
    <w:p w:rsidR="00D14A02" w:rsidRPr="00D14A02" w:rsidRDefault="00D14A0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Ibid; Explanatory Notes, at p45.</w:t>
      </w:r>
    </w:p>
  </w:footnote>
  <w:footnote w:id="110">
    <w:p w:rsidR="00D14A02" w:rsidRDefault="00D1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Op cit Note 105; clause 121(2).</w:t>
      </w:r>
    </w:p>
  </w:footnote>
  <w:footnote w:id="111">
    <w:p w:rsidR="00D14A02" w:rsidRDefault="00D1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Op cit Note 105; Part 5.</w:t>
      </w:r>
    </w:p>
  </w:footnote>
  <w:footnote w:id="112">
    <w:p w:rsidR="00D14A02" w:rsidRPr="00D14A02" w:rsidRDefault="00D14A02" w:rsidP="00D14A02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The successor person t</w:t>
      </w:r>
      <w:r>
        <w:rPr>
          <w:sz w:val="16"/>
        </w:rPr>
        <w:t xml:space="preserve">o the nearest relative from the </w:t>
      </w:r>
      <w:r w:rsidRPr="00D14A02">
        <w:rPr>
          <w:sz w:val="16"/>
        </w:rPr>
        <w:t>1983 Mental Health Act.</w:t>
      </w:r>
    </w:p>
  </w:footnote>
  <w:footnote w:id="113">
    <w:p w:rsidR="00D14A02" w:rsidRDefault="00D14A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4A02">
        <w:rPr>
          <w:sz w:val="16"/>
        </w:rPr>
        <w:t>Op cit Note 105; clause 128(2).</w:t>
      </w:r>
    </w:p>
  </w:footnote>
  <w:footnote w:id="114">
    <w:p w:rsidR="00AD7B3C" w:rsidRPr="00194D09" w:rsidRDefault="00AD7B3C" w:rsidP="00194D0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194D09" w:rsidRPr="00194D09">
        <w:rPr>
          <w:sz w:val="16"/>
        </w:rPr>
        <w:t>Absurdly, it would be p</w:t>
      </w:r>
      <w:r w:rsidR="00194D09">
        <w:rPr>
          <w:sz w:val="16"/>
        </w:rPr>
        <w:t xml:space="preserve">ossible to use advance refusals </w:t>
      </w:r>
      <w:r w:rsidR="00194D09" w:rsidRPr="00194D09">
        <w:rPr>
          <w:sz w:val="16"/>
        </w:rPr>
        <w:t>to give consent, for exam</w:t>
      </w:r>
      <w:r w:rsidR="00194D09">
        <w:rPr>
          <w:sz w:val="16"/>
        </w:rPr>
        <w:t xml:space="preserve">ple, to a particular drug – by, </w:t>
      </w:r>
      <w:r w:rsidR="00194D09" w:rsidRPr="00194D09">
        <w:rPr>
          <w:sz w:val="16"/>
        </w:rPr>
        <w:t>for instance, giving advan</w:t>
      </w:r>
      <w:r w:rsidR="00194D09">
        <w:rPr>
          <w:sz w:val="16"/>
        </w:rPr>
        <w:t xml:space="preserve">ce refusal to all antipsychotic </w:t>
      </w:r>
      <w:r w:rsidR="00194D09" w:rsidRPr="00194D09">
        <w:rPr>
          <w:sz w:val="16"/>
        </w:rPr>
        <w:t xml:space="preserve">medication, both in oral </w:t>
      </w:r>
      <w:r w:rsidR="00194D09">
        <w:rPr>
          <w:sz w:val="16"/>
        </w:rPr>
        <w:t xml:space="preserve">and in injectable forms, except </w:t>
      </w:r>
      <w:r w:rsidR="00194D09" w:rsidRPr="00194D09">
        <w:rPr>
          <w:sz w:val="16"/>
        </w:rPr>
        <w:t>for drug A!</w:t>
      </w:r>
    </w:p>
  </w:footnote>
  <w:footnote w:id="115">
    <w:p w:rsidR="00AD7B3C" w:rsidRDefault="00AD7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D09" w:rsidRPr="00194D09">
        <w:rPr>
          <w:sz w:val="16"/>
        </w:rPr>
        <w:t>(1990) 72 OR (2d) 417; per Robins JA at 432.</w:t>
      </w:r>
    </w:p>
  </w:footnote>
  <w:footnote w:id="116">
    <w:p w:rsidR="00AD7B3C" w:rsidRDefault="00AD7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D09" w:rsidRPr="00194D09">
        <w:rPr>
          <w:sz w:val="16"/>
        </w:rPr>
        <w:t>Op cit Note 5; para 5.14.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5AA4"/>
    <w:multiLevelType w:val="hybridMultilevel"/>
    <w:tmpl w:val="87681C70"/>
    <w:lvl w:ilvl="0" w:tplc="002CE03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84"/>
    <w:rsid w:val="00085F24"/>
    <w:rsid w:val="000E59BD"/>
    <w:rsid w:val="000F1AF4"/>
    <w:rsid w:val="00144B77"/>
    <w:rsid w:val="00194D09"/>
    <w:rsid w:val="00196589"/>
    <w:rsid w:val="001A4910"/>
    <w:rsid w:val="001C508E"/>
    <w:rsid w:val="001C6696"/>
    <w:rsid w:val="001F1A10"/>
    <w:rsid w:val="001F26A9"/>
    <w:rsid w:val="00203FF1"/>
    <w:rsid w:val="0021182D"/>
    <w:rsid w:val="002438A6"/>
    <w:rsid w:val="00254F95"/>
    <w:rsid w:val="002D6FEE"/>
    <w:rsid w:val="002F7CAF"/>
    <w:rsid w:val="003326D7"/>
    <w:rsid w:val="00383649"/>
    <w:rsid w:val="0038668C"/>
    <w:rsid w:val="00391BD6"/>
    <w:rsid w:val="004322B7"/>
    <w:rsid w:val="00467DD5"/>
    <w:rsid w:val="004853D3"/>
    <w:rsid w:val="004C0A60"/>
    <w:rsid w:val="004F768F"/>
    <w:rsid w:val="005338F8"/>
    <w:rsid w:val="00542D35"/>
    <w:rsid w:val="00550A84"/>
    <w:rsid w:val="005619D2"/>
    <w:rsid w:val="005821CF"/>
    <w:rsid w:val="005B1AF2"/>
    <w:rsid w:val="0061722A"/>
    <w:rsid w:val="00653EFF"/>
    <w:rsid w:val="006836BD"/>
    <w:rsid w:val="0068713F"/>
    <w:rsid w:val="006D2DAD"/>
    <w:rsid w:val="006E72FC"/>
    <w:rsid w:val="006F626B"/>
    <w:rsid w:val="007148AD"/>
    <w:rsid w:val="00757D6B"/>
    <w:rsid w:val="00772BE3"/>
    <w:rsid w:val="00777B68"/>
    <w:rsid w:val="007A57E7"/>
    <w:rsid w:val="007A673D"/>
    <w:rsid w:val="00806D9C"/>
    <w:rsid w:val="0081381C"/>
    <w:rsid w:val="008869F5"/>
    <w:rsid w:val="00886F77"/>
    <w:rsid w:val="008B19A2"/>
    <w:rsid w:val="008D2A5B"/>
    <w:rsid w:val="00930D01"/>
    <w:rsid w:val="009548FD"/>
    <w:rsid w:val="00994238"/>
    <w:rsid w:val="0099729C"/>
    <w:rsid w:val="009B54A4"/>
    <w:rsid w:val="009D0748"/>
    <w:rsid w:val="00A85C6F"/>
    <w:rsid w:val="00AC012D"/>
    <w:rsid w:val="00AD3AA3"/>
    <w:rsid w:val="00AD7B3C"/>
    <w:rsid w:val="00B02565"/>
    <w:rsid w:val="00B0604C"/>
    <w:rsid w:val="00B14C83"/>
    <w:rsid w:val="00B26F81"/>
    <w:rsid w:val="00BB241F"/>
    <w:rsid w:val="00C121FC"/>
    <w:rsid w:val="00C2569E"/>
    <w:rsid w:val="00C345AE"/>
    <w:rsid w:val="00C41673"/>
    <w:rsid w:val="00C4497B"/>
    <w:rsid w:val="00C71DE4"/>
    <w:rsid w:val="00CC2401"/>
    <w:rsid w:val="00CE393E"/>
    <w:rsid w:val="00CE5E93"/>
    <w:rsid w:val="00D01068"/>
    <w:rsid w:val="00D14A02"/>
    <w:rsid w:val="00D3433E"/>
    <w:rsid w:val="00D60794"/>
    <w:rsid w:val="00D66A7D"/>
    <w:rsid w:val="00D83DC8"/>
    <w:rsid w:val="00D9399D"/>
    <w:rsid w:val="00DD3175"/>
    <w:rsid w:val="00E02508"/>
    <w:rsid w:val="00E14C39"/>
    <w:rsid w:val="00E81817"/>
    <w:rsid w:val="00EB1916"/>
    <w:rsid w:val="00F303EA"/>
    <w:rsid w:val="00F3665C"/>
    <w:rsid w:val="00F55E96"/>
    <w:rsid w:val="00FA0257"/>
    <w:rsid w:val="00FC41C0"/>
    <w:rsid w:val="00FD576B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72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2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2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4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72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2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2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2B8D-9E55-4956-BD73-65F8B78A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19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112</cp:revision>
  <dcterms:created xsi:type="dcterms:W3CDTF">2014-10-21T15:45:00Z</dcterms:created>
  <dcterms:modified xsi:type="dcterms:W3CDTF">2014-10-22T11:32:00Z</dcterms:modified>
</cp:coreProperties>
</file>