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992" w:rsidRPr="00361B4D" w:rsidRDefault="008D08CB" w:rsidP="0000419F">
      <w:pPr>
        <w:pStyle w:val="NoSpacing"/>
        <w:spacing w:line="360" w:lineRule="auto"/>
      </w:pPr>
      <w:r w:rsidRPr="00361B4D">
        <w:t>Book Reviews</w:t>
      </w:r>
    </w:p>
    <w:p w:rsidR="008D08CB" w:rsidRPr="00361B4D" w:rsidRDefault="008D08CB" w:rsidP="0000419F">
      <w:pPr>
        <w:pStyle w:val="NoSpacing"/>
        <w:spacing w:line="360" w:lineRule="auto"/>
        <w:rPr>
          <w:sz w:val="36"/>
          <w:szCs w:val="36"/>
        </w:rPr>
      </w:pPr>
      <w:r w:rsidRPr="00361B4D">
        <w:rPr>
          <w:sz w:val="36"/>
          <w:szCs w:val="36"/>
        </w:rPr>
        <w:t>Community Care and the Law by Luke Clements (3rd edition)</w:t>
      </w:r>
    </w:p>
    <w:p w:rsidR="008D08CB" w:rsidRDefault="008D08CB" w:rsidP="0000419F">
      <w:pPr>
        <w:pStyle w:val="NoSpacing"/>
        <w:spacing w:line="360" w:lineRule="auto"/>
        <w:rPr>
          <w:sz w:val="28"/>
          <w:szCs w:val="28"/>
        </w:rPr>
      </w:pPr>
      <w:r w:rsidRPr="00361B4D">
        <w:rPr>
          <w:sz w:val="28"/>
          <w:szCs w:val="28"/>
        </w:rPr>
        <w:t>Published by Legal Action Group (2004) £37.00</w:t>
      </w:r>
    </w:p>
    <w:p w:rsidR="0000419F" w:rsidRDefault="0000419F" w:rsidP="0000419F">
      <w:pPr>
        <w:pStyle w:val="NoSpacing"/>
        <w:spacing w:line="360" w:lineRule="auto"/>
      </w:pPr>
    </w:p>
    <w:p w:rsidR="00361B4D" w:rsidRDefault="00361B4D" w:rsidP="0000419F">
      <w:pPr>
        <w:pStyle w:val="NoSpacing"/>
        <w:spacing w:line="360" w:lineRule="auto"/>
        <w:ind w:firstLine="709"/>
      </w:pPr>
      <w:r>
        <w:t>“Community care law remains a hotchpotch of conflicting statutes, which have been</w:t>
      </w:r>
    </w:p>
    <w:p w:rsidR="00361B4D" w:rsidRDefault="00361B4D" w:rsidP="0000419F">
      <w:pPr>
        <w:pStyle w:val="NoSpacing"/>
        <w:spacing w:line="360" w:lineRule="auto"/>
        <w:ind w:firstLine="709"/>
      </w:pPr>
      <w:r>
        <w:t>enacted over 50 years; each statute reflects the different philosophical attitudes of the</w:t>
      </w:r>
    </w:p>
    <w:p w:rsidR="00361B4D" w:rsidRDefault="00361B4D" w:rsidP="0000419F">
      <w:pPr>
        <w:pStyle w:val="NoSpacing"/>
        <w:spacing w:line="360" w:lineRule="auto"/>
        <w:ind w:firstLine="709"/>
      </w:pPr>
      <w:r>
        <w:t>time”</w:t>
      </w:r>
    </w:p>
    <w:p w:rsidR="00361B4D" w:rsidRPr="00361B4D" w:rsidRDefault="00361B4D" w:rsidP="0000419F">
      <w:pPr>
        <w:pStyle w:val="NoSpacing"/>
        <w:spacing w:line="360" w:lineRule="auto"/>
        <w:rPr>
          <w:i/>
        </w:rPr>
      </w:pPr>
      <w:r>
        <w:t xml:space="preserve">So concludes Luke Clements in the Introduction to the third edition of </w:t>
      </w:r>
      <w:r w:rsidRPr="00361B4D">
        <w:rPr>
          <w:i/>
        </w:rPr>
        <w:t>Community Care and the</w:t>
      </w:r>
    </w:p>
    <w:p w:rsidR="00361B4D" w:rsidRDefault="00361B4D" w:rsidP="0000419F">
      <w:pPr>
        <w:pStyle w:val="NoSpacing"/>
        <w:spacing w:line="360" w:lineRule="auto"/>
      </w:pPr>
      <w:r w:rsidRPr="00361B4D">
        <w:rPr>
          <w:i/>
        </w:rPr>
        <w:t>Law</w:t>
      </w:r>
      <w:r>
        <w:t>, which to the relief of community care practitioners has just been published. In other words</w:t>
      </w:r>
    </w:p>
    <w:p w:rsidR="00361B4D" w:rsidRDefault="00361B4D" w:rsidP="0000419F">
      <w:pPr>
        <w:pStyle w:val="NoSpacing"/>
        <w:spacing w:line="360" w:lineRule="auto"/>
      </w:pPr>
      <w:r>
        <w:t>the law in this field is in a mess and cries out for reform in the way that the law relating to children</w:t>
      </w:r>
    </w:p>
    <w:p w:rsidR="00361B4D" w:rsidRDefault="00361B4D" w:rsidP="0000419F">
      <w:pPr>
        <w:pStyle w:val="NoSpacing"/>
        <w:spacing w:line="360" w:lineRule="auto"/>
      </w:pPr>
      <w:r>
        <w:t xml:space="preserve">was reformed by the </w:t>
      </w:r>
      <w:r w:rsidRPr="00361B4D">
        <w:rPr>
          <w:i/>
        </w:rPr>
        <w:t>Children Act 1989</w:t>
      </w:r>
      <w:r>
        <w:t>. Sadly, as the author observes there appears to be little sign</w:t>
      </w:r>
    </w:p>
    <w:p w:rsidR="00361B4D" w:rsidRDefault="00361B4D" w:rsidP="0000419F">
      <w:pPr>
        <w:pStyle w:val="NoSpacing"/>
        <w:spacing w:line="360" w:lineRule="auto"/>
      </w:pPr>
      <w:r>
        <w:t>that this will occur. All this is well known to practitioners and presents a considerable challenge to</w:t>
      </w:r>
    </w:p>
    <w:p w:rsidR="00361B4D" w:rsidRDefault="00361B4D" w:rsidP="0000419F">
      <w:pPr>
        <w:pStyle w:val="NoSpacing"/>
        <w:spacing w:line="360" w:lineRule="auto"/>
      </w:pPr>
      <w:r>
        <w:t>anyone who seeks to encompass the relevant law in a way that is useful both to the experienced</w:t>
      </w:r>
    </w:p>
    <w:p w:rsidR="00361B4D" w:rsidRDefault="00361B4D" w:rsidP="0000419F">
      <w:pPr>
        <w:pStyle w:val="NoSpacing"/>
        <w:spacing w:line="360" w:lineRule="auto"/>
      </w:pPr>
      <w:r>
        <w:t>lawyer as well as the non-lawyer who needs to be able to understand its essentials. On both counts</w:t>
      </w:r>
    </w:p>
    <w:p w:rsidR="00361B4D" w:rsidRDefault="00361B4D" w:rsidP="0000419F">
      <w:pPr>
        <w:pStyle w:val="NoSpacing"/>
        <w:spacing w:line="360" w:lineRule="auto"/>
      </w:pPr>
      <w:r>
        <w:t>Luke Clements succeeds in a way that is masterly.</w:t>
      </w:r>
    </w:p>
    <w:p w:rsidR="00361B4D" w:rsidRDefault="00361B4D" w:rsidP="0000419F">
      <w:pPr>
        <w:pStyle w:val="NoSpacing"/>
        <w:spacing w:line="360" w:lineRule="auto"/>
      </w:pPr>
    </w:p>
    <w:p w:rsidR="00361B4D" w:rsidRDefault="00361B4D" w:rsidP="0000419F">
      <w:pPr>
        <w:pStyle w:val="NoSpacing"/>
        <w:spacing w:line="360" w:lineRule="auto"/>
      </w:pPr>
      <w:r>
        <w:t>One of the keys to the author’s success is to know what to leave out. As he asks at the beginning:</w:t>
      </w:r>
    </w:p>
    <w:p w:rsidR="00361B4D" w:rsidRDefault="00361B4D" w:rsidP="0000419F">
      <w:pPr>
        <w:pStyle w:val="NoSpacing"/>
        <w:spacing w:line="360" w:lineRule="auto"/>
      </w:pPr>
      <w:r>
        <w:t>“How can you do justice to the subject and yet exclude detailed consideration of welfare benefits</w:t>
      </w:r>
    </w:p>
    <w:p w:rsidR="00361B4D" w:rsidRDefault="00361B4D" w:rsidP="0000419F">
      <w:pPr>
        <w:pStyle w:val="NoSpacing"/>
        <w:spacing w:line="360" w:lineRule="auto"/>
      </w:pPr>
      <w:r>
        <w:t>or special education?” He does however do this and for very good reason (the ever changing nature</w:t>
      </w:r>
    </w:p>
    <w:p w:rsidR="00361B4D" w:rsidRDefault="00361B4D" w:rsidP="0000419F">
      <w:pPr>
        <w:pStyle w:val="NoSpacing"/>
        <w:spacing w:line="360" w:lineRule="auto"/>
      </w:pPr>
      <w:r>
        <w:t>of the former and the availability of alternative sources of information), and he focuses on the</w:t>
      </w:r>
    </w:p>
    <w:p w:rsidR="00361B4D" w:rsidRDefault="00361B4D" w:rsidP="0000419F">
      <w:pPr>
        <w:pStyle w:val="NoSpacing"/>
        <w:spacing w:line="360" w:lineRule="auto"/>
      </w:pPr>
      <w:r>
        <w:t xml:space="preserve">central community care statutes listed in the </w:t>
      </w:r>
      <w:r w:rsidRPr="008F41BA">
        <w:rPr>
          <w:i/>
        </w:rPr>
        <w:t>National Health Service and Community Care Act 1990</w:t>
      </w:r>
    </w:p>
    <w:p w:rsidR="00361B4D" w:rsidRDefault="00361B4D" w:rsidP="0000419F">
      <w:pPr>
        <w:pStyle w:val="NoSpacing"/>
        <w:spacing w:line="360" w:lineRule="auto"/>
      </w:pPr>
      <w:r>
        <w:t xml:space="preserve">– </w:t>
      </w:r>
      <w:proofErr w:type="gramStart"/>
      <w:r>
        <w:t>a</w:t>
      </w:r>
      <w:proofErr w:type="gramEnd"/>
      <w:r>
        <w:t xml:space="preserve"> substantial component of which remains the </w:t>
      </w:r>
      <w:r w:rsidRPr="008F41BA">
        <w:rPr>
          <w:i/>
        </w:rPr>
        <w:t>National Assistance Act 1948</w:t>
      </w:r>
      <w:r>
        <w:t>, a key aspect of the</w:t>
      </w:r>
    </w:p>
    <w:p w:rsidR="00361B4D" w:rsidRDefault="00361B4D" w:rsidP="0000419F">
      <w:pPr>
        <w:pStyle w:val="NoSpacing"/>
        <w:spacing w:line="360" w:lineRule="auto"/>
      </w:pPr>
      <w:r>
        <w:t>package of legislation that ushered in the welfare state. As a consequence the third edition</w:t>
      </w:r>
    </w:p>
    <w:p w:rsidR="00361B4D" w:rsidRDefault="00361B4D" w:rsidP="0000419F">
      <w:pPr>
        <w:pStyle w:val="NoSpacing"/>
        <w:spacing w:line="360" w:lineRule="auto"/>
      </w:pPr>
      <w:r>
        <w:t>resolutely maintains the focus of its predecessors on that mishmash of statutes, regulations,</w:t>
      </w:r>
    </w:p>
    <w:p w:rsidR="00361B4D" w:rsidRDefault="00361B4D" w:rsidP="0000419F">
      <w:pPr>
        <w:pStyle w:val="NoSpacing"/>
        <w:spacing w:line="360" w:lineRule="auto"/>
      </w:pPr>
      <w:r>
        <w:t>directions and guidance that make up the law relating to the provision of community care services</w:t>
      </w:r>
    </w:p>
    <w:p w:rsidR="00361B4D" w:rsidRDefault="00361B4D" w:rsidP="0000419F">
      <w:pPr>
        <w:pStyle w:val="NoSpacing"/>
        <w:spacing w:line="360" w:lineRule="auto"/>
      </w:pPr>
      <w:r>
        <w:t>and which, at first sight and probably at second sight as well, seems to the uninitiated, terrifyingly</w:t>
      </w:r>
    </w:p>
    <w:p w:rsidR="00361B4D" w:rsidRDefault="00361B4D" w:rsidP="0000419F">
      <w:pPr>
        <w:pStyle w:val="NoSpacing"/>
        <w:spacing w:line="360" w:lineRule="auto"/>
      </w:pPr>
      <w:r>
        <w:t>complex.</w:t>
      </w:r>
      <w:r w:rsidR="008F41BA">
        <w:tab/>
      </w:r>
    </w:p>
    <w:p w:rsidR="008F41BA" w:rsidRDefault="008F41BA" w:rsidP="0000419F">
      <w:pPr>
        <w:pStyle w:val="NoSpacing"/>
        <w:spacing w:line="360" w:lineRule="auto"/>
      </w:pPr>
    </w:p>
    <w:p w:rsidR="00361B4D" w:rsidRDefault="00361B4D" w:rsidP="0000419F">
      <w:pPr>
        <w:pStyle w:val="NoSpacing"/>
        <w:spacing w:line="360" w:lineRule="auto"/>
      </w:pPr>
      <w:r>
        <w:t>The other key to successfully addressing this topic is to set its development firmly within its</w:t>
      </w:r>
    </w:p>
    <w:p w:rsidR="00361B4D" w:rsidRDefault="00361B4D" w:rsidP="0000419F">
      <w:pPr>
        <w:pStyle w:val="NoSpacing"/>
        <w:spacing w:line="360" w:lineRule="auto"/>
      </w:pPr>
      <w:r>
        <w:t>historical context. In his Introduction Luke Clements in 8 pages sets out a most succinct summary</w:t>
      </w:r>
    </w:p>
    <w:p w:rsidR="00361B4D" w:rsidRPr="006B0BA4" w:rsidRDefault="00361B4D" w:rsidP="0000419F">
      <w:pPr>
        <w:pStyle w:val="NoSpacing"/>
        <w:spacing w:line="360" w:lineRule="auto"/>
        <w:rPr>
          <w:i/>
        </w:rPr>
      </w:pPr>
      <w:proofErr w:type="gramStart"/>
      <w:r>
        <w:t>of</w:t>
      </w:r>
      <w:proofErr w:type="gramEnd"/>
      <w:r>
        <w:t xml:space="preserve"> the relevant history from the great post-war reforms of 1948 through to the </w:t>
      </w:r>
      <w:r w:rsidRPr="006B0BA4">
        <w:rPr>
          <w:i/>
        </w:rPr>
        <w:t>Health and Social</w:t>
      </w:r>
    </w:p>
    <w:p w:rsidR="00361B4D" w:rsidRDefault="00361B4D" w:rsidP="0000419F">
      <w:pPr>
        <w:pStyle w:val="NoSpacing"/>
        <w:spacing w:line="360" w:lineRule="auto"/>
      </w:pPr>
      <w:r w:rsidRPr="006B0BA4">
        <w:rPr>
          <w:i/>
        </w:rPr>
        <w:t>Care Act 2001</w:t>
      </w:r>
      <w:r>
        <w:t>, acknowledging on the way the emergence in the 1990s of the disability rights</w:t>
      </w:r>
    </w:p>
    <w:p w:rsidR="00361B4D" w:rsidRDefault="00361B4D" w:rsidP="0000419F">
      <w:pPr>
        <w:pStyle w:val="NoSpacing"/>
        <w:spacing w:line="360" w:lineRule="auto"/>
      </w:pPr>
      <w:r>
        <w:t>movement, and observing that over the last ten years there has been a marked absence of any</w:t>
      </w:r>
    </w:p>
    <w:p w:rsidR="00361B4D" w:rsidRDefault="00361B4D" w:rsidP="0000419F">
      <w:pPr>
        <w:pStyle w:val="NoSpacing"/>
        <w:spacing w:line="360" w:lineRule="auto"/>
      </w:pPr>
      <w:r>
        <w:t>radical new thinking by the Government in philosophical or legal terms. The focus has been on</w:t>
      </w:r>
    </w:p>
    <w:p w:rsidR="00361B4D" w:rsidRDefault="00361B4D" w:rsidP="0000419F">
      <w:pPr>
        <w:pStyle w:val="NoSpacing"/>
        <w:spacing w:line="360" w:lineRule="auto"/>
      </w:pPr>
      <w:r>
        <w:lastRenderedPageBreak/>
        <w:t xml:space="preserve">structural and administrative reform and he quotes with approval </w:t>
      </w:r>
      <w:proofErr w:type="spellStart"/>
      <w:r>
        <w:t>Onora</w:t>
      </w:r>
      <w:proofErr w:type="spellEnd"/>
      <w:r>
        <w:t xml:space="preserve"> O’Neill’s observation in</w:t>
      </w:r>
    </w:p>
    <w:p w:rsidR="00361B4D" w:rsidRDefault="00361B4D" w:rsidP="0000419F">
      <w:pPr>
        <w:pStyle w:val="NoSpacing"/>
        <w:spacing w:line="360" w:lineRule="auto"/>
      </w:pPr>
      <w:r>
        <w:t>the 2002 Reith Lecture that “central planning may have failed in the Soviet Union but it is alive</w:t>
      </w:r>
    </w:p>
    <w:p w:rsidR="00361B4D" w:rsidRDefault="00361B4D" w:rsidP="0000419F">
      <w:pPr>
        <w:pStyle w:val="NoSpacing"/>
        <w:spacing w:line="360" w:lineRule="auto"/>
      </w:pPr>
      <w:r>
        <w:t>and well in Britain today”</w:t>
      </w:r>
    </w:p>
    <w:p w:rsidR="00207C73" w:rsidRDefault="00207C73" w:rsidP="0000419F">
      <w:pPr>
        <w:pStyle w:val="NoSpacing"/>
        <w:spacing w:line="360" w:lineRule="auto"/>
      </w:pPr>
    </w:p>
    <w:p w:rsidR="00207C73" w:rsidRDefault="00207C73" w:rsidP="0000419F">
      <w:pPr>
        <w:pStyle w:val="NoSpacing"/>
        <w:spacing w:line="360" w:lineRule="auto"/>
      </w:pPr>
      <w:r>
        <w:t>Having set the scene, the author then proceeds to approach (attack is possibly a better word) the</w:t>
      </w:r>
    </w:p>
    <w:p w:rsidR="00207C73" w:rsidRDefault="00207C73" w:rsidP="0000419F">
      <w:pPr>
        <w:pStyle w:val="NoSpacing"/>
        <w:spacing w:line="360" w:lineRule="auto"/>
      </w:pPr>
      <w:r>
        <w:t>subject in such a way as to disentangle its complexity and persuade even the most timorous reader</w:t>
      </w:r>
    </w:p>
    <w:p w:rsidR="00207C73" w:rsidRDefault="00207C73" w:rsidP="0000419F">
      <w:pPr>
        <w:pStyle w:val="NoSpacing"/>
        <w:spacing w:line="360" w:lineRule="auto"/>
      </w:pPr>
      <w:r>
        <w:t>that it is possible, at the very least, to grasp the essentials of this demanding and at times rather</w:t>
      </w:r>
    </w:p>
    <w:p w:rsidR="00207C73" w:rsidRDefault="00207C73" w:rsidP="0000419F">
      <w:pPr>
        <w:pStyle w:val="NoSpacing"/>
        <w:spacing w:line="360" w:lineRule="auto"/>
      </w:pPr>
      <w:r>
        <w:t>rambling subject. At the outset it is essential to acquire some understanding of the legal basis of</w:t>
      </w:r>
    </w:p>
    <w:p w:rsidR="00207C73" w:rsidRDefault="00207C73" w:rsidP="0000419F">
      <w:pPr>
        <w:pStyle w:val="NoSpacing"/>
        <w:spacing w:line="360" w:lineRule="auto"/>
      </w:pPr>
      <w:r>
        <w:t>the functions of social services authorities and the regulatory framework in which they are</w:t>
      </w:r>
    </w:p>
    <w:p w:rsidR="00207C73" w:rsidRDefault="00207C73" w:rsidP="0000419F">
      <w:pPr>
        <w:pStyle w:val="NoSpacing"/>
        <w:spacing w:line="360" w:lineRule="auto"/>
      </w:pPr>
      <w:r>
        <w:t>undertaken. Some comprehension of the obligatory and discretionary functions of social services</w:t>
      </w:r>
    </w:p>
    <w:p w:rsidR="00207C73" w:rsidRDefault="00207C73" w:rsidP="0000419F">
      <w:pPr>
        <w:pStyle w:val="NoSpacing"/>
        <w:spacing w:line="360" w:lineRule="auto"/>
      </w:pPr>
      <w:r>
        <w:t>authorities (the distinction between which is not always as clear as it may seem), “target” and</w:t>
      </w:r>
    </w:p>
    <w:p w:rsidR="00207C73" w:rsidRDefault="00207C73" w:rsidP="0000419F">
      <w:pPr>
        <w:pStyle w:val="NoSpacing"/>
        <w:spacing w:line="360" w:lineRule="auto"/>
      </w:pPr>
      <w:r>
        <w:t>“specific” statutory duties and the relationship between regulations, directions and guidance are</w:t>
      </w:r>
    </w:p>
    <w:p w:rsidR="00207C73" w:rsidRDefault="00207C73" w:rsidP="0000419F">
      <w:pPr>
        <w:pStyle w:val="NoSpacing"/>
        <w:spacing w:line="360" w:lineRule="auto"/>
      </w:pPr>
      <w:r>
        <w:t>important if the reader is to make headway, and in the first chapter Luke Clements addresses these</w:t>
      </w:r>
    </w:p>
    <w:p w:rsidR="00207C73" w:rsidRDefault="00207C73" w:rsidP="0000419F">
      <w:pPr>
        <w:pStyle w:val="NoSpacing"/>
        <w:spacing w:line="360" w:lineRule="auto"/>
      </w:pPr>
      <w:r>
        <w:t>issues in a clear and comprehensive manner. It is followed by a discussion of the strategic context</w:t>
      </w:r>
    </w:p>
    <w:p w:rsidR="00207C73" w:rsidRDefault="00207C73" w:rsidP="0000419F">
      <w:pPr>
        <w:pStyle w:val="NoSpacing"/>
        <w:spacing w:line="360" w:lineRule="auto"/>
      </w:pPr>
      <w:r>
        <w:t>with an exploration of the obligations of both social services and the NHS to plan strategically,</w:t>
      </w:r>
    </w:p>
    <w:p w:rsidR="00207C73" w:rsidRDefault="00207C73" w:rsidP="0000419F">
      <w:pPr>
        <w:pStyle w:val="NoSpacing"/>
        <w:spacing w:line="360" w:lineRule="auto"/>
      </w:pPr>
      <w:r>
        <w:t>increasingly in collaboration with each other. He then moves to identify the potential beneficiaries</w:t>
      </w:r>
    </w:p>
    <w:p w:rsidR="00207C73" w:rsidRDefault="00207C73" w:rsidP="0000419F">
      <w:pPr>
        <w:pStyle w:val="NoSpacing"/>
        <w:spacing w:line="360" w:lineRule="auto"/>
      </w:pPr>
      <w:proofErr w:type="gramStart"/>
      <w:r>
        <w:t>of</w:t>
      </w:r>
      <w:proofErr w:type="gramEnd"/>
      <w:r>
        <w:t xml:space="preserve"> all this effort, and deals with the obligations of local authorities and health bodies to provide</w:t>
      </w:r>
    </w:p>
    <w:p w:rsidR="00207C73" w:rsidRDefault="00207C73" w:rsidP="0000419F">
      <w:pPr>
        <w:pStyle w:val="NoSpacing"/>
        <w:spacing w:line="360" w:lineRule="auto"/>
      </w:pPr>
      <w:r>
        <w:t>disabled people with relevant information, as well as data protection and confidentiality issues.</w:t>
      </w:r>
    </w:p>
    <w:p w:rsidR="00030F9A" w:rsidRDefault="00030F9A" w:rsidP="0000419F">
      <w:pPr>
        <w:pStyle w:val="NoSpacing"/>
        <w:spacing w:line="360" w:lineRule="auto"/>
      </w:pPr>
    </w:p>
    <w:p w:rsidR="00030F9A" w:rsidRDefault="00030F9A" w:rsidP="0000419F">
      <w:pPr>
        <w:pStyle w:val="NoSpacing"/>
        <w:spacing w:line="360" w:lineRule="auto"/>
      </w:pPr>
      <w:r>
        <w:t>Having disposed of a number of key contextual issues, the author turns in the next three chapters</w:t>
      </w:r>
    </w:p>
    <w:p w:rsidR="00030F9A" w:rsidRDefault="00030F9A" w:rsidP="0000419F">
      <w:pPr>
        <w:pStyle w:val="NoSpacing"/>
        <w:spacing w:line="360" w:lineRule="auto"/>
      </w:pPr>
      <w:proofErr w:type="gramStart"/>
      <w:r>
        <w:t>to</w:t>
      </w:r>
      <w:proofErr w:type="gramEnd"/>
      <w:r>
        <w:t xml:space="preserve"> address what many would regard as the heart of the subject: the duty of social services to assess</w:t>
      </w:r>
    </w:p>
    <w:p w:rsidR="00030F9A" w:rsidRDefault="00030F9A" w:rsidP="0000419F">
      <w:pPr>
        <w:pStyle w:val="NoSpacing"/>
        <w:spacing w:line="360" w:lineRule="auto"/>
      </w:pPr>
      <w:proofErr w:type="gramStart"/>
      <w:r>
        <w:t>need</w:t>
      </w:r>
      <w:proofErr w:type="gramEnd"/>
      <w:r>
        <w:t>, the provision of services and the care plan, and the important ancillary topic of the meaning</w:t>
      </w:r>
    </w:p>
    <w:p w:rsidR="00030F9A" w:rsidRDefault="00030F9A" w:rsidP="0000419F">
      <w:pPr>
        <w:pStyle w:val="NoSpacing"/>
        <w:spacing w:line="360" w:lineRule="auto"/>
      </w:pPr>
      <w:proofErr w:type="gramStart"/>
      <w:r>
        <w:t>of</w:t>
      </w:r>
      <w:proofErr w:type="gramEnd"/>
      <w:r>
        <w:t xml:space="preserve"> ‘ordinary residence’ (a reminder of the persistent survival of a number of Poor Law concepts</w:t>
      </w:r>
    </w:p>
    <w:p w:rsidR="00030F9A" w:rsidRDefault="00030F9A" w:rsidP="0000419F">
      <w:pPr>
        <w:pStyle w:val="NoSpacing"/>
        <w:spacing w:line="360" w:lineRule="auto"/>
      </w:pPr>
      <w:proofErr w:type="gramStart"/>
      <w:r>
        <w:t>in</w:t>
      </w:r>
      <w:proofErr w:type="gramEnd"/>
      <w:r>
        <w:t xml:space="preserve"> the current law). Assessment and care planning are as Luke Clements reminds us, central to the</w:t>
      </w:r>
    </w:p>
    <w:p w:rsidR="00030F9A" w:rsidRDefault="00030F9A" w:rsidP="0000419F">
      <w:pPr>
        <w:pStyle w:val="NoSpacing"/>
        <w:spacing w:line="360" w:lineRule="auto"/>
      </w:pPr>
      <w:proofErr w:type="gramStart"/>
      <w:r>
        <w:t>social</w:t>
      </w:r>
      <w:proofErr w:type="gramEnd"/>
      <w:r>
        <w:t xml:space="preserve"> work process and seek to reconcile the demand for services with the resources available.</w:t>
      </w:r>
    </w:p>
    <w:p w:rsidR="00030F9A" w:rsidRDefault="00030F9A" w:rsidP="0000419F">
      <w:pPr>
        <w:pStyle w:val="NoSpacing"/>
        <w:spacing w:line="360" w:lineRule="auto"/>
      </w:pPr>
      <w:r>
        <w:t>He quotes Phyllida Parsloe’s comments of over ten years ago that “the NHS and Community Care</w:t>
      </w:r>
    </w:p>
    <w:p w:rsidR="00030F9A" w:rsidRDefault="00030F9A" w:rsidP="0000419F">
      <w:pPr>
        <w:pStyle w:val="NoSpacing"/>
        <w:spacing w:line="360" w:lineRule="auto"/>
      </w:pPr>
      <w:r>
        <w:t>Act backs a whole field of horses, with the two front runners being user choice and scarce</w:t>
      </w:r>
    </w:p>
    <w:p w:rsidR="00030F9A" w:rsidRDefault="00030F9A" w:rsidP="0000419F">
      <w:pPr>
        <w:pStyle w:val="NoSpacing"/>
        <w:spacing w:line="360" w:lineRule="auto"/>
      </w:pPr>
      <w:proofErr w:type="gramStart"/>
      <w:r>
        <w:t>resources.</w:t>
      </w:r>
      <w:proofErr w:type="gramEnd"/>
      <w:r>
        <w:t xml:space="preserve"> Local authorities are apparently expected to give equal weight to empowering users and</w:t>
      </w:r>
    </w:p>
    <w:p w:rsidR="00030F9A" w:rsidRDefault="00030F9A" w:rsidP="0000419F">
      <w:pPr>
        <w:pStyle w:val="NoSpacing"/>
        <w:spacing w:line="360" w:lineRule="auto"/>
      </w:pPr>
      <w:r>
        <w:t>ke</w:t>
      </w:r>
      <w:r>
        <w:t>eping w</w:t>
      </w:r>
      <w:bookmarkStart w:id="0" w:name="_GoBack"/>
      <w:bookmarkEnd w:id="0"/>
      <w:r>
        <w:t>ithin their own budget”.</w:t>
      </w:r>
      <w:r>
        <w:rPr>
          <w:rStyle w:val="FootnoteReference"/>
        </w:rPr>
        <w:footnoteReference w:id="1"/>
      </w:r>
    </w:p>
    <w:p w:rsidR="00233492" w:rsidRDefault="00233492" w:rsidP="0000419F">
      <w:pPr>
        <w:pStyle w:val="NoSpacing"/>
        <w:spacing w:line="360" w:lineRule="auto"/>
      </w:pPr>
    </w:p>
    <w:p w:rsidR="00233492" w:rsidRDefault="00233492" w:rsidP="0000419F">
      <w:pPr>
        <w:pStyle w:val="NoSpacing"/>
        <w:spacing w:line="360" w:lineRule="auto"/>
      </w:pPr>
      <w:r>
        <w:t>Eligibility for assessment, the nature of an assessment, the assessment process itself, what needs</w:t>
      </w:r>
    </w:p>
    <w:p w:rsidR="00233492" w:rsidRDefault="00233492" w:rsidP="0000419F">
      <w:pPr>
        <w:pStyle w:val="NoSpacing"/>
        <w:spacing w:line="360" w:lineRule="auto"/>
      </w:pPr>
      <w:proofErr w:type="gramStart"/>
      <w:r>
        <w:t>must</w:t>
      </w:r>
      <w:proofErr w:type="gramEnd"/>
      <w:r>
        <w:t xml:space="preserve"> be satisfied by the provision of services, the issue of resources and the limits of the eligibility</w:t>
      </w:r>
    </w:p>
    <w:p w:rsidR="00233492" w:rsidRDefault="00233492" w:rsidP="0000419F">
      <w:pPr>
        <w:pStyle w:val="NoSpacing"/>
        <w:spacing w:line="360" w:lineRule="auto"/>
      </w:pPr>
      <w:proofErr w:type="gramStart"/>
      <w:r>
        <w:t>criteria</w:t>
      </w:r>
      <w:proofErr w:type="gramEnd"/>
      <w:r>
        <w:t xml:space="preserve"> (in particular the key case of </w:t>
      </w:r>
      <w:r w:rsidRPr="0098760C">
        <w:rPr>
          <w:i/>
        </w:rPr>
        <w:t>R v Gloucestershire CC ex p Barry</w:t>
      </w:r>
      <w:r w:rsidR="0098760C">
        <w:rPr>
          <w:rStyle w:val="FootnoteReference"/>
          <w:i/>
        </w:rPr>
        <w:footnoteReference w:id="2"/>
      </w:r>
      <w:r>
        <w:t>), and timescales for</w:t>
      </w:r>
    </w:p>
    <w:p w:rsidR="00233492" w:rsidRDefault="00233492" w:rsidP="0000419F">
      <w:pPr>
        <w:pStyle w:val="NoSpacing"/>
        <w:spacing w:line="360" w:lineRule="auto"/>
      </w:pPr>
      <w:r>
        <w:lastRenderedPageBreak/>
        <w:t>assessments are amongst the issues dealt with in the assessment chapter with the assistance of</w:t>
      </w:r>
    </w:p>
    <w:p w:rsidR="00233492" w:rsidRDefault="00233492" w:rsidP="0000419F">
      <w:pPr>
        <w:pStyle w:val="NoSpacing"/>
        <w:spacing w:line="360" w:lineRule="auto"/>
      </w:pPr>
      <w:r>
        <w:t>helpful explanatory diagrams. A similar logical approach is taken to the provision of services and</w:t>
      </w:r>
    </w:p>
    <w:p w:rsidR="00233492" w:rsidRDefault="00233492" w:rsidP="0000419F">
      <w:pPr>
        <w:pStyle w:val="NoSpacing"/>
        <w:spacing w:line="360" w:lineRule="auto"/>
      </w:pPr>
      <w:r>
        <w:t>care planning with a particularly helpful diagram addressing common service problems.</w:t>
      </w:r>
    </w:p>
    <w:p w:rsidR="00233492" w:rsidRDefault="00233492" w:rsidP="0000419F">
      <w:pPr>
        <w:pStyle w:val="NoSpacing"/>
        <w:spacing w:line="360" w:lineRule="auto"/>
      </w:pPr>
    </w:p>
    <w:p w:rsidR="00233492" w:rsidRDefault="00233492" w:rsidP="0000419F">
      <w:pPr>
        <w:pStyle w:val="NoSpacing"/>
        <w:spacing w:line="360" w:lineRule="auto"/>
      </w:pPr>
      <w:r>
        <w:t>Care home accommodation and domiciliary and community-based services are the subjects of the</w:t>
      </w:r>
    </w:p>
    <w:p w:rsidR="00233492" w:rsidRDefault="00233492" w:rsidP="0000419F">
      <w:pPr>
        <w:pStyle w:val="NoSpacing"/>
        <w:spacing w:line="360" w:lineRule="auto"/>
      </w:pPr>
      <w:r>
        <w:t>next two chapters. Particularly helpful are the discussion about the legal implications of home</w:t>
      </w:r>
    </w:p>
    <w:p w:rsidR="00233492" w:rsidRDefault="00233492" w:rsidP="0000419F">
      <w:pPr>
        <w:pStyle w:val="NoSpacing"/>
        <w:spacing w:line="360" w:lineRule="auto"/>
      </w:pPr>
      <w:r>
        <w:t>cl</w:t>
      </w:r>
      <w:r w:rsidR="0098760C">
        <w:t>osures (especially the Coughlan</w:t>
      </w:r>
      <w:r w:rsidR="0098760C">
        <w:rPr>
          <w:rStyle w:val="FootnoteReference"/>
        </w:rPr>
        <w:footnoteReference w:id="3"/>
      </w:r>
      <w:r>
        <w:t xml:space="preserve"> case) and the author’s attempt to present diagrammatically the</w:t>
      </w:r>
    </w:p>
    <w:p w:rsidR="00233492" w:rsidRDefault="00233492" w:rsidP="0000419F">
      <w:pPr>
        <w:pStyle w:val="NoSpacing"/>
        <w:spacing w:line="360" w:lineRule="auto"/>
      </w:pPr>
      <w:r>
        <w:t>ludicrously complicated legal basis for the provision of domiciliary and community based services.</w:t>
      </w:r>
    </w:p>
    <w:p w:rsidR="00233492" w:rsidRDefault="00233492" w:rsidP="0000419F">
      <w:pPr>
        <w:pStyle w:val="NoSpacing"/>
        <w:spacing w:line="360" w:lineRule="auto"/>
      </w:pPr>
      <w:r>
        <w:t xml:space="preserve">An example of the author’s attention to detail as well as the practical value of this book for </w:t>
      </w:r>
    </w:p>
    <w:p w:rsidR="00233492" w:rsidRDefault="00233492" w:rsidP="0000419F">
      <w:pPr>
        <w:pStyle w:val="NoSpacing"/>
        <w:spacing w:line="360" w:lineRule="auto"/>
      </w:pPr>
      <w:r>
        <w:t xml:space="preserve">non-lawyers </w:t>
      </w:r>
      <w:r>
        <w:t>working in the field, is the section on manual handling – relevant not only in care homes</w:t>
      </w:r>
    </w:p>
    <w:p w:rsidR="00233492" w:rsidRDefault="00233492" w:rsidP="0000419F">
      <w:pPr>
        <w:pStyle w:val="NoSpacing"/>
        <w:spacing w:line="360" w:lineRule="auto"/>
      </w:pPr>
      <w:proofErr w:type="gramStart"/>
      <w:r>
        <w:t>but</w:t>
      </w:r>
      <w:proofErr w:type="gramEnd"/>
      <w:r>
        <w:t xml:space="preserve"> increasingly in domiciliary and community settings.</w:t>
      </w:r>
    </w:p>
    <w:p w:rsidR="00233492" w:rsidRDefault="00233492" w:rsidP="0000419F">
      <w:pPr>
        <w:pStyle w:val="NoSpacing"/>
        <w:spacing w:line="360" w:lineRule="auto"/>
      </w:pPr>
    </w:p>
    <w:p w:rsidR="0098760C" w:rsidRDefault="00233492" w:rsidP="0000419F">
      <w:pPr>
        <w:pStyle w:val="NoSpacing"/>
        <w:spacing w:line="360" w:lineRule="auto"/>
      </w:pPr>
      <w:r>
        <w:t xml:space="preserve">An alternative way in which local authorities can discharge their community care responsibilities is </w:t>
      </w:r>
    </w:p>
    <w:p w:rsidR="0098760C" w:rsidRDefault="0098760C" w:rsidP="0000419F">
      <w:pPr>
        <w:pStyle w:val="NoSpacing"/>
        <w:spacing w:line="360" w:lineRule="auto"/>
      </w:pPr>
      <w:proofErr w:type="gramStart"/>
      <w:r>
        <w:t>by</w:t>
      </w:r>
      <w:proofErr w:type="gramEnd"/>
      <w:r>
        <w:t xml:space="preserve"> </w:t>
      </w:r>
      <w:r w:rsidR="00233492">
        <w:t xml:space="preserve">way of direct payments. It is probably fair to observe that this particular alternative is where the </w:t>
      </w:r>
    </w:p>
    <w:p w:rsidR="0098760C" w:rsidRDefault="0098760C" w:rsidP="0000419F">
      <w:pPr>
        <w:pStyle w:val="NoSpacing"/>
        <w:spacing w:line="360" w:lineRule="auto"/>
      </w:pPr>
      <w:r>
        <w:t xml:space="preserve">aims </w:t>
      </w:r>
      <w:r w:rsidR="00233492">
        <w:t xml:space="preserve">and objectives of the disability rights movement and community care provision appear to be </w:t>
      </w:r>
    </w:p>
    <w:p w:rsidR="00695F38" w:rsidRDefault="00233492" w:rsidP="0000419F">
      <w:pPr>
        <w:pStyle w:val="NoSpacing"/>
        <w:spacing w:line="360" w:lineRule="auto"/>
      </w:pPr>
      <w:r>
        <w:t>least in</w:t>
      </w:r>
      <w:r w:rsidR="0098760C">
        <w:t xml:space="preserve"> </w:t>
      </w:r>
      <w:r w:rsidR="00695F38">
        <w:t xml:space="preserve">collision and the legal framework within which they are administered is presented in a </w:t>
      </w:r>
    </w:p>
    <w:p w:rsidR="00695F38" w:rsidRDefault="00695F38" w:rsidP="0000419F">
      <w:pPr>
        <w:pStyle w:val="NoSpacing"/>
        <w:spacing w:line="360" w:lineRule="auto"/>
      </w:pPr>
      <w:r>
        <w:t>separate chapter.</w:t>
      </w:r>
    </w:p>
    <w:p w:rsidR="00695F38" w:rsidRDefault="00695F38" w:rsidP="0000419F">
      <w:pPr>
        <w:pStyle w:val="NoSpacing"/>
        <w:spacing w:line="360" w:lineRule="auto"/>
      </w:pPr>
    </w:p>
    <w:p w:rsidR="00695F38" w:rsidRDefault="00695F38" w:rsidP="0000419F">
      <w:pPr>
        <w:pStyle w:val="NoSpacing"/>
        <w:spacing w:line="360" w:lineRule="auto"/>
      </w:pPr>
      <w:r>
        <w:t>Social services authorities and their responsibilities are the principal focus of the first nine chapters.</w:t>
      </w:r>
    </w:p>
    <w:p w:rsidR="00695F38" w:rsidRDefault="00695F38" w:rsidP="0000419F">
      <w:pPr>
        <w:pStyle w:val="NoSpacing"/>
        <w:spacing w:line="360" w:lineRule="auto"/>
      </w:pPr>
      <w:r>
        <w:t>One of the reasons for the complexity of the subject is that as Luke Clements notes: “At no time</w:t>
      </w:r>
    </w:p>
    <w:p w:rsidR="00695F38" w:rsidRDefault="00695F38" w:rsidP="0000419F">
      <w:pPr>
        <w:pStyle w:val="NoSpacing"/>
        <w:spacing w:line="360" w:lineRule="auto"/>
      </w:pPr>
      <w:r>
        <w:t>since the formation of the NHS has there been a clear separation between its responsibilities for</w:t>
      </w:r>
    </w:p>
    <w:p w:rsidR="00695F38" w:rsidRDefault="00695F38" w:rsidP="0000419F">
      <w:pPr>
        <w:pStyle w:val="NoSpacing"/>
        <w:spacing w:line="360" w:lineRule="auto"/>
      </w:pPr>
      <w:r>
        <w:t>health services and those of the local authorities for care services.” In a chapter entitled NHS</w:t>
      </w:r>
    </w:p>
    <w:p w:rsidR="00695F38" w:rsidRDefault="00695F38" w:rsidP="0000419F">
      <w:pPr>
        <w:pStyle w:val="NoSpacing"/>
        <w:spacing w:line="360" w:lineRule="auto"/>
      </w:pPr>
      <w:r>
        <w:t>responsibilities for community care services, Luke Clements places those responsibilities in a</w:t>
      </w:r>
    </w:p>
    <w:p w:rsidR="00695F38" w:rsidRDefault="00695F38" w:rsidP="0000419F">
      <w:pPr>
        <w:pStyle w:val="NoSpacing"/>
        <w:spacing w:line="360" w:lineRule="auto"/>
      </w:pPr>
      <w:r>
        <w:t>concise historical context and then addresses a number of crucial issues. These include the NHS’s</w:t>
      </w:r>
    </w:p>
    <w:p w:rsidR="00695F38" w:rsidRDefault="00695F38" w:rsidP="0000419F">
      <w:pPr>
        <w:pStyle w:val="NoSpacing"/>
        <w:spacing w:line="360" w:lineRule="auto"/>
      </w:pPr>
      <w:r>
        <w:t>continuing health care responsibilities, the scope of which has been exercising the service since at</w:t>
      </w:r>
    </w:p>
    <w:p w:rsidR="00695F38" w:rsidRDefault="00695F38" w:rsidP="0000419F">
      <w:pPr>
        <w:pStyle w:val="NoSpacing"/>
        <w:spacing w:line="360" w:lineRule="auto"/>
      </w:pPr>
      <w:r>
        <w:t xml:space="preserve">least 1957 and the publication of the </w:t>
      </w:r>
      <w:proofErr w:type="spellStart"/>
      <w:r>
        <w:t>Bouchier</w:t>
      </w:r>
      <w:proofErr w:type="spellEnd"/>
      <w:r>
        <w:t xml:space="preserve"> Report which addressed the worries of local</w:t>
      </w:r>
    </w:p>
    <w:p w:rsidR="00695F38" w:rsidRDefault="00695F38" w:rsidP="0000419F">
      <w:pPr>
        <w:pStyle w:val="NoSpacing"/>
        <w:spacing w:line="360" w:lineRule="auto"/>
      </w:pPr>
      <w:r>
        <w:t>authorities that their residential homes were caring for many people who ought to be in hospital.</w:t>
      </w:r>
    </w:p>
    <w:p w:rsidR="00695F38" w:rsidRDefault="00695F38" w:rsidP="0000419F">
      <w:pPr>
        <w:pStyle w:val="NoSpacing"/>
        <w:spacing w:line="360" w:lineRule="auto"/>
      </w:pPr>
      <w:r>
        <w:t>More recently this problem has been the subject of high profile publicity commencing with the</w:t>
      </w:r>
    </w:p>
    <w:p w:rsidR="00695F38" w:rsidRDefault="00695F38" w:rsidP="0000419F">
      <w:pPr>
        <w:pStyle w:val="NoSpacing"/>
        <w:spacing w:line="360" w:lineRule="auto"/>
      </w:pPr>
      <w:r>
        <w:t>publication of a highly critical Health Service Commissioners report in 1994, the Coughlan case, no</w:t>
      </w:r>
    </w:p>
    <w:p w:rsidR="00695F38" w:rsidRPr="00695F38" w:rsidRDefault="00695F38" w:rsidP="0000419F">
      <w:pPr>
        <w:pStyle w:val="NoSpacing"/>
        <w:spacing w:line="360" w:lineRule="auto"/>
        <w:rPr>
          <w:i/>
        </w:rPr>
      </w:pPr>
      <w:r>
        <w:t>less than three separate sets of guidance, and finally ‘</w:t>
      </w:r>
      <w:r w:rsidRPr="00695F38">
        <w:rPr>
          <w:i/>
        </w:rPr>
        <w:t>The Continuing Care (National Health Service</w:t>
      </w:r>
    </w:p>
    <w:p w:rsidR="00695F38" w:rsidRDefault="00695F38" w:rsidP="0000419F">
      <w:pPr>
        <w:pStyle w:val="NoSpacing"/>
        <w:spacing w:line="360" w:lineRule="auto"/>
      </w:pPr>
      <w:r w:rsidRPr="00695F38">
        <w:rPr>
          <w:i/>
        </w:rPr>
        <w:t>Responsibilities) Directions 2004’</w:t>
      </w:r>
      <w:r>
        <w:t xml:space="preserve">. That it has taken so long to begin to resolve this issue is an </w:t>
      </w:r>
    </w:p>
    <w:p w:rsidR="00695F38" w:rsidRDefault="00695F38" w:rsidP="0000419F">
      <w:pPr>
        <w:pStyle w:val="NoSpacing"/>
        <w:spacing w:line="360" w:lineRule="auto"/>
      </w:pPr>
      <w:r>
        <w:t xml:space="preserve">indicator </w:t>
      </w:r>
      <w:r>
        <w:t>in itself of the wider challenges faced by those seeking to work with the law in this area.</w:t>
      </w:r>
    </w:p>
    <w:p w:rsidR="00695F38" w:rsidRDefault="00695F38" w:rsidP="0000419F">
      <w:pPr>
        <w:pStyle w:val="NoSpacing"/>
        <w:spacing w:line="360" w:lineRule="auto"/>
      </w:pPr>
    </w:p>
    <w:p w:rsidR="00695F38" w:rsidRDefault="00695F38" w:rsidP="0000419F">
      <w:pPr>
        <w:pStyle w:val="NoSpacing"/>
        <w:spacing w:line="360" w:lineRule="auto"/>
      </w:pPr>
      <w:r>
        <w:lastRenderedPageBreak/>
        <w:t>Twenty years ago it is probably correct to note that the law made no provision for the needs of</w:t>
      </w:r>
    </w:p>
    <w:p w:rsidR="00695F38" w:rsidRDefault="00695F38" w:rsidP="0000419F">
      <w:pPr>
        <w:pStyle w:val="NoSpacing"/>
        <w:spacing w:line="360" w:lineRule="auto"/>
      </w:pPr>
      <w:r>
        <w:t>carers in the community. In that time three separate piece of legislation have been enacted that give</w:t>
      </w:r>
    </w:p>
    <w:p w:rsidR="00695F38" w:rsidRDefault="00695F38" w:rsidP="0000419F">
      <w:pPr>
        <w:pStyle w:val="NoSpacing"/>
        <w:spacing w:line="360" w:lineRule="auto"/>
      </w:pPr>
      <w:r>
        <w:t>increased recognition and rights to Britain’s 6 million carers, including young carers. One again a</w:t>
      </w:r>
    </w:p>
    <w:p w:rsidR="00695F38" w:rsidRDefault="00695F38" w:rsidP="0000419F">
      <w:pPr>
        <w:pStyle w:val="NoSpacing"/>
        <w:spacing w:line="360" w:lineRule="auto"/>
      </w:pPr>
      <w:r>
        <w:t>consequence of the incremental development of the relevant statutory provision is that the</w:t>
      </w:r>
    </w:p>
    <w:p w:rsidR="00695F38" w:rsidRDefault="00695F38" w:rsidP="0000419F">
      <w:pPr>
        <w:pStyle w:val="NoSpacing"/>
        <w:spacing w:line="360" w:lineRule="auto"/>
      </w:pPr>
      <w:r>
        <w:t>resulting legal framework is in places mind numbingly complex, and the author’s diagrammatical</w:t>
      </w:r>
    </w:p>
    <w:p w:rsidR="00695F38" w:rsidRDefault="00695F38" w:rsidP="0000419F">
      <w:pPr>
        <w:pStyle w:val="NoSpacing"/>
        <w:spacing w:line="360" w:lineRule="auto"/>
      </w:pPr>
      <w:r>
        <w:t>representation of the rights of carers is a great assistance in fully understanding the implications</w:t>
      </w:r>
    </w:p>
    <w:p w:rsidR="00695F38" w:rsidRDefault="00695F38" w:rsidP="0000419F">
      <w:pPr>
        <w:pStyle w:val="NoSpacing"/>
        <w:spacing w:line="360" w:lineRule="auto"/>
      </w:pPr>
      <w:proofErr w:type="gramStart"/>
      <w:r>
        <w:t>of</w:t>
      </w:r>
      <w:proofErr w:type="gramEnd"/>
      <w:r>
        <w:t xml:space="preserve"> the chapter on carers. Similarly complex are the arrangements for charging for community care</w:t>
      </w:r>
    </w:p>
    <w:p w:rsidR="00695F38" w:rsidRDefault="00695F38" w:rsidP="0000419F">
      <w:pPr>
        <w:pStyle w:val="NoSpacing"/>
        <w:spacing w:line="360" w:lineRule="auto"/>
      </w:pPr>
      <w:r>
        <w:t>services; an issue highlighted in 2002 for mental health services by the decision of the House of</w:t>
      </w:r>
    </w:p>
    <w:p w:rsidR="00773F6A" w:rsidRDefault="00695F38" w:rsidP="0000419F">
      <w:pPr>
        <w:pStyle w:val="NoSpacing"/>
        <w:spacing w:line="360" w:lineRule="auto"/>
      </w:pPr>
      <w:r>
        <w:t xml:space="preserve">Lords in </w:t>
      </w:r>
      <w:r w:rsidRPr="00773F6A">
        <w:rPr>
          <w:i/>
        </w:rPr>
        <w:t>R v Manchester CC ex p Stennett and others</w:t>
      </w:r>
      <w:r w:rsidR="00773F6A">
        <w:rPr>
          <w:rStyle w:val="FootnoteReference"/>
          <w:i/>
        </w:rPr>
        <w:footnoteReference w:id="4"/>
      </w:r>
      <w:r>
        <w:t xml:space="preserve"> that it is unlawful for local authorities to </w:t>
      </w:r>
    </w:p>
    <w:p w:rsidR="00695F38" w:rsidRDefault="00773F6A" w:rsidP="0000419F">
      <w:pPr>
        <w:pStyle w:val="NoSpacing"/>
        <w:spacing w:line="360" w:lineRule="auto"/>
      </w:pPr>
      <w:r>
        <w:t xml:space="preserve">charge </w:t>
      </w:r>
      <w:r w:rsidR="00695F38">
        <w:t>for services under section 117 of the Mental Health Act 1983. Charging by social services for</w:t>
      </w:r>
    </w:p>
    <w:p w:rsidR="00695F38" w:rsidRDefault="00695F38" w:rsidP="0000419F">
      <w:pPr>
        <w:pStyle w:val="NoSpacing"/>
        <w:spacing w:line="360" w:lineRule="auto"/>
      </w:pPr>
      <w:r>
        <w:t>community services falls under two headings: the general duty to charge for accommodation in</w:t>
      </w:r>
    </w:p>
    <w:p w:rsidR="00695F38" w:rsidRDefault="00695F38" w:rsidP="0000419F">
      <w:pPr>
        <w:pStyle w:val="NoSpacing"/>
        <w:spacing w:line="360" w:lineRule="auto"/>
      </w:pPr>
      <w:r>
        <w:t>registered care homes and the discretionary power to charge for non-accommodation services. In</w:t>
      </w:r>
    </w:p>
    <w:p w:rsidR="00695F38" w:rsidRDefault="00695F38" w:rsidP="0000419F">
      <w:pPr>
        <w:pStyle w:val="NoSpacing"/>
        <w:spacing w:line="360" w:lineRule="auto"/>
      </w:pPr>
      <w:r>
        <w:t>relation to the latter, one of the challenges is that there is no statutorily defined procedure for</w:t>
      </w:r>
    </w:p>
    <w:p w:rsidR="00695F38" w:rsidRDefault="00695F38" w:rsidP="0000419F">
      <w:pPr>
        <w:pStyle w:val="NoSpacing"/>
        <w:spacing w:line="360" w:lineRule="auto"/>
      </w:pPr>
      <w:r>
        <w:t>assessing non-accommodation charges. It is no use pretending that the home care charging rules are</w:t>
      </w:r>
    </w:p>
    <w:p w:rsidR="00695F38" w:rsidRDefault="00695F38" w:rsidP="0000419F">
      <w:pPr>
        <w:pStyle w:val="NoSpacing"/>
        <w:spacing w:line="360" w:lineRule="auto"/>
      </w:pPr>
      <w:r>
        <w:t>very easy to comprehend but the presentation in the text of a tabular example goes a long way to</w:t>
      </w:r>
    </w:p>
    <w:p w:rsidR="00695F38" w:rsidRDefault="00695F38" w:rsidP="0000419F">
      <w:pPr>
        <w:pStyle w:val="NoSpacing"/>
        <w:spacing w:line="360" w:lineRule="auto"/>
      </w:pPr>
      <w:proofErr w:type="gramStart"/>
      <w:r>
        <w:t>providing some enlightenment.</w:t>
      </w:r>
      <w:proofErr w:type="gramEnd"/>
    </w:p>
    <w:p w:rsidR="00DE2458" w:rsidRDefault="00DE2458" w:rsidP="0000419F">
      <w:pPr>
        <w:pStyle w:val="NoSpacing"/>
        <w:spacing w:line="360" w:lineRule="auto"/>
      </w:pPr>
    </w:p>
    <w:p w:rsidR="00695F38" w:rsidRDefault="00695F38" w:rsidP="0000419F">
      <w:pPr>
        <w:pStyle w:val="NoSpacing"/>
        <w:spacing w:line="360" w:lineRule="auto"/>
      </w:pPr>
      <w:r>
        <w:t>The next five chapters deal with specific groups of community care service users: people with a</w:t>
      </w:r>
    </w:p>
    <w:p w:rsidR="00695F38" w:rsidRDefault="00695F38" w:rsidP="0000419F">
      <w:pPr>
        <w:pStyle w:val="NoSpacing"/>
        <w:spacing w:line="360" w:lineRule="auto"/>
      </w:pPr>
      <w:r>
        <w:t>learning disability; older people; mental health service users; users of drug, alcohol and HIV/AIDS</w:t>
      </w:r>
    </w:p>
    <w:p w:rsidR="00695F38" w:rsidRDefault="00695F38" w:rsidP="0000419F">
      <w:pPr>
        <w:pStyle w:val="NoSpacing"/>
        <w:spacing w:line="360" w:lineRule="auto"/>
      </w:pPr>
      <w:r>
        <w:t>services; tenants and owner occupiers in receipt of housing-related community care services, and</w:t>
      </w:r>
    </w:p>
    <w:p w:rsidR="00695F38" w:rsidRDefault="00695F38" w:rsidP="0000419F">
      <w:pPr>
        <w:pStyle w:val="NoSpacing"/>
        <w:spacing w:line="360" w:lineRule="auto"/>
      </w:pPr>
      <w:r>
        <w:t>finally children. The chapter on mental health service users helpfully links The National Service</w:t>
      </w:r>
    </w:p>
    <w:p w:rsidR="00695F38" w:rsidRDefault="00695F38" w:rsidP="0000419F">
      <w:pPr>
        <w:pStyle w:val="NoSpacing"/>
        <w:spacing w:line="360" w:lineRule="auto"/>
      </w:pPr>
      <w:r>
        <w:t>Framework standards, in particular Standards 2, 3 and 4, with the Care Programme Approach and</w:t>
      </w:r>
    </w:p>
    <w:p w:rsidR="00D26BDA" w:rsidRPr="00125DDC" w:rsidRDefault="00695F38" w:rsidP="0000419F">
      <w:pPr>
        <w:pStyle w:val="NoSpacing"/>
        <w:spacing w:line="360" w:lineRule="auto"/>
        <w:rPr>
          <w:i/>
        </w:rPr>
      </w:pPr>
      <w:r>
        <w:t xml:space="preserve">entitlements to community care assessments under the </w:t>
      </w:r>
      <w:r w:rsidRPr="00125DDC">
        <w:rPr>
          <w:i/>
        </w:rPr>
        <w:t xml:space="preserve">National Health Service and Community </w:t>
      </w:r>
    </w:p>
    <w:p w:rsidR="00D26BDA" w:rsidRPr="00125DDC" w:rsidRDefault="00D26BDA" w:rsidP="0000419F">
      <w:pPr>
        <w:pStyle w:val="NoSpacing"/>
        <w:spacing w:line="360" w:lineRule="auto"/>
        <w:rPr>
          <w:i/>
        </w:rPr>
      </w:pPr>
      <w:r w:rsidRPr="00125DDC">
        <w:rPr>
          <w:i/>
        </w:rPr>
        <w:t xml:space="preserve">Care </w:t>
      </w:r>
      <w:r w:rsidR="00695F38" w:rsidRPr="00125DDC">
        <w:rPr>
          <w:i/>
        </w:rPr>
        <w:t>Act 1990</w:t>
      </w:r>
      <w:r w:rsidR="00695F38">
        <w:t xml:space="preserve">, and considers the decision in </w:t>
      </w:r>
      <w:r w:rsidR="00695F38" w:rsidRPr="00125DDC">
        <w:rPr>
          <w:i/>
        </w:rPr>
        <w:t>R (on the application of HP and KP)</w:t>
      </w:r>
      <w:r w:rsidR="00695F38">
        <w:t xml:space="preserve"> </w:t>
      </w:r>
      <w:r w:rsidR="00695F38" w:rsidRPr="00125DDC">
        <w:rPr>
          <w:i/>
        </w:rPr>
        <w:t xml:space="preserve">v London Borough </w:t>
      </w:r>
    </w:p>
    <w:p w:rsidR="00695F38" w:rsidRDefault="00D26BDA" w:rsidP="0000419F">
      <w:pPr>
        <w:pStyle w:val="NoSpacing"/>
        <w:spacing w:line="360" w:lineRule="auto"/>
      </w:pPr>
      <w:proofErr w:type="gramStart"/>
      <w:r w:rsidRPr="00125DDC">
        <w:rPr>
          <w:i/>
        </w:rPr>
        <w:t>of</w:t>
      </w:r>
      <w:proofErr w:type="gramEnd"/>
      <w:r w:rsidRPr="00125DDC">
        <w:rPr>
          <w:i/>
        </w:rPr>
        <w:t xml:space="preserve"> </w:t>
      </w:r>
      <w:r w:rsidR="00695F38" w:rsidRPr="00125DDC">
        <w:rPr>
          <w:i/>
        </w:rPr>
        <w:t>Islington</w:t>
      </w:r>
      <w:r>
        <w:rPr>
          <w:rStyle w:val="FootnoteReference"/>
        </w:rPr>
        <w:footnoteReference w:id="5"/>
      </w:r>
      <w:r w:rsidR="00695F38">
        <w:t>. It finishes with a comprehensive examination of the implications of section 117 of the</w:t>
      </w:r>
    </w:p>
    <w:p w:rsidR="00695F38" w:rsidRDefault="00695F38" w:rsidP="0000419F">
      <w:pPr>
        <w:pStyle w:val="NoSpacing"/>
        <w:spacing w:line="360" w:lineRule="auto"/>
      </w:pPr>
      <w:r>
        <w:t xml:space="preserve">Mental Health Act </w:t>
      </w:r>
      <w:proofErr w:type="gramStart"/>
      <w:r>
        <w:t>1983,</w:t>
      </w:r>
      <w:proofErr w:type="gramEnd"/>
      <w:r>
        <w:t xml:space="preserve"> and the author’s consideration of the duration of the duty under this</w:t>
      </w:r>
    </w:p>
    <w:p w:rsidR="00233492" w:rsidRDefault="00695F38" w:rsidP="0000419F">
      <w:pPr>
        <w:pStyle w:val="NoSpacing"/>
        <w:spacing w:line="360" w:lineRule="auto"/>
      </w:pPr>
      <w:proofErr w:type="gramStart"/>
      <w:r>
        <w:t>section</w:t>
      </w:r>
      <w:proofErr w:type="gramEnd"/>
      <w:r>
        <w:t xml:space="preserve"> is especially helpful.</w:t>
      </w:r>
    </w:p>
    <w:p w:rsidR="00DE2458" w:rsidRDefault="00DE2458" w:rsidP="0000419F">
      <w:pPr>
        <w:pStyle w:val="NoSpacing"/>
        <w:spacing w:line="360" w:lineRule="auto"/>
      </w:pPr>
    </w:p>
    <w:p w:rsidR="00125DDC" w:rsidRDefault="00125DDC" w:rsidP="0000419F">
      <w:pPr>
        <w:pStyle w:val="NoSpacing"/>
        <w:spacing w:line="360" w:lineRule="auto"/>
      </w:pPr>
      <w:r>
        <w:t>Community Care and the Law concludes with detailed examination of the remedies available in</w:t>
      </w:r>
    </w:p>
    <w:p w:rsidR="00125DDC" w:rsidRDefault="00125DDC" w:rsidP="0000419F">
      <w:pPr>
        <w:pStyle w:val="NoSpacing"/>
        <w:spacing w:line="360" w:lineRule="auto"/>
      </w:pPr>
      <w:r>
        <w:t>law by which a failure in the provision of community care services may be challenged: for example,</w:t>
      </w:r>
    </w:p>
    <w:p w:rsidR="00125DDC" w:rsidRDefault="00125DDC" w:rsidP="0000419F">
      <w:pPr>
        <w:pStyle w:val="NoSpacing"/>
        <w:spacing w:line="360" w:lineRule="auto"/>
      </w:pPr>
      <w:r>
        <w:t>the various complaints procedures, judicial review, default powers; and an application to the court</w:t>
      </w:r>
    </w:p>
    <w:p w:rsidR="00125DDC" w:rsidRDefault="00125DDC" w:rsidP="0000419F">
      <w:pPr>
        <w:pStyle w:val="NoSpacing"/>
        <w:spacing w:line="360" w:lineRule="auto"/>
      </w:pPr>
      <w:r>
        <w:t>under the Human Rights Act 1998. As with the rest of the book the discussion is clear, concise</w:t>
      </w:r>
    </w:p>
    <w:p w:rsidR="00125DDC" w:rsidRDefault="00125DDC" w:rsidP="0000419F">
      <w:pPr>
        <w:pStyle w:val="NoSpacing"/>
        <w:spacing w:line="360" w:lineRule="auto"/>
      </w:pPr>
      <w:r>
        <w:lastRenderedPageBreak/>
        <w:t>and accessible to the interested non-lawyer.</w:t>
      </w:r>
    </w:p>
    <w:p w:rsidR="00DE2458" w:rsidRDefault="00DE2458" w:rsidP="0000419F">
      <w:pPr>
        <w:pStyle w:val="NoSpacing"/>
        <w:spacing w:line="360" w:lineRule="auto"/>
      </w:pPr>
    </w:p>
    <w:p w:rsidR="00125DDC" w:rsidRDefault="00125DDC" w:rsidP="0000419F">
      <w:pPr>
        <w:pStyle w:val="NoSpacing"/>
        <w:spacing w:line="360" w:lineRule="auto"/>
      </w:pPr>
      <w:r>
        <w:t>Since the publication of the first edition, Community Care and the Law has been an essential tool</w:t>
      </w:r>
    </w:p>
    <w:p w:rsidR="00125DDC" w:rsidRDefault="00125DDC" w:rsidP="0000419F">
      <w:pPr>
        <w:pStyle w:val="NoSpacing"/>
        <w:spacing w:line="360" w:lineRule="auto"/>
      </w:pPr>
      <w:proofErr w:type="gramStart"/>
      <w:r>
        <w:t>for</w:t>
      </w:r>
      <w:proofErr w:type="gramEnd"/>
      <w:r>
        <w:t xml:space="preserve"> all those who advise on community care entitlements, and the third edition merely confirms</w:t>
      </w:r>
    </w:p>
    <w:p w:rsidR="00125DDC" w:rsidRDefault="00125DDC" w:rsidP="0000419F">
      <w:pPr>
        <w:pStyle w:val="NoSpacing"/>
        <w:spacing w:line="360" w:lineRule="auto"/>
      </w:pPr>
      <w:r>
        <w:t>that position. It is well presented with a good index and an extensive range of different tables</w:t>
      </w:r>
    </w:p>
    <w:p w:rsidR="00125DDC" w:rsidRDefault="00125DDC" w:rsidP="0000419F">
      <w:pPr>
        <w:pStyle w:val="NoSpacing"/>
        <w:spacing w:line="360" w:lineRule="auto"/>
      </w:pPr>
      <w:r>
        <w:t>including those listing local government ombudsman complaints decisions referred to in the text</w:t>
      </w:r>
    </w:p>
    <w:p w:rsidR="00125DDC" w:rsidRDefault="00125DDC" w:rsidP="0000419F">
      <w:pPr>
        <w:pStyle w:val="NoSpacing"/>
        <w:spacing w:line="360" w:lineRule="auto"/>
      </w:pPr>
      <w:r>
        <w:t>and relevant circulars and guidance. In addition a number of helpful precedents are provided.</w:t>
      </w:r>
    </w:p>
    <w:p w:rsidR="00125DDC" w:rsidRDefault="00125DDC" w:rsidP="0000419F">
      <w:pPr>
        <w:pStyle w:val="NoSpacing"/>
        <w:spacing w:line="360" w:lineRule="auto"/>
      </w:pPr>
      <w:r>
        <w:t>Whilst it is always possible to identify topics that could usefully be included – for example a little</w:t>
      </w:r>
    </w:p>
    <w:p w:rsidR="00125DDC" w:rsidRPr="00125DDC" w:rsidRDefault="00125DDC" w:rsidP="0000419F">
      <w:pPr>
        <w:pStyle w:val="NoSpacing"/>
        <w:spacing w:line="360" w:lineRule="auto"/>
        <w:rPr>
          <w:i/>
        </w:rPr>
      </w:pPr>
      <w:proofErr w:type="gramStart"/>
      <w:r>
        <w:t>more</w:t>
      </w:r>
      <w:proofErr w:type="gramEnd"/>
      <w:r>
        <w:t xml:space="preserve"> on the implications of the </w:t>
      </w:r>
      <w:r w:rsidRPr="00125DDC">
        <w:rPr>
          <w:i/>
        </w:rPr>
        <w:t>Disability Discrimination Act 1995 and the Race Relations</w:t>
      </w:r>
    </w:p>
    <w:p w:rsidR="00125DDC" w:rsidRDefault="00125DDC" w:rsidP="0000419F">
      <w:pPr>
        <w:pStyle w:val="NoSpacing"/>
        <w:spacing w:line="360" w:lineRule="auto"/>
      </w:pPr>
      <w:r w:rsidRPr="00125DDC">
        <w:rPr>
          <w:i/>
        </w:rPr>
        <w:t>(Amendment) Act 2000</w:t>
      </w:r>
      <w:r>
        <w:t xml:space="preserve"> for the public authorities undertaking community care responsibilities</w:t>
      </w:r>
    </w:p>
    <w:p w:rsidR="00125DDC" w:rsidRDefault="00125DDC" w:rsidP="0000419F">
      <w:pPr>
        <w:pStyle w:val="NoSpacing"/>
        <w:spacing w:line="360" w:lineRule="auto"/>
      </w:pPr>
      <w:r>
        <w:t>would have been interesting – this third edition more than enhances the reputation established by</w:t>
      </w:r>
    </w:p>
    <w:p w:rsidR="00125DDC" w:rsidRDefault="00125DDC" w:rsidP="0000419F">
      <w:pPr>
        <w:pStyle w:val="NoSpacing"/>
        <w:spacing w:line="360" w:lineRule="auto"/>
      </w:pPr>
      <w:proofErr w:type="gramStart"/>
      <w:r>
        <w:t>its</w:t>
      </w:r>
      <w:proofErr w:type="gramEnd"/>
      <w:r>
        <w:t xml:space="preserve"> predecessors. It is an essential requirement for anybody seriously interested in this subject.</w:t>
      </w:r>
    </w:p>
    <w:p w:rsidR="008720FC" w:rsidRDefault="008720FC" w:rsidP="0000419F">
      <w:pPr>
        <w:pStyle w:val="NoSpacing"/>
        <w:spacing w:line="360" w:lineRule="auto"/>
      </w:pPr>
    </w:p>
    <w:p w:rsidR="00125DDC" w:rsidRDefault="00125DDC" w:rsidP="0000419F">
      <w:pPr>
        <w:pStyle w:val="NoSpacing"/>
        <w:spacing w:line="360" w:lineRule="auto"/>
      </w:pPr>
      <w:r>
        <w:t>William Bingley,</w:t>
      </w:r>
    </w:p>
    <w:p w:rsidR="00125DDC" w:rsidRDefault="00125DDC" w:rsidP="0000419F">
      <w:pPr>
        <w:pStyle w:val="NoSpacing"/>
        <w:spacing w:line="360" w:lineRule="auto"/>
      </w:pPr>
      <w:r>
        <w:t>Professor of Mental Health Law and Ethics, University of Central Lancashire.</w:t>
      </w:r>
    </w:p>
    <w:p w:rsidR="00030F9A" w:rsidRDefault="00030F9A" w:rsidP="0000419F">
      <w:pPr>
        <w:pStyle w:val="NoSpacing"/>
        <w:spacing w:line="360" w:lineRule="auto"/>
      </w:pPr>
    </w:p>
    <w:p w:rsidR="00030F9A" w:rsidRPr="00361B4D" w:rsidRDefault="00030F9A" w:rsidP="0000419F">
      <w:pPr>
        <w:pStyle w:val="NoSpacing"/>
        <w:spacing w:line="360" w:lineRule="auto"/>
      </w:pPr>
    </w:p>
    <w:p w:rsidR="00207C73" w:rsidRPr="00361B4D" w:rsidRDefault="00207C73" w:rsidP="0000419F">
      <w:pPr>
        <w:pStyle w:val="NoSpacing"/>
        <w:spacing w:line="360" w:lineRule="auto"/>
      </w:pPr>
    </w:p>
    <w:sectPr w:rsidR="00207C73" w:rsidRPr="00361B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F9A" w:rsidRDefault="00030F9A" w:rsidP="00030F9A">
      <w:pPr>
        <w:spacing w:after="0" w:line="240" w:lineRule="auto"/>
      </w:pPr>
      <w:r>
        <w:separator/>
      </w:r>
    </w:p>
  </w:endnote>
  <w:endnote w:type="continuationSeparator" w:id="0">
    <w:p w:rsidR="00030F9A" w:rsidRDefault="00030F9A" w:rsidP="00030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F9A" w:rsidRDefault="00030F9A" w:rsidP="00030F9A">
      <w:pPr>
        <w:spacing w:after="0" w:line="240" w:lineRule="auto"/>
      </w:pPr>
      <w:r>
        <w:separator/>
      </w:r>
    </w:p>
  </w:footnote>
  <w:footnote w:type="continuationSeparator" w:id="0">
    <w:p w:rsidR="00030F9A" w:rsidRDefault="00030F9A" w:rsidP="00030F9A">
      <w:pPr>
        <w:spacing w:after="0" w:line="240" w:lineRule="auto"/>
      </w:pPr>
      <w:r>
        <w:continuationSeparator/>
      </w:r>
    </w:p>
  </w:footnote>
  <w:footnote w:id="1">
    <w:p w:rsidR="00030F9A" w:rsidRDefault="00030F9A" w:rsidP="00030F9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030F9A">
        <w:rPr>
          <w:sz w:val="16"/>
        </w:rPr>
        <w:t xml:space="preserve">Community Care, </w:t>
      </w:r>
      <w:r w:rsidRPr="00030F9A">
        <w:rPr>
          <w:sz w:val="16"/>
        </w:rPr>
        <w:t xml:space="preserve">“Making a bid for fair play”, 5 </w:t>
      </w:r>
      <w:r w:rsidRPr="00030F9A">
        <w:rPr>
          <w:sz w:val="16"/>
        </w:rPr>
        <w:t>August 1993.</w:t>
      </w:r>
    </w:p>
  </w:footnote>
  <w:footnote w:id="2">
    <w:p w:rsidR="0098760C" w:rsidRPr="0098760C" w:rsidRDefault="0098760C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98760C">
        <w:rPr>
          <w:sz w:val="16"/>
        </w:rPr>
        <w:t>[1997] 2 All ER 1</w:t>
      </w:r>
    </w:p>
  </w:footnote>
  <w:footnote w:id="3">
    <w:p w:rsidR="0098760C" w:rsidRDefault="0098760C" w:rsidP="0098760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8760C">
        <w:rPr>
          <w:sz w:val="16"/>
        </w:rPr>
        <w:t>R v North and E</w:t>
      </w:r>
      <w:r w:rsidRPr="0098760C">
        <w:rPr>
          <w:sz w:val="16"/>
        </w:rPr>
        <w:t xml:space="preserve">ast Devon Health Authority ex p </w:t>
      </w:r>
      <w:r w:rsidRPr="0098760C">
        <w:rPr>
          <w:sz w:val="16"/>
        </w:rPr>
        <w:t>Coughlan. [2000] 3 All ER 850.</w:t>
      </w:r>
    </w:p>
  </w:footnote>
  <w:footnote w:id="4">
    <w:p w:rsidR="00773F6A" w:rsidRPr="00773F6A" w:rsidRDefault="00773F6A" w:rsidP="00773F6A">
      <w:pPr>
        <w:pStyle w:val="FootnoteText"/>
        <w:rPr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773F6A">
        <w:rPr>
          <w:sz w:val="16"/>
        </w:rPr>
        <w:t>(2002) UKHL 34. See ‘C</w:t>
      </w:r>
      <w:r w:rsidRPr="00773F6A">
        <w:rPr>
          <w:sz w:val="16"/>
        </w:rPr>
        <w:t xml:space="preserve">harging for after-care services </w:t>
      </w:r>
      <w:r w:rsidRPr="00773F6A">
        <w:rPr>
          <w:sz w:val="16"/>
        </w:rPr>
        <w:t>under section 117 of</w:t>
      </w:r>
      <w:r>
        <w:rPr>
          <w:sz w:val="16"/>
        </w:rPr>
        <w:t xml:space="preserve"> the Mental Health Act 1983’ by </w:t>
      </w:r>
      <w:r w:rsidRPr="00773F6A">
        <w:rPr>
          <w:sz w:val="16"/>
        </w:rPr>
        <w:t xml:space="preserve">Nicolette </w:t>
      </w:r>
      <w:proofErr w:type="spellStart"/>
      <w:r w:rsidRPr="00773F6A">
        <w:rPr>
          <w:sz w:val="16"/>
        </w:rPr>
        <w:t>Priaulx</w:t>
      </w:r>
      <w:proofErr w:type="spellEnd"/>
      <w:r w:rsidRPr="00773F6A">
        <w:rPr>
          <w:sz w:val="16"/>
        </w:rPr>
        <w:t>, JMHL December 2002 pp 313–322.</w:t>
      </w:r>
    </w:p>
  </w:footnote>
  <w:footnote w:id="5">
    <w:p w:rsidR="00D26BDA" w:rsidRDefault="00D26BDA" w:rsidP="00D26BD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[2004] EWHC 7 (Ad</w:t>
      </w:r>
      <w:r>
        <w:t xml:space="preserve">min). This decision is reviewed </w:t>
      </w:r>
      <w:r>
        <w:t>by Joanna Sulek in this issue of the JMHL.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8CB"/>
    <w:rsid w:val="0000419F"/>
    <w:rsid w:val="00030F9A"/>
    <w:rsid w:val="00125DDC"/>
    <w:rsid w:val="00207C73"/>
    <w:rsid w:val="00233492"/>
    <w:rsid w:val="00236547"/>
    <w:rsid w:val="00361B4D"/>
    <w:rsid w:val="00461992"/>
    <w:rsid w:val="00695F38"/>
    <w:rsid w:val="006B0BA4"/>
    <w:rsid w:val="00773F6A"/>
    <w:rsid w:val="007E384B"/>
    <w:rsid w:val="0084721B"/>
    <w:rsid w:val="008720FC"/>
    <w:rsid w:val="008D08CB"/>
    <w:rsid w:val="008F41BA"/>
    <w:rsid w:val="0098760C"/>
    <w:rsid w:val="009B0805"/>
    <w:rsid w:val="00A9311D"/>
    <w:rsid w:val="00B14CF5"/>
    <w:rsid w:val="00D26BDA"/>
    <w:rsid w:val="00DE2458"/>
    <w:rsid w:val="00E07913"/>
    <w:rsid w:val="00E2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30F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0F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0F9A"/>
    <w:rPr>
      <w:vertAlign w:val="superscript"/>
    </w:rPr>
  </w:style>
  <w:style w:type="paragraph" w:styleId="NoSpacing">
    <w:name w:val="No Spacing"/>
    <w:uiPriority w:val="1"/>
    <w:qFormat/>
    <w:rsid w:val="000041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30F9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0F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0F9A"/>
    <w:rPr>
      <w:vertAlign w:val="superscript"/>
    </w:rPr>
  </w:style>
  <w:style w:type="paragraph" w:styleId="NoSpacing">
    <w:name w:val="No Spacing"/>
    <w:uiPriority w:val="1"/>
    <w:qFormat/>
    <w:rsid w:val="000041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1793</Words>
  <Characters>10223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11993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21</cp:revision>
  <dcterms:created xsi:type="dcterms:W3CDTF">2014-11-03T15:54:00Z</dcterms:created>
  <dcterms:modified xsi:type="dcterms:W3CDTF">2014-11-03T16:29:00Z</dcterms:modified>
</cp:coreProperties>
</file>