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77F" w:rsidRPr="009F077F" w:rsidRDefault="009F077F" w:rsidP="009F077F">
      <w:pPr>
        <w:rPr>
          <w:sz w:val="52"/>
          <w:szCs w:val="52"/>
        </w:rPr>
      </w:pPr>
      <w:r w:rsidRPr="009F077F">
        <w:rPr>
          <w:sz w:val="52"/>
          <w:szCs w:val="52"/>
        </w:rPr>
        <w:t>Assessment of Mental Capacity – Guidance for Doctors and Lawyers (2nd Edition)</w:t>
      </w:r>
    </w:p>
    <w:p w:rsidR="006B7AC5" w:rsidRDefault="009F077F" w:rsidP="009F077F">
      <w:pPr>
        <w:rPr>
          <w:sz w:val="28"/>
          <w:szCs w:val="28"/>
        </w:rPr>
      </w:pPr>
      <w:r w:rsidRPr="009F077F">
        <w:rPr>
          <w:sz w:val="28"/>
          <w:szCs w:val="28"/>
        </w:rPr>
        <w:t>Published by the British Medical Association and the Law Society (2004) £19.50</w:t>
      </w:r>
    </w:p>
    <w:p w:rsidR="00136CAA" w:rsidRDefault="00136CAA" w:rsidP="00136CAA">
      <w:pPr>
        <w:pStyle w:val="NoSpacing"/>
        <w:spacing w:line="360" w:lineRule="auto"/>
      </w:pPr>
    </w:p>
    <w:p w:rsidR="00136CAA" w:rsidRDefault="00136CAA" w:rsidP="00136CAA">
      <w:pPr>
        <w:pStyle w:val="NoSpacing"/>
        <w:spacing w:line="360" w:lineRule="auto"/>
      </w:pPr>
      <w:r>
        <w:t>This is an outstanding book which should be read and retained by all lawyers, doctors and any</w:t>
      </w:r>
    </w:p>
    <w:p w:rsidR="00136CAA" w:rsidRDefault="00136CAA" w:rsidP="00136CAA">
      <w:pPr>
        <w:pStyle w:val="NoSpacing"/>
        <w:spacing w:line="360" w:lineRule="auto"/>
      </w:pPr>
      <w:r>
        <w:t>other professionals, including social workers, who work with those vulnerable to mental disorder</w:t>
      </w:r>
    </w:p>
    <w:p w:rsidR="00136CAA" w:rsidRDefault="00136CAA" w:rsidP="00136CAA">
      <w:pPr>
        <w:pStyle w:val="NoSpacing"/>
        <w:spacing w:line="360" w:lineRule="auto"/>
      </w:pPr>
      <w:proofErr w:type="gramStart"/>
      <w:r>
        <w:t>or</w:t>
      </w:r>
      <w:proofErr w:type="gramEnd"/>
      <w:r>
        <w:t xml:space="preserve"> incapacity.</w:t>
      </w:r>
    </w:p>
    <w:p w:rsidR="00136CAA" w:rsidRDefault="00136CAA" w:rsidP="00136CAA">
      <w:pPr>
        <w:pStyle w:val="NoSpacing"/>
        <w:spacing w:line="360" w:lineRule="auto"/>
      </w:pPr>
    </w:p>
    <w:p w:rsidR="00136CAA" w:rsidRDefault="00136CAA" w:rsidP="00136CAA">
      <w:pPr>
        <w:pStyle w:val="NoSpacing"/>
        <w:spacing w:line="360" w:lineRule="auto"/>
      </w:pPr>
      <w:r>
        <w:t>It is nine years since the first edition and the law has developed in several crucial areas since that</w:t>
      </w:r>
    </w:p>
    <w:p w:rsidR="00136CAA" w:rsidRDefault="00136CAA" w:rsidP="00136CAA">
      <w:pPr>
        <w:pStyle w:val="NoSpacing"/>
        <w:spacing w:line="360" w:lineRule="auto"/>
      </w:pPr>
      <w:r>
        <w:t>time. Once more it has a distinguished list of contributors drawn essentially from both the legal</w:t>
      </w:r>
    </w:p>
    <w:p w:rsidR="00136CAA" w:rsidRDefault="00136CAA" w:rsidP="00136CAA">
      <w:pPr>
        <w:pStyle w:val="NoSpacing"/>
        <w:spacing w:line="360" w:lineRule="auto"/>
      </w:pPr>
      <w:r>
        <w:t>and medical professions</w:t>
      </w:r>
      <w:r>
        <w:rPr>
          <w:rStyle w:val="FootnoteReference"/>
        </w:rPr>
        <w:footnoteReference w:id="1"/>
      </w:r>
      <w:r>
        <w:t>. The book is jointly published by both the Law Society and the BMA.</w:t>
      </w:r>
    </w:p>
    <w:p w:rsidR="00136CAA" w:rsidRDefault="00136CAA" w:rsidP="00136CAA">
      <w:pPr>
        <w:pStyle w:val="NoSpacing"/>
        <w:spacing w:line="360" w:lineRule="auto"/>
      </w:pPr>
      <w:r>
        <w:t>The aim of the book primarily is to assist doctors and lawyers to apply capacity tests in a series of</w:t>
      </w:r>
    </w:p>
    <w:p w:rsidR="00136CAA" w:rsidRDefault="00136CAA" w:rsidP="00136CAA">
      <w:pPr>
        <w:pStyle w:val="NoSpacing"/>
        <w:spacing w:line="360" w:lineRule="auto"/>
      </w:pPr>
      <w:r>
        <w:t>“real-life” situations.</w:t>
      </w:r>
    </w:p>
    <w:p w:rsidR="00136CAA" w:rsidRDefault="00136CAA" w:rsidP="00136CAA">
      <w:pPr>
        <w:pStyle w:val="NoSpacing"/>
        <w:spacing w:line="360" w:lineRule="auto"/>
      </w:pPr>
    </w:p>
    <w:p w:rsidR="00136CAA" w:rsidRDefault="00136CAA" w:rsidP="00136CAA">
      <w:pPr>
        <w:pStyle w:val="NoSpacing"/>
        <w:spacing w:line="360" w:lineRule="auto"/>
      </w:pPr>
      <w:r>
        <w:t>As with the first edition, the book is very clearly written without the use of jargon. Wherever</w:t>
      </w:r>
    </w:p>
    <w:p w:rsidR="00136CAA" w:rsidRDefault="00136CAA" w:rsidP="00136CAA">
      <w:pPr>
        <w:pStyle w:val="NoSpacing"/>
        <w:spacing w:line="360" w:lineRule="auto"/>
      </w:pPr>
      <w:r>
        <w:t>technical terms are used they are clearly explained and, again as in the first edition, the book is</w:t>
      </w:r>
    </w:p>
    <w:p w:rsidR="00136CAA" w:rsidRDefault="00136CAA" w:rsidP="00136CAA">
      <w:pPr>
        <w:pStyle w:val="NoSpacing"/>
        <w:spacing w:line="360" w:lineRule="auto"/>
      </w:pPr>
      <w:r>
        <w:t>designed for busy professionals to dip into the relevant section without the need to trawl through</w:t>
      </w:r>
    </w:p>
    <w:p w:rsidR="00136CAA" w:rsidRDefault="00136CAA" w:rsidP="00136CAA">
      <w:pPr>
        <w:pStyle w:val="NoSpacing"/>
        <w:spacing w:line="360" w:lineRule="auto"/>
      </w:pPr>
      <w:proofErr w:type="gramStart"/>
      <w:r>
        <w:t>a</w:t>
      </w:r>
      <w:proofErr w:type="gramEnd"/>
      <w:r>
        <w:t xml:space="preserve"> complicated index to find what they want; although a clear index is also available. The application</w:t>
      </w:r>
    </w:p>
    <w:p w:rsidR="00136CAA" w:rsidRDefault="00136CAA" w:rsidP="00136CAA">
      <w:pPr>
        <w:pStyle w:val="NoSpacing"/>
        <w:spacing w:line="360" w:lineRule="auto"/>
      </w:pPr>
      <w:r>
        <w:t>of this approach is made clear in the introduction and although this necessarily leads to some</w:t>
      </w:r>
    </w:p>
    <w:p w:rsidR="00136CAA" w:rsidRDefault="00136CAA" w:rsidP="00136CAA">
      <w:pPr>
        <w:pStyle w:val="NoSpacing"/>
        <w:spacing w:line="360" w:lineRule="auto"/>
      </w:pPr>
      <w:r>
        <w:t>duplication, this is far outweighed by the convenience of quick use.</w:t>
      </w:r>
    </w:p>
    <w:p w:rsidR="00DE434D" w:rsidRDefault="00DE434D" w:rsidP="00136CAA">
      <w:pPr>
        <w:pStyle w:val="NoSpacing"/>
        <w:spacing w:line="360" w:lineRule="auto"/>
      </w:pPr>
    </w:p>
    <w:p w:rsidR="00136CAA" w:rsidRDefault="00136CAA" w:rsidP="00136CAA">
      <w:pPr>
        <w:pStyle w:val="NoSpacing"/>
        <w:spacing w:line="360" w:lineRule="auto"/>
      </w:pPr>
      <w:r>
        <w:t>The book starts with a precise and basic outline of the principles behind the assessment of mental</w:t>
      </w:r>
    </w:p>
    <w:p w:rsidR="00136CAA" w:rsidRDefault="00136CAA" w:rsidP="00136CAA">
      <w:pPr>
        <w:pStyle w:val="NoSpacing"/>
        <w:spacing w:line="360" w:lineRule="auto"/>
      </w:pPr>
      <w:r>
        <w:t>capacity. Here the book explains that the law adopts a “functional” approach to capacity tests with</w:t>
      </w:r>
    </w:p>
    <w:p w:rsidR="00136CAA" w:rsidRDefault="00136CAA" w:rsidP="00136CAA">
      <w:pPr>
        <w:pStyle w:val="NoSpacing"/>
        <w:spacing w:line="360" w:lineRule="auto"/>
      </w:pPr>
      <w:r>
        <w:t>the need for an assessment in relation to a particular decision at the time it needs to be made.</w:t>
      </w:r>
    </w:p>
    <w:p w:rsidR="00136CAA" w:rsidRDefault="00136CAA" w:rsidP="00136CAA">
      <w:pPr>
        <w:pStyle w:val="NoSpacing"/>
        <w:spacing w:line="360" w:lineRule="auto"/>
      </w:pPr>
      <w:r>
        <w:t>So the legal understanding for any decision depends on the ability to comprehend the necessary</w:t>
      </w:r>
    </w:p>
    <w:p w:rsidR="00136CAA" w:rsidRDefault="00136CAA" w:rsidP="00136CAA">
      <w:pPr>
        <w:pStyle w:val="NoSpacing"/>
        <w:spacing w:line="360" w:lineRule="auto"/>
      </w:pPr>
      <w:r>
        <w:t>complexity of the relevant decision and, additionally, to apply any relevant test of capacity that</w:t>
      </w:r>
    </w:p>
    <w:p w:rsidR="00136CAA" w:rsidRDefault="00136CAA" w:rsidP="00136CAA">
      <w:pPr>
        <w:pStyle w:val="NoSpacing"/>
        <w:spacing w:line="360" w:lineRule="auto"/>
      </w:pPr>
      <w:r>
        <w:t>exists.</w:t>
      </w:r>
    </w:p>
    <w:p w:rsidR="00DE434D" w:rsidRDefault="00DE434D" w:rsidP="00136CAA">
      <w:pPr>
        <w:pStyle w:val="NoSpacing"/>
        <w:spacing w:line="360" w:lineRule="auto"/>
      </w:pPr>
    </w:p>
    <w:p w:rsidR="00136CAA" w:rsidRDefault="00136CAA" w:rsidP="00136CAA">
      <w:pPr>
        <w:pStyle w:val="NoSpacing"/>
        <w:spacing w:line="360" w:lineRule="auto"/>
      </w:pPr>
      <w:r>
        <w:lastRenderedPageBreak/>
        <w:t>However, before exploring basic legal principles further, the book carefully places the role of both</w:t>
      </w:r>
    </w:p>
    <w:p w:rsidR="00136CAA" w:rsidRDefault="00136CAA" w:rsidP="00136CAA">
      <w:pPr>
        <w:pStyle w:val="NoSpacing"/>
        <w:spacing w:line="360" w:lineRule="auto"/>
      </w:pPr>
      <w:r>
        <w:t>doctor and lawyer in the context of applied ethics for both professions. Thus solicitors are gently</w:t>
      </w:r>
    </w:p>
    <w:p w:rsidR="00136CAA" w:rsidRDefault="00136CAA" w:rsidP="00136CAA">
      <w:pPr>
        <w:pStyle w:val="NoSpacing"/>
        <w:spacing w:line="360" w:lineRule="auto"/>
      </w:pPr>
      <w:r>
        <w:t>reminded that they would be acting negligently if they did not satisfy themselves of a client’s</w:t>
      </w:r>
    </w:p>
    <w:p w:rsidR="00136CAA" w:rsidRDefault="00136CAA" w:rsidP="00136CAA">
      <w:pPr>
        <w:pStyle w:val="NoSpacing"/>
        <w:spacing w:line="360" w:lineRule="auto"/>
      </w:pPr>
      <w:r>
        <w:t>capacity before accepting instructions. Issues of confidentiality are reviewed here and the principle</w:t>
      </w:r>
    </w:p>
    <w:p w:rsidR="00136CAA" w:rsidRDefault="00136CAA" w:rsidP="00136CAA">
      <w:pPr>
        <w:pStyle w:val="NoSpacing"/>
        <w:spacing w:line="360" w:lineRule="auto"/>
      </w:pPr>
      <w:proofErr w:type="gramStart"/>
      <w:r>
        <w:t>of</w:t>
      </w:r>
      <w:proofErr w:type="gramEnd"/>
      <w:r>
        <w:t xml:space="preserve"> generally retaining this, or at least only releasing the minimum amount of information required</w:t>
      </w:r>
    </w:p>
    <w:p w:rsidR="00136CAA" w:rsidRDefault="00136CAA" w:rsidP="00136CAA">
      <w:pPr>
        <w:pStyle w:val="NoSpacing"/>
        <w:spacing w:line="360" w:lineRule="auto"/>
      </w:pPr>
      <w:proofErr w:type="gramStart"/>
      <w:r>
        <w:t>to</w:t>
      </w:r>
      <w:proofErr w:type="gramEnd"/>
      <w:r>
        <w:t xml:space="preserve"> complete a capacity assessment. Here not only is the narrow test arising in </w:t>
      </w:r>
      <w:r w:rsidRPr="00AF501F">
        <w:rPr>
          <w:i/>
        </w:rPr>
        <w:t>W v Egdell</w:t>
      </w:r>
      <w:r w:rsidR="00AF501F">
        <w:rPr>
          <w:rStyle w:val="FootnoteReference"/>
          <w:i/>
        </w:rPr>
        <w:footnoteReference w:id="2"/>
      </w:r>
      <w:r>
        <w:t xml:space="preserve"> referred</w:t>
      </w:r>
    </w:p>
    <w:p w:rsidR="00136CAA" w:rsidRDefault="00136CAA" w:rsidP="00136CAA">
      <w:pPr>
        <w:pStyle w:val="NoSpacing"/>
        <w:spacing w:line="360" w:lineRule="auto"/>
      </w:pPr>
      <w:proofErr w:type="gramStart"/>
      <w:r>
        <w:t>to</w:t>
      </w:r>
      <w:proofErr w:type="gramEnd"/>
      <w:r>
        <w:t xml:space="preserve"> but also the more recent case of </w:t>
      </w:r>
      <w:r w:rsidRPr="00AF501F">
        <w:rPr>
          <w:i/>
        </w:rPr>
        <w:t>R (on the application of S) v Plymouth City Council</w:t>
      </w:r>
      <w:r w:rsidR="00AF501F">
        <w:rPr>
          <w:rStyle w:val="FootnoteReference"/>
          <w:i/>
        </w:rPr>
        <w:footnoteReference w:id="3"/>
      </w:r>
      <w:r>
        <w:t xml:space="preserve"> and the</w:t>
      </w:r>
    </w:p>
    <w:p w:rsidR="00136CAA" w:rsidRDefault="00136CAA" w:rsidP="00136CAA">
      <w:pPr>
        <w:pStyle w:val="NoSpacing"/>
        <w:spacing w:line="360" w:lineRule="auto"/>
      </w:pPr>
      <w:r>
        <w:t>comments of Lady Justice Hale (as she then was) regarding disclosure to a mother of social services</w:t>
      </w:r>
    </w:p>
    <w:p w:rsidR="00136CAA" w:rsidRDefault="00136CAA" w:rsidP="00136CAA">
      <w:pPr>
        <w:pStyle w:val="NoSpacing"/>
        <w:spacing w:line="360" w:lineRule="auto"/>
      </w:pPr>
      <w:r>
        <w:t>records in a case involving the mental impairment of her son.</w:t>
      </w:r>
    </w:p>
    <w:p w:rsidR="00AF501F" w:rsidRDefault="00AF501F" w:rsidP="00136CAA">
      <w:pPr>
        <w:pStyle w:val="NoSpacing"/>
        <w:spacing w:line="360" w:lineRule="auto"/>
      </w:pPr>
    </w:p>
    <w:p w:rsidR="00136CAA" w:rsidRDefault="00136CAA" w:rsidP="00136CAA">
      <w:pPr>
        <w:pStyle w:val="NoSpacing"/>
        <w:spacing w:line="360" w:lineRule="auto"/>
      </w:pPr>
      <w:r>
        <w:t xml:space="preserve">Lawyers are further reminded of the “golden rule” set down in </w:t>
      </w:r>
      <w:r w:rsidRPr="00AF501F">
        <w:rPr>
          <w:i/>
        </w:rPr>
        <w:t>Kenward v Adams</w:t>
      </w:r>
      <w:r w:rsidR="00AF501F">
        <w:rPr>
          <w:rStyle w:val="FootnoteReference"/>
          <w:i/>
        </w:rPr>
        <w:footnoteReference w:id="4"/>
      </w:r>
      <w:r>
        <w:t xml:space="preserve"> of obtaining</w:t>
      </w:r>
    </w:p>
    <w:p w:rsidR="00136CAA" w:rsidRDefault="00136CAA" w:rsidP="00136CAA">
      <w:pPr>
        <w:pStyle w:val="NoSpacing"/>
        <w:spacing w:line="360" w:lineRule="auto"/>
      </w:pPr>
      <w:r>
        <w:t>approval, or witnessing, of a will of an aged or potentially unwell testator. Again the prospect of a</w:t>
      </w:r>
    </w:p>
    <w:p w:rsidR="00136CAA" w:rsidRDefault="00136CAA" w:rsidP="00136CAA">
      <w:pPr>
        <w:pStyle w:val="NoSpacing"/>
        <w:spacing w:line="360" w:lineRule="auto"/>
      </w:pPr>
      <w:r>
        <w:t>negligence action hovers over those who do not comply!</w:t>
      </w:r>
    </w:p>
    <w:p w:rsidR="001408BE" w:rsidRDefault="001408BE" w:rsidP="00136CAA">
      <w:pPr>
        <w:pStyle w:val="NoSpacing"/>
        <w:spacing w:line="360" w:lineRule="auto"/>
      </w:pPr>
    </w:p>
    <w:p w:rsidR="001408BE" w:rsidRDefault="001408BE" w:rsidP="001408BE">
      <w:pPr>
        <w:pStyle w:val="NoSpacing"/>
        <w:spacing w:line="360" w:lineRule="auto"/>
      </w:pPr>
      <w:r>
        <w:t>As part of its “practical approach” in the application of proper ethics in this area, the book offers</w:t>
      </w:r>
    </w:p>
    <w:p w:rsidR="001408BE" w:rsidRDefault="001408BE" w:rsidP="001408BE">
      <w:pPr>
        <w:pStyle w:val="NoSpacing"/>
        <w:spacing w:line="360" w:lineRule="auto"/>
      </w:pPr>
      <w:proofErr w:type="gramStart"/>
      <w:r>
        <w:t>an</w:t>
      </w:r>
      <w:proofErr w:type="gramEnd"/>
      <w:r>
        <w:t xml:space="preserve"> excellent range of ways in which “the right environment” can be created for the subject of an</w:t>
      </w:r>
    </w:p>
    <w:p w:rsidR="001408BE" w:rsidRDefault="001408BE" w:rsidP="001408BE">
      <w:pPr>
        <w:pStyle w:val="NoSpacing"/>
        <w:spacing w:line="360" w:lineRule="auto"/>
      </w:pPr>
      <w:r>
        <w:t>assessment. Thus, for example, an assessor should try to:</w:t>
      </w:r>
    </w:p>
    <w:p w:rsidR="001408BE" w:rsidRDefault="001408BE" w:rsidP="006F1D5E">
      <w:pPr>
        <w:pStyle w:val="NoSpacing"/>
        <w:numPr>
          <w:ilvl w:val="0"/>
          <w:numId w:val="1"/>
        </w:numPr>
        <w:spacing w:line="360" w:lineRule="auto"/>
        <w:ind w:left="284" w:hanging="284"/>
      </w:pPr>
      <w:r>
        <w:t>“minimise stress and anxiety”;</w:t>
      </w:r>
    </w:p>
    <w:p w:rsidR="001408BE" w:rsidRDefault="001408BE" w:rsidP="006F1D5E">
      <w:pPr>
        <w:pStyle w:val="NoSpacing"/>
        <w:numPr>
          <w:ilvl w:val="0"/>
          <w:numId w:val="1"/>
        </w:numPr>
        <w:spacing w:line="360" w:lineRule="auto"/>
        <w:ind w:left="284" w:hanging="284"/>
      </w:pPr>
      <w:r>
        <w:t xml:space="preserve"> consider if factors leading to incapacity could be treated or whether otherwise capacity is likely</w:t>
      </w:r>
    </w:p>
    <w:p w:rsidR="001408BE" w:rsidRDefault="001408BE" w:rsidP="006F1D5E">
      <w:pPr>
        <w:pStyle w:val="NoSpacing"/>
        <w:numPr>
          <w:ilvl w:val="0"/>
          <w:numId w:val="1"/>
        </w:numPr>
        <w:spacing w:line="360" w:lineRule="auto"/>
        <w:ind w:left="284" w:hanging="284"/>
      </w:pPr>
      <w:r>
        <w:t>to improve;</w:t>
      </w:r>
    </w:p>
    <w:p w:rsidR="001408BE" w:rsidRDefault="001408BE" w:rsidP="006F1D5E">
      <w:pPr>
        <w:pStyle w:val="NoSpacing"/>
        <w:numPr>
          <w:ilvl w:val="0"/>
          <w:numId w:val="1"/>
        </w:numPr>
        <w:spacing w:line="360" w:lineRule="auto"/>
        <w:ind w:left="284" w:hanging="284"/>
      </w:pPr>
      <w:r>
        <w:t xml:space="preserve"> consider the side-effects of any medication;</w:t>
      </w:r>
    </w:p>
    <w:p w:rsidR="001408BE" w:rsidRDefault="001408BE" w:rsidP="006F1D5E">
      <w:pPr>
        <w:pStyle w:val="NoSpacing"/>
        <w:numPr>
          <w:ilvl w:val="0"/>
          <w:numId w:val="1"/>
        </w:numPr>
        <w:spacing w:line="360" w:lineRule="auto"/>
        <w:ind w:left="284" w:hanging="284"/>
      </w:pPr>
      <w:r>
        <w:t xml:space="preserve"> consider cultural issues or language problems;</w:t>
      </w:r>
    </w:p>
    <w:p w:rsidR="001408BE" w:rsidRDefault="001408BE" w:rsidP="006F1D5E">
      <w:pPr>
        <w:pStyle w:val="NoSpacing"/>
        <w:numPr>
          <w:ilvl w:val="0"/>
          <w:numId w:val="1"/>
        </w:numPr>
        <w:spacing w:line="360" w:lineRule="auto"/>
        <w:ind w:left="284" w:hanging="284"/>
      </w:pPr>
      <w:r>
        <w:t xml:space="preserve"> consider the best time of day for the assessment;</w:t>
      </w:r>
    </w:p>
    <w:p w:rsidR="001408BE" w:rsidRDefault="001408BE" w:rsidP="006F1D5E">
      <w:pPr>
        <w:pStyle w:val="NoSpacing"/>
        <w:numPr>
          <w:ilvl w:val="0"/>
          <w:numId w:val="1"/>
        </w:numPr>
        <w:spacing w:line="360" w:lineRule="auto"/>
        <w:ind w:left="284" w:hanging="284"/>
      </w:pPr>
      <w:r>
        <w:t xml:space="preserve"> consider the role of background noise, and the avoidance of rapid repetition of cognitive tests</w:t>
      </w:r>
    </w:p>
    <w:p w:rsidR="001408BE" w:rsidRDefault="001408BE" w:rsidP="006F1D5E">
      <w:pPr>
        <w:pStyle w:val="NoSpacing"/>
        <w:numPr>
          <w:ilvl w:val="0"/>
          <w:numId w:val="1"/>
        </w:numPr>
        <w:spacing w:line="360" w:lineRule="auto"/>
        <w:ind w:left="284" w:hanging="284"/>
      </w:pPr>
      <w:r>
        <w:t>or interruptions (such as from mobile phones).</w:t>
      </w:r>
    </w:p>
    <w:p w:rsidR="006F1D5E" w:rsidRDefault="006F1D5E" w:rsidP="001408BE">
      <w:pPr>
        <w:pStyle w:val="NoSpacing"/>
        <w:spacing w:line="360" w:lineRule="auto"/>
      </w:pPr>
    </w:p>
    <w:p w:rsidR="001408BE" w:rsidRDefault="001408BE" w:rsidP="001408BE">
      <w:pPr>
        <w:pStyle w:val="NoSpacing"/>
        <w:spacing w:line="360" w:lineRule="auto"/>
      </w:pPr>
      <w:r>
        <w:t>This list alone, which was not included in the 1995 edition, should be compulsory reading for all</w:t>
      </w:r>
    </w:p>
    <w:p w:rsidR="001408BE" w:rsidRDefault="001408BE" w:rsidP="001408BE">
      <w:pPr>
        <w:pStyle w:val="NoSpacing"/>
        <w:spacing w:line="360" w:lineRule="auto"/>
      </w:pPr>
      <w:r>
        <w:t xml:space="preserve">doctors required to assess capacity. It was developed by </w:t>
      </w:r>
      <w:proofErr w:type="spellStart"/>
      <w:r>
        <w:t>Denzil</w:t>
      </w:r>
      <w:proofErr w:type="spellEnd"/>
      <w:r>
        <w:t xml:space="preserve"> Lush, Master of The Court of</w:t>
      </w:r>
    </w:p>
    <w:p w:rsidR="001408BE" w:rsidRDefault="001408BE" w:rsidP="001408BE">
      <w:pPr>
        <w:pStyle w:val="NoSpacing"/>
        <w:spacing w:line="360" w:lineRule="auto"/>
      </w:pPr>
      <w:r>
        <w:t>Protection, and is aimed to protect the highly vulnerable likely to be the subject of a capacity test.</w:t>
      </w:r>
    </w:p>
    <w:p w:rsidR="001408BE" w:rsidRDefault="001408BE" w:rsidP="001408BE">
      <w:pPr>
        <w:pStyle w:val="NoSpacing"/>
        <w:spacing w:line="360" w:lineRule="auto"/>
      </w:pPr>
      <w:r>
        <w:t>It shows great sensitivity for such subjects and its proper application could make the difference as</w:t>
      </w:r>
    </w:p>
    <w:p w:rsidR="001408BE" w:rsidRDefault="001408BE" w:rsidP="001408BE">
      <w:pPr>
        <w:pStyle w:val="NoSpacing"/>
        <w:spacing w:line="360" w:lineRule="auto"/>
      </w:pPr>
      <w:r>
        <w:t xml:space="preserve">to whether someone is found to lack capacity or not, with all the prospective and dramatic </w:t>
      </w:r>
      <w:r w:rsidR="006F1D5E">
        <w:t xml:space="preserve">life changing </w:t>
      </w:r>
      <w:r>
        <w:t>implications arising from such decisions. This list is supplemented by a useful “model</w:t>
      </w:r>
    </w:p>
    <w:p w:rsidR="001408BE" w:rsidRDefault="001408BE" w:rsidP="001408BE">
      <w:pPr>
        <w:pStyle w:val="NoSpacing"/>
        <w:spacing w:line="360" w:lineRule="auto"/>
      </w:pPr>
      <w:r>
        <w:lastRenderedPageBreak/>
        <w:t>letter” of instruction covering various situations.</w:t>
      </w:r>
    </w:p>
    <w:p w:rsidR="006F1D5E" w:rsidRDefault="006F1D5E" w:rsidP="001408BE">
      <w:pPr>
        <w:pStyle w:val="NoSpacing"/>
        <w:spacing w:line="360" w:lineRule="auto"/>
      </w:pPr>
    </w:p>
    <w:p w:rsidR="001408BE" w:rsidRDefault="001408BE" w:rsidP="001408BE">
      <w:pPr>
        <w:pStyle w:val="NoSpacing"/>
        <w:spacing w:line="360" w:lineRule="auto"/>
      </w:pPr>
      <w:r>
        <w:t>In its useful summary of ethical issues for lawyers, the book obviously takes the opportunity of</w:t>
      </w:r>
    </w:p>
    <w:p w:rsidR="001408BE" w:rsidRDefault="001408BE" w:rsidP="001408BE">
      <w:pPr>
        <w:pStyle w:val="NoSpacing"/>
        <w:spacing w:line="360" w:lineRule="auto"/>
      </w:pPr>
      <w:r>
        <w:t>applying the 8th Edition of the Law Society’s “</w:t>
      </w:r>
      <w:r w:rsidRPr="006F1D5E">
        <w:rPr>
          <w:i/>
        </w:rPr>
        <w:t>Guide to Professional Conduct</w:t>
      </w:r>
      <w:r>
        <w:t>” published in 1999.</w:t>
      </w:r>
    </w:p>
    <w:p w:rsidR="006F1D5E" w:rsidRDefault="006F1D5E" w:rsidP="001408BE">
      <w:pPr>
        <w:pStyle w:val="NoSpacing"/>
        <w:spacing w:line="360" w:lineRule="auto"/>
      </w:pPr>
    </w:p>
    <w:p w:rsidR="001408BE" w:rsidRDefault="001408BE" w:rsidP="001408BE">
      <w:pPr>
        <w:pStyle w:val="NoSpacing"/>
        <w:spacing w:line="360" w:lineRule="auto"/>
      </w:pPr>
      <w:r>
        <w:t>In its review of legal principles the book again takes a practical approach. It reminds instructing</w:t>
      </w:r>
    </w:p>
    <w:p w:rsidR="001408BE" w:rsidRDefault="001408BE" w:rsidP="001408BE">
      <w:pPr>
        <w:pStyle w:val="NoSpacing"/>
        <w:spacing w:line="360" w:lineRule="auto"/>
      </w:pPr>
      <w:r>
        <w:t>lawyers that not all doctors are experts; furthermore even those who are will need to be asked the</w:t>
      </w:r>
    </w:p>
    <w:p w:rsidR="001408BE" w:rsidRDefault="001408BE" w:rsidP="001408BE">
      <w:pPr>
        <w:pStyle w:val="NoSpacing"/>
        <w:spacing w:line="360" w:lineRule="auto"/>
      </w:pPr>
      <w:r>
        <w:t>correct questions to make a proper assessment. Here there are also invaluable sections outlining</w:t>
      </w:r>
    </w:p>
    <w:p w:rsidR="001408BE" w:rsidRDefault="001408BE" w:rsidP="001408BE">
      <w:pPr>
        <w:pStyle w:val="NoSpacing"/>
        <w:spacing w:line="360" w:lineRule="auto"/>
      </w:pPr>
      <w:r>
        <w:t>“practical suggestions” for the instructing of doctors. There is a straightforward review of the legal</w:t>
      </w:r>
    </w:p>
    <w:p w:rsidR="001408BE" w:rsidRDefault="001408BE" w:rsidP="001408BE">
      <w:pPr>
        <w:pStyle w:val="NoSpacing"/>
        <w:spacing w:line="360" w:lineRule="auto"/>
      </w:pPr>
      <w:r>
        <w:t>position with regards to the rebuttable assumption of capacity. This is expanded to include a</w:t>
      </w:r>
    </w:p>
    <w:p w:rsidR="001408BE" w:rsidRDefault="001408BE" w:rsidP="001408BE">
      <w:pPr>
        <w:pStyle w:val="NoSpacing"/>
        <w:spacing w:line="360" w:lineRule="auto"/>
      </w:pPr>
      <w:r>
        <w:t>review of any “ongoing” lack of capacity, if that has been found initially, and the arising of any</w:t>
      </w:r>
    </w:p>
    <w:p w:rsidR="001408BE" w:rsidRDefault="001408BE" w:rsidP="001408BE">
      <w:pPr>
        <w:pStyle w:val="NoSpacing"/>
        <w:spacing w:line="360" w:lineRule="auto"/>
      </w:pPr>
      <w:r>
        <w:t>“lucid period” of capacity; potentially important in the field of mental health law given the</w:t>
      </w:r>
    </w:p>
    <w:p w:rsidR="001408BE" w:rsidRDefault="001408BE" w:rsidP="001408BE">
      <w:pPr>
        <w:pStyle w:val="NoSpacing"/>
        <w:spacing w:line="360" w:lineRule="auto"/>
      </w:pPr>
      <w:r>
        <w:t>fluctuating nature of some mental illnesses. A brief consideration of the standards of proof and</w:t>
      </w:r>
    </w:p>
    <w:p w:rsidR="001408BE" w:rsidRDefault="001408BE" w:rsidP="001408BE">
      <w:pPr>
        <w:pStyle w:val="NoSpacing"/>
        <w:spacing w:line="360" w:lineRule="auto"/>
      </w:pPr>
      <w:r>
        <w:t>evidence is included.</w:t>
      </w:r>
    </w:p>
    <w:p w:rsidR="001F6C09" w:rsidRDefault="001F6C09" w:rsidP="001408BE">
      <w:pPr>
        <w:pStyle w:val="NoSpacing"/>
        <w:spacing w:line="360" w:lineRule="auto"/>
      </w:pPr>
    </w:p>
    <w:p w:rsidR="001408BE" w:rsidRDefault="001408BE" w:rsidP="001408BE">
      <w:pPr>
        <w:pStyle w:val="NoSpacing"/>
        <w:spacing w:line="360" w:lineRule="auto"/>
      </w:pPr>
      <w:r>
        <w:t>There is an introduction (expanded upon in the “medical treatment” section) of the need to make</w:t>
      </w:r>
    </w:p>
    <w:p w:rsidR="001408BE" w:rsidRDefault="001408BE" w:rsidP="001408BE">
      <w:pPr>
        <w:pStyle w:val="NoSpacing"/>
        <w:spacing w:line="360" w:lineRule="auto"/>
      </w:pPr>
      <w:r>
        <w:t>decisions as to capacity and resulting “best interest” actions on a daily basis without the</w:t>
      </w:r>
    </w:p>
    <w:p w:rsidR="001408BE" w:rsidRDefault="001408BE" w:rsidP="001408BE">
      <w:pPr>
        <w:pStyle w:val="NoSpacing"/>
        <w:spacing w:line="360" w:lineRule="auto"/>
      </w:pPr>
      <w:r>
        <w:t>intervention of a Court. Here, and throughout the book, the opportunity is included to add</w:t>
      </w:r>
    </w:p>
    <w:p w:rsidR="001408BE" w:rsidRDefault="001408BE" w:rsidP="001408BE">
      <w:pPr>
        <w:pStyle w:val="NoSpacing"/>
        <w:spacing w:line="360" w:lineRule="auto"/>
      </w:pPr>
      <w:r>
        <w:t xml:space="preserve">reference to the latest caselaw, for example </w:t>
      </w:r>
      <w:r w:rsidRPr="001F6C09">
        <w:rPr>
          <w:i/>
        </w:rPr>
        <w:t>Re MB (Medical Treatment</w:t>
      </w:r>
      <w:r w:rsidR="001F6C09">
        <w:rPr>
          <w:rStyle w:val="FootnoteReference"/>
          <w:i/>
        </w:rPr>
        <w:footnoteReference w:id="5"/>
      </w:r>
      <w:r>
        <w:t>5, together with the role of</w:t>
      </w:r>
    </w:p>
    <w:p w:rsidR="001408BE" w:rsidRPr="001F6C09" w:rsidRDefault="001408BE" w:rsidP="001408BE">
      <w:pPr>
        <w:pStyle w:val="NoSpacing"/>
        <w:spacing w:line="360" w:lineRule="auto"/>
        <w:rPr>
          <w:i/>
        </w:rPr>
      </w:pPr>
      <w:r>
        <w:t xml:space="preserve">the Human Rights Act 1998 and relevant post-Act cases such as </w:t>
      </w:r>
      <w:r w:rsidRPr="001F6C09">
        <w:rPr>
          <w:i/>
        </w:rPr>
        <w:t>R (on the application of Wilkinson) v</w:t>
      </w:r>
    </w:p>
    <w:p w:rsidR="001408BE" w:rsidRDefault="001408BE" w:rsidP="001408BE">
      <w:pPr>
        <w:pStyle w:val="NoSpacing"/>
        <w:spacing w:line="360" w:lineRule="auto"/>
      </w:pPr>
      <w:r w:rsidRPr="001F6C09">
        <w:rPr>
          <w:i/>
        </w:rPr>
        <w:t>Broadmoor Special Hospital Authority &amp; Others</w:t>
      </w:r>
      <w:r w:rsidR="001F6C09">
        <w:rPr>
          <w:rStyle w:val="FootnoteReference"/>
          <w:i/>
        </w:rPr>
        <w:footnoteReference w:id="6"/>
      </w:r>
      <w:r>
        <w:t>. As in the earlier edition a “Sample” certificate of</w:t>
      </w:r>
    </w:p>
    <w:p w:rsidR="001408BE" w:rsidRDefault="001408BE" w:rsidP="001408BE">
      <w:pPr>
        <w:pStyle w:val="NoSpacing"/>
        <w:spacing w:line="360" w:lineRule="auto"/>
      </w:pPr>
      <w:r>
        <w:t>Capacity is included.</w:t>
      </w:r>
    </w:p>
    <w:p w:rsidR="001F6C09" w:rsidRDefault="001F6C09" w:rsidP="001408BE">
      <w:pPr>
        <w:pStyle w:val="NoSpacing"/>
        <w:spacing w:line="360" w:lineRule="auto"/>
      </w:pPr>
    </w:p>
    <w:p w:rsidR="001408BE" w:rsidRDefault="001408BE" w:rsidP="001408BE">
      <w:pPr>
        <w:pStyle w:val="NoSpacing"/>
        <w:spacing w:line="360" w:lineRule="auto"/>
      </w:pPr>
      <w:r>
        <w:t>Once it has completed its consideration of the “basics” the book moves on to expand on the</w:t>
      </w:r>
    </w:p>
    <w:p w:rsidR="001408BE" w:rsidRDefault="001408BE" w:rsidP="001408BE">
      <w:pPr>
        <w:pStyle w:val="NoSpacing"/>
        <w:spacing w:line="360" w:lineRule="auto"/>
      </w:pPr>
      <w:r>
        <w:t>application of capacity tests in particular areas. These are the same as those in the 1995 edition and</w:t>
      </w:r>
    </w:p>
    <w:p w:rsidR="001408BE" w:rsidRDefault="001408BE" w:rsidP="001408BE">
      <w:pPr>
        <w:pStyle w:val="NoSpacing"/>
        <w:spacing w:line="360" w:lineRule="auto"/>
      </w:pPr>
      <w:r>
        <w:t>cover effectively what most doctors and lawyers will face in practice.</w:t>
      </w:r>
    </w:p>
    <w:p w:rsidR="001F6C09" w:rsidRDefault="001F6C09" w:rsidP="001408BE">
      <w:pPr>
        <w:pStyle w:val="NoSpacing"/>
        <w:spacing w:line="360" w:lineRule="auto"/>
      </w:pPr>
    </w:p>
    <w:p w:rsidR="001F6C09" w:rsidRDefault="001F6C09" w:rsidP="001F6C09">
      <w:pPr>
        <w:pStyle w:val="NoSpacing"/>
        <w:spacing w:line="360" w:lineRule="auto"/>
      </w:pPr>
      <w:r>
        <w:t>At the top of the list comes the issue of financial affairs. Again the book assumes no specialised</w:t>
      </w:r>
    </w:p>
    <w:p w:rsidR="001F6C09" w:rsidRDefault="001F6C09" w:rsidP="001F6C09">
      <w:pPr>
        <w:pStyle w:val="NoSpacing"/>
        <w:spacing w:line="360" w:lineRule="auto"/>
      </w:pPr>
      <w:r>
        <w:t>knowledge, commencing with a review of the powers of attorney, both ordinary and enduring.</w:t>
      </w:r>
    </w:p>
    <w:p w:rsidR="001F6C09" w:rsidRDefault="001F6C09" w:rsidP="001F6C09">
      <w:pPr>
        <w:pStyle w:val="NoSpacing"/>
        <w:spacing w:line="360" w:lineRule="auto"/>
      </w:pPr>
      <w:r>
        <w:t>However, with regards to application of the latter the book is able to add the important new case of</w:t>
      </w:r>
    </w:p>
    <w:p w:rsidR="001F6C09" w:rsidRDefault="001F6C09" w:rsidP="001F6C09">
      <w:pPr>
        <w:pStyle w:val="NoSpacing"/>
        <w:spacing w:line="360" w:lineRule="auto"/>
      </w:pPr>
      <w:r w:rsidRPr="00BE2E61">
        <w:rPr>
          <w:i/>
        </w:rPr>
        <w:t>Re K, Re F</w:t>
      </w:r>
      <w:r w:rsidR="00BE2E61">
        <w:rPr>
          <w:rStyle w:val="FootnoteReference"/>
          <w:i/>
        </w:rPr>
        <w:footnoteReference w:id="7"/>
      </w:r>
      <w:r>
        <w:t xml:space="preserve"> and the “four factors” which any person creating an enduring power of attorney (EPA)</w:t>
      </w:r>
    </w:p>
    <w:p w:rsidR="001F6C09" w:rsidRDefault="001F6C09" w:rsidP="001F6C09">
      <w:pPr>
        <w:pStyle w:val="NoSpacing"/>
        <w:spacing w:line="360" w:lineRule="auto"/>
      </w:pPr>
      <w:r>
        <w:t>should understand; that is the complete authority over the donor’s affairs; the range of this power</w:t>
      </w:r>
    </w:p>
    <w:p w:rsidR="001F6C09" w:rsidRDefault="001F6C09" w:rsidP="001F6C09">
      <w:pPr>
        <w:pStyle w:val="NoSpacing"/>
        <w:spacing w:line="360" w:lineRule="auto"/>
      </w:pPr>
      <w:r>
        <w:lastRenderedPageBreak/>
        <w:t>over any property; the permanence on arising incapacity: and its irrevocability, without the</w:t>
      </w:r>
    </w:p>
    <w:p w:rsidR="001F6C09" w:rsidRDefault="001F6C09" w:rsidP="001F6C09">
      <w:pPr>
        <w:pStyle w:val="NoSpacing"/>
        <w:spacing w:line="360" w:lineRule="auto"/>
      </w:pPr>
      <w:r>
        <w:t>confirmation of the Court of Protection. The importance of registering the EPA is outlined and the</w:t>
      </w:r>
    </w:p>
    <w:p w:rsidR="001F6C09" w:rsidRDefault="001F6C09" w:rsidP="001F6C09">
      <w:pPr>
        <w:pStyle w:val="NoSpacing"/>
        <w:spacing w:line="360" w:lineRule="auto"/>
      </w:pPr>
      <w:r>
        <w:t>statutory form explained. Here, as throughout the book, reference is made to the impending new</w:t>
      </w:r>
    </w:p>
    <w:p w:rsidR="001F6C09" w:rsidRDefault="001F6C09" w:rsidP="001F6C09">
      <w:pPr>
        <w:pStyle w:val="NoSpacing"/>
        <w:spacing w:line="360" w:lineRule="auto"/>
      </w:pPr>
      <w:r>
        <w:t>legislation in relation both to Mental Capacity and Mental Health, together with their potential</w:t>
      </w:r>
    </w:p>
    <w:p w:rsidR="001F6C09" w:rsidRDefault="001F6C09" w:rsidP="001F6C09">
      <w:pPr>
        <w:pStyle w:val="NoSpacing"/>
        <w:spacing w:line="360" w:lineRule="auto"/>
      </w:pPr>
      <w:r>
        <w:t>implications; these, of course, include the wider definitions of mental disorder requiring the</w:t>
      </w:r>
    </w:p>
    <w:p w:rsidR="001F6C09" w:rsidRDefault="001F6C09" w:rsidP="001F6C09">
      <w:pPr>
        <w:pStyle w:val="NoSpacing"/>
        <w:spacing w:line="360" w:lineRule="auto"/>
      </w:pPr>
      <w:r>
        <w:t>involvement of the Court of Protection. That Court’s role and functions (in its less expansive</w:t>
      </w:r>
    </w:p>
    <w:p w:rsidR="001F6C09" w:rsidRDefault="001F6C09" w:rsidP="001F6C09">
      <w:pPr>
        <w:pStyle w:val="NoSpacing"/>
        <w:spacing w:line="360" w:lineRule="auto"/>
      </w:pPr>
      <w:r>
        <w:t>existing form) is given a useful outline. For social workers there is a valuable summary regarding</w:t>
      </w:r>
    </w:p>
    <w:p w:rsidR="001F6C09" w:rsidRDefault="001F6C09" w:rsidP="001F6C09">
      <w:pPr>
        <w:pStyle w:val="NoSpacing"/>
        <w:spacing w:line="360" w:lineRule="auto"/>
      </w:pPr>
      <w:r>
        <w:t>Appointeeship. Finally, the implications of the phrase “capacity to manage property and affairs” is</w:t>
      </w:r>
    </w:p>
    <w:p w:rsidR="001F6C09" w:rsidRDefault="001F6C09" w:rsidP="001F6C09">
      <w:pPr>
        <w:pStyle w:val="NoSpacing"/>
        <w:spacing w:line="360" w:lineRule="auto"/>
      </w:pPr>
      <w:r>
        <w:t xml:space="preserve">now expanded in light of the case of </w:t>
      </w:r>
      <w:r w:rsidRPr="00BE2E61">
        <w:rPr>
          <w:i/>
        </w:rPr>
        <w:t>Masterman-Lister v Brutton &amp; Co</w:t>
      </w:r>
      <w:r w:rsidR="00BE2E61">
        <w:rPr>
          <w:rStyle w:val="FootnoteReference"/>
          <w:i/>
        </w:rPr>
        <w:footnoteReference w:id="8"/>
      </w:r>
      <w:r>
        <w:t>, including the comments of</w:t>
      </w:r>
    </w:p>
    <w:p w:rsidR="001F6C09" w:rsidRDefault="001F6C09" w:rsidP="001F6C09">
      <w:pPr>
        <w:pStyle w:val="NoSpacing"/>
        <w:spacing w:line="360" w:lineRule="auto"/>
      </w:pPr>
      <w:r>
        <w:t>Lord Justice Kennedy in that case. Thus legal capacity is based on understanding rather than wisdom;</w:t>
      </w:r>
    </w:p>
    <w:p w:rsidR="001F6C09" w:rsidRDefault="001F6C09" w:rsidP="001F6C09">
      <w:pPr>
        <w:pStyle w:val="NoSpacing"/>
        <w:spacing w:line="360" w:lineRule="auto"/>
      </w:pPr>
      <w:proofErr w:type="gramStart"/>
      <w:r>
        <w:t>it</w:t>
      </w:r>
      <w:proofErr w:type="gramEnd"/>
      <w:r>
        <w:t xml:space="preserve"> is essentially functional and subjective and that background personal i</w:t>
      </w:r>
      <w:r w:rsidR="00BE2E61">
        <w:t xml:space="preserve">nformation including family and </w:t>
      </w:r>
      <w:r>
        <w:t>social responsibilities should be considered. Such capacity remains essentially “issue specific”.</w:t>
      </w:r>
    </w:p>
    <w:p w:rsidR="00BE2E61" w:rsidRDefault="00BE2E61" w:rsidP="001F6C09">
      <w:pPr>
        <w:pStyle w:val="NoSpacing"/>
        <w:spacing w:line="360" w:lineRule="auto"/>
      </w:pPr>
    </w:p>
    <w:p w:rsidR="001F6C09" w:rsidRDefault="001F6C09" w:rsidP="001F6C09">
      <w:pPr>
        <w:pStyle w:val="NoSpacing"/>
        <w:spacing w:line="360" w:lineRule="auto"/>
      </w:pPr>
      <w:r>
        <w:t>Another much used application of the capacity test will be that applying to the creation of Wills.</w:t>
      </w:r>
    </w:p>
    <w:p w:rsidR="001F6C09" w:rsidRDefault="001F6C09" w:rsidP="001F6C09">
      <w:pPr>
        <w:pStyle w:val="NoSpacing"/>
        <w:spacing w:line="360" w:lineRule="auto"/>
      </w:pPr>
      <w:r>
        <w:t xml:space="preserve">A useful checklist is included, broken down into the nature of the act; the </w:t>
      </w:r>
      <w:r w:rsidRPr="0029163E">
        <w:rPr>
          <w:i/>
        </w:rPr>
        <w:t xml:space="preserve">effect </w:t>
      </w:r>
      <w:r>
        <w:t>of the act; the extent</w:t>
      </w:r>
      <w:r w:rsidR="0029163E">
        <w:t xml:space="preserve"> </w:t>
      </w:r>
      <w:r>
        <w:t xml:space="preserve">of the property; and the </w:t>
      </w:r>
      <w:r w:rsidRPr="0029163E">
        <w:rPr>
          <w:i/>
        </w:rPr>
        <w:t>claims</w:t>
      </w:r>
      <w:r>
        <w:t xml:space="preserve"> of others. In addition to classic cases such as </w:t>
      </w:r>
      <w:r w:rsidRPr="0029163E">
        <w:rPr>
          <w:i/>
        </w:rPr>
        <w:t>Parker v Felgate</w:t>
      </w:r>
      <w:r w:rsidR="0029163E">
        <w:rPr>
          <w:rStyle w:val="FootnoteReference"/>
        </w:rPr>
        <w:footnoteReference w:id="9"/>
      </w:r>
      <w:r>
        <w:t>, more</w:t>
      </w:r>
      <w:r w:rsidR="0029163E">
        <w:t xml:space="preserve"> </w:t>
      </w:r>
      <w:r>
        <w:t xml:space="preserve">recent cases (such as </w:t>
      </w:r>
      <w:r w:rsidRPr="0029163E">
        <w:rPr>
          <w:i/>
        </w:rPr>
        <w:t>Buckenham v Dickinson</w:t>
      </w:r>
      <w:r w:rsidR="0029163E">
        <w:rPr>
          <w:rStyle w:val="FootnoteReference"/>
        </w:rPr>
        <w:footnoteReference w:id="10"/>
      </w:r>
      <w:r>
        <w:t>) are included, again reminding lawyers of the</w:t>
      </w:r>
      <w:r w:rsidR="0029163E">
        <w:t xml:space="preserve"> </w:t>
      </w:r>
      <w:r>
        <w:t>importance of the “golden rule” (supra).</w:t>
      </w:r>
    </w:p>
    <w:p w:rsidR="0029163E" w:rsidRDefault="0029163E" w:rsidP="001F6C09">
      <w:pPr>
        <w:pStyle w:val="NoSpacing"/>
        <w:spacing w:line="360" w:lineRule="auto"/>
      </w:pPr>
    </w:p>
    <w:p w:rsidR="001F6C09" w:rsidRDefault="001F6C09" w:rsidP="001F6C09">
      <w:pPr>
        <w:pStyle w:val="NoSpacing"/>
        <w:spacing w:line="360" w:lineRule="auto"/>
      </w:pPr>
      <w:r>
        <w:t>No list of specific capacity tests would be complete without the inclusion of those applying to the</w:t>
      </w:r>
    </w:p>
    <w:p w:rsidR="001F6C09" w:rsidRDefault="001F6C09" w:rsidP="001F6C09">
      <w:pPr>
        <w:pStyle w:val="NoSpacing"/>
        <w:spacing w:line="360" w:lineRule="auto"/>
      </w:pPr>
      <w:r>
        <w:t>ability to consent to, or refuse, medical treatment. Again the book adopts a systematic and basic</w:t>
      </w:r>
    </w:p>
    <w:p w:rsidR="001F6C09" w:rsidRDefault="001F6C09" w:rsidP="001F6C09">
      <w:pPr>
        <w:pStyle w:val="NoSpacing"/>
        <w:spacing w:line="360" w:lineRule="auto"/>
      </w:pPr>
      <w:r>
        <w:t>approach in explaining the position: first setting out the general proposition of the need for patient</w:t>
      </w:r>
    </w:p>
    <w:p w:rsidR="001F6C09" w:rsidRDefault="001F6C09" w:rsidP="001F6C09">
      <w:pPr>
        <w:pStyle w:val="NoSpacing"/>
        <w:spacing w:line="360" w:lineRule="auto"/>
      </w:pPr>
      <w:r>
        <w:t>consent and then moving to explore the question of capacity in relation to that. Two critical cases</w:t>
      </w:r>
    </w:p>
    <w:p w:rsidR="001F6C09" w:rsidRPr="0029163E" w:rsidRDefault="001F6C09" w:rsidP="001F6C09">
      <w:pPr>
        <w:pStyle w:val="NoSpacing"/>
        <w:spacing w:line="360" w:lineRule="auto"/>
        <w:rPr>
          <w:i/>
        </w:rPr>
      </w:pPr>
      <w:r>
        <w:t xml:space="preserve">have, of course, arisen in the area since the first edition: </w:t>
      </w:r>
      <w:r w:rsidRPr="0029163E">
        <w:rPr>
          <w:i/>
        </w:rPr>
        <w:t>Re C (Adult: Refusal of Medical Treatment)</w:t>
      </w:r>
    </w:p>
    <w:p w:rsidR="001F6C09" w:rsidRDefault="001F6C09" w:rsidP="001F6C09">
      <w:pPr>
        <w:pStyle w:val="NoSpacing"/>
        <w:spacing w:line="360" w:lineRule="auto"/>
      </w:pPr>
      <w:r w:rsidRPr="0029163E">
        <w:rPr>
          <w:i/>
        </w:rPr>
        <w:t>(1994)</w:t>
      </w:r>
      <w:r w:rsidR="0029163E">
        <w:rPr>
          <w:rStyle w:val="FootnoteReference"/>
        </w:rPr>
        <w:footnoteReference w:id="11"/>
      </w:r>
      <w:r>
        <w:t xml:space="preserve"> and </w:t>
      </w:r>
      <w:r w:rsidRPr="0029163E">
        <w:rPr>
          <w:i/>
        </w:rPr>
        <w:t>Re MB (Medical Treatment)</w:t>
      </w:r>
      <w:r w:rsidR="0029163E" w:rsidRPr="0029163E">
        <w:rPr>
          <w:rStyle w:val="FootnoteReference"/>
          <w:i/>
        </w:rPr>
        <w:footnoteReference w:id="12"/>
      </w:r>
      <w:r w:rsidRPr="0029163E">
        <w:rPr>
          <w:i/>
        </w:rPr>
        <w:t>.</w:t>
      </w:r>
      <w:r>
        <w:t xml:space="preserve"> Thus, of course, in C the evolution of the test for</w:t>
      </w:r>
    </w:p>
    <w:p w:rsidR="001F6C09" w:rsidRDefault="001F6C09" w:rsidP="001F6C09">
      <w:pPr>
        <w:pStyle w:val="NoSpacing"/>
        <w:spacing w:line="360" w:lineRule="auto"/>
      </w:pPr>
      <w:r>
        <w:t>capacity as applied to a patient from Broadmoor suffering from schizophrenia is clearly spelt out</w:t>
      </w:r>
    </w:p>
    <w:p w:rsidR="001F6C09" w:rsidRPr="0029163E" w:rsidRDefault="001F6C09" w:rsidP="001F6C09">
      <w:pPr>
        <w:pStyle w:val="NoSpacing"/>
        <w:spacing w:line="360" w:lineRule="auto"/>
        <w:rPr>
          <w:i/>
        </w:rPr>
      </w:pPr>
      <w:r>
        <w:t xml:space="preserve">as set down by the then Mr. Justice Thorpe; that is </w:t>
      </w:r>
      <w:r w:rsidRPr="0029163E">
        <w:rPr>
          <w:i/>
        </w:rPr>
        <w:t>understanding and retention; believing; and</w:t>
      </w:r>
    </w:p>
    <w:p w:rsidR="001F6C09" w:rsidRDefault="001F6C09" w:rsidP="001F6C09">
      <w:pPr>
        <w:pStyle w:val="NoSpacing"/>
        <w:spacing w:line="360" w:lineRule="auto"/>
      </w:pPr>
      <w:r w:rsidRPr="0029163E">
        <w:rPr>
          <w:i/>
        </w:rPr>
        <w:t>weighing in the balance for a decision to be made</w:t>
      </w:r>
      <w:r>
        <w:t>; in turn illustrating the difference between the</w:t>
      </w:r>
    </w:p>
    <w:p w:rsidR="001F6C09" w:rsidRDefault="001F6C09" w:rsidP="001F6C09">
      <w:pPr>
        <w:pStyle w:val="NoSpacing"/>
        <w:spacing w:line="360" w:lineRule="auto"/>
      </w:pPr>
      <w:r>
        <w:t>common law capacity test and that required for detainability under the Mental Health Act 1983.</w:t>
      </w:r>
    </w:p>
    <w:p w:rsidR="001F6C09" w:rsidRDefault="001F6C09" w:rsidP="001F6C09">
      <w:pPr>
        <w:pStyle w:val="NoSpacing"/>
        <w:spacing w:line="360" w:lineRule="auto"/>
      </w:pPr>
      <w:r>
        <w:t>This test was essentially confirmed in Re MB by the Court of Appeal, here allowing that a phobia</w:t>
      </w:r>
    </w:p>
    <w:p w:rsidR="001F6C09" w:rsidRDefault="001F6C09" w:rsidP="001F6C09">
      <w:pPr>
        <w:pStyle w:val="NoSpacing"/>
        <w:spacing w:line="360" w:lineRule="auto"/>
      </w:pPr>
      <w:proofErr w:type="gramStart"/>
      <w:r>
        <w:t>of</w:t>
      </w:r>
      <w:proofErr w:type="gramEnd"/>
      <w:r>
        <w:t xml:space="preserve"> needles might render a patient incapable.</w:t>
      </w:r>
    </w:p>
    <w:p w:rsidR="0029163E" w:rsidRDefault="0029163E" w:rsidP="001F6C09">
      <w:pPr>
        <w:pStyle w:val="NoSpacing"/>
        <w:spacing w:line="360" w:lineRule="auto"/>
      </w:pPr>
    </w:p>
    <w:p w:rsidR="001F6C09" w:rsidRDefault="001F6C09" w:rsidP="001F6C09">
      <w:pPr>
        <w:pStyle w:val="NoSpacing"/>
        <w:spacing w:line="360" w:lineRule="auto"/>
      </w:pPr>
      <w:r>
        <w:t xml:space="preserve">The book then clearly follows the familiar path set down in </w:t>
      </w:r>
      <w:r w:rsidRPr="001A5CC4">
        <w:rPr>
          <w:i/>
        </w:rPr>
        <w:t>Re F (Mental Patient: Sterilisation)</w:t>
      </w:r>
      <w:r w:rsidR="001A5CC4">
        <w:rPr>
          <w:rStyle w:val="FootnoteReference"/>
        </w:rPr>
        <w:footnoteReference w:id="13"/>
      </w:r>
      <w:r>
        <w:t xml:space="preserve"> in</w:t>
      </w:r>
    </w:p>
    <w:p w:rsidR="001F6C09" w:rsidRDefault="001F6C09" w:rsidP="001F6C09">
      <w:pPr>
        <w:pStyle w:val="NoSpacing"/>
        <w:spacing w:line="360" w:lineRule="auto"/>
      </w:pPr>
      <w:r>
        <w:t>clarifying the doctrine of necessity applicable in incapacity cases, including temporary</w:t>
      </w:r>
    </w:p>
    <w:p w:rsidR="001F6C09" w:rsidRDefault="001F6C09" w:rsidP="001F6C09">
      <w:pPr>
        <w:pStyle w:val="NoSpacing"/>
        <w:spacing w:line="360" w:lineRule="auto"/>
      </w:pPr>
      <w:r>
        <w:t>unconsciousness cases, in order to carry out treatment to ensure improvement or prevent</w:t>
      </w:r>
    </w:p>
    <w:p w:rsidR="001F6C09" w:rsidRDefault="001F6C09" w:rsidP="001F6C09">
      <w:pPr>
        <w:pStyle w:val="NoSpacing"/>
        <w:spacing w:line="360" w:lineRule="auto"/>
      </w:pPr>
      <w:r>
        <w:t>deterioration in health. The duty to act by way of necessity is then coupled with an explanation of</w:t>
      </w:r>
    </w:p>
    <w:p w:rsidR="001F6C09" w:rsidRPr="001A5CC4" w:rsidRDefault="001F6C09" w:rsidP="001F6C09">
      <w:pPr>
        <w:pStyle w:val="NoSpacing"/>
        <w:spacing w:line="360" w:lineRule="auto"/>
        <w:rPr>
          <w:i/>
        </w:rPr>
      </w:pPr>
      <w:r>
        <w:t xml:space="preserve">the ‘best interests’ concept, confirmed by the recent case </w:t>
      </w:r>
      <w:r w:rsidRPr="001A5CC4">
        <w:rPr>
          <w:i/>
        </w:rPr>
        <w:t>of Re S (Sterilisation: Patient’s Best</w:t>
      </w:r>
    </w:p>
    <w:p w:rsidR="001F6C09" w:rsidRDefault="001F6C09" w:rsidP="001F6C09">
      <w:pPr>
        <w:pStyle w:val="NoSpacing"/>
        <w:spacing w:line="360" w:lineRule="auto"/>
      </w:pPr>
      <w:r w:rsidRPr="001A5CC4">
        <w:rPr>
          <w:i/>
        </w:rPr>
        <w:t>Interests)</w:t>
      </w:r>
      <w:r w:rsidR="001A5CC4">
        <w:rPr>
          <w:rStyle w:val="FootnoteReference"/>
          <w:i/>
        </w:rPr>
        <w:footnoteReference w:id="14"/>
      </w:r>
      <w:r>
        <w:t>. Thus doctors are reminded to consider a range of factors, including the patient’s wishes</w:t>
      </w:r>
    </w:p>
    <w:p w:rsidR="001A5CC4" w:rsidRDefault="001A5CC4" w:rsidP="001A5CC4">
      <w:pPr>
        <w:pStyle w:val="NoSpacing"/>
        <w:spacing w:line="360" w:lineRule="auto"/>
      </w:pPr>
      <w:r>
        <w:t>and values, the effectiveness of treatment, the least restrictive option, the views of those close to</w:t>
      </w:r>
    </w:p>
    <w:p w:rsidR="001A5CC4" w:rsidRDefault="001A5CC4" w:rsidP="001A5CC4">
      <w:pPr>
        <w:pStyle w:val="NoSpacing"/>
        <w:spacing w:line="360" w:lineRule="auto"/>
      </w:pPr>
      <w:r>
        <w:t>him, together with his cultural and religious values. There is then an explanation as to how the</w:t>
      </w:r>
    </w:p>
    <w:p w:rsidR="001A5CC4" w:rsidRDefault="001A5CC4" w:rsidP="001A5CC4">
      <w:pPr>
        <w:pStyle w:val="NoSpacing"/>
        <w:spacing w:line="360" w:lineRule="auto"/>
      </w:pPr>
      <w:r>
        <w:t>Court would view a range of situations, including those rare ones where intervention would be</w:t>
      </w:r>
    </w:p>
    <w:p w:rsidR="001A5CC4" w:rsidRDefault="001A5CC4" w:rsidP="001A5CC4">
      <w:pPr>
        <w:pStyle w:val="NoSpacing"/>
        <w:spacing w:line="360" w:lineRule="auto"/>
      </w:pPr>
      <w:r>
        <w:t>required and those day-to-day ones which require doctors to act under the existing common law.</w:t>
      </w:r>
    </w:p>
    <w:p w:rsidR="001A5CC4" w:rsidRDefault="001A5CC4" w:rsidP="001A5CC4">
      <w:pPr>
        <w:pStyle w:val="NoSpacing"/>
        <w:spacing w:line="360" w:lineRule="auto"/>
      </w:pPr>
      <w:r>
        <w:t xml:space="preserve">Adapted guidelines include the incorporation of the case of </w:t>
      </w:r>
      <w:r w:rsidRPr="0066120C">
        <w:rPr>
          <w:i/>
        </w:rPr>
        <w:t>St Georges Healthcare</w:t>
      </w:r>
      <w:r>
        <w:t xml:space="preserve"> </w:t>
      </w:r>
      <w:r w:rsidRPr="001A5CC4">
        <w:rPr>
          <w:i/>
        </w:rPr>
        <w:t>NHS Trust v S</w:t>
      </w:r>
      <w:r>
        <w:rPr>
          <w:rStyle w:val="FootnoteReference"/>
          <w:i/>
        </w:rPr>
        <w:footnoteReference w:id="15"/>
      </w:r>
    </w:p>
    <w:p w:rsidR="001A5CC4" w:rsidRDefault="001A5CC4" w:rsidP="001A5CC4">
      <w:pPr>
        <w:pStyle w:val="NoSpacing"/>
        <w:spacing w:line="360" w:lineRule="auto"/>
      </w:pPr>
      <w:r>
        <w:t>and updated BMA Guidance.</w:t>
      </w:r>
    </w:p>
    <w:p w:rsidR="001A5CC4" w:rsidRDefault="001A5CC4" w:rsidP="001A5CC4">
      <w:pPr>
        <w:pStyle w:val="NoSpacing"/>
        <w:spacing w:line="360" w:lineRule="auto"/>
      </w:pPr>
    </w:p>
    <w:p w:rsidR="001A5CC4" w:rsidRDefault="001A5CC4" w:rsidP="001A5CC4">
      <w:pPr>
        <w:pStyle w:val="NoSpacing"/>
        <w:spacing w:line="360" w:lineRule="auto"/>
      </w:pPr>
      <w:r>
        <w:t>The important and evolving area of “advance statements”, including the proposals for legal reform</w:t>
      </w:r>
    </w:p>
    <w:p w:rsidR="001A5CC4" w:rsidRPr="001A5CC4" w:rsidRDefault="001A5CC4" w:rsidP="001A5CC4">
      <w:pPr>
        <w:pStyle w:val="NoSpacing"/>
        <w:spacing w:line="360" w:lineRule="auto"/>
        <w:rPr>
          <w:i/>
        </w:rPr>
      </w:pPr>
      <w:r>
        <w:t xml:space="preserve">in this area, are then considered, including of course, an analysis of the implications of </w:t>
      </w:r>
      <w:r w:rsidRPr="001A5CC4">
        <w:rPr>
          <w:i/>
        </w:rPr>
        <w:t>Re T</w:t>
      </w:r>
    </w:p>
    <w:p w:rsidR="001A5CC4" w:rsidRPr="005D4B0C" w:rsidRDefault="001A5CC4" w:rsidP="001A5CC4">
      <w:pPr>
        <w:pStyle w:val="NoSpacing"/>
        <w:spacing w:line="360" w:lineRule="auto"/>
        <w:rPr>
          <w:i/>
        </w:rPr>
      </w:pPr>
      <w:r w:rsidRPr="001A5CC4">
        <w:rPr>
          <w:i/>
        </w:rPr>
        <w:t>(Adult: Refusal of Treatment)</w:t>
      </w:r>
      <w:r>
        <w:rPr>
          <w:rStyle w:val="FootnoteReference"/>
          <w:i/>
        </w:rPr>
        <w:footnoteReference w:id="16"/>
      </w:r>
      <w:r>
        <w:t xml:space="preserve">. Finally important practical advice is given to the role of the </w:t>
      </w:r>
      <w:r w:rsidRPr="005D4B0C">
        <w:rPr>
          <w:i/>
        </w:rPr>
        <w:t>Data</w:t>
      </w:r>
    </w:p>
    <w:p w:rsidR="001A5CC4" w:rsidRDefault="001A5CC4" w:rsidP="001A5CC4">
      <w:pPr>
        <w:pStyle w:val="NoSpacing"/>
        <w:spacing w:line="360" w:lineRule="auto"/>
      </w:pPr>
      <w:r w:rsidRPr="005D4B0C">
        <w:rPr>
          <w:i/>
        </w:rPr>
        <w:t>Protection Act 1998</w:t>
      </w:r>
      <w:r>
        <w:t>, again a new development subsequent to the first edition.</w:t>
      </w:r>
    </w:p>
    <w:p w:rsidR="0066120C" w:rsidRDefault="0066120C" w:rsidP="001A5CC4">
      <w:pPr>
        <w:pStyle w:val="NoSpacing"/>
        <w:spacing w:line="360" w:lineRule="auto"/>
      </w:pPr>
    </w:p>
    <w:p w:rsidR="001A5CC4" w:rsidRDefault="001A5CC4" w:rsidP="001A5CC4">
      <w:pPr>
        <w:pStyle w:val="NoSpacing"/>
        <w:spacing w:line="360" w:lineRule="auto"/>
      </w:pPr>
      <w:r>
        <w:t>Other specific tests of capacity covered include the capacity to consent: to sexual relations</w:t>
      </w:r>
    </w:p>
    <w:p w:rsidR="001A5CC4" w:rsidRDefault="001A5CC4" w:rsidP="001A5CC4">
      <w:pPr>
        <w:pStyle w:val="NoSpacing"/>
        <w:spacing w:line="360" w:lineRule="auto"/>
      </w:pPr>
      <w:r>
        <w:t>(including a consideration of sexual offences); to research; to vote; to litigate; and to enter into</w:t>
      </w:r>
    </w:p>
    <w:p w:rsidR="001A5CC4" w:rsidRDefault="001A5CC4" w:rsidP="001A5CC4">
      <w:pPr>
        <w:pStyle w:val="NoSpacing"/>
        <w:spacing w:line="360" w:lineRule="auto"/>
      </w:pPr>
      <w:r>
        <w:t>contracts.</w:t>
      </w:r>
    </w:p>
    <w:p w:rsidR="00E45CB0" w:rsidRDefault="00E45CB0" w:rsidP="001A5CC4">
      <w:pPr>
        <w:pStyle w:val="NoSpacing"/>
        <w:spacing w:line="360" w:lineRule="auto"/>
      </w:pPr>
    </w:p>
    <w:p w:rsidR="001A5CC4" w:rsidRDefault="001A5CC4" w:rsidP="001A5CC4">
      <w:pPr>
        <w:pStyle w:val="NoSpacing"/>
        <w:spacing w:line="360" w:lineRule="auto"/>
      </w:pPr>
      <w:r>
        <w:t>The book ends with two important chapters on practical guidelines for both doctors and lawyers</w:t>
      </w:r>
    </w:p>
    <w:p w:rsidR="001A5CC4" w:rsidRDefault="001A5CC4" w:rsidP="001A5CC4">
      <w:pPr>
        <w:pStyle w:val="NoSpacing"/>
        <w:spacing w:line="360" w:lineRule="auto"/>
      </w:pPr>
      <w:r>
        <w:t>in assessing capacity. For doctors, critical issues regarding the application of the capacity are</w:t>
      </w:r>
    </w:p>
    <w:p w:rsidR="001A5CC4" w:rsidRDefault="001A5CC4" w:rsidP="001A5CC4">
      <w:pPr>
        <w:pStyle w:val="NoSpacing"/>
        <w:spacing w:line="360" w:lineRule="auto"/>
      </w:pPr>
      <w:r>
        <w:t>outlined, including the requirement to properly clarify the role of the assessment and a lawyer’s</w:t>
      </w:r>
    </w:p>
    <w:p w:rsidR="001A5CC4" w:rsidRDefault="001A5CC4" w:rsidP="001A5CC4">
      <w:pPr>
        <w:pStyle w:val="NoSpacing"/>
        <w:spacing w:line="360" w:lineRule="auto"/>
      </w:pPr>
      <w:r>
        <w:t>instructions. For lawyers, the need to fully outline the factors required in the assessment are</w:t>
      </w:r>
    </w:p>
    <w:p w:rsidR="001A5CC4" w:rsidRDefault="001A5CC4" w:rsidP="001A5CC4">
      <w:pPr>
        <w:pStyle w:val="NoSpacing"/>
        <w:spacing w:line="360" w:lineRule="auto"/>
      </w:pPr>
      <w:r>
        <w:t>stressed as well as the need to choose the appropriate expert. A model letter of instruction is</w:t>
      </w:r>
    </w:p>
    <w:p w:rsidR="001A5CC4" w:rsidRDefault="001A5CC4" w:rsidP="001A5CC4">
      <w:pPr>
        <w:pStyle w:val="NoSpacing"/>
        <w:spacing w:line="360" w:lineRule="auto"/>
      </w:pPr>
      <w:r>
        <w:t>included in the appendix as well as illustrative case studies. These are accompanied by updated</w:t>
      </w:r>
    </w:p>
    <w:p w:rsidR="001A5CC4" w:rsidRDefault="001A5CC4" w:rsidP="001A5CC4">
      <w:pPr>
        <w:pStyle w:val="NoSpacing"/>
        <w:spacing w:line="360" w:lineRule="auto"/>
      </w:pPr>
      <w:r>
        <w:t>Guidance Notes and Practice Directions from the Official Solicitor and from the Court of</w:t>
      </w:r>
    </w:p>
    <w:p w:rsidR="001A5CC4" w:rsidRDefault="001A5CC4" w:rsidP="001A5CC4">
      <w:pPr>
        <w:pStyle w:val="NoSpacing"/>
        <w:spacing w:line="360" w:lineRule="auto"/>
      </w:pPr>
      <w:r>
        <w:t>Protection. Useful resources, and addresses, including website details, complete the book.</w:t>
      </w:r>
    </w:p>
    <w:p w:rsidR="001A5CC4" w:rsidRDefault="001A5CC4" w:rsidP="00202C69">
      <w:pPr>
        <w:pStyle w:val="NoSpacing"/>
        <w:spacing w:line="360" w:lineRule="auto"/>
      </w:pPr>
      <w:r>
        <w:lastRenderedPageBreak/>
        <w:t>This is certainly a book which is required reading for all doctors and lawyers; and not just for those</w:t>
      </w:r>
    </w:p>
    <w:p w:rsidR="001A5CC4" w:rsidRDefault="001A5CC4" w:rsidP="00202C69">
      <w:pPr>
        <w:pStyle w:val="NoSpacing"/>
        <w:spacing w:line="360" w:lineRule="auto"/>
      </w:pPr>
      <w:r>
        <w:t>who are “regulars” in the field. This second edition builds on the highly successful format of the</w:t>
      </w:r>
    </w:p>
    <w:p w:rsidR="001A5CC4" w:rsidRDefault="001A5CC4" w:rsidP="00202C69">
      <w:pPr>
        <w:pStyle w:val="NoSpacing"/>
        <w:spacing w:line="360" w:lineRule="auto"/>
      </w:pPr>
      <w:r>
        <w:t>first edition with even greater emphasis on practical application and with succinct coverage of legal</w:t>
      </w:r>
    </w:p>
    <w:p w:rsidR="001A5CC4" w:rsidRDefault="001A5CC4" w:rsidP="00202C69">
      <w:pPr>
        <w:pStyle w:val="NoSpacing"/>
        <w:spacing w:line="360" w:lineRule="auto"/>
      </w:pPr>
      <w:r>
        <w:t>developments and their implications. Questions of capacity could arise at any time for both types</w:t>
      </w:r>
    </w:p>
    <w:p w:rsidR="001A5CC4" w:rsidRDefault="001A5CC4" w:rsidP="00202C69">
      <w:pPr>
        <w:pStyle w:val="NoSpacing"/>
        <w:spacing w:line="360" w:lineRule="auto"/>
      </w:pPr>
      <w:proofErr w:type="gramStart"/>
      <w:r>
        <w:t>of</w:t>
      </w:r>
      <w:proofErr w:type="gramEnd"/>
      <w:r>
        <w:t xml:space="preserve"> practitioner and failure to act in the manner outlined in this book could well lead to successful</w:t>
      </w:r>
    </w:p>
    <w:p w:rsidR="001A5CC4" w:rsidRDefault="001A5CC4" w:rsidP="00202C69">
      <w:pPr>
        <w:pStyle w:val="NoSpacing"/>
        <w:spacing w:line="360" w:lineRule="auto"/>
      </w:pPr>
      <w:r>
        <w:t>negligence suits and perhaps even gross misconduct actions. However, perhaps more importantly</w:t>
      </w:r>
    </w:p>
    <w:p w:rsidR="001A5CC4" w:rsidRDefault="001A5CC4" w:rsidP="00202C69">
      <w:pPr>
        <w:pStyle w:val="NoSpacing"/>
        <w:spacing w:line="360" w:lineRule="auto"/>
      </w:pPr>
      <w:r>
        <w:t>the book could prevent serious exploitation and miscarriages of justice with its very clear guidance</w:t>
      </w:r>
    </w:p>
    <w:p w:rsidR="001A5CC4" w:rsidRDefault="001A5CC4" w:rsidP="00202C69">
      <w:pPr>
        <w:pStyle w:val="NoSpacing"/>
        <w:spacing w:line="360" w:lineRule="auto"/>
      </w:pPr>
      <w:r>
        <w:t>for entrusted professionals to properly carry out their duties towards this highly vulnerable group</w:t>
      </w:r>
    </w:p>
    <w:p w:rsidR="001A5CC4" w:rsidRDefault="001A5CC4" w:rsidP="00202C69">
      <w:pPr>
        <w:pStyle w:val="NoSpacing"/>
        <w:spacing w:line="360" w:lineRule="auto"/>
      </w:pPr>
      <w:r>
        <w:t>of people, a group which could well include our family or friends and, in the future, ourselves.</w:t>
      </w:r>
    </w:p>
    <w:p w:rsidR="00D76016" w:rsidRDefault="00D76016" w:rsidP="00202C69">
      <w:pPr>
        <w:pStyle w:val="NoSpacing"/>
        <w:spacing w:line="360" w:lineRule="auto"/>
      </w:pPr>
    </w:p>
    <w:p w:rsidR="001A5CC4" w:rsidRDefault="001A5CC4" w:rsidP="00202C69">
      <w:pPr>
        <w:pStyle w:val="NoSpacing"/>
        <w:spacing w:line="360" w:lineRule="auto"/>
      </w:pPr>
      <w:r>
        <w:t>Richard Charlton,</w:t>
      </w:r>
    </w:p>
    <w:p w:rsidR="001A5CC4" w:rsidRDefault="001A5CC4" w:rsidP="00202C69">
      <w:pPr>
        <w:pStyle w:val="NoSpacing"/>
        <w:spacing w:line="360" w:lineRule="auto"/>
      </w:pPr>
      <w:r>
        <w:t>Solicitor and partner, Kaim Todner Solicitors (London); Chair of the Mental Health Lawyers</w:t>
      </w:r>
    </w:p>
    <w:p w:rsidR="001A5CC4" w:rsidRDefault="001A5CC4" w:rsidP="00202C69">
      <w:pPr>
        <w:pStyle w:val="NoSpacing"/>
        <w:spacing w:line="360" w:lineRule="auto"/>
      </w:pPr>
      <w:r>
        <w:t>Association.</w:t>
      </w:r>
    </w:p>
    <w:p w:rsidR="001A5CC4" w:rsidRDefault="001A5CC4" w:rsidP="00202C69">
      <w:pPr>
        <w:pStyle w:val="NoSpacing"/>
        <w:spacing w:line="360" w:lineRule="auto"/>
      </w:pPr>
      <w:r>
        <w:t>The book can be obtained from BMJ Bookshop, c/o John Smiths Medical Bookshop, 399–401</w:t>
      </w:r>
    </w:p>
    <w:p w:rsidR="001A5CC4" w:rsidRPr="00136CAA" w:rsidRDefault="001A5CC4" w:rsidP="00202C69">
      <w:pPr>
        <w:pStyle w:val="NoSpacing"/>
        <w:spacing w:line="360" w:lineRule="auto"/>
      </w:pPr>
      <w:r>
        <w:t>Oxford Road, Manchester, M13 9BL; alternatively e-ma</w:t>
      </w:r>
      <w:bookmarkStart w:id="0" w:name="_GoBack"/>
      <w:bookmarkEnd w:id="0"/>
      <w:r>
        <w:t>il: orders.bmj@johnsmith.co.uk.</w:t>
      </w:r>
    </w:p>
    <w:sectPr w:rsidR="001A5CC4" w:rsidRPr="00136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AA" w:rsidRDefault="00136CAA" w:rsidP="00136CAA">
      <w:pPr>
        <w:spacing w:after="0" w:line="240" w:lineRule="auto"/>
      </w:pPr>
      <w:r>
        <w:separator/>
      </w:r>
    </w:p>
  </w:endnote>
  <w:endnote w:type="continuationSeparator" w:id="0">
    <w:p w:rsidR="00136CAA" w:rsidRDefault="00136CAA" w:rsidP="0013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AA" w:rsidRDefault="00136CAA" w:rsidP="00136CAA">
      <w:pPr>
        <w:spacing w:after="0" w:line="240" w:lineRule="auto"/>
      </w:pPr>
      <w:r>
        <w:separator/>
      </w:r>
    </w:p>
  </w:footnote>
  <w:footnote w:type="continuationSeparator" w:id="0">
    <w:p w:rsidR="00136CAA" w:rsidRDefault="00136CAA" w:rsidP="00136CAA">
      <w:pPr>
        <w:spacing w:after="0" w:line="240" w:lineRule="auto"/>
      </w:pPr>
      <w:r>
        <w:continuationSeparator/>
      </w:r>
    </w:p>
  </w:footnote>
  <w:footnote w:id="1">
    <w:p w:rsidR="00136CAA" w:rsidRPr="00DE434D" w:rsidRDefault="00136CAA" w:rsidP="00DE434D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DE434D" w:rsidRPr="00DE434D">
        <w:rPr>
          <w:sz w:val="16"/>
        </w:rPr>
        <w:t xml:space="preserve">The Managing Editor of the book </w:t>
      </w:r>
      <w:r w:rsidR="00DE434D">
        <w:rPr>
          <w:sz w:val="16"/>
        </w:rPr>
        <w:t xml:space="preserve">is Penny Letts, Policy </w:t>
      </w:r>
      <w:r w:rsidR="00DE434D" w:rsidRPr="00DE434D">
        <w:rPr>
          <w:sz w:val="16"/>
        </w:rPr>
        <w:t>Consultant to th</w:t>
      </w:r>
      <w:r w:rsidR="00DE434D">
        <w:rPr>
          <w:sz w:val="16"/>
        </w:rPr>
        <w:t xml:space="preserve">e Mental Health Act Commission, </w:t>
      </w:r>
      <w:r w:rsidR="00DE434D" w:rsidRPr="00DE434D">
        <w:rPr>
          <w:sz w:val="16"/>
        </w:rPr>
        <w:t xml:space="preserve">former Law Society </w:t>
      </w:r>
      <w:r w:rsidR="00DE434D">
        <w:rPr>
          <w:sz w:val="16"/>
        </w:rPr>
        <w:t xml:space="preserve">Policy Advisor on Mental Health </w:t>
      </w:r>
      <w:r w:rsidR="00DE434D" w:rsidRPr="00DE434D">
        <w:rPr>
          <w:sz w:val="16"/>
        </w:rPr>
        <w:t>and Disability, and a c</w:t>
      </w:r>
      <w:r w:rsidR="00DE434D">
        <w:rPr>
          <w:sz w:val="16"/>
        </w:rPr>
        <w:t xml:space="preserve">ontributing author to both this </w:t>
      </w:r>
      <w:r w:rsidR="00DE434D" w:rsidRPr="00DE434D">
        <w:rPr>
          <w:sz w:val="16"/>
        </w:rPr>
        <w:t>edition and the first edition of 1995.</w:t>
      </w:r>
    </w:p>
  </w:footnote>
  <w:footnote w:id="2">
    <w:p w:rsidR="00AF501F" w:rsidRDefault="00AF50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F501F">
        <w:rPr>
          <w:sz w:val="16"/>
        </w:rPr>
        <w:t>[1990] 1 All ER 835</w:t>
      </w:r>
    </w:p>
  </w:footnote>
  <w:footnote w:id="3">
    <w:p w:rsidR="00AF501F" w:rsidRDefault="00AF50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F501F">
        <w:rPr>
          <w:sz w:val="16"/>
        </w:rPr>
        <w:t xml:space="preserve">[2002] EWCA </w:t>
      </w:r>
      <w:proofErr w:type="spellStart"/>
      <w:r w:rsidRPr="00AF501F">
        <w:rPr>
          <w:sz w:val="16"/>
        </w:rPr>
        <w:t>Civ</w:t>
      </w:r>
      <w:proofErr w:type="spellEnd"/>
      <w:r w:rsidRPr="00AF501F">
        <w:rPr>
          <w:sz w:val="16"/>
        </w:rPr>
        <w:t xml:space="preserve"> 388</w:t>
      </w:r>
    </w:p>
  </w:footnote>
  <w:footnote w:id="4">
    <w:p w:rsidR="00AF501F" w:rsidRDefault="00AF50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F501F">
        <w:rPr>
          <w:sz w:val="16"/>
        </w:rPr>
        <w:t>(1975) The Times 29/11/75</w:t>
      </w:r>
    </w:p>
  </w:footnote>
  <w:footnote w:id="5">
    <w:p w:rsidR="001F6C09" w:rsidRDefault="001F6C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F6C09">
        <w:rPr>
          <w:sz w:val="16"/>
        </w:rPr>
        <w:t>[1997] 2 FLR 426</w:t>
      </w:r>
    </w:p>
  </w:footnote>
  <w:footnote w:id="6">
    <w:p w:rsidR="001F6C09" w:rsidRDefault="001F6C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F6C09">
        <w:rPr>
          <w:sz w:val="16"/>
        </w:rPr>
        <w:t xml:space="preserve">[2001] EWCA </w:t>
      </w:r>
      <w:proofErr w:type="spellStart"/>
      <w:r w:rsidRPr="001F6C09">
        <w:rPr>
          <w:sz w:val="16"/>
        </w:rPr>
        <w:t>Civ</w:t>
      </w:r>
      <w:proofErr w:type="spellEnd"/>
      <w:r w:rsidRPr="001F6C09">
        <w:rPr>
          <w:sz w:val="16"/>
        </w:rPr>
        <w:t xml:space="preserve"> 1545</w:t>
      </w:r>
    </w:p>
  </w:footnote>
  <w:footnote w:id="7">
    <w:p w:rsidR="00BE2E61" w:rsidRDefault="00BE2E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2E61">
        <w:rPr>
          <w:sz w:val="16"/>
        </w:rPr>
        <w:t>[1998] 1 All ER 358</w:t>
      </w:r>
    </w:p>
  </w:footnote>
  <w:footnote w:id="8">
    <w:p w:rsidR="00BE2E61" w:rsidRDefault="00BE2E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9163E" w:rsidRPr="0029163E">
        <w:rPr>
          <w:sz w:val="16"/>
        </w:rPr>
        <w:t>[2003] 3 All ER 162</w:t>
      </w:r>
    </w:p>
  </w:footnote>
  <w:footnote w:id="9">
    <w:p w:rsidR="0029163E" w:rsidRDefault="002916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163E">
        <w:rPr>
          <w:sz w:val="16"/>
        </w:rPr>
        <w:t>(1883) 8 PD 171</w:t>
      </w:r>
    </w:p>
  </w:footnote>
  <w:footnote w:id="10">
    <w:p w:rsidR="0029163E" w:rsidRDefault="002916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163E">
        <w:rPr>
          <w:sz w:val="16"/>
        </w:rPr>
        <w:t>[1997] CLY 661</w:t>
      </w:r>
    </w:p>
  </w:footnote>
  <w:footnote w:id="11">
    <w:p w:rsidR="0029163E" w:rsidRDefault="002916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163E">
        <w:rPr>
          <w:sz w:val="16"/>
        </w:rPr>
        <w:t>[1994] 1 All ER 819</w:t>
      </w:r>
    </w:p>
  </w:footnote>
  <w:footnote w:id="12">
    <w:p w:rsidR="0029163E" w:rsidRDefault="002916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163E">
        <w:rPr>
          <w:sz w:val="16"/>
        </w:rPr>
        <w:t>[1997] 2 FLR 426</w:t>
      </w:r>
    </w:p>
  </w:footnote>
  <w:footnote w:id="13">
    <w:p w:rsidR="001A5CC4" w:rsidRDefault="001A5C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A5CC4">
        <w:rPr>
          <w:sz w:val="16"/>
        </w:rPr>
        <w:t>[1990] 2 AC 1</w:t>
      </w:r>
    </w:p>
  </w:footnote>
  <w:footnote w:id="14">
    <w:p w:rsidR="001A5CC4" w:rsidRDefault="001A5CC4">
      <w:pPr>
        <w:pStyle w:val="FootnoteText"/>
      </w:pPr>
      <w:r>
        <w:rPr>
          <w:rStyle w:val="FootnoteReference"/>
        </w:rPr>
        <w:footnoteRef/>
      </w:r>
      <w:r w:rsidRPr="001A5CC4">
        <w:rPr>
          <w:sz w:val="16"/>
        </w:rPr>
        <w:t xml:space="preserve"> [2000] 2 FLR 389</w:t>
      </w:r>
    </w:p>
  </w:footnote>
  <w:footnote w:id="15">
    <w:p w:rsidR="001A5CC4" w:rsidRPr="008E2BB8" w:rsidRDefault="001A5CC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8E2BB8" w:rsidRPr="008E2BB8">
        <w:rPr>
          <w:sz w:val="16"/>
        </w:rPr>
        <w:t>[1998] 3 All ER 673</w:t>
      </w:r>
    </w:p>
  </w:footnote>
  <w:footnote w:id="16">
    <w:p w:rsidR="001A5CC4" w:rsidRDefault="001A5C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E2BB8" w:rsidRPr="008E2BB8">
        <w:rPr>
          <w:sz w:val="16"/>
        </w:rPr>
        <w:t>[1992] 4 All ER 649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2B2A"/>
    <w:multiLevelType w:val="hybridMultilevel"/>
    <w:tmpl w:val="56AC6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7F"/>
    <w:rsid w:val="0001102F"/>
    <w:rsid w:val="00136CAA"/>
    <w:rsid w:val="001372B5"/>
    <w:rsid w:val="001408BE"/>
    <w:rsid w:val="001A5CC4"/>
    <w:rsid w:val="001F6C09"/>
    <w:rsid w:val="00202C69"/>
    <w:rsid w:val="0029163E"/>
    <w:rsid w:val="00360E56"/>
    <w:rsid w:val="004135D0"/>
    <w:rsid w:val="00445E6F"/>
    <w:rsid w:val="005D4B0C"/>
    <w:rsid w:val="0066120C"/>
    <w:rsid w:val="006B7AC5"/>
    <w:rsid w:val="006F1D5E"/>
    <w:rsid w:val="00836D08"/>
    <w:rsid w:val="008E2BB8"/>
    <w:rsid w:val="009B0A9A"/>
    <w:rsid w:val="009F077F"/>
    <w:rsid w:val="00AF501F"/>
    <w:rsid w:val="00BE2E61"/>
    <w:rsid w:val="00C160EA"/>
    <w:rsid w:val="00D76016"/>
    <w:rsid w:val="00DE434D"/>
    <w:rsid w:val="00E4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6C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6C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6CAA"/>
    <w:rPr>
      <w:vertAlign w:val="superscript"/>
    </w:rPr>
  </w:style>
  <w:style w:type="paragraph" w:styleId="NoSpacing">
    <w:name w:val="No Spacing"/>
    <w:uiPriority w:val="1"/>
    <w:qFormat/>
    <w:rsid w:val="00136C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6C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6C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6CAA"/>
    <w:rPr>
      <w:vertAlign w:val="superscript"/>
    </w:rPr>
  </w:style>
  <w:style w:type="paragraph" w:styleId="NoSpacing">
    <w:name w:val="No Spacing"/>
    <w:uiPriority w:val="1"/>
    <w:qFormat/>
    <w:rsid w:val="00136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2014-11-03T16:52:00Z</dcterms:created>
  <dcterms:modified xsi:type="dcterms:W3CDTF">2014-11-04T10:58:00Z</dcterms:modified>
</cp:coreProperties>
</file>