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F9B" w:rsidRPr="00FF4F9B" w:rsidRDefault="00FF4F9B" w:rsidP="00FF4F9B">
      <w:pPr>
        <w:suppressAutoHyphens/>
        <w:spacing w:after="120" w:line="240" w:lineRule="auto"/>
        <w:rPr>
          <w:rFonts w:ascii="Calibri" w:hAnsi="Calibri"/>
          <w:b/>
          <w:sz w:val="96"/>
          <w:szCs w:val="96"/>
        </w:rPr>
      </w:pPr>
      <w:r w:rsidRPr="00FF4F9B">
        <w:rPr>
          <w:rFonts w:ascii="Calibri" w:hAnsi="Calibri"/>
          <w:b/>
          <w:sz w:val="96"/>
          <w:szCs w:val="96"/>
        </w:rPr>
        <w:t>Book review</w:t>
      </w:r>
    </w:p>
    <w:p w:rsidR="00FF4F9B" w:rsidRPr="00FF4F9B" w:rsidRDefault="00FF4F9B" w:rsidP="00FF4F9B">
      <w:pPr>
        <w:suppressAutoHyphens/>
        <w:spacing w:after="120" w:line="240" w:lineRule="auto"/>
        <w:rPr>
          <w:rFonts w:ascii="Calibri" w:hAnsi="Calibri"/>
          <w:sz w:val="24"/>
        </w:rPr>
      </w:pPr>
    </w:p>
    <w:p w:rsidR="00FF4F9B" w:rsidRPr="00FF4F9B" w:rsidRDefault="00FF4F9B" w:rsidP="00FF4F9B">
      <w:pPr>
        <w:suppressAutoHyphens/>
        <w:spacing w:after="120" w:line="240" w:lineRule="auto"/>
        <w:rPr>
          <w:rFonts w:ascii="Calibri" w:hAnsi="Calibri"/>
          <w:b/>
          <w:i/>
          <w:sz w:val="28"/>
        </w:rPr>
      </w:pPr>
      <w:r w:rsidRPr="00FF4F9B">
        <w:rPr>
          <w:rFonts w:ascii="Calibri" w:hAnsi="Calibri"/>
          <w:b/>
          <w:i/>
          <w:sz w:val="28"/>
        </w:rPr>
        <w:t>Mental Health Act Manual</w:t>
      </w:r>
      <w:r w:rsidRPr="00FF4F9B">
        <w:rPr>
          <w:rFonts w:ascii="Calibri" w:hAnsi="Calibri"/>
          <w:b/>
          <w:i/>
          <w:sz w:val="28"/>
        </w:rPr>
        <w:t xml:space="preserve"> by Richard Jones (9th edition)</w:t>
      </w:r>
    </w:p>
    <w:p w:rsidR="00FF4F9B" w:rsidRPr="00FF4F9B" w:rsidRDefault="00FF4F9B" w:rsidP="00FF4F9B">
      <w:pPr>
        <w:suppressAutoHyphens/>
        <w:spacing w:after="120" w:line="240" w:lineRule="auto"/>
        <w:rPr>
          <w:rFonts w:ascii="Calibri" w:hAnsi="Calibri"/>
          <w:b/>
          <w:sz w:val="24"/>
        </w:rPr>
      </w:pPr>
      <w:r w:rsidRPr="00FF4F9B">
        <w:rPr>
          <w:rFonts w:ascii="Calibri" w:hAnsi="Calibri"/>
          <w:b/>
          <w:sz w:val="24"/>
        </w:rPr>
        <w:t xml:space="preserve">Published by </w:t>
      </w:r>
      <w:r w:rsidRPr="00FF4F9B">
        <w:rPr>
          <w:rFonts w:ascii="Calibri" w:hAnsi="Calibri"/>
          <w:b/>
          <w:sz w:val="24"/>
        </w:rPr>
        <w:t>Sweet and Maxwell (2004) £59.00</w:t>
      </w:r>
    </w:p>
    <w:p w:rsidR="00FF4F9B" w:rsidRPr="00FF4F9B" w:rsidRDefault="00FF4F9B" w:rsidP="00FF4F9B">
      <w:pPr>
        <w:suppressAutoHyphens/>
        <w:spacing w:after="120" w:line="240" w:lineRule="auto"/>
        <w:rPr>
          <w:rFonts w:ascii="Calibri" w:hAnsi="Calibri"/>
          <w:sz w:val="24"/>
        </w:rPr>
      </w:pPr>
    </w:p>
    <w:p w:rsidR="00FF4F9B" w:rsidRPr="00FF4F9B" w:rsidRDefault="00FF4F9B" w:rsidP="00FF4F9B">
      <w:pPr>
        <w:suppressAutoHyphens/>
        <w:spacing w:after="120" w:line="240" w:lineRule="auto"/>
        <w:rPr>
          <w:rFonts w:ascii="Calibri" w:hAnsi="Calibri"/>
          <w:sz w:val="24"/>
        </w:rPr>
      </w:pPr>
      <w:r w:rsidRPr="00FF4F9B">
        <w:rPr>
          <w:rFonts w:ascii="Calibri" w:hAnsi="Calibri"/>
          <w:sz w:val="24"/>
        </w:rPr>
        <w:t xml:space="preserve">A new edition of the Mental Health Act Manual is always an event. Richard Jones has long been treated as </w:t>
      </w:r>
      <w:r w:rsidRPr="00A97E42">
        <w:rPr>
          <w:rFonts w:ascii="Calibri" w:hAnsi="Calibri"/>
          <w:i/>
          <w:sz w:val="24"/>
        </w:rPr>
        <w:t>the</w:t>
      </w:r>
      <w:r w:rsidRPr="00FF4F9B">
        <w:rPr>
          <w:rFonts w:ascii="Calibri" w:hAnsi="Calibri"/>
          <w:sz w:val="24"/>
        </w:rPr>
        <w:t xml:space="preserve"> authority in the field of mental health law; indeed, some mental health professionals need convincing that Jones’s commentary does not embody the law (the “Jones says” phenomen</w:t>
      </w:r>
      <w:r>
        <w:rPr>
          <w:rFonts w:ascii="Calibri" w:hAnsi="Calibri"/>
          <w:sz w:val="24"/>
        </w:rPr>
        <w:t>on, noted before in these pages</w:t>
      </w:r>
      <w:r>
        <w:rPr>
          <w:rStyle w:val="FootnoteReference"/>
          <w:rFonts w:ascii="Calibri" w:hAnsi="Calibri"/>
          <w:sz w:val="24"/>
        </w:rPr>
        <w:footnoteReference w:id="1"/>
      </w:r>
      <w:r w:rsidRPr="00FF4F9B">
        <w:rPr>
          <w:rFonts w:ascii="Calibri" w:hAnsi="Calibri"/>
          <w:sz w:val="24"/>
        </w:rPr>
        <w:t xml:space="preserve">). Fortunately Jones’s views are always well-argued: his interpretation is usually based upon both a thorough knowledge of what the settled law says and, where it is not settled, fierce opinions on what it ought to be. (I return to Jones’s </w:t>
      </w:r>
      <w:r>
        <w:rPr>
          <w:rFonts w:ascii="Calibri" w:hAnsi="Calibri"/>
          <w:sz w:val="24"/>
        </w:rPr>
        <w:t>opinions later in this review.)</w:t>
      </w:r>
    </w:p>
    <w:p w:rsidR="00FF4F9B" w:rsidRPr="00FF4F9B" w:rsidRDefault="00FF4F9B" w:rsidP="00FF4F9B">
      <w:pPr>
        <w:suppressAutoHyphens/>
        <w:spacing w:after="120" w:line="240" w:lineRule="auto"/>
        <w:rPr>
          <w:rFonts w:ascii="Calibri" w:hAnsi="Calibri"/>
          <w:sz w:val="24"/>
        </w:rPr>
      </w:pPr>
      <w:r w:rsidRPr="00FF4F9B">
        <w:rPr>
          <w:rFonts w:ascii="Calibri" w:hAnsi="Calibri"/>
          <w:sz w:val="24"/>
        </w:rPr>
        <w:t>So what is new in the 9th edition? The mixture is much as before: the focus is on the text of the 1983 Act, with a detailed commentary on how it has been interpreted in the decided cases, the 1983 Tribunal Rules and commentary, the Human Rights Act 1998 and commentary, and the Code of Practice, which carries no commentary as such but occasional ‘general notes’ (which frequently dissent from the guidance given). As far as I can see, every import</w:t>
      </w:r>
      <w:r>
        <w:rPr>
          <w:rFonts w:ascii="Calibri" w:hAnsi="Calibri"/>
          <w:sz w:val="24"/>
        </w:rPr>
        <w:t>ant case since the last edition</w:t>
      </w:r>
      <w:r>
        <w:rPr>
          <w:rStyle w:val="FootnoteReference"/>
          <w:rFonts w:ascii="Calibri" w:hAnsi="Calibri"/>
          <w:sz w:val="24"/>
        </w:rPr>
        <w:footnoteReference w:id="2"/>
      </w:r>
      <w:r w:rsidRPr="00FF4F9B">
        <w:rPr>
          <w:rFonts w:ascii="Calibri" w:hAnsi="Calibri"/>
          <w:sz w:val="24"/>
        </w:rPr>
        <w:t xml:space="preserve"> has been included, and a large number that I have not encountered before. I am particularly grateful for the excellent updating of the commentary on Part III sentencing, where the </w:t>
      </w:r>
      <w:proofErr w:type="spellStart"/>
      <w:r w:rsidRPr="00FF4F9B">
        <w:rPr>
          <w:rFonts w:ascii="Calibri" w:hAnsi="Calibri"/>
          <w:sz w:val="24"/>
        </w:rPr>
        <w:t>caselaw</w:t>
      </w:r>
      <w:proofErr w:type="spellEnd"/>
      <w:r w:rsidRPr="00FF4F9B">
        <w:rPr>
          <w:rFonts w:ascii="Calibri" w:hAnsi="Calibri"/>
          <w:sz w:val="24"/>
        </w:rPr>
        <w:t xml:space="preserve"> is harder to track down. What is more, having for once read through the whole Manual (albeit at a gallop) I am left awestruck at the clarity of the materials: how Jones manages each time to reduce such complexity of detail to a book which can be so readily understood, without complete mental collapse, is</w:t>
      </w:r>
      <w:r>
        <w:rPr>
          <w:rFonts w:ascii="Calibri" w:hAnsi="Calibri"/>
          <w:sz w:val="24"/>
        </w:rPr>
        <w:t xml:space="preserve"> nothing less than astonishing.</w:t>
      </w:r>
    </w:p>
    <w:p w:rsidR="00FF4F9B" w:rsidRPr="00FF4F9B" w:rsidRDefault="00FF4F9B" w:rsidP="00FF4F9B">
      <w:pPr>
        <w:suppressAutoHyphens/>
        <w:spacing w:after="120" w:line="240" w:lineRule="auto"/>
        <w:rPr>
          <w:rFonts w:ascii="Calibri" w:hAnsi="Calibri"/>
          <w:sz w:val="24"/>
        </w:rPr>
      </w:pPr>
      <w:r w:rsidRPr="00FF4F9B">
        <w:rPr>
          <w:rFonts w:ascii="Calibri" w:hAnsi="Calibri"/>
          <w:sz w:val="24"/>
        </w:rPr>
        <w:t>I welcome the four annexes which deal with specific contentious issues – medical treatment under common law, medical treatment of children, further powers to restrain and/or detain patients and the legal protection of mentally incapable adults – which have helpfully been extracted from their former positions in the general text. This approach could perhaps be extended to other key parts of the Manual where the ‘general notes’ have got out of hand: section 3, for example, occupies 3/4 page of text, while the c</w:t>
      </w:r>
      <w:r>
        <w:rPr>
          <w:rFonts w:ascii="Calibri" w:hAnsi="Calibri"/>
          <w:sz w:val="24"/>
        </w:rPr>
        <w:t>ommentary runs to 13 1/2 pages.</w:t>
      </w:r>
    </w:p>
    <w:p w:rsidR="00FF4F9B" w:rsidRPr="00FF4F9B" w:rsidRDefault="00FF4F9B" w:rsidP="00FF4F9B">
      <w:pPr>
        <w:suppressAutoHyphens/>
        <w:spacing w:after="120" w:line="240" w:lineRule="auto"/>
        <w:rPr>
          <w:rFonts w:ascii="Calibri" w:hAnsi="Calibri"/>
          <w:sz w:val="24"/>
        </w:rPr>
      </w:pPr>
      <w:r w:rsidRPr="00FF4F9B">
        <w:rPr>
          <w:rFonts w:ascii="Calibri" w:hAnsi="Calibri"/>
          <w:sz w:val="24"/>
        </w:rPr>
        <w:t>It is a pity that this edition went to press before the European Court of Human Rights delivered its long-delayed judgment in the ‘</w:t>
      </w:r>
      <w:proofErr w:type="spellStart"/>
      <w:r w:rsidRPr="00FF4F9B">
        <w:rPr>
          <w:rFonts w:ascii="Calibri" w:hAnsi="Calibri"/>
          <w:sz w:val="24"/>
        </w:rPr>
        <w:t>Bournewood</w:t>
      </w:r>
      <w:proofErr w:type="spellEnd"/>
      <w:r w:rsidRPr="00FF4F9B">
        <w:rPr>
          <w:rFonts w:ascii="Calibri" w:hAnsi="Calibri"/>
          <w:sz w:val="24"/>
        </w:rPr>
        <w:t>’ case (</w:t>
      </w:r>
      <w:r w:rsidRPr="00D458B1">
        <w:rPr>
          <w:rFonts w:ascii="Calibri" w:hAnsi="Calibri"/>
          <w:i/>
          <w:sz w:val="24"/>
        </w:rPr>
        <w:t>HL</w:t>
      </w:r>
      <w:r w:rsidRPr="00D458B1">
        <w:rPr>
          <w:rFonts w:ascii="Calibri" w:hAnsi="Calibri"/>
          <w:i/>
          <w:sz w:val="24"/>
        </w:rPr>
        <w:t xml:space="preserve"> v United Kingdom</w:t>
      </w:r>
      <w:r>
        <w:rPr>
          <w:rFonts w:ascii="Calibri" w:hAnsi="Calibri"/>
          <w:sz w:val="24"/>
        </w:rPr>
        <w:t>, October 2004</w:t>
      </w:r>
      <w:r>
        <w:rPr>
          <w:rStyle w:val="FootnoteReference"/>
          <w:rFonts w:ascii="Calibri" w:hAnsi="Calibri"/>
          <w:sz w:val="24"/>
        </w:rPr>
        <w:footnoteReference w:id="3"/>
      </w:r>
      <w:r w:rsidRPr="00FF4F9B">
        <w:rPr>
          <w:rFonts w:ascii="Calibri" w:hAnsi="Calibri"/>
          <w:sz w:val="24"/>
        </w:rPr>
        <w:t xml:space="preserve">). Jones’s summary of the position at common law and its interaction with the European Convention is in fact largely borne out by how the European Court subsequently viewed the case. Health professionals struggling to implement the recent Department of </w:t>
      </w:r>
      <w:r>
        <w:rPr>
          <w:rFonts w:ascii="Calibri" w:hAnsi="Calibri"/>
          <w:sz w:val="24"/>
        </w:rPr>
        <w:lastRenderedPageBreak/>
        <w:t>Health guidance</w:t>
      </w:r>
      <w:r>
        <w:rPr>
          <w:rStyle w:val="FootnoteReference"/>
          <w:rFonts w:ascii="Calibri" w:hAnsi="Calibri"/>
          <w:sz w:val="24"/>
        </w:rPr>
        <w:footnoteReference w:id="4"/>
      </w:r>
      <w:r w:rsidRPr="00FF4F9B">
        <w:rPr>
          <w:rFonts w:ascii="Calibri" w:hAnsi="Calibri"/>
          <w:sz w:val="24"/>
        </w:rPr>
        <w:t xml:space="preserve"> that people should not be admitted informally ‘in circumstances amounting to a deprivation of liberty’ would, I am sure, now welcome an authoritative review of the vexed question of when, exactly, someone is ‘detained’</w:t>
      </w:r>
      <w:r>
        <w:rPr>
          <w:rFonts w:ascii="Calibri" w:hAnsi="Calibri"/>
          <w:sz w:val="24"/>
        </w:rPr>
        <w:t xml:space="preserve">, given the conflicting </w:t>
      </w:r>
      <w:proofErr w:type="spellStart"/>
      <w:r>
        <w:rPr>
          <w:rFonts w:ascii="Calibri" w:hAnsi="Calibri"/>
          <w:sz w:val="24"/>
        </w:rPr>
        <w:t>caselaw</w:t>
      </w:r>
      <w:proofErr w:type="spellEnd"/>
      <w:r>
        <w:rPr>
          <w:rStyle w:val="FootnoteReference"/>
          <w:rFonts w:ascii="Calibri" w:hAnsi="Calibri"/>
          <w:sz w:val="24"/>
        </w:rPr>
        <w:footnoteReference w:id="5"/>
      </w:r>
      <w:r w:rsidRPr="00FF4F9B">
        <w:rPr>
          <w:rFonts w:ascii="Calibri" w:hAnsi="Calibri"/>
          <w:sz w:val="24"/>
        </w:rPr>
        <w:t xml:space="preserve">. Is it possible to reconcile these authorities with the recent ‘discharge to hospital’ cases such as </w:t>
      </w:r>
      <w:r w:rsidRPr="00D458B1">
        <w:rPr>
          <w:rFonts w:ascii="Calibri" w:hAnsi="Calibri"/>
          <w:i/>
          <w:sz w:val="24"/>
        </w:rPr>
        <w:t>R (Secretary of State for the Home Department) v Mental Health Review Tribunal</w:t>
      </w:r>
      <w:r>
        <w:rPr>
          <w:rStyle w:val="FootnoteReference"/>
          <w:rFonts w:ascii="Calibri" w:hAnsi="Calibri"/>
          <w:sz w:val="24"/>
        </w:rPr>
        <w:footnoteReference w:id="6"/>
      </w:r>
      <w:r w:rsidRPr="00FF4F9B">
        <w:rPr>
          <w:rFonts w:ascii="Calibri" w:hAnsi="Calibri"/>
          <w:sz w:val="24"/>
        </w:rPr>
        <w:t xml:space="preserve">, </w:t>
      </w:r>
      <w:r w:rsidRPr="00D458B1">
        <w:rPr>
          <w:rFonts w:ascii="Calibri" w:hAnsi="Calibri"/>
          <w:i/>
          <w:sz w:val="24"/>
        </w:rPr>
        <w:t>R (G) v MHRT &amp; Secretary of State for the Home Department</w:t>
      </w:r>
      <w:r>
        <w:rPr>
          <w:rStyle w:val="FootnoteReference"/>
          <w:rFonts w:ascii="Calibri" w:hAnsi="Calibri"/>
          <w:sz w:val="24"/>
        </w:rPr>
        <w:footnoteReference w:id="7"/>
      </w:r>
      <w:r w:rsidRPr="00FF4F9B">
        <w:rPr>
          <w:rFonts w:ascii="Calibri" w:hAnsi="Calibri"/>
          <w:sz w:val="24"/>
        </w:rPr>
        <w:t xml:space="preserve">, </w:t>
      </w:r>
      <w:r w:rsidRPr="00D458B1">
        <w:rPr>
          <w:rFonts w:ascii="Calibri" w:hAnsi="Calibri"/>
          <w:i/>
          <w:sz w:val="24"/>
        </w:rPr>
        <w:t xml:space="preserve">R (Secretary of State </w:t>
      </w:r>
      <w:r w:rsidRPr="00D458B1">
        <w:rPr>
          <w:rFonts w:ascii="Calibri" w:hAnsi="Calibri"/>
          <w:i/>
          <w:sz w:val="24"/>
        </w:rPr>
        <w:t>for the Home department) v MHRT</w:t>
      </w:r>
      <w:r>
        <w:rPr>
          <w:rStyle w:val="FootnoteReference"/>
          <w:rFonts w:ascii="Calibri" w:hAnsi="Calibri"/>
          <w:sz w:val="24"/>
        </w:rPr>
        <w:footnoteReference w:id="8"/>
      </w:r>
      <w:r w:rsidRPr="00FF4F9B">
        <w:rPr>
          <w:rFonts w:ascii="Calibri" w:hAnsi="Calibri"/>
          <w:sz w:val="24"/>
        </w:rPr>
        <w:t>? I think we should be told – and I can imagine no-one be</w:t>
      </w:r>
      <w:r>
        <w:rPr>
          <w:rFonts w:ascii="Calibri" w:hAnsi="Calibri"/>
          <w:sz w:val="24"/>
        </w:rPr>
        <w:t>tter than Jones at the telling.</w:t>
      </w:r>
    </w:p>
    <w:p w:rsidR="00FF4F9B" w:rsidRPr="00FF4F9B" w:rsidRDefault="00FF4F9B" w:rsidP="00FF4F9B">
      <w:pPr>
        <w:suppressAutoHyphens/>
        <w:spacing w:after="120" w:line="240" w:lineRule="auto"/>
        <w:rPr>
          <w:rFonts w:ascii="Calibri" w:hAnsi="Calibri"/>
          <w:sz w:val="24"/>
        </w:rPr>
      </w:pPr>
      <w:r w:rsidRPr="00FF4F9B">
        <w:rPr>
          <w:rFonts w:ascii="Calibri" w:hAnsi="Calibri"/>
          <w:sz w:val="24"/>
        </w:rPr>
        <w:t>So the Manual is as wonderful and definitive as ever. And yet, I am left with two nagging questions: what is the purpose of the Manual, and who is it written for? With regard to the first question, the obvious answer is that it is primarily a working handbook for professionals in the field. But not all the material is equally accessible. Who, for example, is the target readership of the lengthy and ever-expanding section on the Human Rights Act? It makes fascinating reading for academics and policy-makers, and is doubtless invaluable for counsel preparing an appeal, but is unlikely to be of much use to busy professionals seeking to uphold Convention rights in their everyday practice.</w:t>
      </w:r>
    </w:p>
    <w:p w:rsidR="00FF4F9B" w:rsidRPr="00FF4F9B" w:rsidRDefault="00FF4F9B" w:rsidP="00FF4F9B">
      <w:pPr>
        <w:suppressAutoHyphens/>
        <w:spacing w:after="120" w:line="240" w:lineRule="auto"/>
        <w:rPr>
          <w:rFonts w:ascii="Calibri" w:hAnsi="Calibri"/>
          <w:sz w:val="24"/>
        </w:rPr>
      </w:pPr>
      <w:r w:rsidRPr="00FF4F9B">
        <w:rPr>
          <w:rFonts w:ascii="Calibri" w:hAnsi="Calibri"/>
          <w:sz w:val="24"/>
        </w:rPr>
        <w:t>The Manual is long and getting longer (and of course more expensive); in my view the space would be better used if Jones could, for example, reinstate the key pieces of Government guidance, which at one time were included in full but which remain banished to summary notes in the general commentary. It is hard for health professionals, let alone lawyers, to keep up with what guidance is currently in force. If it is apparently possible to include in full the 1995 guidance on supervised discharge, which remains little-used, could we please have the text – or extracts from it – of the key documents on mentally disordered offenders, unfitness to plead, confidentiality, etc.? Jones would be doing us all a great service by restor</w:t>
      </w:r>
      <w:r>
        <w:rPr>
          <w:rFonts w:ascii="Calibri" w:hAnsi="Calibri"/>
          <w:sz w:val="24"/>
        </w:rPr>
        <w:t>ing this section of the Manual.</w:t>
      </w:r>
    </w:p>
    <w:p w:rsidR="00FF4F9B" w:rsidRPr="00FF4F9B" w:rsidRDefault="00FF4F9B" w:rsidP="00FF4F9B">
      <w:pPr>
        <w:suppressAutoHyphens/>
        <w:spacing w:after="120" w:line="240" w:lineRule="auto"/>
        <w:rPr>
          <w:rFonts w:ascii="Calibri" w:hAnsi="Calibri"/>
          <w:sz w:val="24"/>
        </w:rPr>
      </w:pPr>
      <w:r w:rsidRPr="00FF4F9B">
        <w:rPr>
          <w:rFonts w:ascii="Calibri" w:hAnsi="Calibri"/>
          <w:sz w:val="24"/>
        </w:rPr>
        <w:t>I am more troubled by the second question. Veteran Jones-watchers have long been aware that the Manual tends to be written largely with mental health professionals in mind, and this is clearly reflected in the passages in which Jones sets out his personal views. There is nothing wrong with him giving his opinions – he knows the law as thoroughly as anyone and has great clarity of thought (though it would be helpful if he could differentiate more clearly between passages summarising the law and his occasional pieces of kite-flying). The problem is, rather, with the areas in which he chooses to express a dissenting view: these are almost always where it appears that current practice places the statutory authorities at a disadvantage. In the matter of charging for s.117 services, for example, Jones continues to grumble about unfairness years after the matter has been decided definitively by the House of Lords</w:t>
      </w:r>
      <w:r>
        <w:rPr>
          <w:rStyle w:val="FootnoteReference"/>
          <w:rFonts w:ascii="Calibri" w:hAnsi="Calibri"/>
          <w:sz w:val="24"/>
        </w:rPr>
        <w:footnoteReference w:id="9"/>
      </w:r>
      <w:r w:rsidRPr="00FF4F9B">
        <w:rPr>
          <w:rFonts w:ascii="Calibri" w:hAnsi="Calibri"/>
          <w:sz w:val="24"/>
        </w:rPr>
        <w:t xml:space="preserve"> </w:t>
      </w:r>
      <w:r>
        <w:rPr>
          <w:rFonts w:ascii="Calibri" w:hAnsi="Calibri"/>
          <w:sz w:val="24"/>
        </w:rPr>
        <w:t>(see page 430 of this edition).</w:t>
      </w:r>
    </w:p>
    <w:p w:rsidR="00FF4F9B" w:rsidRPr="00FF4F9B" w:rsidRDefault="00FF4F9B" w:rsidP="00FF4F9B">
      <w:pPr>
        <w:suppressAutoHyphens/>
        <w:spacing w:after="120" w:line="240" w:lineRule="auto"/>
        <w:rPr>
          <w:rFonts w:ascii="Calibri" w:hAnsi="Calibri"/>
          <w:sz w:val="24"/>
        </w:rPr>
      </w:pPr>
      <w:r w:rsidRPr="00FF4F9B">
        <w:rPr>
          <w:rFonts w:ascii="Calibri" w:hAnsi="Calibri"/>
          <w:sz w:val="24"/>
        </w:rPr>
        <w:lastRenderedPageBreak/>
        <w:t xml:space="preserve">This does not mean that Jones is usually wrong: on the contrary, his concerns are frequently vindicated by the courts. For example, one of his familiar themes concerns the duty to consult the nearest relative ‘unless it appears (to the ASW) that in the circumstances such consultation is not reasonably practicable...’ (s.11(4) MHA). Is the ASW permitted not to consult the nearest relative if he or she is believed to have been harmful to the patient, or where the patient has severed all links with him or her? The Code of Practice states at paragraph 2.16: “Practicability refers to the availability of the nearest relative and not to the appropriateness of informing or consulting the person concerned.” Jones takes a characteristically robust line over this guidance. It is “both incorrect and inconsistent with the requirements of the European Convention of Human Rights” (page 81, bottom). “Approved social workers should therefore be advised not to interpret this provision in the manner advocated by the Code of Practice and the Mental Health Act Commission” (page 83, top). As we now know, the courts have finally confirmed the correctness of this approach: see </w:t>
      </w:r>
      <w:r w:rsidRPr="00DB2C71">
        <w:rPr>
          <w:rFonts w:ascii="Calibri" w:hAnsi="Calibri"/>
          <w:i/>
          <w:sz w:val="24"/>
        </w:rPr>
        <w:t>R (E) v Bristo</w:t>
      </w:r>
      <w:r w:rsidR="005D409E" w:rsidRPr="00DB2C71">
        <w:rPr>
          <w:rFonts w:ascii="Calibri" w:hAnsi="Calibri"/>
          <w:i/>
          <w:sz w:val="24"/>
        </w:rPr>
        <w:t>l City Council</w:t>
      </w:r>
      <w:r w:rsidR="005D409E">
        <w:rPr>
          <w:rStyle w:val="FootnoteReference"/>
          <w:rFonts w:ascii="Calibri" w:hAnsi="Calibri"/>
          <w:sz w:val="24"/>
        </w:rPr>
        <w:footnoteReference w:id="10"/>
      </w:r>
      <w:r>
        <w:rPr>
          <w:rFonts w:ascii="Calibri" w:hAnsi="Calibri"/>
          <w:sz w:val="24"/>
        </w:rPr>
        <w:t>.</w:t>
      </w:r>
    </w:p>
    <w:p w:rsidR="00FF4F9B" w:rsidRPr="00FF4F9B" w:rsidRDefault="00FF4F9B" w:rsidP="00FF4F9B">
      <w:pPr>
        <w:suppressAutoHyphens/>
        <w:spacing w:after="120" w:line="240" w:lineRule="auto"/>
        <w:rPr>
          <w:rFonts w:ascii="Calibri" w:hAnsi="Calibri"/>
          <w:sz w:val="24"/>
        </w:rPr>
      </w:pPr>
      <w:r w:rsidRPr="00FF4F9B">
        <w:rPr>
          <w:rFonts w:ascii="Calibri" w:hAnsi="Calibri"/>
          <w:sz w:val="24"/>
        </w:rPr>
        <w:t xml:space="preserve">My concern is, rather, that there are a number of examples in the Manual of decisions which would appear to undermine the patient’s rights, upon which Jones makes no comment. Take for example the practice of displacing a nearest relative by interim order, without notice, following </w:t>
      </w:r>
      <w:r w:rsidRPr="00DB2C71">
        <w:rPr>
          <w:rFonts w:ascii="Calibri" w:hAnsi="Calibri"/>
          <w:i/>
          <w:sz w:val="24"/>
        </w:rPr>
        <w:t>R v Central Lond</w:t>
      </w:r>
      <w:r w:rsidR="005D409E" w:rsidRPr="00DB2C71">
        <w:rPr>
          <w:rFonts w:ascii="Calibri" w:hAnsi="Calibri"/>
          <w:i/>
          <w:sz w:val="24"/>
        </w:rPr>
        <w:t>on County Court ex parte London</w:t>
      </w:r>
      <w:r w:rsidR="005D409E">
        <w:rPr>
          <w:rStyle w:val="FootnoteReference"/>
          <w:rFonts w:ascii="Calibri" w:hAnsi="Calibri"/>
          <w:sz w:val="24"/>
        </w:rPr>
        <w:footnoteReference w:id="11"/>
      </w:r>
      <w:r w:rsidRPr="00FF4F9B">
        <w:rPr>
          <w:rFonts w:ascii="Calibri" w:hAnsi="Calibri"/>
          <w:sz w:val="24"/>
        </w:rPr>
        <w:t>: there is apparently a growing practice of displacing without notice and without providing a return date, putting the nearest relative to the effort of having to make an application in order to assert his or her statutory rights. I once raised concerns about this practice with the county court concerned but was told that it was perfectly lawful under the County Courts Act 1984. The court rather missed the point: surely there is a problem of principle here? If so, Jones says nothing about it. Or take the extension of a section 2 detention pending displacement under s.29(4) MHA. At the time of this edition Jones had access to th</w:t>
      </w:r>
      <w:r w:rsidR="005D409E">
        <w:rPr>
          <w:rFonts w:ascii="Calibri" w:hAnsi="Calibri"/>
          <w:sz w:val="24"/>
        </w:rPr>
        <w:t xml:space="preserve">e first instance judgment in </w:t>
      </w:r>
      <w:r w:rsidR="005D409E" w:rsidRPr="0060317F">
        <w:rPr>
          <w:rFonts w:ascii="Calibri" w:hAnsi="Calibri"/>
          <w:i/>
          <w:sz w:val="24"/>
        </w:rPr>
        <w:t>MH</w:t>
      </w:r>
      <w:r w:rsidR="005D409E">
        <w:rPr>
          <w:rStyle w:val="FootnoteReference"/>
          <w:rFonts w:ascii="Calibri" w:hAnsi="Calibri"/>
          <w:sz w:val="24"/>
        </w:rPr>
        <w:footnoteReference w:id="12"/>
      </w:r>
      <w:r w:rsidRPr="00FF4F9B">
        <w:rPr>
          <w:rFonts w:ascii="Calibri" w:hAnsi="Calibri"/>
          <w:sz w:val="24"/>
        </w:rPr>
        <w:t xml:space="preserve"> which dismissed the claim under Article 5(4), but again, although he provides a detailed summary of Silber J’s key points, he makes no comment on them, despite the manifest unfairness which was later pick</w:t>
      </w:r>
      <w:r w:rsidR="005D409E">
        <w:rPr>
          <w:rFonts w:ascii="Calibri" w:hAnsi="Calibri"/>
          <w:sz w:val="24"/>
        </w:rPr>
        <w:t>ed up by the Court of Appeal</w:t>
      </w:r>
      <w:r w:rsidR="005D409E">
        <w:rPr>
          <w:rStyle w:val="FootnoteReference"/>
          <w:rFonts w:ascii="Calibri" w:hAnsi="Calibri"/>
          <w:sz w:val="24"/>
        </w:rPr>
        <w:footnoteReference w:id="13"/>
      </w:r>
      <w:r>
        <w:rPr>
          <w:rFonts w:ascii="Calibri" w:hAnsi="Calibri"/>
          <w:sz w:val="24"/>
        </w:rPr>
        <w:t>.</w:t>
      </w:r>
    </w:p>
    <w:p w:rsidR="00FF4F9B" w:rsidRPr="00FF4F9B" w:rsidRDefault="00FF4F9B" w:rsidP="00FF4F9B">
      <w:pPr>
        <w:suppressAutoHyphens/>
        <w:spacing w:after="120" w:line="240" w:lineRule="auto"/>
        <w:rPr>
          <w:rFonts w:ascii="Calibri" w:hAnsi="Calibri"/>
          <w:sz w:val="24"/>
        </w:rPr>
      </w:pPr>
      <w:r w:rsidRPr="00FF4F9B">
        <w:rPr>
          <w:rFonts w:ascii="Calibri" w:hAnsi="Calibri"/>
          <w:sz w:val="24"/>
        </w:rPr>
        <w:t>The most worrying expression of opinion occurs in the preface. Jones complains about “unnecessary” Managers’ hearings, which he says “must be confusing to patients”, and states that “NHS and independent hospitals should review their protocols to ensure that Managers’ hearings are only convened when there is a legal requirement to do so.” He gives further advice on the convening of Managers’ hearings in his general note to paragraph 23.9 of the Code of Practice: “A Managers’ hearing should not take place during the currency of the section if the patient has made a concurrent application to a Mental Heal</w:t>
      </w:r>
      <w:r>
        <w:rPr>
          <w:rFonts w:ascii="Calibri" w:hAnsi="Calibri"/>
          <w:sz w:val="24"/>
        </w:rPr>
        <w:t>th Review Tribunal” (page 725).</w:t>
      </w:r>
    </w:p>
    <w:p w:rsidR="00FF4F9B" w:rsidRPr="00FF4F9B" w:rsidRDefault="00FF4F9B" w:rsidP="00FF4F9B">
      <w:pPr>
        <w:suppressAutoHyphens/>
        <w:spacing w:after="120" w:line="240" w:lineRule="auto"/>
        <w:rPr>
          <w:rFonts w:ascii="Calibri" w:hAnsi="Calibri"/>
          <w:sz w:val="24"/>
        </w:rPr>
      </w:pPr>
      <w:r w:rsidRPr="00FF4F9B">
        <w:rPr>
          <w:rFonts w:ascii="Calibri" w:hAnsi="Calibri"/>
          <w:sz w:val="24"/>
        </w:rPr>
        <w:t xml:space="preserve">Jones surely exceeds his brief here. Managers’ hearings are not of course statutory, but part of their general duty of care towards their patients: as paragraph 23.7 of the Code makes clear, Managers may conduct a review of detention at any time at their discretion. Those representing detained patients are perfectly entitled to ask for a hearing in order to test the </w:t>
      </w:r>
      <w:r w:rsidRPr="00FF4F9B">
        <w:rPr>
          <w:rFonts w:ascii="Calibri" w:hAnsi="Calibri"/>
          <w:sz w:val="24"/>
        </w:rPr>
        <w:lastRenderedPageBreak/>
        <w:t>case for detention, even if a tribunal hearing is imminent; the Managers can always refuse such a request, having carried out a paper review of the position (see paragraph 23.9). Jones is of course entitled to be concerned about the potential waste of clinician time; but the Mental Health Act Manual is surely not the right place for him to give advice on how pati</w:t>
      </w:r>
      <w:r>
        <w:rPr>
          <w:rFonts w:ascii="Calibri" w:hAnsi="Calibri"/>
          <w:sz w:val="24"/>
        </w:rPr>
        <w:t>ents’ rights may be restricted?</w:t>
      </w:r>
    </w:p>
    <w:p w:rsidR="00FF4F9B" w:rsidRDefault="00FF4F9B" w:rsidP="00FF4F9B">
      <w:pPr>
        <w:suppressAutoHyphens/>
        <w:spacing w:after="120" w:line="240" w:lineRule="auto"/>
        <w:rPr>
          <w:rFonts w:ascii="Calibri" w:hAnsi="Calibri"/>
          <w:sz w:val="24"/>
        </w:rPr>
      </w:pPr>
      <w:r w:rsidRPr="00FF4F9B">
        <w:rPr>
          <w:rFonts w:ascii="Calibri" w:hAnsi="Calibri"/>
          <w:sz w:val="24"/>
        </w:rPr>
        <w:t xml:space="preserve">I do not want to make too much of these concerns. The Manual remains an invaluable resource for patients and their lawyers. But I – and no doubt many other people – would be saddened if Jones continued down the track about which I have expressed concerns above. The danger would be that the Manual would then become in effect an advice handbook for the detaining authority, and not – as now – the definitive </w:t>
      </w:r>
      <w:r w:rsidR="005D409E">
        <w:rPr>
          <w:rFonts w:ascii="Calibri" w:hAnsi="Calibri"/>
          <w:sz w:val="24"/>
        </w:rPr>
        <w:t>text for everyone in the field.</w:t>
      </w:r>
    </w:p>
    <w:p w:rsidR="005D409E" w:rsidRPr="00FF4F9B" w:rsidRDefault="005D409E" w:rsidP="00FF4F9B">
      <w:pPr>
        <w:suppressAutoHyphens/>
        <w:spacing w:after="120" w:line="240" w:lineRule="auto"/>
        <w:rPr>
          <w:rFonts w:ascii="Calibri" w:hAnsi="Calibri"/>
          <w:sz w:val="24"/>
        </w:rPr>
      </w:pPr>
    </w:p>
    <w:p w:rsidR="00FF4F9B" w:rsidRPr="00FF4F9B" w:rsidRDefault="005D409E" w:rsidP="00FF4F9B">
      <w:pPr>
        <w:suppressAutoHyphens/>
        <w:spacing w:after="120" w:line="240" w:lineRule="auto"/>
        <w:rPr>
          <w:rFonts w:ascii="Calibri" w:hAnsi="Calibri"/>
          <w:sz w:val="24"/>
        </w:rPr>
      </w:pPr>
      <w:r>
        <w:rPr>
          <w:rFonts w:ascii="Calibri" w:hAnsi="Calibri"/>
          <w:sz w:val="24"/>
        </w:rPr>
        <w:t>Simon Foster</w:t>
      </w:r>
    </w:p>
    <w:p w:rsidR="00E37263" w:rsidRPr="00FF4F9B" w:rsidRDefault="00FF4F9B" w:rsidP="00FF4F9B">
      <w:pPr>
        <w:suppressAutoHyphens/>
        <w:spacing w:after="120" w:line="240" w:lineRule="auto"/>
        <w:rPr>
          <w:rFonts w:ascii="Calibri" w:hAnsi="Calibri"/>
          <w:sz w:val="24"/>
        </w:rPr>
      </w:pPr>
      <w:r w:rsidRPr="00FF4F9B">
        <w:rPr>
          <w:rFonts w:ascii="Calibri" w:hAnsi="Calibri"/>
          <w:sz w:val="24"/>
        </w:rPr>
        <w:t>Solicitor; Independent Legal Consultant; formerly Principal Solicitor, Mind (London)</w:t>
      </w:r>
      <w:bookmarkStart w:id="0" w:name="_GoBack"/>
      <w:bookmarkEnd w:id="0"/>
    </w:p>
    <w:sectPr w:rsidR="00E37263" w:rsidRPr="00FF4F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C6D" w:rsidRDefault="00C96C6D" w:rsidP="00FF4F9B">
      <w:pPr>
        <w:spacing w:after="0" w:line="240" w:lineRule="auto"/>
      </w:pPr>
      <w:r>
        <w:separator/>
      </w:r>
    </w:p>
  </w:endnote>
  <w:endnote w:type="continuationSeparator" w:id="0">
    <w:p w:rsidR="00C96C6D" w:rsidRDefault="00C96C6D" w:rsidP="00FF4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C6D" w:rsidRDefault="00C96C6D" w:rsidP="00FF4F9B">
      <w:pPr>
        <w:spacing w:after="0" w:line="240" w:lineRule="auto"/>
      </w:pPr>
      <w:r>
        <w:separator/>
      </w:r>
    </w:p>
  </w:footnote>
  <w:footnote w:type="continuationSeparator" w:id="0">
    <w:p w:rsidR="00C96C6D" w:rsidRDefault="00C96C6D" w:rsidP="00FF4F9B">
      <w:pPr>
        <w:spacing w:after="0" w:line="240" w:lineRule="auto"/>
      </w:pPr>
      <w:r>
        <w:continuationSeparator/>
      </w:r>
    </w:p>
  </w:footnote>
  <w:footnote w:id="1">
    <w:p w:rsidR="00FF4F9B" w:rsidRPr="00C3290C" w:rsidRDefault="00FF4F9B" w:rsidP="00C3290C">
      <w:pPr>
        <w:pStyle w:val="FootnoteText"/>
        <w:suppressAutoHyphens/>
        <w:spacing w:after="120"/>
        <w:rPr>
          <w:rFonts w:ascii="Calibri" w:hAnsi="Calibri"/>
          <w:sz w:val="18"/>
        </w:rPr>
      </w:pPr>
      <w:r w:rsidRPr="00C3290C">
        <w:rPr>
          <w:rStyle w:val="FootnoteReference"/>
          <w:rFonts w:ascii="Calibri" w:hAnsi="Calibri"/>
          <w:sz w:val="18"/>
        </w:rPr>
        <w:footnoteRef/>
      </w:r>
      <w:r w:rsidRPr="00C3290C">
        <w:rPr>
          <w:rFonts w:ascii="Calibri" w:hAnsi="Calibri"/>
          <w:sz w:val="18"/>
        </w:rPr>
        <w:t xml:space="preserve"> </w:t>
      </w:r>
      <w:r w:rsidRPr="00C3290C">
        <w:rPr>
          <w:rFonts w:ascii="Calibri" w:hAnsi="Calibri"/>
          <w:sz w:val="18"/>
        </w:rPr>
        <w:t>See the review of the 7th edition of the Manual by</w:t>
      </w:r>
      <w:r w:rsidRPr="00C3290C">
        <w:rPr>
          <w:rFonts w:ascii="Calibri" w:hAnsi="Calibri"/>
          <w:sz w:val="18"/>
        </w:rPr>
        <w:t xml:space="preserve"> </w:t>
      </w:r>
      <w:r w:rsidRPr="00C3290C">
        <w:rPr>
          <w:rFonts w:ascii="Calibri" w:hAnsi="Calibri"/>
          <w:sz w:val="18"/>
        </w:rPr>
        <w:t>Anthony Harbour and Robert Brown at pp 81 - 84 JMHL Feb. 2002</w:t>
      </w:r>
      <w:r w:rsidRPr="00C3290C">
        <w:rPr>
          <w:rFonts w:ascii="Calibri" w:hAnsi="Calibri"/>
          <w:sz w:val="18"/>
        </w:rPr>
        <w:t>.</w:t>
      </w:r>
    </w:p>
  </w:footnote>
  <w:footnote w:id="2">
    <w:p w:rsidR="00FF4F9B" w:rsidRPr="00C3290C" w:rsidRDefault="00FF4F9B" w:rsidP="00C3290C">
      <w:pPr>
        <w:pStyle w:val="FootnoteText"/>
        <w:suppressAutoHyphens/>
        <w:spacing w:after="120"/>
        <w:rPr>
          <w:rFonts w:ascii="Calibri" w:hAnsi="Calibri"/>
          <w:sz w:val="18"/>
        </w:rPr>
      </w:pPr>
      <w:r w:rsidRPr="00C3290C">
        <w:rPr>
          <w:rStyle w:val="FootnoteReference"/>
          <w:rFonts w:ascii="Calibri" w:hAnsi="Calibri"/>
          <w:sz w:val="18"/>
        </w:rPr>
        <w:footnoteRef/>
      </w:r>
      <w:r w:rsidRPr="00C3290C">
        <w:rPr>
          <w:rFonts w:ascii="Calibri" w:hAnsi="Calibri"/>
          <w:sz w:val="18"/>
        </w:rPr>
        <w:t xml:space="preserve"> </w:t>
      </w:r>
      <w:r w:rsidRPr="00C3290C">
        <w:rPr>
          <w:rFonts w:ascii="Calibri" w:hAnsi="Calibri"/>
          <w:sz w:val="18"/>
        </w:rPr>
        <w:t>8th edition, published by Sweet and Maxwell (2003)</w:t>
      </w:r>
      <w:r w:rsidRPr="00C3290C">
        <w:rPr>
          <w:rFonts w:ascii="Calibri" w:hAnsi="Calibri"/>
          <w:sz w:val="18"/>
        </w:rPr>
        <w:t>.</w:t>
      </w:r>
    </w:p>
  </w:footnote>
  <w:footnote w:id="3">
    <w:p w:rsidR="00FF4F9B" w:rsidRPr="00C3290C" w:rsidRDefault="00FF4F9B" w:rsidP="00C3290C">
      <w:pPr>
        <w:pStyle w:val="FootnoteText"/>
        <w:suppressAutoHyphens/>
        <w:spacing w:after="120"/>
        <w:rPr>
          <w:rFonts w:ascii="Calibri" w:hAnsi="Calibri"/>
          <w:sz w:val="18"/>
        </w:rPr>
      </w:pPr>
      <w:r w:rsidRPr="00C3290C">
        <w:rPr>
          <w:rStyle w:val="FootnoteReference"/>
          <w:rFonts w:ascii="Calibri" w:hAnsi="Calibri"/>
          <w:sz w:val="18"/>
        </w:rPr>
        <w:footnoteRef/>
      </w:r>
      <w:r w:rsidRPr="00C3290C">
        <w:rPr>
          <w:rFonts w:ascii="Calibri" w:hAnsi="Calibri"/>
          <w:sz w:val="18"/>
        </w:rPr>
        <w:t xml:space="preserve"> </w:t>
      </w:r>
      <w:r w:rsidRPr="00C3290C">
        <w:rPr>
          <w:rFonts w:ascii="Calibri" w:hAnsi="Calibri"/>
          <w:sz w:val="18"/>
        </w:rPr>
        <w:t>Application no. 45508/99</w:t>
      </w:r>
      <w:r w:rsidRPr="00C3290C">
        <w:rPr>
          <w:rFonts w:ascii="Calibri" w:hAnsi="Calibri"/>
          <w:sz w:val="18"/>
        </w:rPr>
        <w:t>.</w:t>
      </w:r>
    </w:p>
  </w:footnote>
  <w:footnote w:id="4">
    <w:p w:rsidR="00FF4F9B" w:rsidRPr="00C3290C" w:rsidRDefault="00FF4F9B" w:rsidP="00C3290C">
      <w:pPr>
        <w:pStyle w:val="FootnoteText"/>
        <w:suppressAutoHyphens/>
        <w:spacing w:after="120"/>
        <w:rPr>
          <w:rFonts w:ascii="Calibri" w:hAnsi="Calibri"/>
          <w:sz w:val="18"/>
        </w:rPr>
      </w:pPr>
      <w:r w:rsidRPr="00C3290C">
        <w:rPr>
          <w:rStyle w:val="FootnoteReference"/>
          <w:rFonts w:ascii="Calibri" w:hAnsi="Calibri"/>
          <w:sz w:val="18"/>
        </w:rPr>
        <w:footnoteRef/>
      </w:r>
      <w:r w:rsidRPr="00C3290C">
        <w:rPr>
          <w:rFonts w:ascii="Calibri" w:hAnsi="Calibri"/>
          <w:sz w:val="18"/>
        </w:rPr>
        <w:t xml:space="preserve"> </w:t>
      </w:r>
      <w:r w:rsidRPr="00C3290C">
        <w:rPr>
          <w:rFonts w:ascii="Calibri" w:hAnsi="Calibri"/>
          <w:sz w:val="18"/>
        </w:rPr>
        <w:t>10th December 2004</w:t>
      </w:r>
      <w:r w:rsidRPr="00C3290C">
        <w:rPr>
          <w:rFonts w:ascii="Calibri" w:hAnsi="Calibri"/>
          <w:sz w:val="18"/>
        </w:rPr>
        <w:t>.</w:t>
      </w:r>
    </w:p>
  </w:footnote>
  <w:footnote w:id="5">
    <w:p w:rsidR="00FF4F9B" w:rsidRPr="00C3290C" w:rsidRDefault="00FF4F9B" w:rsidP="00C3290C">
      <w:pPr>
        <w:suppressAutoHyphens/>
        <w:spacing w:after="120" w:line="240" w:lineRule="auto"/>
        <w:rPr>
          <w:rFonts w:ascii="Calibri" w:hAnsi="Calibri"/>
          <w:sz w:val="18"/>
        </w:rPr>
      </w:pPr>
      <w:r w:rsidRPr="00C3290C">
        <w:rPr>
          <w:rStyle w:val="FootnoteReference"/>
          <w:rFonts w:ascii="Calibri" w:hAnsi="Calibri"/>
          <w:sz w:val="18"/>
        </w:rPr>
        <w:footnoteRef/>
      </w:r>
      <w:r w:rsidRPr="00C3290C">
        <w:rPr>
          <w:rFonts w:ascii="Calibri" w:hAnsi="Calibri"/>
          <w:sz w:val="18"/>
        </w:rPr>
        <w:t xml:space="preserve"> </w:t>
      </w:r>
      <w:r w:rsidRPr="00C3290C">
        <w:rPr>
          <w:rFonts w:ascii="Calibri" w:hAnsi="Calibri"/>
          <w:sz w:val="18"/>
        </w:rPr>
        <w:t>Compare the majority decision of the House of Lords</w:t>
      </w:r>
      <w:r w:rsidRPr="00C3290C">
        <w:rPr>
          <w:rFonts w:ascii="Calibri" w:hAnsi="Calibri"/>
          <w:sz w:val="18"/>
        </w:rPr>
        <w:t xml:space="preserve"> </w:t>
      </w:r>
      <w:r w:rsidRPr="00C3290C">
        <w:rPr>
          <w:rFonts w:ascii="Calibri" w:hAnsi="Calibri"/>
          <w:sz w:val="18"/>
        </w:rPr>
        <w:t xml:space="preserve">in </w:t>
      </w:r>
      <w:r w:rsidRPr="00D458B1">
        <w:rPr>
          <w:rFonts w:ascii="Calibri" w:hAnsi="Calibri"/>
          <w:i/>
          <w:sz w:val="18"/>
        </w:rPr>
        <w:t xml:space="preserve">R v </w:t>
      </w:r>
      <w:proofErr w:type="spellStart"/>
      <w:r w:rsidRPr="00D458B1">
        <w:rPr>
          <w:rFonts w:ascii="Calibri" w:hAnsi="Calibri"/>
          <w:i/>
          <w:sz w:val="18"/>
        </w:rPr>
        <w:t>Bournewood</w:t>
      </w:r>
      <w:proofErr w:type="spellEnd"/>
      <w:r w:rsidRPr="00D458B1">
        <w:rPr>
          <w:rFonts w:ascii="Calibri" w:hAnsi="Calibri"/>
          <w:i/>
          <w:sz w:val="18"/>
        </w:rPr>
        <w:t xml:space="preserve"> Community and Mental Health</w:t>
      </w:r>
      <w:r w:rsidRPr="00D458B1">
        <w:rPr>
          <w:rFonts w:ascii="Calibri" w:hAnsi="Calibri"/>
          <w:i/>
          <w:sz w:val="18"/>
        </w:rPr>
        <w:t xml:space="preserve"> </w:t>
      </w:r>
      <w:r w:rsidRPr="00D458B1">
        <w:rPr>
          <w:rFonts w:ascii="Calibri" w:hAnsi="Calibri"/>
          <w:i/>
          <w:sz w:val="18"/>
        </w:rPr>
        <w:t>NHS Trust ex parte L [1999] 1 AC 458</w:t>
      </w:r>
      <w:r w:rsidRPr="00C3290C">
        <w:rPr>
          <w:rFonts w:ascii="Calibri" w:hAnsi="Calibri"/>
          <w:sz w:val="18"/>
        </w:rPr>
        <w:t xml:space="preserve">, following </w:t>
      </w:r>
      <w:proofErr w:type="spellStart"/>
      <w:r w:rsidRPr="00D458B1">
        <w:rPr>
          <w:rFonts w:ascii="Calibri" w:hAnsi="Calibri"/>
          <w:i/>
          <w:sz w:val="18"/>
        </w:rPr>
        <w:t>Ashingdane</w:t>
      </w:r>
      <w:proofErr w:type="spellEnd"/>
      <w:r w:rsidRPr="00D458B1">
        <w:rPr>
          <w:rFonts w:ascii="Calibri" w:hAnsi="Calibri"/>
          <w:i/>
          <w:sz w:val="18"/>
        </w:rPr>
        <w:t xml:space="preserve"> v UK (1979) 2 EHRR 387</w:t>
      </w:r>
      <w:r w:rsidRPr="00C3290C">
        <w:rPr>
          <w:rFonts w:ascii="Calibri" w:hAnsi="Calibri"/>
          <w:sz w:val="18"/>
        </w:rPr>
        <w:t xml:space="preserve">, with </w:t>
      </w:r>
      <w:r w:rsidRPr="00D458B1">
        <w:rPr>
          <w:rFonts w:ascii="Calibri" w:hAnsi="Calibri"/>
          <w:i/>
          <w:sz w:val="18"/>
        </w:rPr>
        <w:t>HL v</w:t>
      </w:r>
      <w:r w:rsidRPr="00D458B1">
        <w:rPr>
          <w:rFonts w:ascii="Calibri" w:hAnsi="Calibri"/>
          <w:i/>
          <w:sz w:val="18"/>
        </w:rPr>
        <w:t xml:space="preserve"> </w:t>
      </w:r>
      <w:r w:rsidRPr="00D458B1">
        <w:rPr>
          <w:rFonts w:ascii="Calibri" w:hAnsi="Calibri"/>
          <w:i/>
          <w:sz w:val="18"/>
        </w:rPr>
        <w:t>UK</w:t>
      </w:r>
      <w:r w:rsidRPr="00C3290C">
        <w:rPr>
          <w:rFonts w:ascii="Calibri" w:hAnsi="Calibri"/>
          <w:sz w:val="18"/>
        </w:rPr>
        <w:t xml:space="preserve"> and earlier cases such as </w:t>
      </w:r>
      <w:r w:rsidRPr="00D458B1">
        <w:rPr>
          <w:rFonts w:ascii="Calibri" w:hAnsi="Calibri"/>
          <w:i/>
          <w:sz w:val="18"/>
        </w:rPr>
        <w:t>Murray v Min</w:t>
      </w:r>
      <w:r w:rsidRPr="00D458B1">
        <w:rPr>
          <w:rFonts w:ascii="Calibri" w:hAnsi="Calibri"/>
          <w:i/>
          <w:sz w:val="18"/>
        </w:rPr>
        <w:t>istry of</w:t>
      </w:r>
      <w:r w:rsidR="00C3290C" w:rsidRPr="00D458B1">
        <w:rPr>
          <w:rFonts w:ascii="Calibri" w:hAnsi="Calibri"/>
          <w:i/>
          <w:sz w:val="18"/>
        </w:rPr>
        <w:t xml:space="preserve"> </w:t>
      </w:r>
      <w:r w:rsidRPr="00D458B1">
        <w:rPr>
          <w:rFonts w:ascii="Calibri" w:hAnsi="Calibri"/>
          <w:i/>
          <w:sz w:val="18"/>
        </w:rPr>
        <w:t>Defence [1988] 2 All ER 521</w:t>
      </w:r>
      <w:r w:rsidRPr="00C3290C">
        <w:rPr>
          <w:rFonts w:ascii="Calibri" w:hAnsi="Calibri"/>
          <w:sz w:val="18"/>
        </w:rPr>
        <w:t>.</w:t>
      </w:r>
    </w:p>
  </w:footnote>
  <w:footnote w:id="6">
    <w:p w:rsidR="00FF4F9B" w:rsidRPr="00C3290C" w:rsidRDefault="00FF4F9B" w:rsidP="00C3290C">
      <w:pPr>
        <w:pStyle w:val="FootnoteText"/>
        <w:suppressAutoHyphens/>
        <w:spacing w:after="120"/>
        <w:rPr>
          <w:rFonts w:ascii="Calibri" w:hAnsi="Calibri"/>
          <w:sz w:val="18"/>
        </w:rPr>
      </w:pPr>
      <w:r w:rsidRPr="00C3290C">
        <w:rPr>
          <w:rStyle w:val="FootnoteReference"/>
          <w:rFonts w:ascii="Calibri" w:hAnsi="Calibri"/>
          <w:sz w:val="18"/>
        </w:rPr>
        <w:footnoteRef/>
      </w:r>
      <w:r w:rsidRPr="00C3290C">
        <w:rPr>
          <w:rFonts w:ascii="Calibri" w:hAnsi="Calibri"/>
          <w:sz w:val="18"/>
        </w:rPr>
        <w:t xml:space="preserve"> </w:t>
      </w:r>
      <w:r w:rsidRPr="00D458B1">
        <w:rPr>
          <w:rFonts w:ascii="Calibri" w:hAnsi="Calibri"/>
          <w:i/>
          <w:sz w:val="18"/>
        </w:rPr>
        <w:t xml:space="preserve">[2002] EWCA </w:t>
      </w:r>
      <w:proofErr w:type="spellStart"/>
      <w:r w:rsidRPr="00D458B1">
        <w:rPr>
          <w:rFonts w:ascii="Calibri" w:hAnsi="Calibri"/>
          <w:i/>
          <w:sz w:val="18"/>
        </w:rPr>
        <w:t>Civ</w:t>
      </w:r>
      <w:proofErr w:type="spellEnd"/>
      <w:r w:rsidRPr="00D458B1">
        <w:rPr>
          <w:rFonts w:ascii="Calibri" w:hAnsi="Calibri"/>
          <w:i/>
          <w:sz w:val="18"/>
        </w:rPr>
        <w:t xml:space="preserve"> 1868</w:t>
      </w:r>
      <w:r w:rsidRPr="00C3290C">
        <w:rPr>
          <w:rFonts w:ascii="Calibri" w:hAnsi="Calibri"/>
          <w:sz w:val="18"/>
        </w:rPr>
        <w:t>.</w:t>
      </w:r>
    </w:p>
  </w:footnote>
  <w:footnote w:id="7">
    <w:p w:rsidR="00FF4F9B" w:rsidRPr="00C3290C" w:rsidRDefault="00FF4F9B" w:rsidP="00C3290C">
      <w:pPr>
        <w:pStyle w:val="FootnoteText"/>
        <w:suppressAutoHyphens/>
        <w:spacing w:after="120"/>
        <w:rPr>
          <w:rFonts w:ascii="Calibri" w:hAnsi="Calibri"/>
          <w:sz w:val="18"/>
        </w:rPr>
      </w:pPr>
      <w:r w:rsidRPr="00C3290C">
        <w:rPr>
          <w:rStyle w:val="FootnoteReference"/>
          <w:rFonts w:ascii="Calibri" w:hAnsi="Calibri"/>
          <w:sz w:val="18"/>
        </w:rPr>
        <w:footnoteRef/>
      </w:r>
      <w:r w:rsidRPr="00C3290C">
        <w:rPr>
          <w:rFonts w:ascii="Calibri" w:hAnsi="Calibri"/>
          <w:sz w:val="18"/>
        </w:rPr>
        <w:t xml:space="preserve"> </w:t>
      </w:r>
      <w:r w:rsidRPr="00D458B1">
        <w:rPr>
          <w:rFonts w:ascii="Calibri" w:hAnsi="Calibri"/>
          <w:i/>
          <w:sz w:val="18"/>
        </w:rPr>
        <w:t>[2004] EWHC 2193 (Admin)</w:t>
      </w:r>
      <w:r w:rsidRPr="00C3290C">
        <w:rPr>
          <w:rFonts w:ascii="Calibri" w:hAnsi="Calibri"/>
          <w:sz w:val="18"/>
        </w:rPr>
        <w:t>.</w:t>
      </w:r>
    </w:p>
  </w:footnote>
  <w:footnote w:id="8">
    <w:p w:rsidR="00FF4F9B" w:rsidRPr="00C3290C" w:rsidRDefault="00FF4F9B" w:rsidP="00C3290C">
      <w:pPr>
        <w:pStyle w:val="FootnoteText"/>
        <w:suppressAutoHyphens/>
        <w:spacing w:after="120"/>
        <w:rPr>
          <w:rFonts w:ascii="Calibri" w:hAnsi="Calibri"/>
          <w:sz w:val="18"/>
        </w:rPr>
      </w:pPr>
      <w:r w:rsidRPr="00C3290C">
        <w:rPr>
          <w:rStyle w:val="FootnoteReference"/>
          <w:rFonts w:ascii="Calibri" w:hAnsi="Calibri"/>
          <w:sz w:val="18"/>
        </w:rPr>
        <w:footnoteRef/>
      </w:r>
      <w:r w:rsidRPr="00C3290C">
        <w:rPr>
          <w:rFonts w:ascii="Calibri" w:hAnsi="Calibri"/>
          <w:sz w:val="18"/>
        </w:rPr>
        <w:t xml:space="preserve"> </w:t>
      </w:r>
      <w:r w:rsidRPr="00D458B1">
        <w:rPr>
          <w:rFonts w:ascii="Calibri" w:hAnsi="Calibri"/>
          <w:i/>
          <w:sz w:val="18"/>
        </w:rPr>
        <w:t>[2004] EWHC 2194 (Admin)</w:t>
      </w:r>
      <w:r w:rsidRPr="00C3290C">
        <w:rPr>
          <w:rFonts w:ascii="Calibri" w:hAnsi="Calibri"/>
          <w:sz w:val="18"/>
        </w:rPr>
        <w:t>.</w:t>
      </w:r>
    </w:p>
  </w:footnote>
  <w:footnote w:id="9">
    <w:p w:rsidR="00FF4F9B" w:rsidRPr="00C3290C" w:rsidRDefault="00FF4F9B" w:rsidP="00C3290C">
      <w:pPr>
        <w:pStyle w:val="FootnoteText"/>
        <w:suppressAutoHyphens/>
        <w:spacing w:after="120"/>
        <w:rPr>
          <w:rFonts w:ascii="Calibri" w:hAnsi="Calibri"/>
          <w:sz w:val="18"/>
        </w:rPr>
      </w:pPr>
      <w:r w:rsidRPr="00C3290C">
        <w:rPr>
          <w:rStyle w:val="FootnoteReference"/>
          <w:rFonts w:ascii="Calibri" w:hAnsi="Calibri"/>
          <w:sz w:val="18"/>
        </w:rPr>
        <w:footnoteRef/>
      </w:r>
      <w:r w:rsidRPr="00C3290C">
        <w:rPr>
          <w:rFonts w:ascii="Calibri" w:hAnsi="Calibri"/>
          <w:sz w:val="18"/>
        </w:rPr>
        <w:t xml:space="preserve"> </w:t>
      </w:r>
      <w:r w:rsidR="005D409E" w:rsidRPr="00D458B1">
        <w:rPr>
          <w:rFonts w:ascii="Calibri" w:hAnsi="Calibri"/>
          <w:i/>
          <w:sz w:val="18"/>
        </w:rPr>
        <w:t xml:space="preserve">R v Manchester City Council ex p. </w:t>
      </w:r>
      <w:proofErr w:type="spellStart"/>
      <w:r w:rsidR="005D409E" w:rsidRPr="00D458B1">
        <w:rPr>
          <w:rFonts w:ascii="Calibri" w:hAnsi="Calibri"/>
          <w:i/>
          <w:sz w:val="18"/>
        </w:rPr>
        <w:t>Stennett</w:t>
      </w:r>
      <w:proofErr w:type="spellEnd"/>
      <w:r w:rsidR="005D409E" w:rsidRPr="00D458B1">
        <w:rPr>
          <w:rFonts w:ascii="Calibri" w:hAnsi="Calibri"/>
          <w:i/>
          <w:sz w:val="18"/>
        </w:rPr>
        <w:t xml:space="preserve"> [2002]</w:t>
      </w:r>
      <w:r w:rsidR="005D409E" w:rsidRPr="00D458B1">
        <w:rPr>
          <w:rFonts w:ascii="Calibri" w:hAnsi="Calibri"/>
          <w:i/>
          <w:sz w:val="18"/>
        </w:rPr>
        <w:t xml:space="preserve"> </w:t>
      </w:r>
      <w:r w:rsidR="005D409E" w:rsidRPr="00D458B1">
        <w:rPr>
          <w:rFonts w:ascii="Calibri" w:hAnsi="Calibri"/>
          <w:i/>
          <w:sz w:val="18"/>
        </w:rPr>
        <w:t>UKHL 34</w:t>
      </w:r>
      <w:r w:rsidR="005D409E" w:rsidRPr="00C3290C">
        <w:rPr>
          <w:rFonts w:ascii="Calibri" w:hAnsi="Calibri"/>
          <w:sz w:val="18"/>
        </w:rPr>
        <w:t>.</w:t>
      </w:r>
    </w:p>
  </w:footnote>
  <w:footnote w:id="10">
    <w:p w:rsidR="005D409E" w:rsidRPr="00C3290C" w:rsidRDefault="005D409E" w:rsidP="00C3290C">
      <w:pPr>
        <w:pStyle w:val="FootnoteText"/>
        <w:suppressAutoHyphens/>
        <w:spacing w:after="120"/>
        <w:rPr>
          <w:rFonts w:ascii="Calibri" w:hAnsi="Calibri"/>
          <w:sz w:val="18"/>
        </w:rPr>
      </w:pPr>
      <w:r w:rsidRPr="00C3290C">
        <w:rPr>
          <w:rStyle w:val="FootnoteReference"/>
          <w:rFonts w:ascii="Calibri" w:hAnsi="Calibri"/>
          <w:sz w:val="18"/>
        </w:rPr>
        <w:footnoteRef/>
      </w:r>
      <w:r w:rsidRPr="00C3290C">
        <w:rPr>
          <w:rFonts w:ascii="Calibri" w:hAnsi="Calibri"/>
          <w:sz w:val="18"/>
        </w:rPr>
        <w:t xml:space="preserve"> </w:t>
      </w:r>
      <w:r w:rsidRPr="00DB2C71">
        <w:rPr>
          <w:rFonts w:ascii="Calibri" w:hAnsi="Calibri"/>
          <w:i/>
          <w:sz w:val="18"/>
        </w:rPr>
        <w:t>[2005] EWHC 74 (Admin)</w:t>
      </w:r>
      <w:r w:rsidRPr="00C3290C">
        <w:rPr>
          <w:rFonts w:ascii="Calibri" w:hAnsi="Calibri"/>
          <w:sz w:val="18"/>
        </w:rPr>
        <w:t>.</w:t>
      </w:r>
    </w:p>
  </w:footnote>
  <w:footnote w:id="11">
    <w:p w:rsidR="005D409E" w:rsidRPr="00C3290C" w:rsidRDefault="005D409E" w:rsidP="00C3290C">
      <w:pPr>
        <w:pStyle w:val="FootnoteText"/>
        <w:suppressAutoHyphens/>
        <w:spacing w:after="120"/>
        <w:rPr>
          <w:rFonts w:ascii="Calibri" w:hAnsi="Calibri"/>
          <w:sz w:val="18"/>
        </w:rPr>
      </w:pPr>
      <w:r w:rsidRPr="00C3290C">
        <w:rPr>
          <w:rStyle w:val="FootnoteReference"/>
          <w:rFonts w:ascii="Calibri" w:hAnsi="Calibri"/>
          <w:sz w:val="18"/>
        </w:rPr>
        <w:footnoteRef/>
      </w:r>
      <w:r w:rsidRPr="00C3290C">
        <w:rPr>
          <w:rFonts w:ascii="Calibri" w:hAnsi="Calibri"/>
          <w:sz w:val="18"/>
        </w:rPr>
        <w:t xml:space="preserve"> </w:t>
      </w:r>
      <w:r w:rsidRPr="00DB2C71">
        <w:rPr>
          <w:rFonts w:ascii="Calibri" w:hAnsi="Calibri"/>
          <w:i/>
          <w:sz w:val="18"/>
        </w:rPr>
        <w:t>[1999] 3 All ER 991</w:t>
      </w:r>
      <w:r w:rsidRPr="00C3290C">
        <w:rPr>
          <w:rFonts w:ascii="Calibri" w:hAnsi="Calibri"/>
          <w:sz w:val="18"/>
        </w:rPr>
        <w:t>.</w:t>
      </w:r>
    </w:p>
  </w:footnote>
  <w:footnote w:id="12">
    <w:p w:rsidR="005D409E" w:rsidRPr="00C3290C" w:rsidRDefault="005D409E" w:rsidP="00C3290C">
      <w:pPr>
        <w:suppressAutoHyphens/>
        <w:spacing w:after="120" w:line="240" w:lineRule="auto"/>
        <w:rPr>
          <w:rFonts w:ascii="Calibri" w:hAnsi="Calibri"/>
          <w:sz w:val="18"/>
        </w:rPr>
      </w:pPr>
      <w:r w:rsidRPr="00C3290C">
        <w:rPr>
          <w:rStyle w:val="FootnoteReference"/>
          <w:rFonts w:ascii="Calibri" w:hAnsi="Calibri"/>
          <w:sz w:val="18"/>
        </w:rPr>
        <w:footnoteRef/>
      </w:r>
      <w:r w:rsidRPr="00C3290C">
        <w:rPr>
          <w:rFonts w:ascii="Calibri" w:hAnsi="Calibri"/>
          <w:sz w:val="18"/>
        </w:rPr>
        <w:t xml:space="preserve"> </w:t>
      </w:r>
      <w:r w:rsidRPr="00DB2C71">
        <w:rPr>
          <w:rFonts w:ascii="Calibri" w:hAnsi="Calibri"/>
          <w:i/>
          <w:sz w:val="18"/>
        </w:rPr>
        <w:t>R (on the application of MH) v Sec. of State for</w:t>
      </w:r>
      <w:r w:rsidR="00C3290C" w:rsidRPr="00DB2C71">
        <w:rPr>
          <w:rFonts w:ascii="Calibri" w:hAnsi="Calibri"/>
          <w:i/>
          <w:sz w:val="18"/>
        </w:rPr>
        <w:t xml:space="preserve"> </w:t>
      </w:r>
      <w:r w:rsidRPr="00DB2C71">
        <w:rPr>
          <w:rFonts w:ascii="Calibri" w:hAnsi="Calibri"/>
          <w:i/>
          <w:sz w:val="18"/>
        </w:rPr>
        <w:t>Health and MHRT [2004] EWHC 56 (Admin)</w:t>
      </w:r>
      <w:r w:rsidRPr="00C3290C">
        <w:rPr>
          <w:rFonts w:ascii="Calibri" w:hAnsi="Calibri"/>
          <w:sz w:val="18"/>
        </w:rPr>
        <w:t>.</w:t>
      </w:r>
    </w:p>
  </w:footnote>
  <w:footnote w:id="13">
    <w:p w:rsidR="005D409E" w:rsidRPr="00C3290C" w:rsidRDefault="005D409E" w:rsidP="00C3290C">
      <w:pPr>
        <w:suppressAutoHyphens/>
        <w:spacing w:after="120" w:line="240" w:lineRule="auto"/>
        <w:rPr>
          <w:rFonts w:ascii="Calibri" w:hAnsi="Calibri"/>
          <w:sz w:val="18"/>
        </w:rPr>
      </w:pPr>
      <w:r w:rsidRPr="00C3290C">
        <w:rPr>
          <w:rStyle w:val="FootnoteReference"/>
          <w:rFonts w:ascii="Calibri" w:hAnsi="Calibri"/>
          <w:sz w:val="18"/>
        </w:rPr>
        <w:footnoteRef/>
      </w:r>
      <w:r w:rsidRPr="00C3290C">
        <w:rPr>
          <w:rFonts w:ascii="Calibri" w:hAnsi="Calibri"/>
          <w:sz w:val="18"/>
        </w:rPr>
        <w:t xml:space="preserve"> </w:t>
      </w:r>
      <w:r w:rsidRPr="00DB2C71">
        <w:rPr>
          <w:rFonts w:ascii="Calibri" w:hAnsi="Calibri"/>
          <w:i/>
          <w:sz w:val="18"/>
        </w:rPr>
        <w:t>R (on the application of MH) v Sec. of State for</w:t>
      </w:r>
      <w:r w:rsidR="00C3290C" w:rsidRPr="00DB2C71">
        <w:rPr>
          <w:rFonts w:ascii="Calibri" w:hAnsi="Calibri"/>
          <w:i/>
          <w:sz w:val="18"/>
        </w:rPr>
        <w:t xml:space="preserve"> </w:t>
      </w:r>
      <w:r w:rsidRPr="00DB2C71">
        <w:rPr>
          <w:rFonts w:ascii="Calibri" w:hAnsi="Calibri"/>
          <w:i/>
          <w:sz w:val="18"/>
        </w:rPr>
        <w:t xml:space="preserve">Health [2004] EWCA </w:t>
      </w:r>
      <w:proofErr w:type="spellStart"/>
      <w:r w:rsidRPr="00DB2C71">
        <w:rPr>
          <w:rFonts w:ascii="Calibri" w:hAnsi="Calibri"/>
          <w:i/>
          <w:sz w:val="18"/>
        </w:rPr>
        <w:t>Civ</w:t>
      </w:r>
      <w:proofErr w:type="spellEnd"/>
      <w:r w:rsidRPr="00DB2C71">
        <w:rPr>
          <w:rFonts w:ascii="Calibri" w:hAnsi="Calibri"/>
          <w:i/>
          <w:sz w:val="18"/>
        </w:rPr>
        <w:t xml:space="preserve"> 1690</w:t>
      </w:r>
      <w:r w:rsidRPr="00C3290C">
        <w:rPr>
          <w:rFonts w:ascii="Calibri" w:hAnsi="Calibri"/>
          <w:sz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5D6"/>
    <w:rsid w:val="005455D6"/>
    <w:rsid w:val="005D409E"/>
    <w:rsid w:val="0060317F"/>
    <w:rsid w:val="00A97E42"/>
    <w:rsid w:val="00C3290C"/>
    <w:rsid w:val="00C96C6D"/>
    <w:rsid w:val="00D458B1"/>
    <w:rsid w:val="00DB2C71"/>
    <w:rsid w:val="00E37263"/>
    <w:rsid w:val="00FF4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F4F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4F9B"/>
    <w:rPr>
      <w:sz w:val="20"/>
      <w:szCs w:val="20"/>
    </w:rPr>
  </w:style>
  <w:style w:type="character" w:styleId="FootnoteReference">
    <w:name w:val="footnote reference"/>
    <w:basedOn w:val="DefaultParagraphFont"/>
    <w:uiPriority w:val="99"/>
    <w:semiHidden/>
    <w:unhideWhenUsed/>
    <w:rsid w:val="00FF4F9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F4F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4F9B"/>
    <w:rPr>
      <w:sz w:val="20"/>
      <w:szCs w:val="20"/>
    </w:rPr>
  </w:style>
  <w:style w:type="character" w:styleId="FootnoteReference">
    <w:name w:val="footnote reference"/>
    <w:basedOn w:val="DefaultParagraphFont"/>
    <w:uiPriority w:val="99"/>
    <w:semiHidden/>
    <w:unhideWhenUsed/>
    <w:rsid w:val="00FF4F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39B63-9A25-4A4C-B5FA-ECC026DC2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1512</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10117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4</cp:revision>
  <dcterms:created xsi:type="dcterms:W3CDTF">2014-10-22T09:53:00Z</dcterms:created>
  <dcterms:modified xsi:type="dcterms:W3CDTF">2014-10-22T10:17:00Z</dcterms:modified>
</cp:coreProperties>
</file>