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E7" w:rsidRPr="00AD74E7" w:rsidRDefault="00AD74E7" w:rsidP="00AD74E7">
      <w:pPr>
        <w:rPr>
          <w:sz w:val="56"/>
          <w:szCs w:val="56"/>
        </w:rPr>
      </w:pPr>
      <w:r w:rsidRPr="00AD74E7">
        <w:rPr>
          <w:sz w:val="56"/>
          <w:szCs w:val="56"/>
        </w:rPr>
        <w:t>Foreword</w:t>
      </w:r>
    </w:p>
    <w:p w:rsidR="00AD74E7" w:rsidRDefault="00AD74E7" w:rsidP="00AD74E7"/>
    <w:p w:rsidR="00AD74E7" w:rsidRPr="00AD74E7" w:rsidRDefault="00AD74E7" w:rsidP="00AD74E7">
      <w:r w:rsidRPr="00AD74E7">
        <w:t>The Foreword to the November 2005 issue of the JMHL voiced ‘uncertainty’ about the future of</w:t>
      </w:r>
      <w:r>
        <w:t xml:space="preserve"> </w:t>
      </w:r>
      <w:r w:rsidRPr="00AD74E7">
        <w:t xml:space="preserve">the </w:t>
      </w:r>
      <w:r w:rsidRPr="00AD74E7">
        <w:rPr>
          <w:i/>
          <w:iCs/>
        </w:rPr>
        <w:t>Draft Mental Health Bill 2004</w:t>
      </w:r>
      <w:r w:rsidR="00E213D3">
        <w:rPr>
          <w:rStyle w:val="FootnoteReference"/>
          <w:i/>
          <w:iCs/>
        </w:rPr>
        <w:footnoteReference w:id="1"/>
      </w:r>
      <w:r w:rsidRPr="00AD74E7">
        <w:t>. A presumption was made that "the position will be clearer by</w:t>
      </w:r>
      <w:r>
        <w:t xml:space="preserve"> </w:t>
      </w:r>
      <w:r w:rsidRPr="00AD74E7">
        <w:t>the time of publication of the May 2006 issue". Well, the future of the 2004 Draft Bill has of</w:t>
      </w:r>
      <w:r>
        <w:t xml:space="preserve"> </w:t>
      </w:r>
      <w:r w:rsidRPr="00AD74E7">
        <w:t>course now been resolved - as all readers will know, it has followed the 2002 Draft Bill</w:t>
      </w:r>
      <w:r w:rsidR="00E213D3">
        <w:rPr>
          <w:rStyle w:val="FootnoteReference"/>
        </w:rPr>
        <w:footnoteReference w:id="2"/>
      </w:r>
      <w:r w:rsidRPr="00AD74E7">
        <w:t xml:space="preserve"> into the</w:t>
      </w:r>
      <w:r>
        <w:t xml:space="preserve"> </w:t>
      </w:r>
      <w:r w:rsidRPr="00AD74E7">
        <w:t>shredder.</w:t>
      </w:r>
    </w:p>
    <w:p w:rsidR="00AD74E7" w:rsidRPr="00AD74E7" w:rsidRDefault="00AD74E7" w:rsidP="00AD74E7">
      <w:r w:rsidRPr="00AD74E7">
        <w:t>Instead the 1983 Act is to be amended, as recommended by (amongst others) David Brindle, public</w:t>
      </w:r>
      <w:r>
        <w:t xml:space="preserve"> </w:t>
      </w:r>
      <w:r w:rsidRPr="00AD74E7">
        <w:t>services editor of the Guardian, way back in March 2005</w:t>
      </w:r>
      <w:r w:rsidR="00E213D3">
        <w:rPr>
          <w:rStyle w:val="FootnoteReference"/>
        </w:rPr>
        <w:footnoteReference w:id="3"/>
      </w:r>
      <w:r w:rsidRPr="00AD74E7">
        <w:t>. So there is fresh ‘uncertainty’ to</w:t>
      </w:r>
      <w:r>
        <w:t xml:space="preserve"> </w:t>
      </w:r>
      <w:r w:rsidRPr="00AD74E7">
        <w:t>concern us - on this occasion, uncertainty about the detail of the proposed amendments. The</w:t>
      </w:r>
      <w:r>
        <w:t xml:space="preserve"> </w:t>
      </w:r>
      <w:r w:rsidRPr="00AD74E7">
        <w:t>debate over the direction of mental health law reform which was started with the appointment of</w:t>
      </w:r>
      <w:r>
        <w:t xml:space="preserve"> </w:t>
      </w:r>
      <w:r w:rsidRPr="00AD74E7">
        <w:t>the Expert Committee in October 1998</w:t>
      </w:r>
      <w:r w:rsidR="00E213D3">
        <w:rPr>
          <w:rStyle w:val="FootnoteReference"/>
        </w:rPr>
        <w:footnoteReference w:id="4"/>
      </w:r>
      <w:r w:rsidRPr="00AD74E7">
        <w:t xml:space="preserve"> , and in which so many people and organisations have</w:t>
      </w:r>
      <w:r>
        <w:t xml:space="preserve"> </w:t>
      </w:r>
      <w:r w:rsidRPr="00AD74E7">
        <w:t>participated over the last eight years, is not yet concluded. The Department of Health have</w:t>
      </w:r>
      <w:r>
        <w:t xml:space="preserve"> </w:t>
      </w:r>
      <w:r w:rsidRPr="00AD74E7">
        <w:t>helpfully issued ‘Briefing Sheets’</w:t>
      </w:r>
      <w:r w:rsidR="00E213D3">
        <w:rPr>
          <w:rStyle w:val="FootnoteReference"/>
        </w:rPr>
        <w:footnoteReference w:id="5"/>
      </w:r>
      <w:r w:rsidRPr="00AD74E7">
        <w:t xml:space="preserve"> which give a flavour of the Government’s intentions and hopes,</w:t>
      </w:r>
      <w:r>
        <w:t xml:space="preserve"> </w:t>
      </w:r>
      <w:r w:rsidRPr="00AD74E7">
        <w:t>but as relevant ministers and civil servants will know all too well, it will not be a smooth ride from</w:t>
      </w:r>
      <w:r>
        <w:t xml:space="preserve"> </w:t>
      </w:r>
      <w:r w:rsidRPr="00AD74E7">
        <w:t>briefing sheet to legislation. Following publication of the briefing sheets, we made attempts to</w:t>
      </w:r>
      <w:r>
        <w:t xml:space="preserve"> </w:t>
      </w:r>
      <w:r w:rsidRPr="00AD74E7">
        <w:t>commission a speedy response from various leading participants in the debate, but they were soon</w:t>
      </w:r>
      <w:r>
        <w:t xml:space="preserve"> </w:t>
      </w:r>
      <w:r w:rsidRPr="00AD74E7">
        <w:t>abandoned. All agreed that JMHL readers would prefer commentaries and reflections on the detail</w:t>
      </w:r>
      <w:r>
        <w:t xml:space="preserve"> </w:t>
      </w:r>
      <w:r w:rsidRPr="00AD74E7">
        <w:t>of the amendments rather than on what is presently in the public arena. On the presumption (yet</w:t>
      </w:r>
      <w:r>
        <w:t xml:space="preserve"> </w:t>
      </w:r>
      <w:r w:rsidRPr="00AD74E7">
        <w:t>another) that the proposed amendments will be published by the time the next issue is being</w:t>
      </w:r>
      <w:r>
        <w:t xml:space="preserve"> </w:t>
      </w:r>
      <w:r w:rsidRPr="00AD74E7">
        <w:t>prepared, we give an assurance that they will be considered then.</w:t>
      </w:r>
    </w:p>
    <w:p w:rsidR="00AD74E7" w:rsidRPr="00AD74E7" w:rsidRDefault="00AD74E7" w:rsidP="00AD74E7">
      <w:r w:rsidRPr="00AD74E7">
        <w:t>So far as this issue is concerned, we have decided to publish both articles which clearly sit within</w:t>
      </w:r>
      <w:r>
        <w:t xml:space="preserve"> </w:t>
      </w:r>
      <w:r w:rsidRPr="00AD74E7">
        <w:t>the term ‘mental health law’, and others which might be viewed as more on the fringes, but</w:t>
      </w:r>
      <w:r>
        <w:t xml:space="preserve"> </w:t>
      </w:r>
      <w:r w:rsidRPr="00AD74E7">
        <w:t>presumed to be on matters of interest to the majority, if not all, the JMHL readership.</w:t>
      </w:r>
    </w:p>
    <w:p w:rsidR="00E213D3" w:rsidRPr="00E213D3" w:rsidRDefault="00AD74E7" w:rsidP="00E213D3">
      <w:r w:rsidRPr="00AD74E7">
        <w:t>We start off with two articles by Austen Garwood-</w:t>
      </w:r>
      <w:proofErr w:type="spellStart"/>
      <w:r w:rsidRPr="00AD74E7">
        <w:t>Gowers</w:t>
      </w:r>
      <w:proofErr w:type="spellEnd"/>
      <w:r w:rsidRPr="00AD74E7">
        <w:t>, or, to be more honest, one article in</w:t>
      </w:r>
      <w:r>
        <w:t xml:space="preserve"> </w:t>
      </w:r>
      <w:r w:rsidRPr="00AD74E7">
        <w:t>two parts. Craftily (admittedly on our suggestion and with our encouragement) negotiating his way</w:t>
      </w:r>
      <w:r>
        <w:t xml:space="preserve"> </w:t>
      </w:r>
      <w:r w:rsidRPr="00AD74E7">
        <w:t xml:space="preserve">around our editorial policy of ‘5000 words maximum’ per article, </w:t>
      </w:r>
      <w:proofErr w:type="spellStart"/>
      <w:r w:rsidRPr="00AD74E7">
        <w:t>Dr.</w:t>
      </w:r>
      <w:proofErr w:type="spellEnd"/>
      <w:r w:rsidRPr="00AD74E7">
        <w:t xml:space="preserve"> Garwood-</w:t>
      </w:r>
      <w:proofErr w:type="spellStart"/>
      <w:r w:rsidRPr="00AD74E7">
        <w:t>Gowers</w:t>
      </w:r>
      <w:proofErr w:type="spellEnd"/>
      <w:r w:rsidRPr="00AD74E7">
        <w:t xml:space="preserve"> in</w:t>
      </w:r>
      <w:r>
        <w:t xml:space="preserve"> </w:t>
      </w:r>
      <w:r w:rsidRPr="00AD74E7">
        <w:rPr>
          <w:b/>
          <w:bCs/>
        </w:rPr>
        <w:t xml:space="preserve">‘Vindicating the right to bodily security of the incapable in research (Parts 1 and 2)’ </w:t>
      </w:r>
      <w:r w:rsidRPr="00AD74E7">
        <w:t>casts a</w:t>
      </w:r>
      <w:r>
        <w:t xml:space="preserve"> </w:t>
      </w:r>
      <w:r w:rsidRPr="00AD74E7">
        <w:t>knowledgeable, thoughtful, and critical eye over domestic and international provisions regulating</w:t>
      </w:r>
      <w:r>
        <w:t xml:space="preserve"> </w:t>
      </w:r>
      <w:r w:rsidRPr="00AD74E7">
        <w:t>research targeted at incapable persons. The trigger for this reflection is of course sections 30 – 34</w:t>
      </w:r>
      <w:r w:rsidR="00E213D3">
        <w:t xml:space="preserve"> </w:t>
      </w:r>
      <w:r w:rsidR="00E213D3" w:rsidRPr="00E213D3">
        <w:rPr>
          <w:i/>
          <w:iCs/>
        </w:rPr>
        <w:t>Mental Capacity Act 2005</w:t>
      </w:r>
      <w:r w:rsidR="00E213D3" w:rsidRPr="00E213D3">
        <w:t xml:space="preserve">, all bracketed within the statute under the heading ‘Research’. </w:t>
      </w:r>
      <w:proofErr w:type="spellStart"/>
      <w:r w:rsidR="00E213D3" w:rsidRPr="00E213D3">
        <w:t>Dr.</w:t>
      </w:r>
      <w:proofErr w:type="spellEnd"/>
      <w:r w:rsidR="00E213D3">
        <w:t xml:space="preserve"> </w:t>
      </w:r>
      <w:r w:rsidR="00E213D3" w:rsidRPr="00E213D3">
        <w:t>Garwood-</w:t>
      </w:r>
      <w:proofErr w:type="spellStart"/>
      <w:r w:rsidR="00E213D3" w:rsidRPr="00E213D3">
        <w:t>Gowers</w:t>
      </w:r>
      <w:proofErr w:type="spellEnd"/>
      <w:r w:rsidR="00E213D3" w:rsidRPr="00E213D3">
        <w:t xml:space="preserve"> does not hesitate to make clear his overriding concerns, concluding his second</w:t>
      </w:r>
      <w:r w:rsidR="00E213D3">
        <w:t xml:space="preserve"> </w:t>
      </w:r>
      <w:r w:rsidR="00E213D3" w:rsidRPr="00E213D3">
        <w:t>article as follows:</w:t>
      </w:r>
    </w:p>
    <w:p w:rsidR="00E213D3" w:rsidRPr="00E213D3" w:rsidRDefault="00E213D3" w:rsidP="00E213D3">
      <w:pPr>
        <w:ind w:left="567" w:right="521"/>
        <w:rPr>
          <w:i/>
          <w:iCs/>
        </w:rPr>
      </w:pPr>
      <w:r w:rsidRPr="00E213D3">
        <w:rPr>
          <w:i/>
          <w:iCs/>
        </w:rPr>
        <w:t xml:space="preserve">"… </w:t>
      </w:r>
      <w:proofErr w:type="gramStart"/>
      <w:r w:rsidRPr="00E213D3">
        <w:rPr>
          <w:i/>
          <w:iCs/>
        </w:rPr>
        <w:t>it</w:t>
      </w:r>
      <w:proofErr w:type="gramEnd"/>
      <w:r w:rsidRPr="00E213D3">
        <w:rPr>
          <w:i/>
          <w:iCs/>
        </w:rPr>
        <w:t xml:space="preserve"> is important to note that research has long been a rich field for opportunists to pick on the</w:t>
      </w:r>
      <w:r>
        <w:rPr>
          <w:i/>
          <w:iCs/>
        </w:rPr>
        <w:t xml:space="preserve"> </w:t>
      </w:r>
      <w:r w:rsidRPr="00E213D3">
        <w:rPr>
          <w:i/>
          <w:iCs/>
        </w:rPr>
        <w:t>vulnerable like vultures at a carcass. It is certainly no coincidence that most research abuses have been</w:t>
      </w:r>
      <w:r>
        <w:rPr>
          <w:i/>
          <w:iCs/>
        </w:rPr>
        <w:t xml:space="preserve"> </w:t>
      </w:r>
      <w:r w:rsidRPr="00E213D3">
        <w:rPr>
          <w:i/>
          <w:iCs/>
        </w:rPr>
        <w:t>targeted against those typically less well equipped to resist them such as the incapable, poor and illiterate</w:t>
      </w:r>
      <w:r>
        <w:rPr>
          <w:i/>
          <w:iCs/>
        </w:rPr>
        <w:t xml:space="preserve"> </w:t>
      </w:r>
      <w:r w:rsidRPr="00E213D3">
        <w:rPr>
          <w:i/>
          <w:iCs/>
        </w:rPr>
        <w:t>people (particularly in developing countries) and (above all) the animal kingdom."</w:t>
      </w:r>
    </w:p>
    <w:p w:rsidR="00E213D3" w:rsidRPr="00E213D3" w:rsidRDefault="00E213D3" w:rsidP="00E213D3">
      <w:r w:rsidRPr="00E213D3">
        <w:t>Claire Bentley, a solicitor, is a member of the Victims’ Advisory Panel</w:t>
      </w:r>
      <w:r>
        <w:rPr>
          <w:rStyle w:val="FootnoteReference"/>
        </w:rPr>
        <w:footnoteReference w:id="6"/>
      </w:r>
      <w:r w:rsidRPr="00E213D3">
        <w:t xml:space="preserve"> . As such she is especially well</w:t>
      </w:r>
      <w:r>
        <w:t xml:space="preserve"> </w:t>
      </w:r>
      <w:r w:rsidRPr="00E213D3">
        <w:t>qualified</w:t>
      </w:r>
      <w:r>
        <w:t xml:space="preserve"> </w:t>
      </w:r>
      <w:r w:rsidRPr="00E213D3">
        <w:t>to consider how the needs of victims of mentally disordered offenders are being addressed by</w:t>
      </w:r>
      <w:r>
        <w:t xml:space="preserve"> </w:t>
      </w:r>
      <w:r w:rsidRPr="00E213D3">
        <w:t xml:space="preserve">healthcare teams treating such offenders, and by the Mental Health Review Tribunal (MHRT). In </w:t>
      </w:r>
      <w:proofErr w:type="gramStart"/>
      <w:r w:rsidRPr="00E213D3">
        <w:t xml:space="preserve">‘ </w:t>
      </w:r>
      <w:r w:rsidRPr="00E213D3">
        <w:rPr>
          <w:b/>
          <w:bCs/>
        </w:rPr>
        <w:t>"</w:t>
      </w:r>
      <w:proofErr w:type="gramEnd"/>
      <w:r w:rsidRPr="00E213D3">
        <w:rPr>
          <w:b/>
          <w:bCs/>
        </w:rPr>
        <w:t>A</w:t>
      </w:r>
      <w:r>
        <w:rPr>
          <w:b/>
          <w:bCs/>
        </w:rPr>
        <w:t xml:space="preserve"> </w:t>
      </w:r>
      <w:r w:rsidRPr="00E213D3">
        <w:rPr>
          <w:b/>
          <w:bCs/>
        </w:rPr>
        <w:t>socially excluded group"? – Hearing the voice of victims’</w:t>
      </w:r>
      <w:r w:rsidRPr="00E213D3">
        <w:t>, Ms. Bentley, writing in her personal capacity,</w:t>
      </w:r>
      <w:r>
        <w:t xml:space="preserve"> </w:t>
      </w:r>
      <w:r w:rsidRPr="00E213D3">
        <w:t>concentrates on two key objectives in providing more effective support and help for victims as set out</w:t>
      </w:r>
      <w:r>
        <w:t xml:space="preserve"> </w:t>
      </w:r>
      <w:r w:rsidRPr="00E213D3">
        <w:t xml:space="preserve">in the Government publication, </w:t>
      </w:r>
      <w:r w:rsidRPr="00E213D3">
        <w:rPr>
          <w:i/>
          <w:iCs/>
        </w:rPr>
        <w:t>‘Rebuilding Lives – supporting victims of crime’</w:t>
      </w:r>
      <w:r>
        <w:rPr>
          <w:rStyle w:val="FootnoteReference"/>
          <w:i/>
          <w:iCs/>
        </w:rPr>
        <w:footnoteReference w:id="7"/>
      </w:r>
      <w:r w:rsidRPr="00E213D3">
        <w:t>, namely the provision of</w:t>
      </w:r>
      <w:r>
        <w:t xml:space="preserve"> </w:t>
      </w:r>
      <w:r w:rsidRPr="00E213D3">
        <w:t>information to victims and the giving of a voice to victims. As Ms. Bentley makes abundantly clear,</w:t>
      </w:r>
      <w:r>
        <w:t xml:space="preserve"> </w:t>
      </w:r>
      <w:r w:rsidRPr="00E213D3">
        <w:t>those professionals who work with offenders suffering from mental ill health, and MHRT panels when</w:t>
      </w:r>
      <w:r>
        <w:t xml:space="preserve"> </w:t>
      </w:r>
      <w:r w:rsidRPr="00E213D3">
        <w:t>meeting with such patients, need ("as a matter of some urgency") to become aware of both legislative</w:t>
      </w:r>
      <w:r>
        <w:t xml:space="preserve"> </w:t>
      </w:r>
      <w:r w:rsidRPr="00E213D3">
        <w:t>provisions and official guidance in respect of victims. To assist readers, we have attached to the article</w:t>
      </w:r>
      <w:r>
        <w:t xml:space="preserve"> </w:t>
      </w:r>
      <w:r w:rsidRPr="00E213D3">
        <w:t>two appendices - MHRT guidance (July 2005) and Home Office guidance to clinicians (September 2005).</w:t>
      </w:r>
    </w:p>
    <w:p w:rsidR="00E213D3" w:rsidRPr="00E213D3" w:rsidRDefault="00E213D3" w:rsidP="00E213D3">
      <w:r w:rsidRPr="00E213D3">
        <w:t xml:space="preserve">In </w:t>
      </w:r>
      <w:r w:rsidRPr="00E213D3">
        <w:rPr>
          <w:b/>
          <w:bCs/>
        </w:rPr>
        <w:t>‘Provocation: the fall (and rise) of objectivity’</w:t>
      </w:r>
      <w:r w:rsidRPr="00E213D3">
        <w:t>, Kevin Kerrigan reviews "the recent turbulent history of</w:t>
      </w:r>
      <w:r>
        <w:t xml:space="preserve"> </w:t>
      </w:r>
      <w:r w:rsidRPr="00E213D3">
        <w:t>the partial defence of provocation". As is clear from the article, in recent years the judiciary have not</w:t>
      </w:r>
      <w:r>
        <w:t xml:space="preserve"> </w:t>
      </w:r>
      <w:r w:rsidRPr="00E213D3">
        <w:t>been speaking with one voice in conveying their views as to whether the "reasonable man referred to in</w:t>
      </w:r>
      <w:r>
        <w:t xml:space="preserve"> </w:t>
      </w:r>
      <w:r w:rsidRPr="00E213D3">
        <w:t>the statute [</w:t>
      </w:r>
      <w:r w:rsidRPr="00E213D3">
        <w:rPr>
          <w:i/>
          <w:iCs/>
        </w:rPr>
        <w:t>Homicide Act 1957</w:t>
      </w:r>
      <w:r w:rsidRPr="00E213D3">
        <w:t>,(section 3)] should be an ‘objective’ reasonable man or whether he should</w:t>
      </w:r>
      <w:r>
        <w:t xml:space="preserve"> </w:t>
      </w:r>
      <w:r w:rsidRPr="00E213D3">
        <w:t>have some of the ‘subjective’ characteristics of the accused". The answer to this question is clearly of</w:t>
      </w:r>
      <w:r>
        <w:t xml:space="preserve"> </w:t>
      </w:r>
      <w:r w:rsidRPr="00E213D3">
        <w:t>the utmost importance for the defendant with mental health problems who seeks to rely on provocation</w:t>
      </w:r>
      <w:r>
        <w:t xml:space="preserve"> </w:t>
      </w:r>
      <w:r w:rsidRPr="00E213D3">
        <w:t>as a defence to a charge of murder. As many readers will know, the Law Commission have entered the</w:t>
      </w:r>
      <w:r>
        <w:t xml:space="preserve"> </w:t>
      </w:r>
      <w:r w:rsidRPr="00E213D3">
        <w:t xml:space="preserve">fray, and Mr. Kerrigan helpfully brings readers’ attention to their two reports </w:t>
      </w:r>
      <w:r w:rsidRPr="00E213D3">
        <w:rPr>
          <w:i/>
          <w:iCs/>
        </w:rPr>
        <w:t>‘Report on Partial Defences</w:t>
      </w:r>
      <w:r>
        <w:rPr>
          <w:i/>
          <w:iCs/>
        </w:rPr>
        <w:t xml:space="preserve"> </w:t>
      </w:r>
      <w:r w:rsidRPr="00E213D3">
        <w:rPr>
          <w:i/>
          <w:iCs/>
        </w:rPr>
        <w:t xml:space="preserve">to Murder’ </w:t>
      </w:r>
      <w:r w:rsidRPr="00E213D3">
        <w:t>(2004)</w:t>
      </w:r>
      <w:r>
        <w:rPr>
          <w:rStyle w:val="FootnoteReference"/>
        </w:rPr>
        <w:footnoteReference w:id="8"/>
      </w:r>
      <w:r w:rsidRPr="00E213D3">
        <w:t xml:space="preserve"> and </w:t>
      </w:r>
      <w:r w:rsidRPr="00E213D3">
        <w:rPr>
          <w:i/>
          <w:iCs/>
        </w:rPr>
        <w:t xml:space="preserve">‘A New Homicide Act for England and Wales?’ </w:t>
      </w:r>
      <w:r w:rsidRPr="00E213D3">
        <w:t>(2005)</w:t>
      </w:r>
      <w:r>
        <w:rPr>
          <w:rStyle w:val="FootnoteReference"/>
        </w:rPr>
        <w:footnoteReference w:id="9"/>
      </w:r>
      <w:r w:rsidRPr="00E213D3">
        <w:t>. It seems improbable that</w:t>
      </w:r>
      <w:r>
        <w:t xml:space="preserve"> </w:t>
      </w:r>
      <w:r w:rsidRPr="00E213D3">
        <w:t>academics amongst the readership will recognise either Mr. Kerrigan’s ‘Impatient professor’ or, sadly, his</w:t>
      </w:r>
      <w:r>
        <w:t xml:space="preserve"> </w:t>
      </w:r>
      <w:r w:rsidRPr="00E213D3">
        <w:t>‘Keen first year law student’ – the article takes the form of an exchange between the two.</w:t>
      </w:r>
    </w:p>
    <w:p w:rsidR="004658CF" w:rsidRDefault="00E213D3" w:rsidP="00E213D3">
      <w:pPr>
        <w:rPr>
          <w:i/>
          <w:iCs/>
        </w:rPr>
      </w:pPr>
      <w:r w:rsidRPr="00E213D3">
        <w:t xml:space="preserve">In our issue of December 2002, Edward Myers analysed the Court of Appeal decision in </w:t>
      </w:r>
      <w:r w:rsidRPr="00E213D3">
        <w:rPr>
          <w:i/>
          <w:iCs/>
        </w:rPr>
        <w:t>Sutherland v</w:t>
      </w:r>
      <w:r>
        <w:rPr>
          <w:i/>
          <w:iCs/>
        </w:rPr>
        <w:t xml:space="preserve"> </w:t>
      </w:r>
      <w:r w:rsidRPr="00E213D3">
        <w:rPr>
          <w:i/>
          <w:iCs/>
        </w:rPr>
        <w:t>Hatton</w:t>
      </w:r>
      <w:r>
        <w:rPr>
          <w:rStyle w:val="FootnoteReference"/>
          <w:i/>
          <w:iCs/>
        </w:rPr>
        <w:footnoteReference w:id="10"/>
      </w:r>
      <w:r w:rsidRPr="00E213D3">
        <w:rPr>
          <w:i/>
          <w:iCs/>
        </w:rPr>
        <w:t xml:space="preserve"> </w:t>
      </w:r>
      <w:r w:rsidRPr="00E213D3">
        <w:t xml:space="preserve">in an article entitled </w:t>
      </w:r>
      <w:r w:rsidRPr="00E213D3">
        <w:rPr>
          <w:i/>
          <w:iCs/>
        </w:rPr>
        <w:t>‘Claiming Damages for Work Place Stress’</w:t>
      </w:r>
      <w:r w:rsidRPr="00E213D3">
        <w:t>. In this issue, Kay Wheat re-visits</w:t>
      </w:r>
      <w:r>
        <w:t xml:space="preserve"> </w:t>
      </w:r>
      <w:r w:rsidRPr="00E213D3">
        <w:t xml:space="preserve">the topical subject of </w:t>
      </w:r>
      <w:r w:rsidRPr="00E213D3">
        <w:rPr>
          <w:b/>
          <w:bCs/>
        </w:rPr>
        <w:t>‘Mental Health in the Workplace’</w:t>
      </w:r>
      <w:r w:rsidRPr="00E213D3">
        <w:t>. In this, the first of two articles, Miss Wheat</w:t>
      </w:r>
      <w:r>
        <w:t xml:space="preserve"> </w:t>
      </w:r>
      <w:r w:rsidRPr="00E213D3">
        <w:t xml:space="preserve">comprehensively considers </w:t>
      </w:r>
      <w:proofErr w:type="gramStart"/>
      <w:r w:rsidRPr="00E213D3">
        <w:t xml:space="preserve">‘ </w:t>
      </w:r>
      <w:r w:rsidRPr="00E213D3">
        <w:rPr>
          <w:b/>
          <w:bCs/>
        </w:rPr>
        <w:t>‘Stress’</w:t>
      </w:r>
      <w:proofErr w:type="gramEnd"/>
      <w:r w:rsidRPr="00E213D3">
        <w:rPr>
          <w:b/>
          <w:bCs/>
        </w:rPr>
        <w:t xml:space="preserve"> claims and workplace standards and the European Framework</w:t>
      </w:r>
      <w:r>
        <w:rPr>
          <w:b/>
          <w:bCs/>
        </w:rPr>
        <w:t xml:space="preserve"> </w:t>
      </w:r>
      <w:r w:rsidRPr="00E213D3">
        <w:rPr>
          <w:b/>
          <w:bCs/>
        </w:rPr>
        <w:t xml:space="preserve">Directive on Health and Safety at Work’. </w:t>
      </w:r>
      <w:r w:rsidRPr="00E213D3">
        <w:t>Her second article, in the next issue, will consider the treatment</w:t>
      </w:r>
      <w:r>
        <w:t xml:space="preserve"> </w:t>
      </w:r>
      <w:r w:rsidRPr="00E213D3">
        <w:t xml:space="preserve">of mental health of workers against the backdrop of the </w:t>
      </w:r>
      <w:r w:rsidRPr="00E213D3">
        <w:rPr>
          <w:i/>
          <w:iCs/>
        </w:rPr>
        <w:t>Disability Discrimination Act 1995.</w:t>
      </w:r>
    </w:p>
    <w:p w:rsidR="00E213D3" w:rsidRPr="00E213D3" w:rsidRDefault="00E213D3" w:rsidP="00E213D3">
      <w:pPr>
        <w:rPr>
          <w:i/>
          <w:iCs/>
        </w:rPr>
      </w:pPr>
      <w:r w:rsidRPr="00E213D3">
        <w:t>The Foreword to the November 2005 issue contained an expression of hope that this issue would</w:t>
      </w:r>
      <w:r>
        <w:t xml:space="preserve"> </w:t>
      </w:r>
      <w:r w:rsidRPr="00E213D3">
        <w:t>contain detailed considerations of two highly significant judicial decisions pronounced by the</w:t>
      </w:r>
      <w:r>
        <w:t xml:space="preserve"> </w:t>
      </w:r>
      <w:r w:rsidRPr="00E213D3">
        <w:t>House of Lords in the latter part of 2005. There simply was not time for the preparation of</w:t>
      </w:r>
      <w:r>
        <w:t xml:space="preserve"> </w:t>
      </w:r>
      <w:r w:rsidRPr="00E213D3">
        <w:t xml:space="preserve">articles on these cases for that issue. The two cases were of course </w:t>
      </w:r>
      <w:r w:rsidRPr="00E213D3">
        <w:rPr>
          <w:i/>
          <w:iCs/>
        </w:rPr>
        <w:t>R (on the application of MH) v</w:t>
      </w:r>
      <w:r>
        <w:rPr>
          <w:i/>
          <w:iCs/>
        </w:rPr>
        <w:t xml:space="preserve"> </w:t>
      </w:r>
      <w:r w:rsidRPr="00E213D3">
        <w:rPr>
          <w:i/>
          <w:iCs/>
        </w:rPr>
        <w:t>Secretary of State for Health (and others)</w:t>
      </w:r>
      <w:r w:rsidR="008B4ADA">
        <w:rPr>
          <w:rStyle w:val="FootnoteReference"/>
          <w:i/>
          <w:iCs/>
        </w:rPr>
        <w:footnoteReference w:id="11"/>
      </w:r>
      <w:r w:rsidRPr="00E213D3">
        <w:rPr>
          <w:i/>
          <w:iCs/>
        </w:rPr>
        <w:t xml:space="preserve"> </w:t>
      </w:r>
      <w:r w:rsidRPr="00E213D3">
        <w:t xml:space="preserve">and </w:t>
      </w:r>
      <w:r w:rsidRPr="00E213D3">
        <w:rPr>
          <w:i/>
          <w:iCs/>
        </w:rPr>
        <w:t>R v Ashworth Hospital Authority (now Mersey Care National</w:t>
      </w:r>
      <w:r>
        <w:rPr>
          <w:i/>
          <w:iCs/>
        </w:rPr>
        <w:t xml:space="preserve"> </w:t>
      </w:r>
      <w:r w:rsidRPr="00E213D3">
        <w:rPr>
          <w:i/>
          <w:iCs/>
        </w:rPr>
        <w:t xml:space="preserve">Health Service Trust) ex parte </w:t>
      </w:r>
      <w:proofErr w:type="spellStart"/>
      <w:r w:rsidRPr="00E213D3">
        <w:rPr>
          <w:i/>
          <w:iCs/>
        </w:rPr>
        <w:t>Munjaz</w:t>
      </w:r>
      <w:proofErr w:type="spellEnd"/>
      <w:r w:rsidR="008B4ADA">
        <w:rPr>
          <w:rStyle w:val="FootnoteReference"/>
          <w:i/>
          <w:iCs/>
        </w:rPr>
        <w:footnoteReference w:id="12"/>
      </w:r>
      <w:r w:rsidRPr="00E213D3">
        <w:rPr>
          <w:i/>
          <w:iCs/>
        </w:rPr>
        <w:t xml:space="preserve">. </w:t>
      </w:r>
      <w:r w:rsidRPr="00E213D3">
        <w:t xml:space="preserve">We have duly made amends in this issue. </w:t>
      </w:r>
      <w:proofErr w:type="gramStart"/>
      <w:r w:rsidRPr="00E213D3">
        <w:t xml:space="preserve">In </w:t>
      </w:r>
      <w:r w:rsidRPr="00E213D3">
        <w:rPr>
          <w:b/>
          <w:bCs/>
        </w:rPr>
        <w:t>‘Executive</w:t>
      </w:r>
      <w:r>
        <w:rPr>
          <w:b/>
          <w:bCs/>
        </w:rPr>
        <w:t xml:space="preserve"> </w:t>
      </w:r>
      <w:r w:rsidRPr="00E213D3">
        <w:rPr>
          <w:b/>
          <w:bCs/>
        </w:rPr>
        <w:t>Action and Convention Compliance?</w:t>
      </w:r>
      <w:proofErr w:type="gramEnd"/>
      <w:r w:rsidRPr="00E213D3">
        <w:rPr>
          <w:b/>
          <w:bCs/>
        </w:rPr>
        <w:t xml:space="preserve"> A Risk Unrecognised by the House’</w:t>
      </w:r>
      <w:r w:rsidRPr="00E213D3">
        <w:t>, Kris Gledhill provides</w:t>
      </w:r>
      <w:r>
        <w:t xml:space="preserve"> </w:t>
      </w:r>
      <w:r w:rsidRPr="00E213D3">
        <w:t>a critical analysis of the House of Lords decision in the former case, and (with one eye on Tolkien)</w:t>
      </w:r>
      <w:r>
        <w:t xml:space="preserve"> </w:t>
      </w:r>
      <w:r w:rsidRPr="00E213D3">
        <w:t xml:space="preserve">in </w:t>
      </w:r>
      <w:r w:rsidRPr="00E213D3">
        <w:rPr>
          <w:b/>
          <w:bCs/>
        </w:rPr>
        <w:t xml:space="preserve">‘One Code to rule them all, one code to bind them: the seclusion of detained patients’ </w:t>
      </w:r>
      <w:r w:rsidRPr="00E213D3">
        <w:t>Simon</w:t>
      </w:r>
      <w:r>
        <w:t xml:space="preserve"> </w:t>
      </w:r>
      <w:r w:rsidRPr="00E213D3">
        <w:t>Foster painstakingly conveys and comments on their Lordships’ judgments in the latter. This issue</w:t>
      </w:r>
      <w:r>
        <w:t xml:space="preserve"> </w:t>
      </w:r>
      <w:r w:rsidRPr="00E213D3">
        <w:t xml:space="preserve">contains a third case review. </w:t>
      </w:r>
      <w:proofErr w:type="gramStart"/>
      <w:r w:rsidRPr="00E213D3">
        <w:t xml:space="preserve">Paul Hope in </w:t>
      </w:r>
      <w:r w:rsidRPr="00E213D3">
        <w:rPr>
          <w:b/>
          <w:bCs/>
        </w:rPr>
        <w:t>‘Paternalism or Power?</w:t>
      </w:r>
      <w:proofErr w:type="gramEnd"/>
      <w:r w:rsidRPr="00E213D3">
        <w:rPr>
          <w:b/>
          <w:bCs/>
        </w:rPr>
        <w:t xml:space="preserve"> – Compulsory treatment under</w:t>
      </w:r>
      <w:r>
        <w:rPr>
          <w:b/>
          <w:bCs/>
        </w:rPr>
        <w:t xml:space="preserve"> </w:t>
      </w:r>
      <w:r w:rsidRPr="00E213D3">
        <w:rPr>
          <w:b/>
          <w:bCs/>
        </w:rPr>
        <w:t xml:space="preserve">section 58 of the </w:t>
      </w:r>
      <w:r w:rsidRPr="00E213D3">
        <w:rPr>
          <w:b/>
          <w:bCs/>
          <w:i/>
          <w:iCs/>
        </w:rPr>
        <w:t xml:space="preserve">Mental Health Act 1983’ </w:t>
      </w:r>
      <w:r w:rsidRPr="00E213D3">
        <w:t>examines "the latest</w:t>
      </w:r>
      <w:r w:rsidR="008B4ADA">
        <w:rPr>
          <w:rStyle w:val="FootnoteReference"/>
        </w:rPr>
        <w:footnoteReference w:id="13"/>
      </w:r>
      <w:r w:rsidRPr="00E213D3">
        <w:t xml:space="preserve"> in a series of challenges brought</w:t>
      </w:r>
      <w:r>
        <w:t xml:space="preserve"> </w:t>
      </w:r>
      <w:r w:rsidRPr="00E213D3">
        <w:t xml:space="preserve">under the </w:t>
      </w:r>
      <w:r w:rsidRPr="00E213D3">
        <w:rPr>
          <w:i/>
          <w:iCs/>
        </w:rPr>
        <w:t xml:space="preserve">Human Rights Act 1998 </w:t>
      </w:r>
      <w:r w:rsidRPr="00E213D3">
        <w:t xml:space="preserve">against compulsory treatment under Part IV of the </w:t>
      </w:r>
      <w:r w:rsidRPr="00E213D3">
        <w:rPr>
          <w:i/>
          <w:iCs/>
        </w:rPr>
        <w:t>Mental</w:t>
      </w:r>
      <w:r>
        <w:rPr>
          <w:i/>
          <w:iCs/>
        </w:rPr>
        <w:t xml:space="preserve"> </w:t>
      </w:r>
      <w:r w:rsidRPr="00E213D3">
        <w:rPr>
          <w:i/>
          <w:iCs/>
        </w:rPr>
        <w:t>Health Act 1983”</w:t>
      </w:r>
      <w:r w:rsidRPr="00E213D3">
        <w:t xml:space="preserve">, namely the Court of Appeal case, </w:t>
      </w:r>
      <w:r w:rsidRPr="00E213D3">
        <w:rPr>
          <w:i/>
          <w:iCs/>
        </w:rPr>
        <w:t>R (on the application of B) v S and others</w:t>
      </w:r>
      <w:r w:rsidR="008B4ADA">
        <w:rPr>
          <w:rStyle w:val="FootnoteReference"/>
          <w:i/>
          <w:iCs/>
        </w:rPr>
        <w:footnoteReference w:id="14"/>
      </w:r>
      <w:r w:rsidRPr="00E213D3">
        <w:rPr>
          <w:i/>
          <w:iCs/>
        </w:rPr>
        <w:t>.</w:t>
      </w:r>
    </w:p>
    <w:p w:rsidR="00E213D3" w:rsidRPr="00E213D3" w:rsidRDefault="00E213D3" w:rsidP="00E213D3">
      <w:r w:rsidRPr="00E213D3">
        <w:t xml:space="preserve">We end with a couple of book reviews. Mat </w:t>
      </w:r>
      <w:proofErr w:type="spellStart"/>
      <w:r w:rsidRPr="00E213D3">
        <w:t>Kinton</w:t>
      </w:r>
      <w:proofErr w:type="spellEnd"/>
      <w:r w:rsidRPr="00E213D3">
        <w:t xml:space="preserve"> would appear to have read every page of the</w:t>
      </w:r>
      <w:r>
        <w:t xml:space="preserve"> </w:t>
      </w:r>
      <w:r w:rsidRPr="00E213D3">
        <w:t xml:space="preserve">weighty tome which is </w:t>
      </w:r>
      <w:r w:rsidRPr="00E213D3">
        <w:rPr>
          <w:b/>
          <w:bCs/>
        </w:rPr>
        <w:t>‘Seminal issues in Mental Health Law’</w:t>
      </w:r>
      <w:r w:rsidR="008B4ADA">
        <w:rPr>
          <w:rStyle w:val="FootnoteReference"/>
          <w:b/>
          <w:bCs/>
        </w:rPr>
        <w:footnoteReference w:id="15"/>
      </w:r>
      <w:r w:rsidRPr="00E213D3">
        <w:t>, "a collection of thirty-five essays,</w:t>
      </w:r>
      <w:r>
        <w:t xml:space="preserve"> </w:t>
      </w:r>
      <w:r w:rsidRPr="00E213D3">
        <w:t>chapters and extracts on civil mental health law from various authors, drawn from a range of</w:t>
      </w:r>
      <w:r>
        <w:t xml:space="preserve"> </w:t>
      </w:r>
      <w:r w:rsidRPr="00E213D3">
        <w:t xml:space="preserve">sources between 1973 and 2005", edited by Professor Jill </w:t>
      </w:r>
      <w:proofErr w:type="spellStart"/>
      <w:r w:rsidRPr="00E213D3">
        <w:t>Peay</w:t>
      </w:r>
      <w:proofErr w:type="spellEnd"/>
      <w:r w:rsidRPr="00E213D3">
        <w:t>. David Hewitt provides a shorter</w:t>
      </w:r>
      <w:r>
        <w:t xml:space="preserve"> </w:t>
      </w:r>
      <w:r w:rsidRPr="00E213D3">
        <w:t xml:space="preserve">and more light-hearted review of Kris Gledhill’s </w:t>
      </w:r>
      <w:r w:rsidRPr="00E213D3">
        <w:rPr>
          <w:b/>
          <w:bCs/>
        </w:rPr>
        <w:t>‘Mental Health Tribunals – Essential Cases’</w:t>
      </w:r>
      <w:r w:rsidR="008B4ADA">
        <w:rPr>
          <w:rStyle w:val="FootnoteReference"/>
          <w:b/>
          <w:bCs/>
        </w:rPr>
        <w:footnoteReference w:id="16"/>
      </w:r>
      <w:r w:rsidRPr="00E213D3">
        <w:t>,</w:t>
      </w:r>
      <w:r>
        <w:t xml:space="preserve"> </w:t>
      </w:r>
      <w:r w:rsidRPr="00E213D3">
        <w:t>a seemingly invaluable loose-leaf resource for all those whose work or study requires a detailed</w:t>
      </w:r>
      <w:r>
        <w:t xml:space="preserve"> </w:t>
      </w:r>
      <w:r w:rsidRPr="00E213D3">
        <w:t>knowledge of the MHRT. Both reviewers describe their respective books as "excellent".</w:t>
      </w:r>
    </w:p>
    <w:p w:rsidR="00E213D3" w:rsidRPr="00E213D3" w:rsidRDefault="00E213D3" w:rsidP="00E213D3">
      <w:r w:rsidRPr="00E213D3">
        <w:t>Very regrettably, publication of this issue (as with the issue of November 2005) has been delayed.</w:t>
      </w:r>
      <w:r>
        <w:t xml:space="preserve"> </w:t>
      </w:r>
      <w:r w:rsidRPr="00E213D3">
        <w:t>For this we sincerely apologise to the contributors, and of course to all subscribers. We give an</w:t>
      </w:r>
      <w:r>
        <w:t xml:space="preserve"> </w:t>
      </w:r>
      <w:r w:rsidRPr="00E213D3">
        <w:t>assurance that plans are in hand to tackle the root causes. In the meantime we thank all those who</w:t>
      </w:r>
      <w:r>
        <w:t xml:space="preserve"> </w:t>
      </w:r>
      <w:r w:rsidRPr="00E213D3">
        <w:t>have so generously contributed to this issue of the JMHL.</w:t>
      </w:r>
      <w:bookmarkStart w:id="0" w:name="_GoBack"/>
      <w:bookmarkEnd w:id="0"/>
    </w:p>
    <w:p w:rsidR="008B4ADA" w:rsidRDefault="008B4ADA" w:rsidP="00E213D3">
      <w:pPr>
        <w:rPr>
          <w:b/>
          <w:bCs/>
          <w:i/>
          <w:iCs/>
        </w:rPr>
      </w:pPr>
    </w:p>
    <w:p w:rsidR="00E213D3" w:rsidRPr="00E213D3" w:rsidRDefault="00E213D3" w:rsidP="00E213D3">
      <w:pPr>
        <w:rPr>
          <w:b/>
          <w:bCs/>
          <w:i/>
          <w:iCs/>
        </w:rPr>
      </w:pPr>
      <w:r w:rsidRPr="00E213D3">
        <w:rPr>
          <w:b/>
          <w:bCs/>
          <w:i/>
          <w:iCs/>
        </w:rPr>
        <w:t>John Horne</w:t>
      </w:r>
    </w:p>
    <w:p w:rsidR="00E213D3" w:rsidRPr="00E213D3" w:rsidRDefault="00E213D3" w:rsidP="00E213D3">
      <w:r w:rsidRPr="00E213D3">
        <w:t>Editor</w:t>
      </w:r>
    </w:p>
    <w:sectPr w:rsidR="00E213D3" w:rsidRPr="00E21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D3" w:rsidRDefault="00E213D3" w:rsidP="00E213D3">
      <w:pPr>
        <w:spacing w:after="0" w:line="240" w:lineRule="auto"/>
      </w:pPr>
      <w:r>
        <w:separator/>
      </w:r>
    </w:p>
  </w:endnote>
  <w:endnote w:type="continuationSeparator" w:id="0">
    <w:p w:rsidR="00E213D3" w:rsidRDefault="00E213D3" w:rsidP="00E2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D3" w:rsidRDefault="00E213D3" w:rsidP="00E213D3">
      <w:pPr>
        <w:spacing w:after="0" w:line="240" w:lineRule="auto"/>
      </w:pPr>
      <w:r>
        <w:separator/>
      </w:r>
    </w:p>
  </w:footnote>
  <w:footnote w:type="continuationSeparator" w:id="0">
    <w:p w:rsidR="00E213D3" w:rsidRDefault="00E213D3" w:rsidP="00E213D3">
      <w:pPr>
        <w:spacing w:after="0" w:line="240" w:lineRule="auto"/>
      </w:pPr>
      <w:r>
        <w:continuationSeparator/>
      </w:r>
    </w:p>
  </w:footnote>
  <w:footnote w:id="1">
    <w:p w:rsidR="00E213D3" w:rsidRPr="00E213D3" w:rsidRDefault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Cm 6305-1 (September 2004)</w:t>
      </w:r>
    </w:p>
  </w:footnote>
  <w:footnote w:id="2">
    <w:p w:rsidR="00E213D3" w:rsidRPr="00E213D3" w:rsidRDefault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Cm 5538-1 (June 2002)</w:t>
      </w:r>
    </w:p>
  </w:footnote>
  <w:footnote w:id="3">
    <w:p w:rsidR="00E213D3" w:rsidRPr="00E213D3" w:rsidRDefault="00E213D3" w:rsidP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</w:t>
      </w:r>
      <w:proofErr w:type="gramStart"/>
      <w:r w:rsidRPr="00E213D3">
        <w:rPr>
          <w:sz w:val="16"/>
        </w:rPr>
        <w:t>As noted in the Foreword to the November 2005 issue.</w:t>
      </w:r>
      <w:proofErr w:type="gramEnd"/>
      <w:r w:rsidRPr="00E213D3">
        <w:rPr>
          <w:sz w:val="16"/>
        </w:rPr>
        <w:t xml:space="preserve"> </w:t>
      </w:r>
      <w:r w:rsidRPr="00E213D3">
        <w:rPr>
          <w:sz w:val="16"/>
        </w:rPr>
        <w:t>See Society Guardian 30/3/05</w:t>
      </w:r>
    </w:p>
  </w:footnote>
  <w:footnote w:id="4">
    <w:p w:rsidR="00E213D3" w:rsidRPr="00E213D3" w:rsidRDefault="00E213D3" w:rsidP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</w:t>
      </w:r>
      <w:r w:rsidRPr="00E213D3">
        <w:rPr>
          <w:sz w:val="16"/>
        </w:rPr>
        <w:t>The Report of the Expert Committee ‘Review of the</w:t>
      </w:r>
      <w:r w:rsidRPr="00E213D3">
        <w:rPr>
          <w:sz w:val="16"/>
        </w:rPr>
        <w:t xml:space="preserve"> </w:t>
      </w:r>
      <w:r w:rsidRPr="00E213D3">
        <w:rPr>
          <w:sz w:val="16"/>
        </w:rPr>
        <w:t>Mental Health Act 1983’ was published by the</w:t>
      </w:r>
      <w:r w:rsidRPr="00E213D3">
        <w:rPr>
          <w:sz w:val="16"/>
        </w:rPr>
        <w:t xml:space="preserve"> </w:t>
      </w:r>
      <w:r w:rsidRPr="00E213D3">
        <w:rPr>
          <w:sz w:val="16"/>
        </w:rPr>
        <w:t>Department of Health in November 1999.</w:t>
      </w:r>
    </w:p>
  </w:footnote>
  <w:footnote w:id="5">
    <w:p w:rsidR="00E213D3" w:rsidRPr="00E213D3" w:rsidRDefault="00E213D3" w:rsidP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</w:t>
      </w:r>
      <w:proofErr w:type="gramStart"/>
      <w:r w:rsidRPr="00E213D3">
        <w:rPr>
          <w:sz w:val="16"/>
        </w:rPr>
        <w:t>Mental Health Bill Briefing Sheets A1 to A8 (April to</w:t>
      </w:r>
      <w:r w:rsidRPr="00E213D3">
        <w:rPr>
          <w:sz w:val="16"/>
        </w:rPr>
        <w:t xml:space="preserve"> </w:t>
      </w:r>
      <w:r w:rsidRPr="00E213D3">
        <w:rPr>
          <w:sz w:val="16"/>
        </w:rPr>
        <w:t xml:space="preserve">June 2006) Gateway reference 6420; </w:t>
      </w:r>
      <w:proofErr w:type="spellStart"/>
      <w:r w:rsidRPr="00E213D3">
        <w:rPr>
          <w:sz w:val="16"/>
        </w:rPr>
        <w:t>Bournewood</w:t>
      </w:r>
      <w:proofErr w:type="spellEnd"/>
      <w:r w:rsidRPr="00E213D3">
        <w:rPr>
          <w:sz w:val="16"/>
        </w:rPr>
        <w:t xml:space="preserve"> </w:t>
      </w:r>
      <w:r w:rsidRPr="00E213D3">
        <w:rPr>
          <w:sz w:val="16"/>
        </w:rPr>
        <w:t>Briefing Sheet (June 2006) Gateway reference 6794.</w:t>
      </w:r>
      <w:proofErr w:type="gramEnd"/>
    </w:p>
  </w:footnote>
  <w:footnote w:id="6">
    <w:p w:rsidR="00E213D3" w:rsidRPr="00E213D3" w:rsidRDefault="00E213D3" w:rsidP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</w:t>
      </w:r>
      <w:proofErr w:type="gramStart"/>
      <w:r w:rsidRPr="00E213D3">
        <w:rPr>
          <w:sz w:val="16"/>
        </w:rPr>
        <w:t>Established in accordance with section 55 Domestic</w:t>
      </w:r>
      <w:r w:rsidRPr="00E213D3">
        <w:rPr>
          <w:sz w:val="16"/>
        </w:rPr>
        <w:t xml:space="preserve"> </w:t>
      </w:r>
      <w:r w:rsidRPr="00E213D3">
        <w:rPr>
          <w:sz w:val="16"/>
        </w:rPr>
        <w:t>Violence, Crime and Victims Act 2004.</w:t>
      </w:r>
      <w:proofErr w:type="gramEnd"/>
    </w:p>
  </w:footnote>
  <w:footnote w:id="7">
    <w:p w:rsidR="00E213D3" w:rsidRPr="00E213D3" w:rsidRDefault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Cm 6705 (December 2005)</w:t>
      </w:r>
    </w:p>
  </w:footnote>
  <w:footnote w:id="8">
    <w:p w:rsidR="00E213D3" w:rsidRPr="00E213D3" w:rsidRDefault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Law Com. No 290 (2004) (Cm 6301)</w:t>
      </w:r>
    </w:p>
  </w:footnote>
  <w:footnote w:id="9">
    <w:p w:rsidR="00E213D3" w:rsidRPr="00E213D3" w:rsidRDefault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Law Com Consultation Paper no 177 (2005)</w:t>
      </w:r>
    </w:p>
  </w:footnote>
  <w:footnote w:id="10">
    <w:p w:rsidR="00E213D3" w:rsidRPr="00E213D3" w:rsidRDefault="00E213D3">
      <w:pPr>
        <w:pStyle w:val="FootnoteText"/>
        <w:rPr>
          <w:sz w:val="16"/>
        </w:rPr>
      </w:pPr>
      <w:r w:rsidRPr="00E213D3">
        <w:rPr>
          <w:rStyle w:val="FootnoteReference"/>
          <w:sz w:val="16"/>
        </w:rPr>
        <w:footnoteRef/>
      </w:r>
      <w:r w:rsidRPr="00E213D3">
        <w:rPr>
          <w:sz w:val="16"/>
        </w:rPr>
        <w:t xml:space="preserve"> [2002] WL 45314</w:t>
      </w:r>
    </w:p>
  </w:footnote>
  <w:footnote w:id="11">
    <w:p w:rsidR="008B4ADA" w:rsidRPr="008B4ADA" w:rsidRDefault="008B4ADA">
      <w:pPr>
        <w:pStyle w:val="FootnoteText"/>
        <w:rPr>
          <w:sz w:val="16"/>
        </w:rPr>
      </w:pPr>
      <w:r w:rsidRPr="008B4ADA">
        <w:rPr>
          <w:rStyle w:val="FootnoteReference"/>
          <w:sz w:val="16"/>
        </w:rPr>
        <w:footnoteRef/>
      </w:r>
      <w:r w:rsidRPr="008B4ADA">
        <w:rPr>
          <w:sz w:val="16"/>
        </w:rPr>
        <w:t xml:space="preserve"> [2005] UKHL 60</w:t>
      </w:r>
    </w:p>
  </w:footnote>
  <w:footnote w:id="12">
    <w:p w:rsidR="008B4ADA" w:rsidRPr="008B4ADA" w:rsidRDefault="008B4ADA">
      <w:pPr>
        <w:pStyle w:val="FootnoteText"/>
        <w:rPr>
          <w:sz w:val="16"/>
        </w:rPr>
      </w:pPr>
      <w:r w:rsidRPr="008B4ADA">
        <w:rPr>
          <w:rStyle w:val="FootnoteReference"/>
          <w:sz w:val="16"/>
        </w:rPr>
        <w:footnoteRef/>
      </w:r>
      <w:r w:rsidRPr="008B4ADA">
        <w:rPr>
          <w:sz w:val="16"/>
        </w:rPr>
        <w:t xml:space="preserve"> [2005] UKHL58</w:t>
      </w:r>
    </w:p>
  </w:footnote>
  <w:footnote w:id="13">
    <w:p w:rsidR="008B4ADA" w:rsidRPr="008B4ADA" w:rsidRDefault="008B4ADA" w:rsidP="008B4ADA">
      <w:pPr>
        <w:pStyle w:val="FootnoteText"/>
        <w:rPr>
          <w:sz w:val="16"/>
        </w:rPr>
      </w:pPr>
      <w:r w:rsidRPr="008B4ADA">
        <w:rPr>
          <w:rStyle w:val="FootnoteReference"/>
          <w:sz w:val="16"/>
        </w:rPr>
        <w:footnoteRef/>
      </w:r>
      <w:r w:rsidRPr="008B4ADA">
        <w:rPr>
          <w:sz w:val="16"/>
        </w:rPr>
        <w:t xml:space="preserve"> </w:t>
      </w:r>
      <w:r w:rsidRPr="008B4ADA">
        <w:rPr>
          <w:sz w:val="16"/>
        </w:rPr>
        <w:t>Since acceptance of the review, there has been a further</w:t>
      </w:r>
      <w:r w:rsidRPr="008B4ADA">
        <w:rPr>
          <w:sz w:val="16"/>
        </w:rPr>
        <w:t xml:space="preserve"> </w:t>
      </w:r>
      <w:r w:rsidRPr="008B4ADA">
        <w:rPr>
          <w:sz w:val="16"/>
        </w:rPr>
        <w:t>Court of Appeal decision in this area, R (on the</w:t>
      </w:r>
      <w:r w:rsidRPr="008B4ADA">
        <w:rPr>
          <w:sz w:val="16"/>
        </w:rPr>
        <w:t xml:space="preserve"> </w:t>
      </w:r>
      <w:r w:rsidRPr="008B4ADA">
        <w:rPr>
          <w:sz w:val="16"/>
        </w:rPr>
        <w:t>application of JB) v Haddock and others [2006]</w:t>
      </w:r>
      <w:r w:rsidRPr="008B4ADA">
        <w:rPr>
          <w:sz w:val="16"/>
        </w:rPr>
        <w:t xml:space="preserve"> </w:t>
      </w:r>
      <w:r w:rsidRPr="008B4ADA">
        <w:rPr>
          <w:sz w:val="16"/>
        </w:rPr>
        <w:t xml:space="preserve">EWCA </w:t>
      </w:r>
      <w:proofErr w:type="spellStart"/>
      <w:r w:rsidRPr="008B4ADA">
        <w:rPr>
          <w:sz w:val="16"/>
        </w:rPr>
        <w:t>Civ</w:t>
      </w:r>
      <w:proofErr w:type="spellEnd"/>
      <w:r w:rsidRPr="008B4ADA">
        <w:rPr>
          <w:sz w:val="16"/>
        </w:rPr>
        <w:t xml:space="preserve"> 961, to which Mr. Hope has helpfully made</w:t>
      </w:r>
      <w:r w:rsidRPr="008B4ADA">
        <w:rPr>
          <w:sz w:val="16"/>
        </w:rPr>
        <w:t xml:space="preserve"> </w:t>
      </w:r>
      <w:r w:rsidRPr="008B4ADA">
        <w:rPr>
          <w:sz w:val="16"/>
        </w:rPr>
        <w:t>reference towards the end of his article.</w:t>
      </w:r>
    </w:p>
  </w:footnote>
  <w:footnote w:id="14">
    <w:p w:rsidR="008B4ADA" w:rsidRPr="008B4ADA" w:rsidRDefault="008B4ADA">
      <w:pPr>
        <w:pStyle w:val="FootnoteText"/>
        <w:rPr>
          <w:sz w:val="16"/>
        </w:rPr>
      </w:pPr>
      <w:r w:rsidRPr="008B4ADA">
        <w:rPr>
          <w:rStyle w:val="FootnoteReference"/>
          <w:sz w:val="16"/>
        </w:rPr>
        <w:footnoteRef/>
      </w:r>
      <w:r w:rsidRPr="008B4ADA">
        <w:rPr>
          <w:sz w:val="16"/>
        </w:rPr>
        <w:t xml:space="preserve"> [2006] EWCA </w:t>
      </w:r>
      <w:proofErr w:type="spellStart"/>
      <w:r w:rsidRPr="008B4ADA">
        <w:rPr>
          <w:sz w:val="16"/>
        </w:rPr>
        <w:t>Civ</w:t>
      </w:r>
      <w:proofErr w:type="spellEnd"/>
      <w:r w:rsidRPr="008B4ADA">
        <w:rPr>
          <w:sz w:val="16"/>
        </w:rPr>
        <w:t xml:space="preserve"> 28</w:t>
      </w:r>
    </w:p>
  </w:footnote>
  <w:footnote w:id="15">
    <w:p w:rsidR="008B4ADA" w:rsidRPr="008B4ADA" w:rsidRDefault="008B4ADA">
      <w:pPr>
        <w:pStyle w:val="FootnoteText"/>
        <w:rPr>
          <w:sz w:val="16"/>
        </w:rPr>
      </w:pPr>
      <w:r w:rsidRPr="008B4ADA">
        <w:rPr>
          <w:rStyle w:val="FootnoteReference"/>
          <w:sz w:val="16"/>
        </w:rPr>
        <w:footnoteRef/>
      </w:r>
      <w:r w:rsidRPr="008B4ADA">
        <w:rPr>
          <w:sz w:val="16"/>
        </w:rPr>
        <w:t xml:space="preserve"> </w:t>
      </w:r>
      <w:proofErr w:type="spellStart"/>
      <w:r w:rsidRPr="008B4ADA">
        <w:rPr>
          <w:sz w:val="16"/>
        </w:rPr>
        <w:t>Ashgate</w:t>
      </w:r>
      <w:proofErr w:type="spellEnd"/>
      <w:r w:rsidRPr="008B4ADA">
        <w:rPr>
          <w:sz w:val="16"/>
        </w:rPr>
        <w:t xml:space="preserve"> (2005)</w:t>
      </w:r>
    </w:p>
  </w:footnote>
  <w:footnote w:id="16">
    <w:p w:rsidR="008B4ADA" w:rsidRPr="008B4ADA" w:rsidRDefault="008B4ADA">
      <w:pPr>
        <w:pStyle w:val="FootnoteText"/>
        <w:rPr>
          <w:sz w:val="16"/>
        </w:rPr>
      </w:pPr>
      <w:r w:rsidRPr="008B4ADA">
        <w:rPr>
          <w:rStyle w:val="FootnoteReference"/>
          <w:sz w:val="16"/>
        </w:rPr>
        <w:footnoteRef/>
      </w:r>
      <w:r w:rsidRPr="008B4ADA">
        <w:rPr>
          <w:sz w:val="16"/>
        </w:rPr>
        <w:t xml:space="preserve"> Southside Legal Publishing Limited (2005)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E7"/>
    <w:rsid w:val="004658CF"/>
    <w:rsid w:val="008B4ADA"/>
    <w:rsid w:val="00AD74E7"/>
    <w:rsid w:val="00E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1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3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1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537A-FBE0-4143-B0EB-71F0523E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2</cp:revision>
  <dcterms:created xsi:type="dcterms:W3CDTF">2014-10-17T10:56:00Z</dcterms:created>
  <dcterms:modified xsi:type="dcterms:W3CDTF">2014-10-17T11:08:00Z</dcterms:modified>
</cp:coreProperties>
</file>