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D0" w:rsidRPr="00261FD0" w:rsidRDefault="00261FD0" w:rsidP="00261FD0">
      <w:pPr>
        <w:rPr>
          <w:sz w:val="56"/>
          <w:szCs w:val="56"/>
        </w:rPr>
      </w:pPr>
      <w:proofErr w:type="spellStart"/>
      <w:r w:rsidRPr="00261FD0">
        <w:rPr>
          <w:sz w:val="56"/>
          <w:szCs w:val="56"/>
        </w:rPr>
        <w:t>Casenotes</w:t>
      </w:r>
      <w:proofErr w:type="spellEnd"/>
    </w:p>
    <w:p w:rsidR="00261FD0" w:rsidRPr="00261FD0" w:rsidRDefault="00261FD0" w:rsidP="00261FD0">
      <w:pPr>
        <w:rPr>
          <w:b/>
          <w:bCs/>
          <w:i/>
          <w:iCs/>
          <w:sz w:val="40"/>
          <w:szCs w:val="40"/>
        </w:rPr>
      </w:pPr>
      <w:proofErr w:type="gramStart"/>
      <w:r w:rsidRPr="00261FD0">
        <w:rPr>
          <w:b/>
          <w:bCs/>
          <w:i/>
          <w:iCs/>
          <w:sz w:val="40"/>
          <w:szCs w:val="40"/>
        </w:rPr>
        <w:t>Executive Action and Convention Compliance?</w:t>
      </w:r>
      <w:proofErr w:type="gramEnd"/>
      <w:r w:rsidRPr="00261FD0">
        <w:rPr>
          <w:b/>
          <w:bCs/>
          <w:i/>
          <w:iCs/>
          <w:sz w:val="40"/>
          <w:szCs w:val="40"/>
        </w:rPr>
        <w:t xml:space="preserve"> A Risk Unrecognised by the House</w:t>
      </w:r>
    </w:p>
    <w:p w:rsidR="00261FD0" w:rsidRPr="00261FD0" w:rsidRDefault="00261FD0" w:rsidP="00261FD0">
      <w:pPr>
        <w:rPr>
          <w:sz w:val="28"/>
        </w:rPr>
      </w:pPr>
      <w:r w:rsidRPr="00261FD0">
        <w:rPr>
          <w:i/>
          <w:iCs/>
          <w:sz w:val="28"/>
        </w:rPr>
        <w:t>Kris Gledhill</w:t>
      </w:r>
      <w:r w:rsidR="00A916F3">
        <w:rPr>
          <w:rStyle w:val="FootnoteReference"/>
          <w:i/>
          <w:iCs/>
          <w:sz w:val="28"/>
        </w:rPr>
        <w:footnoteReference w:id="1"/>
      </w:r>
    </w:p>
    <w:p w:rsidR="00261FD0" w:rsidRDefault="00261FD0" w:rsidP="00261FD0">
      <w:pPr>
        <w:rPr>
          <w:b/>
          <w:bCs/>
        </w:rPr>
      </w:pPr>
    </w:p>
    <w:p w:rsidR="00261FD0" w:rsidRPr="00261FD0" w:rsidRDefault="00261FD0" w:rsidP="00261FD0">
      <w:pPr>
        <w:rPr>
          <w:b/>
          <w:bCs/>
        </w:rPr>
      </w:pPr>
      <w:r w:rsidRPr="00261FD0">
        <w:rPr>
          <w:b/>
          <w:bCs/>
        </w:rPr>
        <w:t>R (MH) v (1) Secretary of State for Health (2) Mental Health Review Tribunal</w:t>
      </w:r>
      <w:r>
        <w:rPr>
          <w:b/>
          <w:bCs/>
        </w:rPr>
        <w:br/>
      </w:r>
      <w:r w:rsidRPr="00261FD0">
        <w:rPr>
          <w:b/>
          <w:bCs/>
        </w:rPr>
        <w:t>House of Lords, 20 October 2005</w:t>
      </w:r>
      <w:r>
        <w:rPr>
          <w:b/>
          <w:bCs/>
        </w:rPr>
        <w:br/>
      </w:r>
      <w:r w:rsidRPr="00261FD0">
        <w:rPr>
          <w:b/>
          <w:bCs/>
        </w:rPr>
        <w:t>[2005] UKHL 60, [2005] Mental Health Law Reports 302</w:t>
      </w:r>
    </w:p>
    <w:p w:rsidR="00261FD0" w:rsidRDefault="00261FD0" w:rsidP="00261FD0"/>
    <w:p w:rsidR="00261FD0" w:rsidRPr="00261FD0" w:rsidRDefault="00261FD0" w:rsidP="00261FD0">
      <w:r w:rsidRPr="00261FD0">
        <w:t>The House of Lords’ interest in the impact of the Human Rights Act 1998 on mental health</w:t>
      </w:r>
      <w:r>
        <w:t xml:space="preserve"> </w:t>
      </w:r>
      <w:r w:rsidRPr="00261FD0">
        <w:t>matters, evidenced by the number of cases it has heard</w:t>
      </w:r>
      <w:r w:rsidR="00A916F3">
        <w:rPr>
          <w:rStyle w:val="FootnoteReference"/>
        </w:rPr>
        <w:footnoteReference w:id="2"/>
      </w:r>
      <w:r w:rsidRPr="00261FD0">
        <w:t xml:space="preserve">, has continued with the case of </w:t>
      </w:r>
      <w:r w:rsidRPr="00261FD0">
        <w:rPr>
          <w:i/>
          <w:iCs/>
        </w:rPr>
        <w:t>MH</w:t>
      </w:r>
      <w:r w:rsidRPr="00261FD0">
        <w:t>. The</w:t>
      </w:r>
      <w:r>
        <w:t xml:space="preserve"> </w:t>
      </w:r>
      <w:r w:rsidRPr="00261FD0">
        <w:t>two central issues arising were:</w:t>
      </w:r>
    </w:p>
    <w:p w:rsidR="00261FD0" w:rsidRPr="00261FD0" w:rsidRDefault="00261FD0" w:rsidP="00261FD0">
      <w:r w:rsidRPr="00261FD0">
        <w:t>1. Whether automatic reviews of the lawfulness of detention by a court (in practice the Mental</w:t>
      </w:r>
      <w:r>
        <w:t xml:space="preserve"> </w:t>
      </w:r>
      <w:r w:rsidRPr="00261FD0">
        <w:t>Health Review Tribunal) are required in relation to s2 detentions where the patient lacks capacity</w:t>
      </w:r>
      <w:r>
        <w:t xml:space="preserve"> </w:t>
      </w:r>
      <w:r w:rsidRPr="00261FD0">
        <w:t>to apply for a Tribunal.</w:t>
      </w:r>
    </w:p>
    <w:p w:rsidR="00261FD0" w:rsidRPr="00261FD0" w:rsidRDefault="00261FD0" w:rsidP="00261FD0">
      <w:r w:rsidRPr="00261FD0">
        <w:t>2. Whether a review is required pending the outcome of an application to displace a nearest</w:t>
      </w:r>
      <w:r>
        <w:t xml:space="preserve"> </w:t>
      </w:r>
      <w:r w:rsidRPr="00261FD0">
        <w:t>relative (which extends the period of the s2 detention).</w:t>
      </w:r>
    </w:p>
    <w:p w:rsidR="00261FD0" w:rsidRPr="00261FD0" w:rsidRDefault="00261FD0" w:rsidP="00261FD0">
      <w:r w:rsidRPr="00261FD0">
        <w:t>The House, in a judgment given by Baroness Hale, held that the statutory scheme was compatible</w:t>
      </w:r>
      <w:r>
        <w:t xml:space="preserve"> </w:t>
      </w:r>
      <w:r w:rsidRPr="00261FD0">
        <w:t>with the requirements of the Convention, and in so doing overturned two declarations of</w:t>
      </w:r>
      <w:r>
        <w:t xml:space="preserve"> </w:t>
      </w:r>
      <w:r w:rsidRPr="00261FD0">
        <w:t>incompatibility granted by the Court of Appeal, and restored the first instance decision of Silber J.</w:t>
      </w:r>
    </w:p>
    <w:p w:rsidR="00261FD0" w:rsidRDefault="00261FD0" w:rsidP="00261FD0">
      <w:pPr>
        <w:rPr>
          <w:b/>
          <w:bCs/>
        </w:rPr>
      </w:pPr>
    </w:p>
    <w:p w:rsidR="00261FD0" w:rsidRPr="00FB072E" w:rsidRDefault="00261FD0" w:rsidP="00261FD0">
      <w:pPr>
        <w:rPr>
          <w:b/>
          <w:bCs/>
          <w:sz w:val="24"/>
        </w:rPr>
      </w:pPr>
      <w:r w:rsidRPr="00FB072E">
        <w:rPr>
          <w:b/>
          <w:bCs/>
          <w:sz w:val="24"/>
        </w:rPr>
        <w:t>Facts</w:t>
      </w:r>
    </w:p>
    <w:p w:rsidR="007048F6" w:rsidRPr="007048F6" w:rsidRDefault="00261FD0" w:rsidP="007048F6">
      <w:r w:rsidRPr="00261FD0">
        <w:t>MH, an adult with severe learning disabilities, had lived with her mother, who, it was said, refused</w:t>
      </w:r>
      <w:r w:rsidR="00A916F3">
        <w:t xml:space="preserve"> </w:t>
      </w:r>
      <w:r w:rsidRPr="00261FD0">
        <w:t>assistance from the authorities which might have been to MH’s benefit. On 31 January 2003,</w:t>
      </w:r>
      <w:r w:rsidR="00A916F3">
        <w:t xml:space="preserve"> </w:t>
      </w:r>
      <w:r w:rsidRPr="00261FD0">
        <w:t>following concerns about MH’s behaviour, which was said to be escalating, and her mother’s</w:t>
      </w:r>
      <w:r w:rsidR="007048F6">
        <w:t xml:space="preserve"> </w:t>
      </w:r>
      <w:r w:rsidR="007048F6" w:rsidRPr="007048F6">
        <w:t>ill-health and ability to cope, police and a social worker employed by Telford and Wrekin BC</w:t>
      </w:r>
      <w:r w:rsidR="000C6466">
        <w:t xml:space="preserve"> </w:t>
      </w:r>
      <w:r w:rsidR="007048F6" w:rsidRPr="007048F6">
        <w:t xml:space="preserve">executed a warrant granted by the Magistrates Court under </w:t>
      </w:r>
      <w:proofErr w:type="gramStart"/>
      <w:r w:rsidR="007048F6" w:rsidRPr="007048F6">
        <w:t>s135(</w:t>
      </w:r>
      <w:proofErr w:type="gramEnd"/>
      <w:r w:rsidR="007048F6" w:rsidRPr="007048F6">
        <w:t xml:space="preserve">1) </w:t>
      </w:r>
      <w:r w:rsidR="007048F6" w:rsidRPr="007048F6">
        <w:rPr>
          <w:i/>
          <w:iCs/>
        </w:rPr>
        <w:t xml:space="preserve">Mental Health Act 1983 </w:t>
      </w:r>
      <w:r w:rsidR="007048F6" w:rsidRPr="007048F6">
        <w:t>after</w:t>
      </w:r>
      <w:r w:rsidR="000C6466">
        <w:t xml:space="preserve"> </w:t>
      </w:r>
      <w:r w:rsidR="007048F6" w:rsidRPr="007048F6">
        <w:t>the mother refused to allow a mental health assessment to be carried out. MH was admitted to</w:t>
      </w:r>
      <w:r w:rsidR="000C6466">
        <w:t xml:space="preserve"> </w:t>
      </w:r>
      <w:r w:rsidR="007048F6" w:rsidRPr="007048F6">
        <w:t xml:space="preserve">hospital for </w:t>
      </w:r>
      <w:r w:rsidR="007048F6" w:rsidRPr="007048F6">
        <w:lastRenderedPageBreak/>
        <w:t>assessment under s2 of the 1983 Act, and a plan was formulated to place her under</w:t>
      </w:r>
      <w:r w:rsidR="000C6466">
        <w:t xml:space="preserve"> </w:t>
      </w:r>
      <w:r w:rsidR="007048F6" w:rsidRPr="007048F6">
        <w:t>guardianship under s7 of the Act and admit her to a suitable residential setting. Guardianship can</w:t>
      </w:r>
      <w:r w:rsidR="000C6466">
        <w:t xml:space="preserve"> </w:t>
      </w:r>
      <w:r w:rsidR="007048F6" w:rsidRPr="007048F6">
        <w:t>proceed only if the nearest relative does not object</w:t>
      </w:r>
      <w:r w:rsidR="00B94AAB">
        <w:rPr>
          <w:rStyle w:val="FootnoteReference"/>
        </w:rPr>
        <w:footnoteReference w:id="3"/>
      </w:r>
      <w:r w:rsidR="007048F6" w:rsidRPr="007048F6">
        <w:t>: as MH’s mother did object, an application</w:t>
      </w:r>
      <w:r w:rsidR="00FB072E">
        <w:t xml:space="preserve"> </w:t>
      </w:r>
      <w:r w:rsidR="007048F6" w:rsidRPr="007048F6">
        <w:t>was made to the County Court on 27 February 2003 pursuant to s29 of the Act for her</w:t>
      </w:r>
      <w:r w:rsidR="00FB072E">
        <w:t xml:space="preserve"> </w:t>
      </w:r>
      <w:r w:rsidR="007048F6" w:rsidRPr="007048F6">
        <w:t>displacement as nearest relative on the ground that her stance was unreasonable. The effect of the</w:t>
      </w:r>
      <w:r w:rsidR="00FB072E">
        <w:t xml:space="preserve"> </w:t>
      </w:r>
      <w:r w:rsidR="007048F6" w:rsidRPr="007048F6">
        <w:t>making of the application was that MH’s detention under s2 was extended until the displacement</w:t>
      </w:r>
      <w:r w:rsidR="00FB072E">
        <w:t xml:space="preserve"> </w:t>
      </w:r>
      <w:r w:rsidR="007048F6" w:rsidRPr="007048F6">
        <w:t>proceedings, including any appeal, were completed</w:t>
      </w:r>
      <w:r w:rsidR="00B94AAB">
        <w:rPr>
          <w:rStyle w:val="FootnoteReference"/>
        </w:rPr>
        <w:footnoteReference w:id="4"/>
      </w:r>
      <w:r w:rsidR="007048F6" w:rsidRPr="007048F6">
        <w:t>.</w:t>
      </w:r>
    </w:p>
    <w:p w:rsidR="007048F6" w:rsidRPr="007048F6" w:rsidRDefault="007048F6" w:rsidP="007048F6">
      <w:r w:rsidRPr="007048F6">
        <w:t>A patient detained under s2 may apply to a Mental Health Review Tribunal</w:t>
      </w:r>
      <w:r w:rsidR="00B94AAB">
        <w:rPr>
          <w:rStyle w:val="FootnoteReference"/>
        </w:rPr>
        <w:footnoteReference w:id="5"/>
      </w:r>
      <w:r w:rsidRPr="007048F6">
        <w:t>, which may order</w:t>
      </w:r>
      <w:r w:rsidR="00FB072E">
        <w:t xml:space="preserve"> </w:t>
      </w:r>
      <w:r w:rsidRPr="007048F6">
        <w:t>release; however, the application has to be made within 14 days of the section being put in place</w:t>
      </w:r>
      <w:r w:rsidR="00B94AAB">
        <w:rPr>
          <w:rStyle w:val="FootnoteReference"/>
        </w:rPr>
        <w:footnoteReference w:id="6"/>
      </w:r>
      <w:r w:rsidRPr="007048F6">
        <w:t>.</w:t>
      </w:r>
      <w:r w:rsidR="00FB072E">
        <w:t xml:space="preserve"> </w:t>
      </w:r>
      <w:r w:rsidRPr="007048F6">
        <w:t>Rule 3(1) of the Mental Health Review Tribunal Rules 1983 states that “An application shall be</w:t>
      </w:r>
      <w:r w:rsidR="00FB072E">
        <w:t xml:space="preserve"> </w:t>
      </w:r>
      <w:r w:rsidRPr="007048F6">
        <w:t>made to the tribunal in writing, signed by the applicant or any person authorised by him to do so</w:t>
      </w:r>
      <w:r w:rsidR="00FB072E">
        <w:t xml:space="preserve"> </w:t>
      </w:r>
      <w:r w:rsidRPr="007048F6">
        <w:t>on his behalf.” MH made no application: it seems to have been felt that she did not have the</w:t>
      </w:r>
      <w:r w:rsidR="00FB072E">
        <w:t xml:space="preserve"> </w:t>
      </w:r>
      <w:r w:rsidRPr="007048F6">
        <w:t>capacity to make an application or to instruct solicitors. However, solicitors acting on her behalf</w:t>
      </w:r>
      <w:r w:rsidR="00FB072E">
        <w:t xml:space="preserve"> </w:t>
      </w:r>
      <w:r w:rsidRPr="007048F6">
        <w:t>subsequently did ask that the Secretary of State for Health use her powers under s67 of the 1983</w:t>
      </w:r>
      <w:r w:rsidR="00FB072E">
        <w:t xml:space="preserve"> </w:t>
      </w:r>
      <w:r w:rsidRPr="007048F6">
        <w:t>Act to refer the case to the Tribunal, which was done. On 26 March 2003, a Tribunal upheld MH’s</w:t>
      </w:r>
      <w:r w:rsidR="00FB072E">
        <w:t xml:space="preserve"> </w:t>
      </w:r>
      <w:r w:rsidRPr="007048F6">
        <w:t>detention. There had also been an attempt by MH’s mother to use her powers of discharge under</w:t>
      </w:r>
      <w:r w:rsidR="00FB072E">
        <w:t xml:space="preserve"> </w:t>
      </w:r>
      <w:r w:rsidRPr="007048F6">
        <w:t>s23 of the Act, but this was barred by the Responsible Medical Officer under s25 of the Act, who</w:t>
      </w:r>
      <w:r w:rsidR="00FB072E">
        <w:t xml:space="preserve"> </w:t>
      </w:r>
      <w:r w:rsidRPr="007048F6">
        <w:t>certified that MH would be likely to act in a manner dangerous to herself or others if discharged,</w:t>
      </w:r>
      <w:r w:rsidR="00FB072E">
        <w:t xml:space="preserve"> </w:t>
      </w:r>
      <w:r w:rsidRPr="007048F6">
        <w:t>reflecting the statutory test which prevents a discharge by the nearest relative taking effect.</w:t>
      </w:r>
    </w:p>
    <w:p w:rsidR="007048F6" w:rsidRPr="007048F6" w:rsidRDefault="007048F6" w:rsidP="007048F6">
      <w:r w:rsidRPr="007048F6">
        <w:t>In the displacement proceedings, an interim displacement order was made on 1 August 2003,</w:t>
      </w:r>
      <w:r w:rsidR="00FB072E">
        <w:t xml:space="preserve"> </w:t>
      </w:r>
      <w:r w:rsidRPr="007048F6">
        <w:t>following which MH was admitted into guardianship; she had already been placed in</w:t>
      </w:r>
      <w:r w:rsidR="00FB072E">
        <w:t xml:space="preserve"> </w:t>
      </w:r>
      <w:r w:rsidRPr="007048F6">
        <w:t>accommodation on 21 July 2003, as a matter of leave under s17 of the Act. The final displacement</w:t>
      </w:r>
      <w:r w:rsidR="00FB072E">
        <w:t xml:space="preserve"> </w:t>
      </w:r>
      <w:r w:rsidRPr="007048F6">
        <w:t>order was made in July 2004, but an appeal from that was not completed until May 2005</w:t>
      </w:r>
      <w:r w:rsidR="00B94AAB">
        <w:rPr>
          <w:rStyle w:val="FootnoteReference"/>
        </w:rPr>
        <w:footnoteReference w:id="7"/>
      </w:r>
      <w:r w:rsidRPr="007048F6">
        <w:t>: had no</w:t>
      </w:r>
      <w:r w:rsidR="00FB072E">
        <w:t xml:space="preserve"> </w:t>
      </w:r>
      <w:r w:rsidRPr="007048F6">
        <w:t>interim displacement been made, the s2 detention could have remained in place until that time.</w:t>
      </w:r>
    </w:p>
    <w:p w:rsidR="00FB072E" w:rsidRDefault="00FB072E" w:rsidP="007048F6">
      <w:pPr>
        <w:rPr>
          <w:b/>
          <w:bCs/>
        </w:rPr>
      </w:pPr>
    </w:p>
    <w:p w:rsidR="007048F6" w:rsidRPr="00FB072E" w:rsidRDefault="007048F6" w:rsidP="007048F6">
      <w:pPr>
        <w:rPr>
          <w:b/>
          <w:bCs/>
          <w:sz w:val="24"/>
        </w:rPr>
      </w:pPr>
      <w:r w:rsidRPr="00FB072E">
        <w:rPr>
          <w:b/>
          <w:bCs/>
          <w:sz w:val="24"/>
        </w:rPr>
        <w:t>The decision of Silber J – 22 January 2004, [2004] Mental Health Law Reports</w:t>
      </w:r>
      <w:r w:rsidR="00FB072E" w:rsidRPr="00FB072E">
        <w:rPr>
          <w:b/>
          <w:bCs/>
          <w:sz w:val="24"/>
        </w:rPr>
        <w:t xml:space="preserve"> </w:t>
      </w:r>
      <w:r w:rsidRPr="00FB072E">
        <w:rPr>
          <w:b/>
          <w:bCs/>
          <w:sz w:val="24"/>
        </w:rPr>
        <w:t>155</w:t>
      </w:r>
    </w:p>
    <w:p w:rsidR="007048F6" w:rsidRPr="007048F6" w:rsidRDefault="007048F6" w:rsidP="007048F6">
      <w:r w:rsidRPr="007048F6">
        <w:t>The first instance decision was given whilst the displacement proceedings were still at a relatively</w:t>
      </w:r>
      <w:r w:rsidR="00FB072E">
        <w:t xml:space="preserve"> </w:t>
      </w:r>
      <w:r w:rsidRPr="007048F6">
        <w:t>early stage. The judge split the case into a number of distinct issues, each of which he answered</w:t>
      </w:r>
      <w:r w:rsidR="00FB072E">
        <w:t xml:space="preserve"> </w:t>
      </w:r>
      <w:r w:rsidRPr="007048F6">
        <w:t>against the arguments for MH.</w:t>
      </w:r>
    </w:p>
    <w:p w:rsidR="0098307A" w:rsidRPr="0098307A" w:rsidRDefault="007048F6" w:rsidP="0098307A">
      <w:r w:rsidRPr="007048F6">
        <w:t xml:space="preserve">Firstly, was </w:t>
      </w:r>
      <w:proofErr w:type="gramStart"/>
      <w:r w:rsidRPr="007048F6">
        <w:t>s66(</w:t>
      </w:r>
      <w:proofErr w:type="gramEnd"/>
      <w:r w:rsidRPr="007048F6">
        <w:t>1) of the 1983 Act incompatible with Art 5(4) of the European Convention on</w:t>
      </w:r>
      <w:r w:rsidR="00FB072E">
        <w:t xml:space="preserve"> </w:t>
      </w:r>
      <w:r w:rsidRPr="007048F6">
        <w:t>Human Rights in relation to a s2 patient? This was a general challenge, which rested on the fact that</w:t>
      </w:r>
      <w:r w:rsidR="00FB072E">
        <w:t xml:space="preserve"> </w:t>
      </w:r>
      <w:r w:rsidRPr="007048F6">
        <w:t>the statutory right was limited, as it was a right given to the patient only (and so not exercisable by</w:t>
      </w:r>
      <w:r w:rsidR="00FB072E">
        <w:t xml:space="preserve"> </w:t>
      </w:r>
      <w:r w:rsidRPr="007048F6">
        <w:t>the nearest relative) and was limited to a right to make an application within 14 days. It was argued</w:t>
      </w:r>
      <w:r w:rsidR="00FB072E">
        <w:t xml:space="preserve"> </w:t>
      </w:r>
      <w:r w:rsidRPr="007048F6">
        <w:t>that this could not comply with Art 5(4), which gives a general right of application to a court. The</w:t>
      </w:r>
      <w:r w:rsidR="00FB072E">
        <w:t xml:space="preserve"> </w:t>
      </w:r>
      <w:r w:rsidRPr="007048F6">
        <w:t>solution for this defect, it was suggested, would be an automatic reference so that there would</w:t>
      </w:r>
      <w:r w:rsidR="0098307A">
        <w:t xml:space="preserve"> </w:t>
      </w:r>
      <w:r w:rsidR="0098307A" w:rsidRPr="0098307A">
        <w:t>always be a review of the lawfulness of detention by a competent court. Silber J dismissed this</w:t>
      </w:r>
      <w:r w:rsidR="0098307A">
        <w:t xml:space="preserve"> </w:t>
      </w:r>
      <w:r w:rsidR="0098307A" w:rsidRPr="0098307A">
        <w:t>argument, resting on the fact that the right in Art 5(4) is in terms a right to “take proceedings” to</w:t>
      </w:r>
      <w:r w:rsidR="0098307A">
        <w:t xml:space="preserve"> </w:t>
      </w:r>
      <w:r w:rsidR="0098307A" w:rsidRPr="0098307A">
        <w:t xml:space="preserve">determine the </w:t>
      </w:r>
      <w:r w:rsidR="0098307A" w:rsidRPr="0098307A">
        <w:lastRenderedPageBreak/>
        <w:t>lawfulness of detention, which does not encompass the need for an automatic</w:t>
      </w:r>
      <w:r w:rsidR="0098307A">
        <w:t xml:space="preserve"> </w:t>
      </w:r>
      <w:r w:rsidR="0098307A" w:rsidRPr="0098307A">
        <w:t>review; this point was, he felt, fortified by the contrast with the language of Art 5(3), which requires</w:t>
      </w:r>
      <w:r w:rsidR="0098307A">
        <w:t xml:space="preserve"> </w:t>
      </w:r>
      <w:r w:rsidR="0098307A" w:rsidRPr="0098307A">
        <w:t>that those arrested in criminal proceedings have a right to be “brought promptly before” a judicial</w:t>
      </w:r>
      <w:r w:rsidR="0098307A">
        <w:t xml:space="preserve"> </w:t>
      </w:r>
      <w:r w:rsidR="0098307A" w:rsidRPr="0098307A">
        <w:t>official, which does not rest on an application being made. The judge also relied on the fact that</w:t>
      </w:r>
      <w:r w:rsidR="0098307A">
        <w:t xml:space="preserve"> </w:t>
      </w:r>
      <w:r w:rsidR="0098307A" w:rsidRPr="0098307A">
        <w:t>the s2 detention was usually of relatively short duration.</w:t>
      </w:r>
    </w:p>
    <w:p w:rsidR="0098307A" w:rsidRPr="0098307A" w:rsidRDefault="0098307A" w:rsidP="0098307A">
      <w:r w:rsidRPr="0098307A">
        <w:t>The second argument for MH was specific to her status as a patient felt to be without capacity to</w:t>
      </w:r>
      <w:r>
        <w:t xml:space="preserve"> </w:t>
      </w:r>
      <w:r w:rsidRPr="0098307A">
        <w:t>instruct lawyers or take proceedings: it was that those without capacity must be provided with an</w:t>
      </w:r>
      <w:r>
        <w:t xml:space="preserve"> </w:t>
      </w:r>
      <w:r w:rsidRPr="0098307A">
        <w:t xml:space="preserve">automatic review. Reliance was placed on </w:t>
      </w:r>
      <w:proofErr w:type="spellStart"/>
      <w:r w:rsidRPr="0098307A">
        <w:rPr>
          <w:i/>
          <w:iCs/>
        </w:rPr>
        <w:t>Megyeri</w:t>
      </w:r>
      <w:proofErr w:type="spellEnd"/>
      <w:r w:rsidRPr="0098307A">
        <w:rPr>
          <w:i/>
          <w:iCs/>
        </w:rPr>
        <w:t xml:space="preserve"> v Germany </w:t>
      </w:r>
      <w:r w:rsidRPr="0098307A">
        <w:t>(1992) 15 EHRR 584. In this case, a</w:t>
      </w:r>
      <w:r>
        <w:t xml:space="preserve"> </w:t>
      </w:r>
      <w:r w:rsidRPr="0098307A">
        <w:t>patient detained on grounds of mental disorder had not been represented by a lawyer in</w:t>
      </w:r>
      <w:r>
        <w:t xml:space="preserve"> </w:t>
      </w:r>
      <w:r w:rsidRPr="0098307A">
        <w:t>proceedings to review the lawfulness of his detention, in essence because he had not appointed</w:t>
      </w:r>
      <w:r>
        <w:t xml:space="preserve"> </w:t>
      </w:r>
      <w:r w:rsidRPr="0098307A">
        <w:t>one: the European Court of Human Rights found that there had been a breach of Art 5(4) because</w:t>
      </w:r>
      <w:r>
        <w:t xml:space="preserve"> </w:t>
      </w:r>
      <w:r w:rsidRPr="0098307A">
        <w:t>M had not been able to present his case, which had compromised the fairness of the proceedings,</w:t>
      </w:r>
      <w:r>
        <w:t xml:space="preserve"> </w:t>
      </w:r>
      <w:r w:rsidRPr="0098307A">
        <w:t>an essential component of judicial proceedings. The Court emphasised that special procedural</w:t>
      </w:r>
      <w:r>
        <w:t xml:space="preserve"> </w:t>
      </w:r>
      <w:r w:rsidRPr="0098307A">
        <w:t>safeguards may be called for to protect those not fully capable of acting for themselves on account</w:t>
      </w:r>
      <w:r>
        <w:t xml:space="preserve"> </w:t>
      </w:r>
      <w:r w:rsidRPr="0098307A">
        <w:t>of their mental disorder, and on the facts that meant that M should not have been required to take</w:t>
      </w:r>
      <w:r>
        <w:t xml:space="preserve"> </w:t>
      </w:r>
      <w:r w:rsidRPr="0098307A">
        <w:t>the initiative in obtaining legal representation. Applying that principle, the argument for MH was</w:t>
      </w:r>
      <w:r>
        <w:t xml:space="preserve"> </w:t>
      </w:r>
      <w:r w:rsidRPr="0098307A">
        <w:t>that the special procedural safeguard required was an automatic review.</w:t>
      </w:r>
    </w:p>
    <w:p w:rsidR="0098307A" w:rsidRPr="0098307A" w:rsidRDefault="0098307A" w:rsidP="0098307A">
      <w:r w:rsidRPr="0098307A">
        <w:t>Silber J did not accept this: his first reason was a repetition of the conclusion that Art 5(4) did not</w:t>
      </w:r>
      <w:r>
        <w:t xml:space="preserve"> </w:t>
      </w:r>
      <w:r w:rsidRPr="0098307A">
        <w:t>use the language of review, but provided a right to take proceedings; his second reason was that any</w:t>
      </w:r>
      <w:r>
        <w:t xml:space="preserve"> </w:t>
      </w:r>
      <w:r w:rsidRPr="0098307A">
        <w:t>need for special procedural safeguards had to depend on the context, which was a short period of</w:t>
      </w:r>
      <w:r>
        <w:t xml:space="preserve"> </w:t>
      </w:r>
      <w:r w:rsidRPr="0098307A">
        <w:t>detention and so not one requiring an automatic review.</w:t>
      </w:r>
    </w:p>
    <w:p w:rsidR="0098307A" w:rsidRPr="0098307A" w:rsidRDefault="0098307A" w:rsidP="0098307A">
      <w:r w:rsidRPr="0098307A">
        <w:t>The next argument for MH related to the fact that there had been an extension of the s2 detention</w:t>
      </w:r>
      <w:r>
        <w:t xml:space="preserve"> </w:t>
      </w:r>
      <w:r w:rsidRPr="0098307A">
        <w:t>by virtue of the application to displace the nearest relative: in such a case, there is no statutory</w:t>
      </w:r>
      <w:r>
        <w:t xml:space="preserve"> </w:t>
      </w:r>
      <w:r w:rsidRPr="0098307A">
        <w:t>provision allowing the patient to make an application to a Tribunal to consider whether detention</w:t>
      </w:r>
      <w:r>
        <w:t xml:space="preserve"> </w:t>
      </w:r>
      <w:r w:rsidRPr="0098307A">
        <w:t>remains justified. However, Silber J felt that the answer to this problem was that the County Court</w:t>
      </w:r>
      <w:r>
        <w:t xml:space="preserve"> </w:t>
      </w:r>
      <w:r w:rsidRPr="0098307A">
        <w:t>involved in the displacement proceedings was bound to exercise its role in accordance with Art 5</w:t>
      </w:r>
      <w:r>
        <w:t xml:space="preserve"> </w:t>
      </w:r>
      <w:r w:rsidRPr="0098307A">
        <w:t>and so not allow any excessive delay. As such, there was no defect in the statutory scheme of the</w:t>
      </w:r>
      <w:r>
        <w:t xml:space="preserve"> </w:t>
      </w:r>
      <w:r w:rsidRPr="0098307A">
        <w:t>1983 Act.</w:t>
      </w:r>
    </w:p>
    <w:p w:rsidR="0098307A" w:rsidRPr="0098307A" w:rsidRDefault="0098307A" w:rsidP="0098307A">
      <w:r w:rsidRPr="0098307A">
        <w:t>The fourth argument developed from the third by noting that the aim of the displacement</w:t>
      </w:r>
      <w:r>
        <w:t xml:space="preserve"> </w:t>
      </w:r>
      <w:r w:rsidRPr="0098307A">
        <w:t>proceedings on the facts was not to secure MH’s further detention under s3 of the Act (detention</w:t>
      </w:r>
      <w:r>
        <w:t xml:space="preserve"> </w:t>
      </w:r>
      <w:r w:rsidRPr="0098307A">
        <w:t>for treatment) but to allow her to be transferred into guardianship: in this context, it was argued</w:t>
      </w:r>
      <w:r>
        <w:t xml:space="preserve"> </w:t>
      </w:r>
      <w:r w:rsidRPr="0098307A">
        <w:t>that the criteria for detention could not be made out and so any detention breached Art 5 of the</w:t>
      </w:r>
      <w:r>
        <w:t xml:space="preserve"> </w:t>
      </w:r>
      <w:r w:rsidRPr="0098307A">
        <w:t>Convention. Silber J rejected this argument on the basis that the criteria for detention were indeed</w:t>
      </w:r>
      <w:r>
        <w:t xml:space="preserve"> </w:t>
      </w:r>
      <w:r w:rsidRPr="0098307A">
        <w:t>made out (in light of the fact that a barring order had been issued to prevent MH’s release) and the</w:t>
      </w:r>
      <w:r>
        <w:t xml:space="preserve"> </w:t>
      </w:r>
      <w:r w:rsidRPr="0098307A">
        <w:t>use of guardianship was akin to setting up a regime for release into the community which was</w:t>
      </w:r>
      <w:r>
        <w:t xml:space="preserve"> </w:t>
      </w:r>
      <w:r w:rsidRPr="0098307A">
        <w:t>permissible under Art 5 as long as it was not unreasonably delayed. The mechanism to ensure that</w:t>
      </w:r>
      <w:r>
        <w:t xml:space="preserve"> </w:t>
      </w:r>
      <w:r w:rsidRPr="0098307A">
        <w:t>there was no unreasonable delay was the duty of the County Court to act expeditiously, thereby</w:t>
      </w:r>
      <w:r>
        <w:t xml:space="preserve"> </w:t>
      </w:r>
      <w:r w:rsidRPr="0098307A">
        <w:t>ensuring either that the guardianship was put in place or the patient released.</w:t>
      </w:r>
    </w:p>
    <w:p w:rsidR="0098307A" w:rsidRDefault="0098307A" w:rsidP="0098307A">
      <w:r w:rsidRPr="0098307A">
        <w:t>All these arguments were revisited on appeal. There was one other challenge which was not</w:t>
      </w:r>
      <w:r>
        <w:t xml:space="preserve"> </w:t>
      </w:r>
      <w:r w:rsidRPr="0098307A">
        <w:t>pursued on appeal, which related to the Tribunal’s refusal to consider the s25 dangerousness</w:t>
      </w:r>
      <w:r>
        <w:t xml:space="preserve"> </w:t>
      </w:r>
      <w:r w:rsidRPr="0098307A">
        <w:t xml:space="preserve">criteria on an application in relation to </w:t>
      </w:r>
      <w:proofErr w:type="gramStart"/>
      <w:r w:rsidRPr="0098307A">
        <w:t>a</w:t>
      </w:r>
      <w:proofErr w:type="gramEnd"/>
      <w:r w:rsidRPr="0098307A">
        <w:t xml:space="preserve"> s2 patient. Silber J held that an analysis of s72 of the Act,</w:t>
      </w:r>
      <w:r>
        <w:t xml:space="preserve"> </w:t>
      </w:r>
      <w:r w:rsidRPr="0098307A">
        <w:t xml:space="preserve">which governs </w:t>
      </w:r>
      <w:r w:rsidRPr="0098307A">
        <w:lastRenderedPageBreak/>
        <w:t>the powers of the Tribunal, indicated that it was not bound to consider those</w:t>
      </w:r>
      <w:r>
        <w:t xml:space="preserve"> </w:t>
      </w:r>
      <w:r w:rsidRPr="0098307A">
        <w:t xml:space="preserve">criteria in relation to </w:t>
      </w:r>
      <w:proofErr w:type="gramStart"/>
      <w:r w:rsidRPr="0098307A">
        <w:t>a</w:t>
      </w:r>
      <w:proofErr w:type="gramEnd"/>
      <w:r w:rsidRPr="0098307A">
        <w:t xml:space="preserve"> s2 patient, although it could do so in its discretion.</w:t>
      </w:r>
    </w:p>
    <w:p w:rsidR="0098307A" w:rsidRPr="0098307A" w:rsidRDefault="0098307A" w:rsidP="0098307A"/>
    <w:p w:rsidR="0098307A" w:rsidRPr="0098307A" w:rsidRDefault="0098307A" w:rsidP="0098307A">
      <w:pPr>
        <w:rPr>
          <w:b/>
          <w:bCs/>
          <w:sz w:val="24"/>
        </w:rPr>
      </w:pPr>
      <w:r w:rsidRPr="0098307A">
        <w:rPr>
          <w:b/>
          <w:bCs/>
          <w:sz w:val="24"/>
        </w:rPr>
        <w:t>The decision of the Court of Appeal – 3 December 2004, [2004] Mental Health Law Reports 345</w:t>
      </w:r>
    </w:p>
    <w:p w:rsidR="0098307A" w:rsidRPr="0098307A" w:rsidRDefault="0098307A" w:rsidP="0098307A">
      <w:r w:rsidRPr="0098307A">
        <w:t>The Court of Appeal reached a radically different conclusion to Silber J in relation to the</w:t>
      </w:r>
      <w:r>
        <w:t xml:space="preserve"> </w:t>
      </w:r>
      <w:r w:rsidRPr="0098307A">
        <w:t>arguments as to compatibility, and granted two declarations of incompatibility under s4 of the</w:t>
      </w:r>
      <w:r>
        <w:t xml:space="preserve"> </w:t>
      </w:r>
      <w:r w:rsidRPr="0098307A">
        <w:t>Human Rights Act. By that time, the displacement order had been granted, although the appeal</w:t>
      </w:r>
      <w:r>
        <w:t xml:space="preserve"> </w:t>
      </w:r>
      <w:r w:rsidRPr="0098307A">
        <w:t>from that was pending.</w:t>
      </w:r>
    </w:p>
    <w:p w:rsidR="0098307A" w:rsidRPr="0098307A" w:rsidRDefault="0098307A" w:rsidP="0098307A">
      <w:r w:rsidRPr="0098307A">
        <w:t>Buxton LJ gave the first judgment. He dealt with two broad issues, which were the position of a</w:t>
      </w:r>
      <w:r>
        <w:t xml:space="preserve"> </w:t>
      </w:r>
      <w:r w:rsidRPr="0098307A">
        <w:t>patient without capacity detained under s2 and the position of a patient (whether with or without</w:t>
      </w:r>
      <w:r>
        <w:t xml:space="preserve"> </w:t>
      </w:r>
      <w:r w:rsidRPr="0098307A">
        <w:t xml:space="preserve">capacity) detained by virtue of the extension of </w:t>
      </w:r>
      <w:proofErr w:type="gramStart"/>
      <w:r w:rsidRPr="0098307A">
        <w:t>a</w:t>
      </w:r>
      <w:proofErr w:type="gramEnd"/>
      <w:r w:rsidRPr="0098307A">
        <w:t xml:space="preserve"> s2 order on account of the commencement of</w:t>
      </w:r>
      <w:r>
        <w:t xml:space="preserve"> </w:t>
      </w:r>
      <w:r w:rsidRPr="0098307A">
        <w:t>displacement proceedings. In relation to the first issue, he noted that the conclusion reached by</w:t>
      </w:r>
      <w:r>
        <w:t xml:space="preserve"> </w:t>
      </w:r>
      <w:r w:rsidRPr="0098307A">
        <w:t>Silber J resulted in an imbalance between those who were able to apply for a tribunal hearing and</w:t>
      </w:r>
      <w:r>
        <w:t xml:space="preserve"> </w:t>
      </w:r>
      <w:r w:rsidRPr="0098307A">
        <w:t>those who were not. He then posed the question whether it could have been the intention of those</w:t>
      </w:r>
      <w:r>
        <w:t xml:space="preserve"> </w:t>
      </w:r>
      <w:r w:rsidRPr="0098307A">
        <w:t>who framed the language of the Convention to produce this imbalance: this he answered by</w:t>
      </w:r>
      <w:r>
        <w:t xml:space="preserve"> </w:t>
      </w:r>
      <w:r w:rsidRPr="0098307A">
        <w:t>concluding that clearly it could not have been their intention. When this was analysed in terms of</w:t>
      </w:r>
      <w:r>
        <w:t xml:space="preserve"> </w:t>
      </w:r>
      <w:r w:rsidRPr="0098307A">
        <w:t>the language of the Convention, on which Silber J had relied, the reference in Art 5(4) to the right</w:t>
      </w:r>
      <w:r>
        <w:t xml:space="preserve"> </w:t>
      </w:r>
      <w:r w:rsidRPr="0098307A">
        <w:t>to “take proceedings” could not be construed as being intended to exclude from the protection of</w:t>
      </w:r>
      <w:r>
        <w:t xml:space="preserve"> </w:t>
      </w:r>
      <w:r w:rsidRPr="0098307A">
        <w:t>Art 5 a person who was unable to take proceedings because of their lack of capacity. This was so</w:t>
      </w:r>
      <w:r>
        <w:t xml:space="preserve"> </w:t>
      </w:r>
      <w:r w:rsidRPr="0098307A">
        <w:t>even though, as Silber J had noted, Art 5(3) used the language of being brought before a judge:</w:t>
      </w:r>
      <w:r>
        <w:t xml:space="preserve"> </w:t>
      </w:r>
      <w:r w:rsidRPr="0098307A">
        <w:t>Buxton LJ made the point that just because a criminal detainee must have their case considered by</w:t>
      </w:r>
      <w:r>
        <w:t xml:space="preserve"> </w:t>
      </w:r>
      <w:r w:rsidRPr="0098307A">
        <w:t>a judge, that does not mean that the state is not required to assist a detainee under other heads who</w:t>
      </w:r>
      <w:r>
        <w:t xml:space="preserve"> </w:t>
      </w:r>
      <w:r w:rsidRPr="0098307A">
        <w:t>was unable to assert the right to take proceedings. He made the point that the language of the</w:t>
      </w:r>
      <w:r>
        <w:t xml:space="preserve"> </w:t>
      </w:r>
      <w:r w:rsidRPr="0098307A">
        <w:t>Convention is not to be construed in an overly legalistic fashion: it is designed to set out guiding</w:t>
      </w:r>
      <w:r>
        <w:t xml:space="preserve"> </w:t>
      </w:r>
      <w:r w:rsidRPr="0098307A">
        <w:t>principles only, which then have to be applied to the facts of the particular case.</w:t>
      </w:r>
    </w:p>
    <w:p w:rsidR="0098307A" w:rsidRPr="0098307A" w:rsidRDefault="0098307A" w:rsidP="0098307A">
      <w:r w:rsidRPr="0098307A">
        <w:t>Two points made by way of preamble supported the conclusion that there were problems in the</w:t>
      </w:r>
      <w:r>
        <w:t xml:space="preserve"> </w:t>
      </w:r>
      <w:r w:rsidRPr="0098307A">
        <w:t>statutory scheme. The first was that the short period of detention under s2 – which Silber J felt</w:t>
      </w:r>
      <w:r>
        <w:t xml:space="preserve"> </w:t>
      </w:r>
      <w:r w:rsidRPr="0098307A">
        <w:t>justified the lack of a review for a patient without capacity – could not be relied on because it</w:t>
      </w:r>
      <w:r>
        <w:t xml:space="preserve"> </w:t>
      </w:r>
      <w:r w:rsidRPr="0098307A">
        <w:t>proved too much: if it was acceptable in such a case, it would also be acceptable for a patient with</w:t>
      </w:r>
      <w:r>
        <w:t xml:space="preserve"> </w:t>
      </w:r>
      <w:r w:rsidRPr="0098307A">
        <w:t>capacity; but in Convention terms, a period of 28 days without a review raised obvious concerns</w:t>
      </w:r>
      <w:r>
        <w:t xml:space="preserve"> </w:t>
      </w:r>
      <w:r w:rsidRPr="0098307A">
        <w:t>about compliance with Art 5(4). Secondly, Silber J’s reliance on the County Court was also</w:t>
      </w:r>
      <w:r>
        <w:t xml:space="preserve"> </w:t>
      </w:r>
      <w:r w:rsidRPr="0098307A">
        <w:t>misplaced because it was not reviewing the lawfulness of detention (and so was not sitting as a</w:t>
      </w:r>
      <w:r>
        <w:t xml:space="preserve"> </w:t>
      </w:r>
      <w:r w:rsidRPr="0098307A">
        <w:t>court carrying out an Art 5 task) and the patient had no standing in the proceedings (but could</w:t>
      </w:r>
      <w:r>
        <w:t xml:space="preserve"> </w:t>
      </w:r>
      <w:r w:rsidRPr="0098307A">
        <w:t>only be a witness)</w:t>
      </w:r>
      <w:r>
        <w:rPr>
          <w:rStyle w:val="FootnoteReference"/>
        </w:rPr>
        <w:footnoteReference w:id="8"/>
      </w:r>
      <w:r w:rsidRPr="0098307A">
        <w:t>.</w:t>
      </w:r>
    </w:p>
    <w:p w:rsidR="00ED6A77" w:rsidRPr="00ED6A77" w:rsidRDefault="0098307A" w:rsidP="00ED6A77">
      <w:r w:rsidRPr="0098307A">
        <w:t>As to the solution to the problem identified with the statutory scheme, Buxton LJ noted that the</w:t>
      </w:r>
      <w:r>
        <w:t xml:space="preserve"> </w:t>
      </w:r>
      <w:r w:rsidRPr="0098307A">
        <w:t>unjustified differential treatment of s2 patients without capacity meant that a mechanism was</w:t>
      </w:r>
      <w:r>
        <w:t xml:space="preserve"> </w:t>
      </w:r>
      <w:r w:rsidRPr="0098307A">
        <w:t>required whereby those cases could be referred to a Tribunal. Such a power was missing from the</w:t>
      </w:r>
      <w:r>
        <w:t xml:space="preserve"> </w:t>
      </w:r>
      <w:r w:rsidRPr="0098307A">
        <w:lastRenderedPageBreak/>
        <w:t>Mental Health Act 1983; although there are wide powers of interpretation provided by s3 of the</w:t>
      </w:r>
      <w:r w:rsidR="00ED6A77">
        <w:t xml:space="preserve"> </w:t>
      </w:r>
      <w:r w:rsidR="00ED6A77" w:rsidRPr="00ED6A77">
        <w:t>1998 Act – which allow the courts to bend over backwards to secure a meaning compliant with the</w:t>
      </w:r>
      <w:r w:rsidR="00ED6A77">
        <w:t xml:space="preserve"> </w:t>
      </w:r>
      <w:r w:rsidR="00ED6A77" w:rsidRPr="00ED6A77">
        <w:t>Convention – these cannot be used to read into the statute a provision which is simply not there.</w:t>
      </w:r>
      <w:r w:rsidR="00ED6A77">
        <w:t xml:space="preserve"> </w:t>
      </w:r>
      <w:r w:rsidR="00ED6A77" w:rsidRPr="00ED6A77">
        <w:t>Accordingly, it was necessary to grant a declaration of incompatibility under s4 of the 1998 Act,</w:t>
      </w:r>
      <w:r w:rsidR="00ED6A77">
        <w:t xml:space="preserve"> </w:t>
      </w:r>
      <w:r w:rsidR="00ED6A77" w:rsidRPr="00ED6A77">
        <w:t>namely that the 1983 Act required an amendment to make it compatible with the Convention. The</w:t>
      </w:r>
      <w:r w:rsidR="00ED6A77">
        <w:t xml:space="preserve"> </w:t>
      </w:r>
      <w:r w:rsidR="00ED6A77" w:rsidRPr="00ED6A77">
        <w:t>other members of the Court of Appeal delivered concurring opinions.</w:t>
      </w:r>
    </w:p>
    <w:p w:rsidR="00ED6A77" w:rsidRDefault="00ED6A77" w:rsidP="00ED6A77">
      <w:r w:rsidRPr="00ED6A77">
        <w:t>Having dealt with the first issue, Buxton LJ turned to the second question raised, namely the</w:t>
      </w:r>
      <w:r>
        <w:t xml:space="preserve"> </w:t>
      </w:r>
      <w:r w:rsidRPr="00ED6A77">
        <w:t>continued detention of a patient under s2 by virtue of ongoing displacement proceedings. This was</w:t>
      </w:r>
      <w:r>
        <w:t xml:space="preserve"> </w:t>
      </w:r>
      <w:r w:rsidRPr="00ED6A77">
        <w:t>felt to be more straight-forward: as there was no judicial supervision of the lawfulness of detention</w:t>
      </w:r>
      <w:r>
        <w:t xml:space="preserve"> </w:t>
      </w:r>
      <w:r w:rsidRPr="00ED6A77">
        <w:t>during this period, there was a breach of Art 5(4). The proceedings in the County Court, on which</w:t>
      </w:r>
      <w:r>
        <w:t xml:space="preserve"> </w:t>
      </w:r>
      <w:r w:rsidRPr="00ED6A77">
        <w:t>Silber J had relied, were inadequate as displacement did not deal with the lawfulness of detention</w:t>
      </w:r>
      <w:r>
        <w:t xml:space="preserve"> </w:t>
      </w:r>
      <w:r w:rsidRPr="00ED6A77">
        <w:t>and the patient was not a party</w:t>
      </w:r>
      <w:r>
        <w:rPr>
          <w:rStyle w:val="FootnoteReference"/>
        </w:rPr>
        <w:footnoteReference w:id="9"/>
      </w:r>
      <w:r w:rsidRPr="00ED6A77">
        <w:t>. It was also held that the use of judicial review or habeas corpus</w:t>
      </w:r>
      <w:r>
        <w:t xml:space="preserve"> </w:t>
      </w:r>
      <w:r w:rsidRPr="00ED6A77">
        <w:t>would also be inadequate because they were not suited to consider the merits of the case for</w:t>
      </w:r>
      <w:r>
        <w:t xml:space="preserve"> </w:t>
      </w:r>
      <w:r w:rsidRPr="00ED6A77">
        <w:t>detention in the way that a Mental Health Review Tribunal could: review by the High Court of a</w:t>
      </w:r>
      <w:r>
        <w:t xml:space="preserve"> </w:t>
      </w:r>
      <w:r w:rsidRPr="00ED6A77">
        <w:t>decision to continue to detain a patient is not the same as the power of a specialist court to take a</w:t>
      </w:r>
      <w:r>
        <w:t xml:space="preserve"> </w:t>
      </w:r>
      <w:r w:rsidRPr="00ED6A77">
        <w:t>decision on the merits. As this also reflected a gap in the statutory regime, the remedy was a further</w:t>
      </w:r>
      <w:r>
        <w:t xml:space="preserve"> </w:t>
      </w:r>
      <w:r w:rsidRPr="00ED6A77">
        <w:t>declaration of incompatibility. The other members of the Court concurred with this.</w:t>
      </w:r>
    </w:p>
    <w:p w:rsidR="00ED6A77" w:rsidRPr="00ED6A77" w:rsidRDefault="00ED6A77" w:rsidP="00ED6A77"/>
    <w:p w:rsidR="00ED6A77" w:rsidRPr="00ED6A77" w:rsidRDefault="00ED6A77" w:rsidP="00ED6A77">
      <w:pPr>
        <w:rPr>
          <w:b/>
          <w:bCs/>
          <w:sz w:val="24"/>
        </w:rPr>
      </w:pPr>
      <w:r w:rsidRPr="00ED6A77">
        <w:rPr>
          <w:b/>
          <w:bCs/>
          <w:sz w:val="24"/>
        </w:rPr>
        <w:t>The use of s67</w:t>
      </w:r>
      <w:r>
        <w:rPr>
          <w:rStyle w:val="FootnoteReference"/>
          <w:b/>
          <w:bCs/>
          <w:sz w:val="24"/>
        </w:rPr>
        <w:footnoteReference w:id="10"/>
      </w:r>
      <w:r w:rsidRPr="00ED6A77">
        <w:rPr>
          <w:sz w:val="24"/>
        </w:rPr>
        <w:t xml:space="preserve"> </w:t>
      </w:r>
      <w:r w:rsidRPr="00ED6A77">
        <w:rPr>
          <w:b/>
          <w:bCs/>
          <w:sz w:val="24"/>
        </w:rPr>
        <w:t>of the 1983 Act</w:t>
      </w:r>
    </w:p>
    <w:p w:rsidR="00ED6A77" w:rsidRDefault="00ED6A77" w:rsidP="00ED6A77">
      <w:r w:rsidRPr="00ED6A77">
        <w:t>There was one matter on which Silber J and the Court of Appeal agreed, which was that the</w:t>
      </w:r>
      <w:r>
        <w:t xml:space="preserve"> </w:t>
      </w:r>
      <w:r w:rsidRPr="00ED6A77">
        <w:t>intervention by the Secretary of State to refer the case to a Tribunal was not a matter which could</w:t>
      </w:r>
      <w:r>
        <w:t xml:space="preserve"> </w:t>
      </w:r>
      <w:r w:rsidRPr="00ED6A77">
        <w:t>provide compliance with the Convention. This is because the principle enumerated in Convention</w:t>
      </w:r>
      <w:r>
        <w:t xml:space="preserve"> </w:t>
      </w:r>
      <w:r w:rsidRPr="00ED6A77">
        <w:t>case law, and adopted in jurisprudence under the Human Rights Act 1998, is that access to a</w:t>
      </w:r>
      <w:r>
        <w:t xml:space="preserve"> </w:t>
      </w:r>
      <w:r w:rsidRPr="00ED6A77">
        <w:t>judicial body which is controlled by the Executive is not adequate for the purposes of Art 5</w:t>
      </w:r>
      <w:r>
        <w:rPr>
          <w:rStyle w:val="FootnoteReference"/>
        </w:rPr>
        <w:footnoteReference w:id="11"/>
      </w:r>
      <w:r w:rsidRPr="00ED6A77">
        <w:t>.</w:t>
      </w:r>
    </w:p>
    <w:p w:rsidR="00ED6A77" w:rsidRPr="00ED6A77" w:rsidRDefault="00ED6A77" w:rsidP="00ED6A77"/>
    <w:p w:rsidR="00ED6A77" w:rsidRPr="00ED6A77" w:rsidRDefault="00ED6A77" w:rsidP="00ED6A77">
      <w:pPr>
        <w:rPr>
          <w:b/>
          <w:bCs/>
          <w:sz w:val="24"/>
        </w:rPr>
      </w:pPr>
      <w:r w:rsidRPr="00ED6A77">
        <w:rPr>
          <w:b/>
          <w:bCs/>
          <w:sz w:val="24"/>
        </w:rPr>
        <w:t>The decision of the House of Lords – 20 October 2005, [2005] Mental Health Law Reports 302</w:t>
      </w:r>
    </w:p>
    <w:p w:rsidR="00ED6A77" w:rsidRPr="00ED6A77" w:rsidRDefault="00ED6A77" w:rsidP="00ED6A77">
      <w:r w:rsidRPr="00ED6A77">
        <w:t>Baroness Hale (described by Buxton LJ in his judgment in the Court of Appeal as “a judge of</w:t>
      </w:r>
      <w:r>
        <w:t xml:space="preserve"> </w:t>
      </w:r>
      <w:r w:rsidRPr="00ED6A77">
        <w:t>unparalleled authority in the field of mental health law”</w:t>
      </w:r>
      <w:r>
        <w:rPr>
          <w:rStyle w:val="FootnoteReference"/>
        </w:rPr>
        <w:footnoteReference w:id="12"/>
      </w:r>
      <w:r w:rsidRPr="00ED6A77">
        <w:t>) disagreed with the Court of Appeal’s</w:t>
      </w:r>
      <w:r>
        <w:t xml:space="preserve"> </w:t>
      </w:r>
      <w:r w:rsidRPr="00ED6A77">
        <w:t>construction of the statutory scheme. She gave the only speech, the rest of their Lordships</w:t>
      </w:r>
      <w:r>
        <w:t xml:space="preserve"> </w:t>
      </w:r>
      <w:r w:rsidRPr="00ED6A77">
        <w:t>agreeing with her.</w:t>
      </w:r>
    </w:p>
    <w:p w:rsidR="004E6848" w:rsidRDefault="00ED6A77" w:rsidP="00ED6A77">
      <w:r w:rsidRPr="00ED6A77">
        <w:t>Dealing first with the question of whether Art 5(4) required an automatic review, Baroness Hale</w:t>
      </w:r>
      <w:r>
        <w:t xml:space="preserve"> </w:t>
      </w:r>
      <w:r w:rsidRPr="00ED6A77">
        <w:t>adopted the reasoning of Silber J: “The short answer,” she said at para 22, “is that Art 5(4) does</w:t>
      </w:r>
      <w:r>
        <w:t xml:space="preserve"> </w:t>
      </w:r>
      <w:r w:rsidRPr="00ED6A77">
        <w:t>not require that every case be considered by a court. It requires that the person detained should</w:t>
      </w:r>
      <w:r>
        <w:t xml:space="preserve"> </w:t>
      </w:r>
      <w:r w:rsidRPr="00ED6A77">
        <w:t xml:space="preserve">have </w:t>
      </w:r>
      <w:r w:rsidRPr="00ED6A77">
        <w:lastRenderedPageBreak/>
        <w:t>the right to ‘take proceedings’.” She then supported this, as had done the judge, by contrasting</w:t>
      </w:r>
      <w:r>
        <w:t xml:space="preserve"> </w:t>
      </w:r>
      <w:r w:rsidRPr="00ED6A77">
        <w:t>this with the language of Art 5(3) and commenting that “The difference between a right to “take</w:t>
      </w:r>
      <w:r>
        <w:t xml:space="preserve"> </w:t>
      </w:r>
      <w:r w:rsidRPr="00ED6A77">
        <w:t>proceedings” and a right to “be brought promptly before a [court]” must be deliberate.”</w:t>
      </w:r>
    </w:p>
    <w:p w:rsidR="0037081C" w:rsidRPr="0037081C" w:rsidRDefault="0037081C" w:rsidP="0037081C">
      <w:r w:rsidRPr="0037081C">
        <w:t>Dealing with the obvious riposte that a right to “take proceedings” has to be practical and</w:t>
      </w:r>
      <w:r>
        <w:t xml:space="preserve"> </w:t>
      </w:r>
      <w:r w:rsidRPr="0037081C">
        <w:t>effective</w:t>
      </w:r>
      <w:r w:rsidR="004366E6">
        <w:rPr>
          <w:rStyle w:val="FootnoteReference"/>
        </w:rPr>
        <w:footnoteReference w:id="13"/>
      </w:r>
      <w:r w:rsidRPr="0037081C">
        <w:t>, Her Ladyship conceded that this was a “powerful argument” but felt that it lead to the</w:t>
      </w:r>
      <w:r>
        <w:t xml:space="preserve"> </w:t>
      </w:r>
      <w:r w:rsidRPr="0037081C">
        <w:t>conclusion not that a reference to a Tribunal was required but that “every sensible effort should</w:t>
      </w:r>
      <w:r>
        <w:t xml:space="preserve"> </w:t>
      </w:r>
      <w:r w:rsidRPr="0037081C">
        <w:t>be made to enable the patient to exercise that right if there is reason to think that she would wish</w:t>
      </w:r>
      <w:r>
        <w:t xml:space="preserve"> </w:t>
      </w:r>
      <w:r w:rsidRPr="0037081C">
        <w:t>to do so”. And this is achieved by the statutory regime, since hospital managers are required to take</w:t>
      </w:r>
      <w:r>
        <w:t xml:space="preserve"> </w:t>
      </w:r>
      <w:r w:rsidRPr="0037081C">
        <w:t>such steps as are practicable to ensure the patient understands his or her right of access to a</w:t>
      </w:r>
      <w:r>
        <w:t xml:space="preserve"> </w:t>
      </w:r>
      <w:r w:rsidRPr="0037081C">
        <w:t>tribunal and how to apply, including giving advice on how to contact the Tribunal and solicitors</w:t>
      </w:r>
      <w:r w:rsidR="004366E6">
        <w:rPr>
          <w:rStyle w:val="FootnoteReference"/>
        </w:rPr>
        <w:footnoteReference w:id="14"/>
      </w:r>
      <w:r w:rsidRPr="0037081C">
        <w:t>,</w:t>
      </w:r>
      <w:r>
        <w:t xml:space="preserve"> </w:t>
      </w:r>
      <w:r w:rsidRPr="0037081C">
        <w:t>and the rules governing applications to tribunals are part of a user-friendly regime which allows an</w:t>
      </w:r>
      <w:r>
        <w:t xml:space="preserve"> </w:t>
      </w:r>
      <w:r w:rsidRPr="0037081C">
        <w:t>application to be made on behalf of the patient by anyone authorised to do so (relatives, social</w:t>
      </w:r>
      <w:r>
        <w:t xml:space="preserve"> </w:t>
      </w:r>
      <w:r w:rsidRPr="0037081C">
        <w:t>workers, nurses and advocates), subject only to the patient meeting the undemanding threshold of</w:t>
      </w:r>
      <w:r>
        <w:t xml:space="preserve"> </w:t>
      </w:r>
      <w:r w:rsidRPr="0037081C">
        <w:t>capacity to authorise that person to act. In addition, it was to be noted that although relatives</w:t>
      </w:r>
      <w:r>
        <w:t xml:space="preserve"> </w:t>
      </w:r>
      <w:r w:rsidRPr="0037081C">
        <w:t>(including the nearest relative) have no independent right of application to a tribunal, relatives and</w:t>
      </w:r>
      <w:r>
        <w:t xml:space="preserve"> </w:t>
      </w:r>
      <w:r w:rsidRPr="0037081C">
        <w:t>friends can ensure that the case is put before a judicial authority, including by stimulating a</w:t>
      </w:r>
      <w:r>
        <w:t xml:space="preserve"> </w:t>
      </w:r>
      <w:r w:rsidRPr="0037081C">
        <w:t>reference by the Secretary of State under s67 of the Act (as had happened on the facts). For these</w:t>
      </w:r>
      <w:r>
        <w:t xml:space="preserve"> </w:t>
      </w:r>
      <w:r w:rsidRPr="0037081C">
        <w:t>reasons, it was held that s2 of the Mental Health Act 1983 was not itself incompatible with Art</w:t>
      </w:r>
      <w:r>
        <w:t xml:space="preserve"> </w:t>
      </w:r>
      <w:r w:rsidRPr="0037081C">
        <w:t>5(4) by not having an automatic review of those felt to be without capacity to apply.</w:t>
      </w:r>
    </w:p>
    <w:p w:rsidR="0037081C" w:rsidRDefault="0037081C" w:rsidP="0037081C">
      <w:r w:rsidRPr="0037081C">
        <w:t>The position of patients who continued to be detained as a result of the commencement of</w:t>
      </w:r>
      <w:r>
        <w:t xml:space="preserve"> </w:t>
      </w:r>
      <w:r w:rsidRPr="0037081C">
        <w:t>displacement proceedings was said to reveal a more unsatisfactory legal situation. This was because</w:t>
      </w:r>
      <w:r>
        <w:t xml:space="preserve"> </w:t>
      </w:r>
      <w:r w:rsidRPr="0037081C">
        <w:t>the commencement of displacement proceedings extends the s2 detention – which is meant to last</w:t>
      </w:r>
      <w:r>
        <w:t xml:space="preserve"> </w:t>
      </w:r>
      <w:r w:rsidRPr="0037081C">
        <w:t>for only 28 days at most before either lapsing or being replaced by a longer-term power of</w:t>
      </w:r>
      <w:r>
        <w:t xml:space="preserve"> </w:t>
      </w:r>
      <w:r w:rsidRPr="0037081C">
        <w:t>detention for which the admission criteria are more stringent and which brings fresh rights to apply</w:t>
      </w:r>
      <w:r>
        <w:t xml:space="preserve"> </w:t>
      </w:r>
      <w:r w:rsidRPr="0037081C">
        <w:t>to a tribunal (and referrals if no application is made). However, Baroness Hale held that it was not</w:t>
      </w:r>
      <w:r>
        <w:t xml:space="preserve"> </w:t>
      </w:r>
      <w:r w:rsidRPr="0037081C">
        <w:t>something which required a declaration of incompatibility because the regime can be operated</w:t>
      </w:r>
      <w:r>
        <w:t xml:space="preserve"> </w:t>
      </w:r>
      <w:r w:rsidRPr="0037081C">
        <w:t>compatibly with the Convention if the County Court makes a swift displacement order resulting</w:t>
      </w:r>
      <w:r>
        <w:t xml:space="preserve"> </w:t>
      </w:r>
      <w:r w:rsidRPr="0037081C">
        <w:t>in a s3 detention (or s7 guardianship), which gives a right to apply to a tribunal, or refuses to</w:t>
      </w:r>
      <w:r>
        <w:t xml:space="preserve"> </w:t>
      </w:r>
      <w:r w:rsidRPr="0037081C">
        <w:t>displace, thereby ending the detention; further, if the displacement proceedings drag on, Art 5(4)</w:t>
      </w:r>
      <w:r>
        <w:t xml:space="preserve"> </w:t>
      </w:r>
      <w:r w:rsidRPr="0037081C">
        <w:t>is not violated if the Secretary of State refers the case to a tribunal pursuant to her discretion,</w:t>
      </w:r>
      <w:r>
        <w:t xml:space="preserve"> </w:t>
      </w:r>
      <w:r w:rsidRPr="0037081C">
        <w:t>which must be exercised compatibly with the Convention and is subject to judicial review.</w:t>
      </w:r>
    </w:p>
    <w:p w:rsidR="0037081C" w:rsidRPr="0037081C" w:rsidRDefault="0037081C" w:rsidP="0037081C"/>
    <w:p w:rsidR="0037081C" w:rsidRPr="004366E6" w:rsidRDefault="0037081C" w:rsidP="0037081C">
      <w:pPr>
        <w:rPr>
          <w:b/>
          <w:bCs/>
          <w:sz w:val="24"/>
        </w:rPr>
      </w:pPr>
      <w:r w:rsidRPr="004366E6">
        <w:rPr>
          <w:b/>
          <w:bCs/>
          <w:sz w:val="24"/>
        </w:rPr>
        <w:t>Effect of the Ruling and Need for Action by Others</w:t>
      </w:r>
    </w:p>
    <w:p w:rsidR="0037081C" w:rsidRDefault="0037081C" w:rsidP="0037081C">
      <w:r w:rsidRPr="0037081C">
        <w:t>In assessing which of the contrasting rulings is objectively better, it is worth noting, first, that</w:t>
      </w:r>
      <w:r w:rsidR="004366E6">
        <w:t xml:space="preserve"> </w:t>
      </w:r>
      <w:r w:rsidRPr="0037081C">
        <w:t>Baroness Hale’s final comment in relation to the s29(4) situation was that the while the section was</w:t>
      </w:r>
      <w:r w:rsidR="004366E6">
        <w:t xml:space="preserve"> </w:t>
      </w:r>
      <w:r w:rsidRPr="0037081C">
        <w:t>not itself incompatible with Art 5(4) “the action or inaction of the authorities under it may be</w:t>
      </w:r>
      <w:r w:rsidR="004366E6">
        <w:t xml:space="preserve"> </w:t>
      </w:r>
      <w:r w:rsidRPr="0037081C">
        <w:t>so”</w:t>
      </w:r>
      <w:r w:rsidR="004366E6">
        <w:rPr>
          <w:rStyle w:val="FootnoteReference"/>
        </w:rPr>
        <w:footnoteReference w:id="15"/>
      </w:r>
      <w:r w:rsidRPr="0037081C">
        <w:t xml:space="preserve">. </w:t>
      </w:r>
      <w:r w:rsidRPr="0037081C">
        <w:lastRenderedPageBreak/>
        <w:t>This comment is equally applicable to the case of the patient without capacity detained</w:t>
      </w:r>
      <w:r w:rsidR="004366E6">
        <w:t xml:space="preserve"> </w:t>
      </w:r>
      <w:r w:rsidRPr="0037081C">
        <w:t>under s2: the section was held not incompatible because of the steps that could and should be</w:t>
      </w:r>
      <w:r w:rsidR="004366E6">
        <w:t xml:space="preserve"> </w:t>
      </w:r>
      <w:r w:rsidRPr="0037081C">
        <w:t>taken, and so failures in this regard could breach the Convention.</w:t>
      </w:r>
    </w:p>
    <w:p w:rsidR="007E5716" w:rsidRPr="007E5716" w:rsidRDefault="007E5716" w:rsidP="007E5716">
      <w:r w:rsidRPr="007E5716">
        <w:t>However, this final comment also demonstrates an obvious problem in the reasoning process Her</w:t>
      </w:r>
      <w:r>
        <w:t xml:space="preserve"> </w:t>
      </w:r>
      <w:r w:rsidRPr="007E5716">
        <w:t>Ladyship had adopted in reaching her conclusion. The starting point was, as it had been with Silber</w:t>
      </w:r>
      <w:r>
        <w:t xml:space="preserve"> </w:t>
      </w:r>
      <w:r w:rsidRPr="007E5716">
        <w:t>J, that the language of Art 5(4) involves a deliberate choice of a right to “take proceedings” and so</w:t>
      </w:r>
      <w:r>
        <w:t xml:space="preserve"> </w:t>
      </w:r>
      <w:r w:rsidRPr="007E5716">
        <w:t>automatic referrals could not be required: but the solution adopted in the s29 situation does not</w:t>
      </w:r>
      <w:r>
        <w:t xml:space="preserve"> </w:t>
      </w:r>
      <w:r w:rsidRPr="007E5716">
        <w:t>involve the patient taking proceedings whereby the lawfulness of their detention is tested. Rather, it</w:t>
      </w:r>
      <w:r>
        <w:t xml:space="preserve"> </w:t>
      </w:r>
      <w:r w:rsidRPr="007E5716">
        <w:t>involves the County Court being swift in determining whether to displace the nearest relative, or it</w:t>
      </w:r>
      <w:r>
        <w:t xml:space="preserve"> </w:t>
      </w:r>
      <w:r w:rsidRPr="007E5716">
        <w:t>involves the Secretary of State for Health making a reference under s67. Equally, in the case of s2</w:t>
      </w:r>
      <w:r>
        <w:t xml:space="preserve"> </w:t>
      </w:r>
      <w:r w:rsidRPr="007E5716">
        <w:t>and the patient without capacity, Her Ladyship relies on the s67 power or on the power of others</w:t>
      </w:r>
      <w:r>
        <w:t xml:space="preserve"> </w:t>
      </w:r>
      <w:r w:rsidRPr="007E5716">
        <w:t>to sign an application form to a Tribunal on behalf of a patient who has not actually made an</w:t>
      </w:r>
      <w:r>
        <w:t xml:space="preserve"> </w:t>
      </w:r>
      <w:r w:rsidRPr="007E5716">
        <w:t>application to a Tribunal but may wish to do so. So these instances of why the statutory scheme is</w:t>
      </w:r>
      <w:r>
        <w:t xml:space="preserve"> </w:t>
      </w:r>
      <w:r w:rsidRPr="007E5716">
        <w:t>compatible with the Art 5(4) right to “take proceedings” all involve situations where the patient does</w:t>
      </w:r>
      <w:r>
        <w:t xml:space="preserve"> </w:t>
      </w:r>
      <w:r w:rsidRPr="007E5716">
        <w:t>not in fact commence proceedings but where a Tribunal is spurred into action by others to review</w:t>
      </w:r>
      <w:r>
        <w:t xml:space="preserve"> </w:t>
      </w:r>
      <w:r w:rsidRPr="007E5716">
        <w:t>detention or the County Court takes action in proceedings which the patient cannot commence.</w:t>
      </w:r>
    </w:p>
    <w:p w:rsidR="007E5716" w:rsidRPr="007E5716" w:rsidRDefault="007E5716" w:rsidP="007E5716">
      <w:r w:rsidRPr="007E5716">
        <w:t>The analysis of the problem in the Court of Appeal was more compelling, particularly in light of</w:t>
      </w:r>
      <w:r>
        <w:t xml:space="preserve"> </w:t>
      </w:r>
      <w:r w:rsidRPr="007E5716">
        <w:t>the established principle that there is no compliance with Art 5(4) if Executive action is required.</w:t>
      </w:r>
      <w:r>
        <w:t xml:space="preserve"> </w:t>
      </w:r>
      <w:r w:rsidRPr="007E5716">
        <w:t>This principle, as noted above, was accepted by both Silber J and the Court of Appeal, but it is not</w:t>
      </w:r>
      <w:r>
        <w:t xml:space="preserve"> </w:t>
      </w:r>
      <w:r w:rsidRPr="007E5716">
        <w:t>mentioned by the House of Lords. It is a principle which has been accepted by the domestic courts,</w:t>
      </w:r>
      <w:r>
        <w:t xml:space="preserve"> </w:t>
      </w:r>
      <w:r w:rsidRPr="007E5716">
        <w:t>and so it was behind a declaration of incompatibility that was not appealed by the government: in</w:t>
      </w:r>
      <w:r>
        <w:t xml:space="preserve"> </w:t>
      </w:r>
      <w:r w:rsidRPr="007E5716">
        <w:rPr>
          <w:i/>
          <w:iCs/>
        </w:rPr>
        <w:t xml:space="preserve">R (D) v Home Secretary </w:t>
      </w:r>
      <w:r w:rsidRPr="007E5716">
        <w:t>[2003] Mental Health Law Reports 193, [2003] 1 WLR 1315, a declaration</w:t>
      </w:r>
      <w:r>
        <w:t xml:space="preserve"> </w:t>
      </w:r>
      <w:r w:rsidRPr="007E5716">
        <w:t>was granted that “the absence of any power in s74 of the Mental Health Act 1983 or any other</w:t>
      </w:r>
      <w:r>
        <w:t xml:space="preserve"> </w:t>
      </w:r>
      <w:r w:rsidRPr="007E5716">
        <w:t>provision enabling a “court”, for the purposes of Art 5 of the Convention for the Protection of</w:t>
      </w:r>
      <w:r>
        <w:t xml:space="preserve"> </w:t>
      </w:r>
      <w:r w:rsidRPr="007E5716">
        <w:t>Human Rights and Fundamental Freedoms, to order the release of a prisoner: (a) who is sentenced</w:t>
      </w:r>
      <w:r>
        <w:t xml:space="preserve"> </w:t>
      </w:r>
      <w:r w:rsidRPr="007E5716">
        <w:t>to a discretionary life sentence; and (b) who is transferred to hospital under s47 of the 1983 Act</w:t>
      </w:r>
      <w:r>
        <w:t xml:space="preserve"> </w:t>
      </w:r>
      <w:r w:rsidRPr="007E5716">
        <w:t>and made subject to a restriction direction under s49 of the 1983 Act; and (c) who is subsequently</w:t>
      </w:r>
      <w:r>
        <w:t xml:space="preserve"> </w:t>
      </w:r>
      <w:r w:rsidRPr="007E5716">
        <w:t>the subject of a recommendation under s74(1)(b) of the 1983 Act; and (d) who is discharged from</w:t>
      </w:r>
      <w:r>
        <w:t xml:space="preserve"> </w:t>
      </w:r>
      <w:r w:rsidRPr="007E5716">
        <w:t>hospital but where the recommendation is accepted by the Secretary of State and he therefore</w:t>
      </w:r>
      <w:r>
        <w:t xml:space="preserve"> </w:t>
      </w:r>
      <w:r w:rsidRPr="007E5716">
        <w:t>remains in hospital, is incompatible with Art 5(4) of the Convention”. The problem in this case</w:t>
      </w:r>
      <w:r>
        <w:t xml:space="preserve"> </w:t>
      </w:r>
      <w:r w:rsidRPr="007E5716">
        <w:t>was that the release of a life sentence prisoner from his or her sentence of imprisonment has to be</w:t>
      </w:r>
      <w:r>
        <w:t xml:space="preserve"> </w:t>
      </w:r>
      <w:r w:rsidRPr="007E5716">
        <w:t>a matter for a court (in practice the Parole Board</w:t>
      </w:r>
      <w:r>
        <w:rPr>
          <w:rStyle w:val="FootnoteReference"/>
        </w:rPr>
        <w:footnoteReference w:id="16"/>
      </w:r>
      <w:r w:rsidRPr="007E5716">
        <w:t xml:space="preserve">) to meet the requirements of </w:t>
      </w:r>
      <w:proofErr w:type="gramStart"/>
      <w:r w:rsidRPr="007E5716">
        <w:t>Art.5(</w:t>
      </w:r>
      <w:proofErr w:type="gramEnd"/>
      <w:r w:rsidRPr="007E5716">
        <w:t>4). However</w:t>
      </w:r>
      <w:r>
        <w:t xml:space="preserve"> </w:t>
      </w:r>
      <w:r w:rsidRPr="007E5716">
        <w:t xml:space="preserve">a life sentence prisoner transferred to hospital, in relation to </w:t>
      </w:r>
      <w:proofErr w:type="gramStart"/>
      <w:r w:rsidRPr="007E5716">
        <w:t>whom</w:t>
      </w:r>
      <w:proofErr w:type="gramEnd"/>
      <w:r w:rsidRPr="007E5716">
        <w:t xml:space="preserve"> a Tribunal could only</w:t>
      </w:r>
      <w:r>
        <w:t xml:space="preserve"> </w:t>
      </w:r>
      <w:r w:rsidRPr="007E5716">
        <w:t>recommend release</w:t>
      </w:r>
      <w:r>
        <w:rPr>
          <w:rStyle w:val="FootnoteReference"/>
        </w:rPr>
        <w:footnoteReference w:id="17"/>
      </w:r>
      <w:r w:rsidRPr="007E5716">
        <w:t>, had a statutory right to access the Parole Board only through a decision of</w:t>
      </w:r>
      <w:r>
        <w:t xml:space="preserve"> </w:t>
      </w:r>
      <w:r w:rsidRPr="007E5716">
        <w:t>the Home Secretary to allow such access. The Home Secretary had in fact announced in a</w:t>
      </w:r>
      <w:r>
        <w:t xml:space="preserve"> </w:t>
      </w:r>
      <w:r w:rsidRPr="007E5716">
        <w:t>Parliamentary answer</w:t>
      </w:r>
      <w:r>
        <w:rPr>
          <w:rStyle w:val="FootnoteReference"/>
        </w:rPr>
        <w:footnoteReference w:id="18"/>
      </w:r>
      <w:r w:rsidRPr="007E5716">
        <w:t xml:space="preserve"> that such prisoners would be allowed access to the Parole Board via his</w:t>
      </w:r>
      <w:r>
        <w:t xml:space="preserve"> </w:t>
      </w:r>
      <w:r w:rsidRPr="007E5716">
        <w:t>power of referral just as if they had a right to apply under statute. But this declaration of policy,</w:t>
      </w:r>
      <w:r>
        <w:t xml:space="preserve"> </w:t>
      </w:r>
      <w:r w:rsidRPr="007E5716">
        <w:t>together with the availability of court action by way of judicial review, was held to be insufficient</w:t>
      </w:r>
      <w:r>
        <w:t xml:space="preserve"> </w:t>
      </w:r>
      <w:r w:rsidRPr="007E5716">
        <w:t xml:space="preserve">to comply with Art </w:t>
      </w:r>
      <w:r w:rsidRPr="007E5716">
        <w:lastRenderedPageBreak/>
        <w:t>5(4). Although permission to appeal was granted by the High Court, it appears</w:t>
      </w:r>
      <w:r>
        <w:t xml:space="preserve"> </w:t>
      </w:r>
      <w:r w:rsidRPr="007E5716">
        <w:t>that the result was accepted, and the law was then changed in the Criminal Justice Act 2003</w:t>
      </w:r>
      <w:r w:rsidR="004B4566">
        <w:rPr>
          <w:rStyle w:val="FootnoteReference"/>
        </w:rPr>
        <w:footnoteReference w:id="19"/>
      </w:r>
      <w:r w:rsidRPr="007E5716">
        <w:t>.</w:t>
      </w:r>
    </w:p>
    <w:p w:rsidR="007E5716" w:rsidRDefault="007E5716" w:rsidP="007E5716">
      <w:r w:rsidRPr="007E5716">
        <w:t xml:space="preserve">The principle in </w:t>
      </w:r>
      <w:r w:rsidRPr="007E5716">
        <w:rPr>
          <w:i/>
          <w:iCs/>
        </w:rPr>
        <w:t xml:space="preserve">D </w:t>
      </w:r>
      <w:r w:rsidRPr="007E5716">
        <w:t>that control by the Executive of access to a court breaches Art. 5(4) is a</w:t>
      </w:r>
      <w:r>
        <w:t xml:space="preserve"> </w:t>
      </w:r>
      <w:r w:rsidRPr="007E5716">
        <w:t>development of the principle that Executive action before release (</w:t>
      </w:r>
      <w:proofErr w:type="spellStart"/>
      <w:r w:rsidRPr="007E5716">
        <w:t>ie</w:t>
      </w:r>
      <w:proofErr w:type="spellEnd"/>
      <w:r w:rsidRPr="007E5716">
        <w:t xml:space="preserve"> after a court decision) is </w:t>
      </w:r>
      <w:r w:rsidRPr="007E5716">
        <w:rPr>
          <w:i/>
          <w:iCs/>
        </w:rPr>
        <w:t>not</w:t>
      </w:r>
      <w:r>
        <w:rPr>
          <w:i/>
          <w:iCs/>
        </w:rPr>
        <w:t xml:space="preserve"> </w:t>
      </w:r>
      <w:r w:rsidRPr="007E5716">
        <w:t>sufficient for Art 5(4).</w:t>
      </w:r>
    </w:p>
    <w:p w:rsidR="004B4566" w:rsidRPr="004B4566" w:rsidRDefault="004B4566" w:rsidP="004B4566">
      <w:r w:rsidRPr="004B4566">
        <w:t>An example of this from the European Court of Human Rights which also involved s74 of the</w:t>
      </w:r>
      <w:r>
        <w:t xml:space="preserve"> </w:t>
      </w:r>
      <w:r w:rsidRPr="004B4566">
        <w:t xml:space="preserve">1983 Act is </w:t>
      </w:r>
      <w:r w:rsidRPr="004B4566">
        <w:rPr>
          <w:i/>
          <w:iCs/>
        </w:rPr>
        <w:t xml:space="preserve">Benjamin and Wilson v UK </w:t>
      </w:r>
      <w:r w:rsidRPr="004B4566">
        <w:t>[2003] Mental Health Law Reports 124, (2003) 36 EHRR 1.</w:t>
      </w:r>
      <w:r>
        <w:t xml:space="preserve"> </w:t>
      </w:r>
      <w:r w:rsidRPr="004B4566">
        <w:t>The Court found a breach of Art 5(4) in relation to transferred life-sentence prisoners who had</w:t>
      </w:r>
      <w:r>
        <w:t xml:space="preserve"> </w:t>
      </w:r>
      <w:r w:rsidRPr="004B4566">
        <w:t>been granted the status equivalent to those detained under a hospital order</w:t>
      </w:r>
      <w:r>
        <w:rPr>
          <w:rStyle w:val="FootnoteReference"/>
        </w:rPr>
        <w:footnoteReference w:id="20"/>
      </w:r>
      <w:r w:rsidRPr="004B4566">
        <w:t>, since the</w:t>
      </w:r>
      <w:r>
        <w:t xml:space="preserve"> </w:t>
      </w:r>
      <w:r w:rsidRPr="004B4566">
        <w:t>consideration of their case by the Tribunal involved only the making of a recommendation for</w:t>
      </w:r>
      <w:r>
        <w:t xml:space="preserve"> </w:t>
      </w:r>
      <w:r w:rsidRPr="004B4566">
        <w:t>release under s74. It noted that the requirement of the Convention is that there be a court-like</w:t>
      </w:r>
      <w:r>
        <w:t xml:space="preserve"> </w:t>
      </w:r>
      <w:r w:rsidRPr="004B4566">
        <w:t>body which has the power to determine lawfulness of detention and order release</w:t>
      </w:r>
      <w:r>
        <w:rPr>
          <w:rStyle w:val="FootnoteReference"/>
        </w:rPr>
        <w:footnoteReference w:id="21"/>
      </w:r>
      <w:r w:rsidRPr="004B4566">
        <w:t>.</w:t>
      </w:r>
    </w:p>
    <w:p w:rsidR="004B4566" w:rsidRPr="004B4566" w:rsidRDefault="004B4566" w:rsidP="004B4566">
      <w:r w:rsidRPr="004B4566">
        <w:t>Accordingly, intervention by authorities of the state is not sufficient for compliance with Art 5(4).</w:t>
      </w:r>
      <w:r>
        <w:t xml:space="preserve"> </w:t>
      </w:r>
      <w:r w:rsidRPr="004B4566">
        <w:t>This calls into question Baroness Hale’s reliance on the availability of the s67 reference. In the</w:t>
      </w:r>
      <w:r>
        <w:t xml:space="preserve"> </w:t>
      </w:r>
      <w:proofErr w:type="gramStart"/>
      <w:r w:rsidRPr="004B4566">
        <w:t>s29(</w:t>
      </w:r>
      <w:proofErr w:type="gramEnd"/>
      <w:r w:rsidRPr="004B4566">
        <w:t>4) situation, the other matter on which she relied was the duty of the County Court to act</w:t>
      </w:r>
      <w:r>
        <w:t xml:space="preserve"> </w:t>
      </w:r>
      <w:r w:rsidRPr="004B4566">
        <w:t>speedily, but that does not deal with the point that the proceedings in the County Court do not</w:t>
      </w:r>
      <w:r>
        <w:t xml:space="preserve"> </w:t>
      </w:r>
      <w:r w:rsidRPr="004B4566">
        <w:t>answer the question of the lawfulness of detention. It may be that this is a matter which is</w:t>
      </w:r>
      <w:r>
        <w:t xml:space="preserve"> </w:t>
      </w:r>
      <w:r w:rsidRPr="004B4566">
        <w:t>answered implicitly (the more so now that the patient can be a party to the proceedings): but, again,</w:t>
      </w:r>
      <w:r>
        <w:t xml:space="preserve"> </w:t>
      </w:r>
      <w:r w:rsidRPr="004B4566">
        <w:t>there is authority from the European Court of Human Rights that what is required is a court which</w:t>
      </w:r>
      <w:r>
        <w:t xml:space="preserve"> </w:t>
      </w:r>
      <w:r w:rsidRPr="004B4566">
        <w:t xml:space="preserve">answers the question directly. To give a recent example to illustrate this point, in </w:t>
      </w:r>
      <w:r w:rsidRPr="004B4566">
        <w:rPr>
          <w:i/>
          <w:iCs/>
        </w:rPr>
        <w:t>Mathew v</w:t>
      </w:r>
      <w:r>
        <w:rPr>
          <w:i/>
          <w:iCs/>
        </w:rPr>
        <w:t xml:space="preserve"> </w:t>
      </w:r>
      <w:r w:rsidRPr="004B4566">
        <w:rPr>
          <w:i/>
          <w:iCs/>
        </w:rPr>
        <w:t xml:space="preserve">Netherlands </w:t>
      </w:r>
      <w:r w:rsidRPr="004B4566">
        <w:t>[2006] 1 Prison Law Reports ..., the issue was whether the conditions of detention in</w:t>
      </w:r>
      <w:r>
        <w:t xml:space="preserve"> </w:t>
      </w:r>
      <w:r w:rsidRPr="004B4566">
        <w:t>a prison in Aruba breached Art 3 of the Convention; the Dutch government pointed out that the</w:t>
      </w:r>
      <w:r>
        <w:t xml:space="preserve"> </w:t>
      </w:r>
      <w:r w:rsidRPr="004B4566">
        <w:t>criminal appeal court had taken account of the conditions of detention and had reduced the</w:t>
      </w:r>
      <w:r>
        <w:t xml:space="preserve"> </w:t>
      </w:r>
      <w:r w:rsidRPr="004B4566">
        <w:t>sentence accordingly, and so they argued that Mr Mathew was no longer a victim of a breach of</w:t>
      </w:r>
      <w:r>
        <w:t xml:space="preserve"> </w:t>
      </w:r>
      <w:r w:rsidRPr="004B4566">
        <w:t>the Convention, having had a remedy in the criminal proceedings. The Court held that Mr Mathew</w:t>
      </w:r>
      <w:r>
        <w:t xml:space="preserve"> </w:t>
      </w:r>
      <w:r w:rsidRPr="004B4566">
        <w:t>remained a victim, notwithstanding the action of the domestic court, because it had not been the</w:t>
      </w:r>
      <w:r>
        <w:t xml:space="preserve"> </w:t>
      </w:r>
      <w:r w:rsidRPr="004B4566">
        <w:t>function of that court to make findings as to whether there was a breach of Art 3. So by analogy,</w:t>
      </w:r>
      <w:r>
        <w:t xml:space="preserve"> </w:t>
      </w:r>
      <w:r w:rsidRPr="004B4566">
        <w:t>the County Court does not perform the function of the Mental Health Review Tribunal and so</w:t>
      </w:r>
      <w:r>
        <w:t xml:space="preserve"> </w:t>
      </w:r>
      <w:r w:rsidRPr="004B4566">
        <w:t>does not meet the requirements of Art 5(4).</w:t>
      </w:r>
    </w:p>
    <w:p w:rsidR="004B4566" w:rsidRPr="004B4566" w:rsidRDefault="004B4566" w:rsidP="004B4566">
      <w:r w:rsidRPr="004B4566">
        <w:t>In the case of the patient without capacity detained under s2, the principle that intervention by the</w:t>
      </w:r>
      <w:r>
        <w:t xml:space="preserve"> </w:t>
      </w:r>
      <w:r w:rsidRPr="004B4566">
        <w:t>Executive is not sufficient – which disallows reliance on s67 – must apply equally to the reliance</w:t>
      </w:r>
      <w:r>
        <w:t xml:space="preserve"> </w:t>
      </w:r>
      <w:r w:rsidRPr="004B4566">
        <w:t>placed by Baroness Hale on the duties of hospital managers to make sure that patients know of</w:t>
      </w:r>
      <w:r>
        <w:t xml:space="preserve"> </w:t>
      </w:r>
      <w:r w:rsidRPr="004B4566">
        <w:t>their rights of application. The managers, after all, have custody of the patient</w:t>
      </w:r>
      <w:r>
        <w:rPr>
          <w:rStyle w:val="FootnoteReference"/>
        </w:rPr>
        <w:footnoteReference w:id="22"/>
      </w:r>
      <w:r w:rsidRPr="004B4566">
        <w:t xml:space="preserve"> and are clearly</w:t>
      </w:r>
      <w:r>
        <w:t xml:space="preserve"> </w:t>
      </w:r>
      <w:r w:rsidRPr="004B4566">
        <w:t>acting on behalf of the state in that regard. The whole point of the guarantees set out in the</w:t>
      </w:r>
      <w:r>
        <w:t xml:space="preserve"> </w:t>
      </w:r>
      <w:r w:rsidRPr="004B4566">
        <w:t>Convention, it must be remembered, is the view that the best way to ensure that fundamental</w:t>
      </w:r>
      <w:r>
        <w:t xml:space="preserve"> </w:t>
      </w:r>
      <w:r w:rsidRPr="004B4566">
        <w:t>liberty rights are protected is via the separation of powers doctrine. Pursuant to this, issues of</w:t>
      </w:r>
      <w:r>
        <w:t xml:space="preserve"> </w:t>
      </w:r>
      <w:r w:rsidRPr="004B4566">
        <w:t>liberty are for the courts and access to the courts must be direct. This is because of the risk that</w:t>
      </w:r>
      <w:r>
        <w:t xml:space="preserve"> </w:t>
      </w:r>
      <w:r w:rsidRPr="004B4566">
        <w:t xml:space="preserve">Executive action will </w:t>
      </w:r>
      <w:r w:rsidRPr="004B4566">
        <w:lastRenderedPageBreak/>
        <w:t>be less than ideal because of problems ranging from politically-inspired</w:t>
      </w:r>
      <w:r>
        <w:t xml:space="preserve"> </w:t>
      </w:r>
      <w:r w:rsidRPr="004B4566">
        <w:t>deliberate policies to prevent people enjoying their fundamental rights through to lack of resources</w:t>
      </w:r>
      <w:r>
        <w:t xml:space="preserve"> </w:t>
      </w:r>
      <w:r w:rsidRPr="004B4566">
        <w:t>despite the best will, with problems of indifference somewhere in the middle.</w:t>
      </w:r>
    </w:p>
    <w:p w:rsidR="004B4566" w:rsidRPr="004B4566" w:rsidRDefault="004B4566" w:rsidP="004B4566">
      <w:r w:rsidRPr="004B4566">
        <w:t>This is why the analysis of Buxton LJ is better. His starting point is the obvious one that the</w:t>
      </w:r>
      <w:r>
        <w:t xml:space="preserve"> </w:t>
      </w:r>
      <w:r w:rsidRPr="004B4566">
        <w:t>Convention aims to set out guiding principles only: the expansive reading adopted by the</w:t>
      </w:r>
      <w:r>
        <w:t xml:space="preserve"> </w:t>
      </w:r>
      <w:r w:rsidRPr="004B4566">
        <w:t>European Court</w:t>
      </w:r>
      <w:r>
        <w:rPr>
          <w:rStyle w:val="FootnoteReference"/>
        </w:rPr>
        <w:footnoteReference w:id="23"/>
      </w:r>
      <w:r w:rsidRPr="004B4566">
        <w:t xml:space="preserve"> makes this plain. That in turn means that not much can be read into the specific</w:t>
      </w:r>
      <w:r>
        <w:t xml:space="preserve"> </w:t>
      </w:r>
      <w:r w:rsidRPr="004B4566">
        <w:t>language “take proceedings”: the question to be asked is what principle is guaranteed, to which the</w:t>
      </w:r>
      <w:r>
        <w:t xml:space="preserve"> </w:t>
      </w:r>
      <w:r w:rsidRPr="004B4566">
        <w:t>answer is access to a court to assess the lawfulness of detention. As did Buxton LJ, the rhetorical</w:t>
      </w:r>
      <w:r>
        <w:t xml:space="preserve"> </w:t>
      </w:r>
      <w:r w:rsidRPr="004B4566">
        <w:t>question to be posed is whether this guarantee should not apply in the case of someone who</w:t>
      </w:r>
      <w:r>
        <w:t xml:space="preserve"> </w:t>
      </w:r>
      <w:r w:rsidRPr="004B4566">
        <w:t>cannot actually “take proceedings”, in part because their mental disorder (the very basis for their</w:t>
      </w:r>
      <w:r>
        <w:t xml:space="preserve"> </w:t>
      </w:r>
      <w:r w:rsidRPr="004B4566">
        <w:t>detention) means that they cannot actually do so.</w:t>
      </w:r>
    </w:p>
    <w:p w:rsidR="004B4566" w:rsidRPr="004B4566" w:rsidRDefault="004B4566" w:rsidP="004B4566">
      <w:r w:rsidRPr="004B4566">
        <w:t>It is true that Buxton LJ does not in terms deal with the difference in the language of Art 5(3) and</w:t>
      </w:r>
      <w:r>
        <w:t xml:space="preserve"> </w:t>
      </w:r>
      <w:r w:rsidRPr="004B4566">
        <w:t>Art 5(4), beyond saying that the fact that a criminal detainee must have their case considered by a</w:t>
      </w:r>
      <w:r>
        <w:t xml:space="preserve"> </w:t>
      </w:r>
      <w:r w:rsidRPr="004B4566">
        <w:t>judge does not mean that the state is not required to assist a detainee under other heads who was</w:t>
      </w:r>
      <w:r>
        <w:t xml:space="preserve"> </w:t>
      </w:r>
      <w:r w:rsidRPr="004B4566">
        <w:t>unable to assert the right to take proceedings. There are at least two further points which could</w:t>
      </w:r>
      <w:r>
        <w:t xml:space="preserve"> </w:t>
      </w:r>
      <w:r w:rsidRPr="004B4566">
        <w:t>have been made. First, there is the difference in context: the right to liberty combined with the</w:t>
      </w:r>
      <w:r>
        <w:t xml:space="preserve"> </w:t>
      </w:r>
      <w:r w:rsidRPr="004B4566">
        <w:t>presumption of innocence means that depriving someone of their liberty on the basis of arrest on</w:t>
      </w:r>
      <w:r>
        <w:t xml:space="preserve"> </w:t>
      </w:r>
      <w:r w:rsidRPr="004B4566">
        <w:t>suspicion of having committed an offence requires court intervention to assess the need for</w:t>
      </w:r>
      <w:r>
        <w:t xml:space="preserve"> </w:t>
      </w:r>
      <w:r w:rsidRPr="004B4566">
        <w:t>detention. This indeed is reflected in the language of Art 5(1</w:t>
      </w:r>
      <w:proofErr w:type="gramStart"/>
      <w:r w:rsidRPr="004B4566">
        <w:t>)(</w:t>
      </w:r>
      <w:proofErr w:type="gramEnd"/>
      <w:r w:rsidRPr="004B4566">
        <w:t>c), which provides for arrest on</w:t>
      </w:r>
      <w:r>
        <w:t xml:space="preserve"> </w:t>
      </w:r>
      <w:r w:rsidRPr="004B4566">
        <w:t>reasonable suspicion “for the purpose of bringing him before the competent legal authority”: there</w:t>
      </w:r>
      <w:r>
        <w:t xml:space="preserve"> </w:t>
      </w:r>
      <w:r w:rsidRPr="004B4566">
        <w:t>is no similar requirement in the other grounds of detention in Art 5(1), making plain that criminal</w:t>
      </w:r>
      <w:r>
        <w:t xml:space="preserve"> </w:t>
      </w:r>
      <w:r w:rsidRPr="004B4566">
        <w:t>arrest simply has a different context. It may also be that the question of bail is more susceptible of</w:t>
      </w:r>
      <w:r>
        <w:t xml:space="preserve"> </w:t>
      </w:r>
      <w:r w:rsidRPr="004B4566">
        <w:t xml:space="preserve">a summary determination, making it appropriate to have the language of </w:t>
      </w:r>
      <w:proofErr w:type="gramStart"/>
      <w:r w:rsidRPr="004B4566">
        <w:t>s5(</w:t>
      </w:r>
      <w:proofErr w:type="gramEnd"/>
      <w:r w:rsidRPr="004B4566">
        <w:t>3).</w:t>
      </w:r>
    </w:p>
    <w:p w:rsidR="004B4566" w:rsidRPr="004B4566" w:rsidRDefault="004B4566" w:rsidP="004B4566">
      <w:r w:rsidRPr="004B4566">
        <w:t>Secondly, the existence of the Art 5(3) right in relation to a criminal arrestee does not exclude the</w:t>
      </w:r>
      <w:r>
        <w:t xml:space="preserve"> </w:t>
      </w:r>
      <w:r w:rsidRPr="004B4566">
        <w:t>Art 5(4) right of the same detainee, and so using the language of Art 5(3) in the Art 5(4) context</w:t>
      </w:r>
      <w:r>
        <w:t xml:space="preserve"> </w:t>
      </w:r>
      <w:r w:rsidRPr="004B4566">
        <w:t>amounts to using apples in a debate about the quality of oranges.</w:t>
      </w:r>
    </w:p>
    <w:p w:rsidR="004B4566" w:rsidRDefault="004B4566" w:rsidP="004B4566">
      <w:r w:rsidRPr="004B4566">
        <w:t>For these reasons, the Buxton position, as agreed to by the other members of the Court of Appeal,</w:t>
      </w:r>
      <w:r>
        <w:t xml:space="preserve"> </w:t>
      </w:r>
      <w:r w:rsidRPr="004B4566">
        <w:t>seems to have the benefit of principle. Baroness Hale’s position, particularly in relation to patients</w:t>
      </w:r>
      <w:r>
        <w:t xml:space="preserve"> </w:t>
      </w:r>
      <w:r w:rsidRPr="004B4566">
        <w:t>without capacity, comes close to this in any event, since she allows applications to be made on</w:t>
      </w:r>
      <w:r>
        <w:t xml:space="preserve"> </w:t>
      </w:r>
      <w:r w:rsidRPr="004B4566">
        <w:t xml:space="preserve">behalf of the patient: this is not the patient taking </w:t>
      </w:r>
      <w:proofErr w:type="gramStart"/>
      <w:r w:rsidRPr="004B4566">
        <w:t>proceedings,</w:t>
      </w:r>
      <w:proofErr w:type="gramEnd"/>
      <w:r w:rsidRPr="004B4566">
        <w:t xml:space="preserve"> this is proceedings being taken on</w:t>
      </w:r>
      <w:r>
        <w:t xml:space="preserve"> </w:t>
      </w:r>
      <w:r w:rsidRPr="004B4566">
        <w:t>behalf of the patient. But since her argument rests on a view that it is the taking of proceedings by</w:t>
      </w:r>
      <w:r>
        <w:t xml:space="preserve"> </w:t>
      </w:r>
      <w:r w:rsidRPr="004B4566">
        <w:t>the patient which is the right guaranteed – even though the compatibility she sees in the existing</w:t>
      </w:r>
      <w:r>
        <w:t xml:space="preserve"> </w:t>
      </w:r>
      <w:r w:rsidRPr="004B4566">
        <w:t>scheme comes from proceedings not commenced by the patient – it would be far better to conclude</w:t>
      </w:r>
      <w:r>
        <w:t xml:space="preserve"> </w:t>
      </w:r>
      <w:r w:rsidRPr="004B4566">
        <w:t>that the Convention in fact requires that automatic references be provided, for reasons which</w:t>
      </w:r>
      <w:r>
        <w:t xml:space="preserve"> </w:t>
      </w:r>
      <w:r w:rsidRPr="004B4566">
        <w:t>reflect the principle underlying the Court of Appeal’s position, namely that the important right</w:t>
      </w:r>
      <w:r>
        <w:t xml:space="preserve"> </w:t>
      </w:r>
      <w:r w:rsidRPr="004B4566">
        <w:t>guaranteed is a court decision, not access to a court to those who choose to participate in</w:t>
      </w:r>
      <w:r>
        <w:t xml:space="preserve"> </w:t>
      </w:r>
      <w:r w:rsidRPr="004B4566">
        <w:t>proceedings.</w:t>
      </w:r>
    </w:p>
    <w:p w:rsidR="004B4566" w:rsidRPr="004B4566" w:rsidRDefault="004B4566" w:rsidP="004B4566"/>
    <w:p w:rsidR="004B4566" w:rsidRPr="004B4566" w:rsidRDefault="004B4566" w:rsidP="004B4566">
      <w:pPr>
        <w:rPr>
          <w:b/>
          <w:bCs/>
          <w:sz w:val="24"/>
        </w:rPr>
      </w:pPr>
      <w:r w:rsidRPr="004B4566">
        <w:rPr>
          <w:b/>
          <w:bCs/>
          <w:sz w:val="24"/>
        </w:rPr>
        <w:t xml:space="preserve">The Practical Application of the Ruling in Relation to Patients </w:t>
      </w:r>
      <w:proofErr w:type="gramStart"/>
      <w:r w:rsidRPr="004B4566">
        <w:rPr>
          <w:b/>
          <w:bCs/>
          <w:sz w:val="24"/>
        </w:rPr>
        <w:t>Without</w:t>
      </w:r>
      <w:proofErr w:type="gramEnd"/>
      <w:r w:rsidRPr="004B4566">
        <w:rPr>
          <w:b/>
          <w:bCs/>
          <w:sz w:val="24"/>
        </w:rPr>
        <w:t xml:space="preserve"> Capacity</w:t>
      </w:r>
    </w:p>
    <w:p w:rsidR="004B4566" w:rsidRPr="004B4566" w:rsidRDefault="004B4566" w:rsidP="004B4566">
      <w:r w:rsidRPr="004B4566">
        <w:lastRenderedPageBreak/>
        <w:t>It may be thought that the practical problem with the Court of Appeal’s position, and the strength</w:t>
      </w:r>
      <w:r>
        <w:t xml:space="preserve"> </w:t>
      </w:r>
      <w:r w:rsidRPr="004B4566">
        <w:t>of the House of Lords’ ruling, is that a declaration of incompatibility does not change the law, but</w:t>
      </w:r>
      <w:r>
        <w:t xml:space="preserve"> </w:t>
      </w:r>
      <w:r w:rsidRPr="004B4566">
        <w:t xml:space="preserve">rather amounts to </w:t>
      </w:r>
      <w:proofErr w:type="gramStart"/>
      <w:r w:rsidRPr="004B4566">
        <w:t>a recognition</w:t>
      </w:r>
      <w:proofErr w:type="gramEnd"/>
      <w:r w:rsidRPr="004B4566">
        <w:t xml:space="preserve"> of the unsatisfactory nature of the situation which is then left to</w:t>
      </w:r>
      <w:r>
        <w:t xml:space="preserve"> </w:t>
      </w:r>
      <w:r w:rsidRPr="004B4566">
        <w:t>political will to solve</w:t>
      </w:r>
      <w:r>
        <w:rPr>
          <w:rStyle w:val="FootnoteReference"/>
        </w:rPr>
        <w:footnoteReference w:id="24"/>
      </w:r>
      <w:r w:rsidRPr="004B4566">
        <w:t>. In other words, rather than wringing hands, Baroness Hale has set out a</w:t>
      </w:r>
      <w:r>
        <w:t xml:space="preserve"> </w:t>
      </w:r>
      <w:r w:rsidRPr="004B4566">
        <w:t>position which allows practical steps to be taken to ensure that there are Tribunal proceedings</w:t>
      </w:r>
      <w:r>
        <w:t xml:space="preserve"> </w:t>
      </w:r>
      <w:r w:rsidRPr="004B4566">
        <w:t>which will examine the position of all patients caught in either of the two situations described.</w:t>
      </w:r>
    </w:p>
    <w:p w:rsidR="004B4566" w:rsidRPr="004B4566" w:rsidRDefault="004B4566" w:rsidP="004B4566">
      <w:r w:rsidRPr="004B4566">
        <w:t>It is true that the practical effect of the House of Lords’ ruling is that there should be an increase</w:t>
      </w:r>
      <w:r>
        <w:t xml:space="preserve"> </w:t>
      </w:r>
      <w:r w:rsidRPr="004B4566">
        <w:t>in the number of cases put in front of Tribunals by s67 references and by applications made on</w:t>
      </w:r>
      <w:r>
        <w:t xml:space="preserve"> </w:t>
      </w:r>
      <w:r w:rsidRPr="004B4566">
        <w:t>behalf of patients: but there is nothing in the granting of a declaration of incompatibility which</w:t>
      </w:r>
      <w:r>
        <w:t xml:space="preserve"> </w:t>
      </w:r>
      <w:r w:rsidRPr="004B4566">
        <w:t>prevents those exercising public powers from doing what they can to ensure that Convention rights</w:t>
      </w:r>
      <w:r>
        <w:t xml:space="preserve"> </w:t>
      </w:r>
      <w:r w:rsidRPr="004B4566">
        <w:t>are met so far as possible pending a change in the legislation.</w:t>
      </w:r>
    </w:p>
    <w:p w:rsidR="004B4566" w:rsidRPr="004B4566" w:rsidRDefault="004B4566" w:rsidP="004B4566">
      <w:r w:rsidRPr="004B4566">
        <w:t>In relation to incapacitated s2 patients, s132 of the 1983 Act provides that hospital managers must</w:t>
      </w:r>
      <w:r>
        <w:t xml:space="preserve"> </w:t>
      </w:r>
      <w:r w:rsidRPr="004B4566">
        <w:t>ensure that patients know “what rights of applying to a Mental Health Review Tribunal are</w:t>
      </w:r>
      <w:r>
        <w:t xml:space="preserve"> </w:t>
      </w:r>
      <w:r w:rsidRPr="004B4566">
        <w:t>available to him”: the same information must be provided to the nearest relative (except where the</w:t>
      </w:r>
      <w:r>
        <w:t xml:space="preserve"> </w:t>
      </w:r>
      <w:r w:rsidRPr="004B4566">
        <w:t>patient request otherwise) (s132(4)). Since Baroness Hale relied on the s67 power and the right of</w:t>
      </w:r>
      <w:r>
        <w:t xml:space="preserve"> </w:t>
      </w:r>
      <w:r w:rsidRPr="004B4566">
        <w:t>patients to authorise others to make applications for them, the information provided under s132</w:t>
      </w:r>
      <w:r>
        <w:t xml:space="preserve"> </w:t>
      </w:r>
      <w:r w:rsidRPr="004B4566">
        <w:t>must presumably include these methods as well. Given that the use of formal powers over a patient</w:t>
      </w:r>
      <w:r>
        <w:t xml:space="preserve"> </w:t>
      </w:r>
      <w:r w:rsidRPr="004B4566">
        <w:t>is a good indication that the patient is not there voluntarily, could not this be taken as an indication</w:t>
      </w:r>
      <w:r>
        <w:t xml:space="preserve"> </w:t>
      </w:r>
      <w:r w:rsidRPr="004B4566">
        <w:t>that the patient authorises the making of an application to a Tribunal on their behalf, satisfying the</w:t>
      </w:r>
      <w:r>
        <w:t xml:space="preserve"> </w:t>
      </w:r>
      <w:r w:rsidRPr="004B4566">
        <w:t>low threshold of capacity to provide such authority, since it is an indication that the patient does</w:t>
      </w:r>
      <w:r>
        <w:t xml:space="preserve"> </w:t>
      </w:r>
      <w:r w:rsidRPr="004B4566">
        <w:t>not wish to be in hospital and would presumably want to question their detention by the available</w:t>
      </w:r>
      <w:r>
        <w:t xml:space="preserve"> </w:t>
      </w:r>
      <w:r w:rsidRPr="004B4566">
        <w:t>mechanism, namely the Tribunal? Further, since the s67 power is seen as a method of ensuring that</w:t>
      </w:r>
      <w:r>
        <w:t xml:space="preserve"> </w:t>
      </w:r>
      <w:r w:rsidRPr="004B4566">
        <w:t>there is compliance with Art 5(4), and the hospital managers have a power to alert the Secretary of</w:t>
      </w:r>
      <w:r>
        <w:t xml:space="preserve"> </w:t>
      </w:r>
      <w:r w:rsidRPr="004B4566">
        <w:t>State to the possible need to make a reference, and there is a general administrative law principle</w:t>
      </w:r>
      <w:r>
        <w:t xml:space="preserve"> </w:t>
      </w:r>
      <w:r w:rsidRPr="004B4566">
        <w:t>that those who have a power must consider whether to use it, it must fall to them to consider</w:t>
      </w:r>
      <w:r>
        <w:t xml:space="preserve"> </w:t>
      </w:r>
      <w:r w:rsidRPr="004B4566">
        <w:t>whether or not in every case of a patient under s2 who has not made or had made an application</w:t>
      </w:r>
      <w:r>
        <w:t xml:space="preserve"> </w:t>
      </w:r>
      <w:r w:rsidRPr="004B4566">
        <w:t>to the Tribunal, there should be a request to the Secretary of State to use the s67 power.</w:t>
      </w:r>
    </w:p>
    <w:p w:rsidR="004B4566" w:rsidRPr="004B4566" w:rsidRDefault="004B4566" w:rsidP="004B4566">
      <w:r w:rsidRPr="004B4566">
        <w:t>The net effect of this ought to be that every s2 patient should have their case placed before a</w:t>
      </w:r>
      <w:r>
        <w:t xml:space="preserve"> </w:t>
      </w:r>
      <w:r w:rsidRPr="004B4566">
        <w:t>Tribunal. As for the situation where a s2 detention is extended by s29 proceedings, either the s29</w:t>
      </w:r>
      <w:r>
        <w:t xml:space="preserve"> </w:t>
      </w:r>
      <w:r w:rsidRPr="004B4566">
        <w:t>proceedings must be dealt with speedily or the Secretary of State must make a referral to the</w:t>
      </w:r>
      <w:r>
        <w:t xml:space="preserve"> </w:t>
      </w:r>
      <w:r w:rsidRPr="004B4566">
        <w:t>Tribunal, and a mechanism must be in place to allow s67 references to be made wherever</w:t>
      </w:r>
      <w:r>
        <w:t xml:space="preserve"> </w:t>
      </w:r>
      <w:r w:rsidRPr="004B4566">
        <w:t>displacement proceedings drag on for any reason.</w:t>
      </w:r>
    </w:p>
    <w:p w:rsidR="004B4566" w:rsidRDefault="004B4566" w:rsidP="004B4566">
      <w:r w:rsidRPr="004B4566">
        <w:t>Since the mechanisms identified by the House of Lords were ones within the requirements of Art</w:t>
      </w:r>
      <w:r>
        <w:t xml:space="preserve"> </w:t>
      </w:r>
      <w:r w:rsidRPr="004B4566">
        <w:t>5(4), they would have applied in any event, given the duty of public bodies to act compatibly with</w:t>
      </w:r>
      <w:r>
        <w:t xml:space="preserve"> </w:t>
      </w:r>
      <w:r w:rsidRPr="004B4566">
        <w:t>the Convention, even if the ultimate conclusion was that a declaration of incompatibility was</w:t>
      </w:r>
      <w:r>
        <w:t xml:space="preserve"> </w:t>
      </w:r>
      <w:r w:rsidRPr="004B4566">
        <w:t>required because of the structural problem that reliance on Executive action is not sufficient to</w:t>
      </w:r>
      <w:r>
        <w:t xml:space="preserve"> </w:t>
      </w:r>
      <w:r w:rsidRPr="004B4566">
        <w:t>ensure that there is compliance with Art 5(4). But the fact is that practical problems exist: County</w:t>
      </w:r>
      <w:r>
        <w:t xml:space="preserve"> </w:t>
      </w:r>
      <w:r w:rsidRPr="004B4566">
        <w:t>Courts do not always deal with displacement proceedings speedily, and it is unlikely that the</w:t>
      </w:r>
      <w:r>
        <w:t xml:space="preserve"> </w:t>
      </w:r>
      <w:r w:rsidRPr="004B4566">
        <w:t>mechanisms identified by Baroness Hale are being used in all cases when they should be used. The</w:t>
      </w:r>
      <w:r>
        <w:t xml:space="preserve"> </w:t>
      </w:r>
      <w:bookmarkStart w:id="0" w:name="_GoBack"/>
      <w:bookmarkEnd w:id="0"/>
      <w:r>
        <w:lastRenderedPageBreak/>
        <w:t>l</w:t>
      </w:r>
      <w:r w:rsidRPr="004B4566">
        <w:t>ikely corollary of the conclusion of the House of Lords is that further judicial review litigation</w:t>
      </w:r>
      <w:r>
        <w:t xml:space="preserve"> </w:t>
      </w:r>
      <w:r w:rsidRPr="004B4566">
        <w:t>will be needed to establish the natural consequences of their decision. This reinforces the practical</w:t>
      </w:r>
      <w:r>
        <w:t xml:space="preserve"> </w:t>
      </w:r>
      <w:r w:rsidRPr="004B4566">
        <w:t>need for an amendment of the legislation to ensure that there are automatic references, which is</w:t>
      </w:r>
      <w:r>
        <w:t xml:space="preserve"> </w:t>
      </w:r>
      <w:r w:rsidRPr="004B4566">
        <w:t>what the declarations of incompatibility should have accomplished (at least eventually). This in</w:t>
      </w:r>
      <w:r>
        <w:t xml:space="preserve"> </w:t>
      </w:r>
      <w:r w:rsidRPr="004B4566">
        <w:t>turn demonstrates that the Court of Appeal’s approach was preferable: reliance on action by the</w:t>
      </w:r>
      <w:r>
        <w:t xml:space="preserve"> </w:t>
      </w:r>
      <w:r w:rsidRPr="004B4566">
        <w:t>Executive is not a safe way to ensure that Art 5(4) is met because of the practical problems which</w:t>
      </w:r>
      <w:r>
        <w:t xml:space="preserve"> </w:t>
      </w:r>
      <w:r w:rsidRPr="004B4566">
        <w:t>this may encounter. It is much better to have a legal requirement to make a reference than rely on</w:t>
      </w:r>
      <w:r>
        <w:t xml:space="preserve"> </w:t>
      </w:r>
      <w:r w:rsidRPr="004B4566">
        <w:t>hospital managers and the Secretary of State putting into place, as a matter of their discretion,</w:t>
      </w:r>
      <w:r>
        <w:t xml:space="preserve"> </w:t>
      </w:r>
      <w:r w:rsidRPr="004B4566">
        <w:t>mechanisms which cause references to be made.</w:t>
      </w:r>
    </w:p>
    <w:sectPr w:rsidR="004B4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F3" w:rsidRDefault="00A916F3" w:rsidP="00A916F3">
      <w:pPr>
        <w:spacing w:after="0" w:line="240" w:lineRule="auto"/>
      </w:pPr>
      <w:r>
        <w:separator/>
      </w:r>
    </w:p>
  </w:endnote>
  <w:endnote w:type="continuationSeparator" w:id="0">
    <w:p w:rsidR="00A916F3" w:rsidRDefault="00A916F3" w:rsidP="00A9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F3" w:rsidRDefault="00A916F3" w:rsidP="00A916F3">
      <w:pPr>
        <w:spacing w:after="0" w:line="240" w:lineRule="auto"/>
      </w:pPr>
      <w:r>
        <w:separator/>
      </w:r>
    </w:p>
  </w:footnote>
  <w:footnote w:type="continuationSeparator" w:id="0">
    <w:p w:rsidR="00A916F3" w:rsidRDefault="00A916F3" w:rsidP="00A916F3">
      <w:pPr>
        <w:spacing w:after="0" w:line="240" w:lineRule="auto"/>
      </w:pPr>
      <w:r>
        <w:continuationSeparator/>
      </w:r>
    </w:p>
  </w:footnote>
  <w:footnote w:id="1">
    <w:p w:rsidR="00A916F3" w:rsidRPr="00A916F3" w:rsidRDefault="00A916F3" w:rsidP="00A916F3">
      <w:pPr>
        <w:pStyle w:val="FootnoteText"/>
        <w:rPr>
          <w:sz w:val="16"/>
        </w:rPr>
      </w:pPr>
      <w:r w:rsidRPr="00A916F3">
        <w:rPr>
          <w:rStyle w:val="FootnoteReference"/>
          <w:sz w:val="16"/>
        </w:rPr>
        <w:footnoteRef/>
      </w:r>
      <w:r w:rsidRPr="00A916F3">
        <w:rPr>
          <w:sz w:val="16"/>
        </w:rPr>
        <w:t xml:space="preserve"> </w:t>
      </w:r>
      <w:proofErr w:type="gramStart"/>
      <w:r w:rsidRPr="00A916F3">
        <w:rPr>
          <w:sz w:val="16"/>
        </w:rPr>
        <w:t>Barrister; p/t legal member of the Mental Health</w:t>
      </w:r>
      <w:r w:rsidRPr="00A916F3">
        <w:rPr>
          <w:sz w:val="16"/>
        </w:rPr>
        <w:t xml:space="preserve"> </w:t>
      </w:r>
      <w:r w:rsidRPr="00A916F3">
        <w:rPr>
          <w:sz w:val="16"/>
        </w:rPr>
        <w:t>Review Tribunal; Editor of the Mental Health Law</w:t>
      </w:r>
      <w:r w:rsidRPr="00A916F3">
        <w:rPr>
          <w:sz w:val="16"/>
        </w:rPr>
        <w:t xml:space="preserve"> </w:t>
      </w:r>
      <w:r w:rsidRPr="00A916F3">
        <w:rPr>
          <w:sz w:val="16"/>
        </w:rPr>
        <w:t>Reports.</w:t>
      </w:r>
      <w:proofErr w:type="gramEnd"/>
    </w:p>
  </w:footnote>
  <w:footnote w:id="2">
    <w:p w:rsidR="00A916F3" w:rsidRPr="00A916F3" w:rsidRDefault="00A916F3" w:rsidP="00A916F3">
      <w:pPr>
        <w:pStyle w:val="FootnoteText"/>
        <w:rPr>
          <w:sz w:val="16"/>
        </w:rPr>
      </w:pPr>
      <w:r w:rsidRPr="00A916F3">
        <w:rPr>
          <w:rStyle w:val="FootnoteReference"/>
          <w:sz w:val="16"/>
        </w:rPr>
        <w:footnoteRef/>
      </w:r>
      <w:r w:rsidRPr="00A916F3">
        <w:rPr>
          <w:sz w:val="16"/>
        </w:rPr>
        <w:t xml:space="preserve"> </w:t>
      </w:r>
      <w:r w:rsidRPr="00A916F3">
        <w:rPr>
          <w:sz w:val="16"/>
        </w:rPr>
        <w:t>R (B) v Ashworth Hospital Authority [2005] Mental</w:t>
      </w:r>
      <w:r w:rsidRPr="00A916F3">
        <w:rPr>
          <w:sz w:val="16"/>
        </w:rPr>
        <w:t xml:space="preserve"> </w:t>
      </w:r>
      <w:r w:rsidRPr="00A916F3">
        <w:rPr>
          <w:sz w:val="16"/>
        </w:rPr>
        <w:t>Health Law Reports 47; R (IH) v Nottinghamshire</w:t>
      </w:r>
      <w:r w:rsidRPr="00A916F3">
        <w:rPr>
          <w:sz w:val="16"/>
        </w:rPr>
        <w:t xml:space="preserve"> </w:t>
      </w:r>
      <w:r w:rsidRPr="00A916F3">
        <w:rPr>
          <w:sz w:val="16"/>
        </w:rPr>
        <w:t>Healthcare NHS Trust [2004] Mental Health Law</w:t>
      </w:r>
      <w:r w:rsidRPr="00A916F3">
        <w:rPr>
          <w:sz w:val="16"/>
        </w:rPr>
        <w:t xml:space="preserve"> </w:t>
      </w:r>
      <w:r w:rsidRPr="00A916F3">
        <w:rPr>
          <w:sz w:val="16"/>
        </w:rPr>
        <w:t>Reports 51; R (</w:t>
      </w:r>
      <w:proofErr w:type="spellStart"/>
      <w:r w:rsidRPr="00A916F3">
        <w:rPr>
          <w:sz w:val="16"/>
        </w:rPr>
        <w:t>Munjaz</w:t>
      </w:r>
      <w:proofErr w:type="spellEnd"/>
      <w:r w:rsidRPr="00A916F3">
        <w:rPr>
          <w:sz w:val="16"/>
        </w:rPr>
        <w:t>) v Mersey Care NHS Trust</w:t>
      </w:r>
      <w:r w:rsidRPr="00A916F3">
        <w:rPr>
          <w:sz w:val="16"/>
        </w:rPr>
        <w:t xml:space="preserve"> </w:t>
      </w:r>
      <w:r w:rsidRPr="00A916F3">
        <w:rPr>
          <w:sz w:val="16"/>
        </w:rPr>
        <w:t>[2005] Mental Health Law Reports 276; R v (1) Tower</w:t>
      </w:r>
      <w:r w:rsidRPr="00A916F3">
        <w:rPr>
          <w:sz w:val="16"/>
        </w:rPr>
        <w:t xml:space="preserve"> </w:t>
      </w:r>
      <w:r w:rsidRPr="00A916F3">
        <w:rPr>
          <w:sz w:val="16"/>
        </w:rPr>
        <w:t xml:space="preserve">Hamlets Health Care NHS Trust and (2) </w:t>
      </w:r>
      <w:proofErr w:type="spellStart"/>
      <w:r w:rsidRPr="00A916F3">
        <w:rPr>
          <w:sz w:val="16"/>
        </w:rPr>
        <w:t>Snazell</w:t>
      </w:r>
      <w:proofErr w:type="spellEnd"/>
      <w:r w:rsidRPr="00A916F3">
        <w:rPr>
          <w:sz w:val="16"/>
        </w:rPr>
        <w:t xml:space="preserve"> ex p</w:t>
      </w:r>
      <w:r w:rsidRPr="00A916F3">
        <w:rPr>
          <w:sz w:val="16"/>
        </w:rPr>
        <w:t xml:space="preserve"> </w:t>
      </w:r>
      <w:r w:rsidRPr="00A916F3">
        <w:rPr>
          <w:sz w:val="16"/>
        </w:rPr>
        <w:t>Von Brandenburg [2004] Mental Health Law Reports</w:t>
      </w:r>
      <w:r w:rsidRPr="00A916F3">
        <w:rPr>
          <w:sz w:val="16"/>
        </w:rPr>
        <w:t xml:space="preserve"> </w:t>
      </w:r>
      <w:r w:rsidRPr="00A916F3">
        <w:rPr>
          <w:sz w:val="16"/>
        </w:rPr>
        <w:t>44; Ward v Commissioner of Police of the Metropolis</w:t>
      </w:r>
      <w:r w:rsidRPr="00A916F3">
        <w:rPr>
          <w:sz w:val="16"/>
        </w:rPr>
        <w:t xml:space="preserve"> </w:t>
      </w:r>
      <w:r w:rsidRPr="00A916F3">
        <w:rPr>
          <w:sz w:val="16"/>
        </w:rPr>
        <w:t>and another [2005] Mental Health Law Reports 128;</w:t>
      </w:r>
      <w:r w:rsidRPr="00A916F3">
        <w:rPr>
          <w:sz w:val="16"/>
        </w:rPr>
        <w:t xml:space="preserve"> </w:t>
      </w:r>
      <w:r w:rsidRPr="00A916F3">
        <w:rPr>
          <w:sz w:val="16"/>
        </w:rPr>
        <w:t>see also Anderson, Doherty and Reid v The Scottish</w:t>
      </w:r>
      <w:r w:rsidRPr="00A916F3">
        <w:rPr>
          <w:sz w:val="16"/>
        </w:rPr>
        <w:t xml:space="preserve"> </w:t>
      </w:r>
      <w:r w:rsidRPr="00A916F3">
        <w:rPr>
          <w:sz w:val="16"/>
        </w:rPr>
        <w:t>Ministers and the Advocate-General for Scotland</w:t>
      </w:r>
      <w:r w:rsidRPr="00A916F3">
        <w:rPr>
          <w:sz w:val="16"/>
        </w:rPr>
        <w:t xml:space="preserve"> </w:t>
      </w:r>
      <w:r w:rsidRPr="00A916F3">
        <w:rPr>
          <w:sz w:val="16"/>
        </w:rPr>
        <w:t>[2001] Mental Health Law Report 192 (Privy Council</w:t>
      </w:r>
      <w:r w:rsidRPr="00A916F3">
        <w:rPr>
          <w:sz w:val="16"/>
        </w:rPr>
        <w:t xml:space="preserve"> </w:t>
      </w:r>
      <w:r w:rsidRPr="00A916F3">
        <w:rPr>
          <w:sz w:val="16"/>
        </w:rPr>
        <w:t>– considering the Mental Health (Public Safety and</w:t>
      </w:r>
      <w:r w:rsidRPr="00A916F3">
        <w:rPr>
          <w:sz w:val="16"/>
        </w:rPr>
        <w:t xml:space="preserve"> </w:t>
      </w:r>
      <w:r w:rsidRPr="00A916F3">
        <w:rPr>
          <w:sz w:val="16"/>
        </w:rPr>
        <w:t>Appeals) (Scotland) Act 1999), and cases relating to</w:t>
      </w:r>
      <w:r w:rsidRPr="00A916F3">
        <w:rPr>
          <w:sz w:val="16"/>
        </w:rPr>
        <w:t xml:space="preserve"> </w:t>
      </w:r>
      <w:r w:rsidRPr="00A916F3">
        <w:rPr>
          <w:sz w:val="16"/>
        </w:rPr>
        <w:t>criminal matters, R v Antoine [2000] Mental Health</w:t>
      </w:r>
      <w:r w:rsidRPr="00A916F3">
        <w:rPr>
          <w:sz w:val="16"/>
        </w:rPr>
        <w:t xml:space="preserve"> </w:t>
      </w:r>
      <w:r w:rsidRPr="00A916F3">
        <w:rPr>
          <w:sz w:val="16"/>
        </w:rPr>
        <w:t>Law Reports 28, R v Drew [2003] Mental Health Law</w:t>
      </w:r>
      <w:r w:rsidRPr="00A916F3">
        <w:rPr>
          <w:sz w:val="16"/>
        </w:rPr>
        <w:t xml:space="preserve"> </w:t>
      </w:r>
      <w:r w:rsidRPr="00A916F3">
        <w:rPr>
          <w:sz w:val="16"/>
        </w:rPr>
        <w:t>Reports 282, and R v H [2003] Mental Health Law</w:t>
      </w:r>
      <w:r w:rsidRPr="00A916F3">
        <w:rPr>
          <w:sz w:val="16"/>
        </w:rPr>
        <w:t xml:space="preserve"> </w:t>
      </w:r>
      <w:r w:rsidRPr="00A916F3">
        <w:rPr>
          <w:sz w:val="16"/>
        </w:rPr>
        <w:t>Reports 209.</w:t>
      </w:r>
    </w:p>
  </w:footnote>
  <w:footnote w:id="3">
    <w:p w:rsidR="00B94AAB" w:rsidRPr="00B94AAB" w:rsidRDefault="00B94AAB">
      <w:pPr>
        <w:pStyle w:val="FootnoteText"/>
        <w:rPr>
          <w:sz w:val="16"/>
        </w:rPr>
      </w:pPr>
      <w:r w:rsidRPr="00B94AAB">
        <w:rPr>
          <w:rStyle w:val="FootnoteReference"/>
          <w:sz w:val="16"/>
        </w:rPr>
        <w:footnoteRef/>
      </w:r>
      <w:r w:rsidRPr="00B94AAB">
        <w:rPr>
          <w:sz w:val="16"/>
        </w:rPr>
        <w:t xml:space="preserve"> </w:t>
      </w:r>
      <w:proofErr w:type="gramStart"/>
      <w:r w:rsidRPr="00B94AAB">
        <w:rPr>
          <w:sz w:val="16"/>
        </w:rPr>
        <w:t>s11(</w:t>
      </w:r>
      <w:proofErr w:type="gramEnd"/>
      <w:r w:rsidRPr="00B94AAB">
        <w:rPr>
          <w:sz w:val="16"/>
        </w:rPr>
        <w:t>4) of the 1983 Act.</w:t>
      </w:r>
    </w:p>
  </w:footnote>
  <w:footnote w:id="4">
    <w:p w:rsidR="00B94AAB" w:rsidRPr="00B94AAB" w:rsidRDefault="00B94AAB">
      <w:pPr>
        <w:pStyle w:val="FootnoteText"/>
        <w:rPr>
          <w:sz w:val="16"/>
        </w:rPr>
      </w:pPr>
      <w:r w:rsidRPr="00B94AAB">
        <w:rPr>
          <w:rStyle w:val="FootnoteReference"/>
          <w:sz w:val="16"/>
        </w:rPr>
        <w:footnoteRef/>
      </w:r>
      <w:r w:rsidRPr="00B94AAB">
        <w:rPr>
          <w:sz w:val="16"/>
        </w:rPr>
        <w:t xml:space="preserve"> </w:t>
      </w:r>
      <w:proofErr w:type="gramStart"/>
      <w:r w:rsidRPr="00B94AAB">
        <w:rPr>
          <w:sz w:val="16"/>
        </w:rPr>
        <w:t>s29(</w:t>
      </w:r>
      <w:proofErr w:type="gramEnd"/>
      <w:r w:rsidRPr="00B94AAB">
        <w:rPr>
          <w:sz w:val="16"/>
        </w:rPr>
        <w:t>4).</w:t>
      </w:r>
    </w:p>
  </w:footnote>
  <w:footnote w:id="5">
    <w:p w:rsidR="00B94AAB" w:rsidRPr="00B94AAB" w:rsidRDefault="00B94AAB">
      <w:pPr>
        <w:pStyle w:val="FootnoteText"/>
        <w:rPr>
          <w:sz w:val="16"/>
        </w:rPr>
      </w:pPr>
      <w:r w:rsidRPr="00B94AAB">
        <w:rPr>
          <w:rStyle w:val="FootnoteReference"/>
          <w:sz w:val="16"/>
        </w:rPr>
        <w:footnoteRef/>
      </w:r>
      <w:r w:rsidRPr="00B94AAB">
        <w:rPr>
          <w:sz w:val="16"/>
        </w:rPr>
        <w:t xml:space="preserve"> </w:t>
      </w:r>
      <w:proofErr w:type="gramStart"/>
      <w:r w:rsidRPr="00B94AAB">
        <w:rPr>
          <w:sz w:val="16"/>
        </w:rPr>
        <w:t>s66(</w:t>
      </w:r>
      <w:proofErr w:type="gramEnd"/>
      <w:r w:rsidRPr="00B94AAB">
        <w:rPr>
          <w:sz w:val="16"/>
        </w:rPr>
        <w:t>1).</w:t>
      </w:r>
    </w:p>
  </w:footnote>
  <w:footnote w:id="6">
    <w:p w:rsidR="00B94AAB" w:rsidRPr="00B94AAB" w:rsidRDefault="00B94AAB">
      <w:pPr>
        <w:pStyle w:val="FootnoteText"/>
        <w:rPr>
          <w:sz w:val="16"/>
        </w:rPr>
      </w:pPr>
      <w:r w:rsidRPr="00B94AAB">
        <w:rPr>
          <w:rStyle w:val="FootnoteReference"/>
          <w:sz w:val="16"/>
        </w:rPr>
        <w:footnoteRef/>
      </w:r>
      <w:r w:rsidRPr="00B94AAB">
        <w:rPr>
          <w:sz w:val="16"/>
        </w:rPr>
        <w:t xml:space="preserve"> </w:t>
      </w:r>
      <w:proofErr w:type="gramStart"/>
      <w:r w:rsidRPr="00B94AAB">
        <w:rPr>
          <w:sz w:val="16"/>
        </w:rPr>
        <w:t>s66(</w:t>
      </w:r>
      <w:proofErr w:type="gramEnd"/>
      <w:r w:rsidRPr="00B94AAB">
        <w:rPr>
          <w:sz w:val="16"/>
        </w:rPr>
        <w:t>2).</w:t>
      </w:r>
    </w:p>
  </w:footnote>
  <w:footnote w:id="7">
    <w:p w:rsidR="00B94AAB" w:rsidRDefault="00B94AAB" w:rsidP="00B94AAB">
      <w:pPr>
        <w:pStyle w:val="FootnoteText"/>
      </w:pPr>
      <w:r w:rsidRPr="00B94AAB">
        <w:rPr>
          <w:rStyle w:val="FootnoteReference"/>
          <w:sz w:val="16"/>
        </w:rPr>
        <w:footnoteRef/>
      </w:r>
      <w:r w:rsidRPr="00B94AAB">
        <w:rPr>
          <w:sz w:val="16"/>
        </w:rPr>
        <w:t xml:space="preserve"> </w:t>
      </w:r>
      <w:proofErr w:type="gramStart"/>
      <w:r w:rsidRPr="00B94AAB">
        <w:rPr>
          <w:sz w:val="16"/>
        </w:rPr>
        <w:t>see</w:t>
      </w:r>
      <w:proofErr w:type="gramEnd"/>
      <w:r w:rsidRPr="00B94AAB">
        <w:rPr>
          <w:sz w:val="16"/>
        </w:rPr>
        <w:t xml:space="preserve"> Lewis v Gibson [2005] Mental Health Law Reports</w:t>
      </w:r>
      <w:r w:rsidRPr="00B94AAB">
        <w:rPr>
          <w:sz w:val="16"/>
        </w:rPr>
        <w:t xml:space="preserve"> </w:t>
      </w:r>
      <w:r w:rsidRPr="00B94AAB">
        <w:rPr>
          <w:sz w:val="16"/>
        </w:rPr>
        <w:t>309.</w:t>
      </w:r>
    </w:p>
  </w:footnote>
  <w:footnote w:id="8">
    <w:p w:rsidR="0098307A" w:rsidRPr="0098307A" w:rsidRDefault="0098307A" w:rsidP="0098307A">
      <w:pPr>
        <w:pStyle w:val="FootnoteText"/>
        <w:rPr>
          <w:sz w:val="16"/>
        </w:rPr>
      </w:pPr>
      <w:r w:rsidRPr="0098307A">
        <w:rPr>
          <w:rStyle w:val="FootnoteReference"/>
          <w:sz w:val="16"/>
        </w:rPr>
        <w:footnoteRef/>
      </w:r>
      <w:r w:rsidRPr="0098307A">
        <w:rPr>
          <w:sz w:val="16"/>
        </w:rPr>
        <w:t xml:space="preserve"> </w:t>
      </w:r>
      <w:r w:rsidRPr="0098307A">
        <w:rPr>
          <w:sz w:val="16"/>
        </w:rPr>
        <w:t xml:space="preserve">This was because CCR </w:t>
      </w:r>
      <w:proofErr w:type="spellStart"/>
      <w:r w:rsidRPr="0098307A">
        <w:rPr>
          <w:sz w:val="16"/>
        </w:rPr>
        <w:t>Ord</w:t>
      </w:r>
      <w:proofErr w:type="spellEnd"/>
      <w:r w:rsidRPr="0098307A">
        <w:rPr>
          <w:sz w:val="16"/>
        </w:rPr>
        <w:t xml:space="preserve"> 49, </w:t>
      </w:r>
      <w:proofErr w:type="gramStart"/>
      <w:r w:rsidRPr="0098307A">
        <w:rPr>
          <w:sz w:val="16"/>
        </w:rPr>
        <w:t>r12(</w:t>
      </w:r>
      <w:proofErr w:type="gramEnd"/>
      <w:r w:rsidRPr="0098307A">
        <w:rPr>
          <w:sz w:val="16"/>
        </w:rPr>
        <w:t>3)(b) at the time</w:t>
      </w:r>
      <w:r w:rsidRPr="0098307A">
        <w:rPr>
          <w:sz w:val="16"/>
        </w:rPr>
        <w:t xml:space="preserve"> </w:t>
      </w:r>
      <w:r w:rsidRPr="0098307A">
        <w:rPr>
          <w:sz w:val="16"/>
        </w:rPr>
        <w:t>provided that anyone other than the patient could be</w:t>
      </w:r>
      <w:r w:rsidRPr="0098307A">
        <w:rPr>
          <w:sz w:val="16"/>
        </w:rPr>
        <w:t xml:space="preserve"> </w:t>
      </w:r>
      <w:r w:rsidRPr="0098307A">
        <w:rPr>
          <w:sz w:val="16"/>
        </w:rPr>
        <w:t>made a party to proceedings. This was amended by the</w:t>
      </w:r>
      <w:r w:rsidRPr="0098307A">
        <w:rPr>
          <w:sz w:val="16"/>
        </w:rPr>
        <w:t xml:space="preserve"> </w:t>
      </w:r>
      <w:r w:rsidRPr="0098307A">
        <w:rPr>
          <w:sz w:val="16"/>
        </w:rPr>
        <w:t>Civil Procedure (Amendment) Rules 2005 (SI</w:t>
      </w:r>
      <w:r w:rsidRPr="0098307A">
        <w:rPr>
          <w:sz w:val="16"/>
        </w:rPr>
        <w:t xml:space="preserve"> </w:t>
      </w:r>
      <w:r w:rsidRPr="0098307A">
        <w:rPr>
          <w:sz w:val="16"/>
        </w:rPr>
        <w:t>2005/352): see Lewis v Gibson [2005] Mental Health</w:t>
      </w:r>
      <w:r w:rsidRPr="0098307A">
        <w:rPr>
          <w:sz w:val="16"/>
        </w:rPr>
        <w:t xml:space="preserve"> </w:t>
      </w:r>
      <w:r w:rsidRPr="0098307A">
        <w:rPr>
          <w:sz w:val="16"/>
        </w:rPr>
        <w:t>Law Reports 309, the appeal from the displacement</w:t>
      </w:r>
      <w:r w:rsidRPr="0098307A">
        <w:rPr>
          <w:sz w:val="16"/>
        </w:rPr>
        <w:t xml:space="preserve"> </w:t>
      </w:r>
      <w:r w:rsidRPr="0098307A">
        <w:rPr>
          <w:sz w:val="16"/>
        </w:rPr>
        <w:t>proceedings in the MH case, for guidance on the</w:t>
      </w:r>
      <w:r w:rsidRPr="0098307A">
        <w:rPr>
          <w:sz w:val="16"/>
        </w:rPr>
        <w:t xml:space="preserve"> </w:t>
      </w:r>
      <w:r w:rsidRPr="0098307A">
        <w:rPr>
          <w:sz w:val="16"/>
        </w:rPr>
        <w:t>procedural steps which should be taken to ensure that the</w:t>
      </w:r>
      <w:r w:rsidRPr="0098307A">
        <w:rPr>
          <w:sz w:val="16"/>
        </w:rPr>
        <w:t xml:space="preserve"> </w:t>
      </w:r>
      <w:r w:rsidRPr="0098307A">
        <w:rPr>
          <w:sz w:val="16"/>
        </w:rPr>
        <w:t>patient is able to be made a party.</w:t>
      </w:r>
    </w:p>
  </w:footnote>
  <w:footnote w:id="9">
    <w:p w:rsidR="00ED6A77" w:rsidRPr="00ED6A77" w:rsidRDefault="00ED6A77">
      <w:pPr>
        <w:pStyle w:val="FootnoteText"/>
        <w:rPr>
          <w:sz w:val="16"/>
        </w:rPr>
      </w:pPr>
      <w:r w:rsidRPr="00ED6A77">
        <w:rPr>
          <w:rStyle w:val="FootnoteReference"/>
          <w:sz w:val="16"/>
        </w:rPr>
        <w:footnoteRef/>
      </w:r>
      <w:r w:rsidRPr="00ED6A77">
        <w:rPr>
          <w:sz w:val="16"/>
        </w:rPr>
        <w:t xml:space="preserve"> At least not at that time: see preceding footnote.</w:t>
      </w:r>
    </w:p>
  </w:footnote>
  <w:footnote w:id="10">
    <w:p w:rsidR="00ED6A77" w:rsidRPr="00ED6A77" w:rsidRDefault="00ED6A77" w:rsidP="00ED6A77">
      <w:pPr>
        <w:pStyle w:val="FootnoteText"/>
        <w:rPr>
          <w:sz w:val="16"/>
        </w:rPr>
      </w:pPr>
      <w:r w:rsidRPr="00ED6A77">
        <w:rPr>
          <w:rStyle w:val="FootnoteReference"/>
          <w:sz w:val="16"/>
        </w:rPr>
        <w:footnoteRef/>
      </w:r>
      <w:r w:rsidRPr="00ED6A77">
        <w:rPr>
          <w:sz w:val="16"/>
        </w:rPr>
        <w:t xml:space="preserve"> </w:t>
      </w:r>
      <w:r w:rsidRPr="00ED6A77">
        <w:rPr>
          <w:sz w:val="16"/>
        </w:rPr>
        <w:t>‘The Secretary of State may if he thinks fit, at any time</w:t>
      </w:r>
      <w:r w:rsidRPr="00ED6A77">
        <w:rPr>
          <w:sz w:val="16"/>
        </w:rPr>
        <w:t xml:space="preserve"> </w:t>
      </w:r>
      <w:r w:rsidRPr="00ED6A77">
        <w:rPr>
          <w:sz w:val="16"/>
        </w:rPr>
        <w:t>refer to a Mental Health Review Tribunal the case of</w:t>
      </w:r>
      <w:r w:rsidRPr="00ED6A77">
        <w:rPr>
          <w:sz w:val="16"/>
        </w:rPr>
        <w:t xml:space="preserve"> </w:t>
      </w:r>
      <w:r w:rsidRPr="00ED6A77">
        <w:rPr>
          <w:sz w:val="16"/>
        </w:rPr>
        <w:t>any patient who is liable to be detained or subject to</w:t>
      </w:r>
      <w:r w:rsidRPr="00ED6A77">
        <w:rPr>
          <w:sz w:val="16"/>
        </w:rPr>
        <w:t xml:space="preserve"> </w:t>
      </w:r>
      <w:r w:rsidRPr="00ED6A77">
        <w:rPr>
          <w:sz w:val="16"/>
        </w:rPr>
        <w:t>guardianship (or to aftercare under supervision) under</w:t>
      </w:r>
      <w:r w:rsidRPr="00ED6A77">
        <w:rPr>
          <w:sz w:val="16"/>
        </w:rPr>
        <w:t xml:space="preserve"> </w:t>
      </w:r>
      <w:r w:rsidRPr="00ED6A77">
        <w:rPr>
          <w:sz w:val="16"/>
        </w:rPr>
        <w:t>Part II of this Act.’</w:t>
      </w:r>
    </w:p>
  </w:footnote>
  <w:footnote w:id="11">
    <w:p w:rsidR="00ED6A77" w:rsidRPr="00ED6A77" w:rsidRDefault="00ED6A77">
      <w:pPr>
        <w:pStyle w:val="FootnoteText"/>
        <w:rPr>
          <w:sz w:val="16"/>
        </w:rPr>
      </w:pPr>
      <w:r w:rsidRPr="00ED6A77">
        <w:rPr>
          <w:rStyle w:val="FootnoteReference"/>
          <w:sz w:val="16"/>
        </w:rPr>
        <w:footnoteRef/>
      </w:r>
      <w:r w:rsidRPr="00ED6A77">
        <w:rPr>
          <w:sz w:val="16"/>
        </w:rPr>
        <w:t xml:space="preserve"> </w:t>
      </w:r>
      <w:proofErr w:type="gramStart"/>
      <w:r w:rsidRPr="00ED6A77">
        <w:rPr>
          <w:sz w:val="16"/>
        </w:rPr>
        <w:t>Addressed below.</w:t>
      </w:r>
      <w:proofErr w:type="gramEnd"/>
    </w:p>
  </w:footnote>
  <w:footnote w:id="12">
    <w:p w:rsidR="00ED6A77" w:rsidRPr="00ED6A77" w:rsidRDefault="00ED6A77" w:rsidP="00ED6A77">
      <w:pPr>
        <w:pStyle w:val="FootnoteText"/>
        <w:rPr>
          <w:sz w:val="16"/>
        </w:rPr>
      </w:pPr>
      <w:r w:rsidRPr="00ED6A77">
        <w:rPr>
          <w:rStyle w:val="FootnoteReference"/>
          <w:sz w:val="16"/>
        </w:rPr>
        <w:footnoteRef/>
      </w:r>
      <w:r w:rsidRPr="00ED6A77">
        <w:rPr>
          <w:sz w:val="16"/>
        </w:rPr>
        <w:t xml:space="preserve"> </w:t>
      </w:r>
      <w:r w:rsidRPr="00ED6A77">
        <w:rPr>
          <w:sz w:val="16"/>
        </w:rPr>
        <w:t>At para 12; the context was Buxton LJ’s reliance on</w:t>
      </w:r>
      <w:r w:rsidRPr="00ED6A77">
        <w:rPr>
          <w:sz w:val="16"/>
        </w:rPr>
        <w:t xml:space="preserve"> </w:t>
      </w:r>
      <w:r w:rsidRPr="00ED6A77">
        <w:rPr>
          <w:sz w:val="16"/>
        </w:rPr>
        <w:t>comments from Hale LJ as she then was in the case of R</w:t>
      </w:r>
      <w:r w:rsidRPr="00ED6A77">
        <w:rPr>
          <w:sz w:val="16"/>
        </w:rPr>
        <w:t xml:space="preserve"> </w:t>
      </w:r>
      <w:r w:rsidRPr="00ED6A77">
        <w:rPr>
          <w:sz w:val="16"/>
        </w:rPr>
        <w:t>(S) v City of Plymouth [2002] Mental Health Law</w:t>
      </w:r>
      <w:r w:rsidRPr="00ED6A77">
        <w:rPr>
          <w:sz w:val="16"/>
        </w:rPr>
        <w:t xml:space="preserve"> </w:t>
      </w:r>
      <w:r w:rsidRPr="00ED6A77">
        <w:rPr>
          <w:sz w:val="16"/>
        </w:rPr>
        <w:t>Reports 118, [2002] 1 WLR 2582 [39] that</w:t>
      </w:r>
      <w:r w:rsidRPr="00ED6A77">
        <w:rPr>
          <w:sz w:val="16"/>
        </w:rPr>
        <w:t xml:space="preserve"> </w:t>
      </w:r>
      <w:r w:rsidRPr="00ED6A77">
        <w:rPr>
          <w:sz w:val="16"/>
        </w:rPr>
        <w:t>“applications under s29 have to be dealt with quickly”</w:t>
      </w:r>
      <w:r w:rsidRPr="00ED6A77">
        <w:rPr>
          <w:sz w:val="16"/>
        </w:rPr>
        <w:t xml:space="preserve"> </w:t>
      </w:r>
      <w:r w:rsidRPr="00ED6A77">
        <w:rPr>
          <w:sz w:val="16"/>
        </w:rPr>
        <w:t>to make the point that they had not been dealt with</w:t>
      </w:r>
      <w:r w:rsidRPr="00ED6A77">
        <w:rPr>
          <w:sz w:val="16"/>
        </w:rPr>
        <w:t xml:space="preserve"> </w:t>
      </w:r>
      <w:r w:rsidRPr="00ED6A77">
        <w:rPr>
          <w:sz w:val="16"/>
        </w:rPr>
        <w:t>quickly on the facts of MH’s case.</w:t>
      </w:r>
    </w:p>
  </w:footnote>
  <w:footnote w:id="13">
    <w:p w:rsidR="004366E6" w:rsidRPr="004366E6" w:rsidRDefault="004366E6" w:rsidP="004366E6">
      <w:pPr>
        <w:pStyle w:val="FootnoteText"/>
        <w:rPr>
          <w:sz w:val="16"/>
        </w:rPr>
      </w:pPr>
      <w:r w:rsidRPr="004366E6">
        <w:rPr>
          <w:rStyle w:val="FootnoteReference"/>
          <w:sz w:val="16"/>
        </w:rPr>
        <w:footnoteRef/>
      </w:r>
      <w:r w:rsidRPr="004366E6">
        <w:rPr>
          <w:sz w:val="16"/>
        </w:rPr>
        <w:t xml:space="preserve"> </w:t>
      </w:r>
      <w:r w:rsidRPr="004366E6">
        <w:rPr>
          <w:sz w:val="16"/>
        </w:rPr>
        <w:t>A long established principle of Convention</w:t>
      </w:r>
      <w:r w:rsidRPr="004366E6">
        <w:rPr>
          <w:sz w:val="16"/>
        </w:rPr>
        <w:t xml:space="preserve"> </w:t>
      </w:r>
      <w:r w:rsidRPr="004366E6">
        <w:rPr>
          <w:sz w:val="16"/>
        </w:rPr>
        <w:t xml:space="preserve">jurisprudence – see as a good example </w:t>
      </w:r>
      <w:proofErr w:type="spellStart"/>
      <w:r w:rsidRPr="004366E6">
        <w:rPr>
          <w:sz w:val="16"/>
        </w:rPr>
        <w:t>Airey</w:t>
      </w:r>
      <w:proofErr w:type="spellEnd"/>
      <w:r w:rsidRPr="004366E6">
        <w:rPr>
          <w:sz w:val="16"/>
        </w:rPr>
        <w:t xml:space="preserve"> v Ireland</w:t>
      </w:r>
      <w:r w:rsidRPr="004366E6">
        <w:rPr>
          <w:sz w:val="16"/>
        </w:rPr>
        <w:t xml:space="preserve"> </w:t>
      </w:r>
      <w:r w:rsidRPr="004366E6">
        <w:rPr>
          <w:sz w:val="16"/>
        </w:rPr>
        <w:t>(1979) 2 EHRR 305, in which it was determined that</w:t>
      </w:r>
      <w:r w:rsidRPr="004366E6">
        <w:rPr>
          <w:sz w:val="16"/>
        </w:rPr>
        <w:t xml:space="preserve"> </w:t>
      </w:r>
      <w:r w:rsidRPr="004366E6">
        <w:rPr>
          <w:sz w:val="16"/>
        </w:rPr>
        <w:t>the right to a fair trial in civil proceedings might well</w:t>
      </w:r>
      <w:r w:rsidRPr="004366E6">
        <w:rPr>
          <w:sz w:val="16"/>
        </w:rPr>
        <w:t xml:space="preserve"> </w:t>
      </w:r>
      <w:r w:rsidRPr="004366E6">
        <w:rPr>
          <w:sz w:val="16"/>
        </w:rPr>
        <w:t>require the provision of legal aid in order to be effective,</w:t>
      </w:r>
      <w:r w:rsidRPr="004366E6">
        <w:rPr>
          <w:sz w:val="16"/>
        </w:rPr>
        <w:t xml:space="preserve"> </w:t>
      </w:r>
      <w:r w:rsidRPr="004366E6">
        <w:rPr>
          <w:sz w:val="16"/>
        </w:rPr>
        <w:t>even though the Convention makes express reference to</w:t>
      </w:r>
      <w:r w:rsidRPr="004366E6">
        <w:rPr>
          <w:sz w:val="16"/>
        </w:rPr>
        <w:t xml:space="preserve"> </w:t>
      </w:r>
      <w:r w:rsidRPr="004366E6">
        <w:rPr>
          <w:sz w:val="16"/>
        </w:rPr>
        <w:t>legal aid only in the context of criminal proceedings.</w:t>
      </w:r>
    </w:p>
  </w:footnote>
  <w:footnote w:id="14">
    <w:p w:rsidR="004366E6" w:rsidRPr="004366E6" w:rsidRDefault="004366E6" w:rsidP="004366E6">
      <w:pPr>
        <w:pStyle w:val="FootnoteText"/>
        <w:rPr>
          <w:sz w:val="16"/>
        </w:rPr>
      </w:pPr>
      <w:r w:rsidRPr="004366E6">
        <w:rPr>
          <w:rStyle w:val="FootnoteReference"/>
          <w:sz w:val="16"/>
        </w:rPr>
        <w:footnoteRef/>
      </w:r>
      <w:r w:rsidRPr="004366E6">
        <w:rPr>
          <w:sz w:val="16"/>
        </w:rPr>
        <w:t xml:space="preserve"> </w:t>
      </w:r>
      <w:r w:rsidRPr="004366E6">
        <w:rPr>
          <w:sz w:val="16"/>
        </w:rPr>
        <w:t>Section 132 of the Act, which imposes a statutory duty</w:t>
      </w:r>
      <w:r w:rsidRPr="004366E6">
        <w:rPr>
          <w:sz w:val="16"/>
        </w:rPr>
        <w:t xml:space="preserve"> </w:t>
      </w:r>
      <w:r w:rsidRPr="004366E6">
        <w:rPr>
          <w:sz w:val="16"/>
        </w:rPr>
        <w:t>to give advice, as supplemented by the Code of Practice</w:t>
      </w:r>
      <w:r w:rsidRPr="004366E6">
        <w:rPr>
          <w:sz w:val="16"/>
        </w:rPr>
        <w:t xml:space="preserve"> </w:t>
      </w:r>
      <w:r w:rsidRPr="004366E6">
        <w:rPr>
          <w:sz w:val="16"/>
        </w:rPr>
        <w:t>issued under s118 of the Act, which includes guidance</w:t>
      </w:r>
      <w:r w:rsidRPr="004366E6">
        <w:rPr>
          <w:sz w:val="16"/>
        </w:rPr>
        <w:t xml:space="preserve"> </w:t>
      </w:r>
      <w:r w:rsidRPr="004366E6">
        <w:rPr>
          <w:sz w:val="16"/>
        </w:rPr>
        <w:t>that hospitals should ensure that advice is given by</w:t>
      </w:r>
      <w:r w:rsidRPr="004366E6">
        <w:rPr>
          <w:sz w:val="16"/>
        </w:rPr>
        <w:t xml:space="preserve"> </w:t>
      </w:r>
      <w:r w:rsidRPr="004366E6">
        <w:rPr>
          <w:sz w:val="16"/>
        </w:rPr>
        <w:t>people with appropriate training and that information</w:t>
      </w:r>
      <w:r w:rsidRPr="004366E6">
        <w:rPr>
          <w:sz w:val="16"/>
        </w:rPr>
        <w:t xml:space="preserve"> </w:t>
      </w:r>
      <w:r w:rsidRPr="004366E6">
        <w:rPr>
          <w:sz w:val="16"/>
        </w:rPr>
        <w:t>provided includes material on how to apply to the</w:t>
      </w:r>
      <w:r w:rsidRPr="004366E6">
        <w:rPr>
          <w:sz w:val="16"/>
        </w:rPr>
        <w:t xml:space="preserve"> </w:t>
      </w:r>
      <w:r w:rsidRPr="004366E6">
        <w:rPr>
          <w:sz w:val="16"/>
        </w:rPr>
        <w:t>Mental Health Review Tribunal, the availability of</w:t>
      </w:r>
      <w:r w:rsidRPr="004366E6">
        <w:rPr>
          <w:sz w:val="16"/>
        </w:rPr>
        <w:t xml:space="preserve"> </w:t>
      </w:r>
      <w:r w:rsidRPr="004366E6">
        <w:rPr>
          <w:sz w:val="16"/>
        </w:rPr>
        <w:t>legal aid and information on solicitors.</w:t>
      </w:r>
    </w:p>
  </w:footnote>
  <w:footnote w:id="15">
    <w:p w:rsidR="004366E6" w:rsidRPr="004366E6" w:rsidRDefault="004366E6">
      <w:pPr>
        <w:pStyle w:val="FootnoteText"/>
        <w:rPr>
          <w:sz w:val="16"/>
        </w:rPr>
      </w:pPr>
      <w:r w:rsidRPr="004366E6">
        <w:rPr>
          <w:rStyle w:val="FootnoteReference"/>
          <w:sz w:val="16"/>
        </w:rPr>
        <w:footnoteRef/>
      </w:r>
      <w:r w:rsidRPr="004366E6">
        <w:rPr>
          <w:sz w:val="16"/>
        </w:rPr>
        <w:t xml:space="preserve"> </w:t>
      </w:r>
      <w:proofErr w:type="gramStart"/>
      <w:r w:rsidRPr="004366E6">
        <w:rPr>
          <w:sz w:val="16"/>
        </w:rPr>
        <w:t>Para 32.</w:t>
      </w:r>
      <w:proofErr w:type="gramEnd"/>
    </w:p>
  </w:footnote>
  <w:footnote w:id="16">
    <w:p w:rsidR="007E5716" w:rsidRPr="004B4566" w:rsidRDefault="007E5716" w:rsidP="007E5716">
      <w:pPr>
        <w:pStyle w:val="FootnoteText"/>
        <w:rPr>
          <w:sz w:val="16"/>
        </w:rPr>
      </w:pPr>
      <w:r w:rsidRPr="004B4566">
        <w:rPr>
          <w:rStyle w:val="FootnoteReference"/>
          <w:sz w:val="16"/>
        </w:rPr>
        <w:footnoteRef/>
      </w:r>
      <w:r w:rsidRPr="004B4566">
        <w:rPr>
          <w:sz w:val="16"/>
        </w:rPr>
        <w:t xml:space="preserve"> </w:t>
      </w:r>
      <w:r w:rsidRPr="004B4566">
        <w:rPr>
          <w:sz w:val="16"/>
        </w:rPr>
        <w:t>Normally under s28 of the Crime (Sentences) Act 1997,</w:t>
      </w:r>
      <w:r w:rsidRPr="004B4566">
        <w:rPr>
          <w:sz w:val="16"/>
        </w:rPr>
        <w:t xml:space="preserve"> </w:t>
      </w:r>
      <w:r w:rsidRPr="004B4566">
        <w:rPr>
          <w:sz w:val="16"/>
        </w:rPr>
        <w:t>though on the facts of the case, due to the date on which</w:t>
      </w:r>
      <w:r w:rsidRPr="004B4566">
        <w:rPr>
          <w:sz w:val="16"/>
        </w:rPr>
        <w:t xml:space="preserve"> </w:t>
      </w:r>
      <w:r w:rsidRPr="004B4566">
        <w:rPr>
          <w:sz w:val="16"/>
        </w:rPr>
        <w:t>D had been sentenced, his access to the Parole Board</w:t>
      </w:r>
      <w:r w:rsidRPr="004B4566">
        <w:rPr>
          <w:sz w:val="16"/>
        </w:rPr>
        <w:t xml:space="preserve"> </w:t>
      </w:r>
      <w:r w:rsidRPr="004B4566">
        <w:rPr>
          <w:sz w:val="16"/>
        </w:rPr>
        <w:t>was by virtue of s34 of the Criminal Justice Act 1991,</w:t>
      </w:r>
      <w:r w:rsidRPr="004B4566">
        <w:rPr>
          <w:sz w:val="16"/>
        </w:rPr>
        <w:t xml:space="preserve"> </w:t>
      </w:r>
      <w:r w:rsidRPr="004B4566">
        <w:rPr>
          <w:sz w:val="16"/>
        </w:rPr>
        <w:t>even though it had been repealed.</w:t>
      </w:r>
    </w:p>
  </w:footnote>
  <w:footnote w:id="17">
    <w:p w:rsidR="007E5716" w:rsidRPr="004B4566" w:rsidRDefault="007E5716">
      <w:pPr>
        <w:pStyle w:val="FootnoteText"/>
        <w:rPr>
          <w:sz w:val="16"/>
        </w:rPr>
      </w:pPr>
      <w:r w:rsidRPr="004B4566">
        <w:rPr>
          <w:rStyle w:val="FootnoteReference"/>
          <w:sz w:val="16"/>
        </w:rPr>
        <w:footnoteRef/>
      </w:r>
      <w:r w:rsidRPr="004B4566">
        <w:rPr>
          <w:sz w:val="16"/>
        </w:rPr>
        <w:t xml:space="preserve"> Section 74 of the Mental Health Act 1983</w:t>
      </w:r>
    </w:p>
  </w:footnote>
  <w:footnote w:id="18">
    <w:p w:rsidR="007E5716" w:rsidRPr="004B4566" w:rsidRDefault="007E5716">
      <w:pPr>
        <w:pStyle w:val="FootnoteText"/>
        <w:rPr>
          <w:sz w:val="16"/>
        </w:rPr>
      </w:pPr>
      <w:r w:rsidRPr="004B4566">
        <w:rPr>
          <w:rStyle w:val="FootnoteReference"/>
          <w:sz w:val="16"/>
        </w:rPr>
        <w:footnoteRef/>
      </w:r>
      <w:r w:rsidRPr="004B4566">
        <w:rPr>
          <w:sz w:val="16"/>
        </w:rPr>
        <w:t xml:space="preserve"> </w:t>
      </w:r>
      <w:proofErr w:type="spellStart"/>
      <w:r w:rsidRPr="004B4566">
        <w:rPr>
          <w:sz w:val="16"/>
        </w:rPr>
        <w:t>Hansard</w:t>
      </w:r>
      <w:proofErr w:type="spellEnd"/>
      <w:r w:rsidRPr="004B4566">
        <w:rPr>
          <w:sz w:val="16"/>
        </w:rPr>
        <w:t xml:space="preserve"> HC Debates 20 June 1994, col 9</w:t>
      </w:r>
    </w:p>
  </w:footnote>
  <w:footnote w:id="19">
    <w:p w:rsidR="004B4566" w:rsidRPr="004B4566" w:rsidRDefault="004B4566" w:rsidP="004B4566">
      <w:pPr>
        <w:pStyle w:val="FootnoteText"/>
        <w:rPr>
          <w:sz w:val="16"/>
        </w:rPr>
      </w:pPr>
      <w:r w:rsidRPr="004B4566">
        <w:rPr>
          <w:rStyle w:val="FootnoteReference"/>
          <w:sz w:val="16"/>
        </w:rPr>
        <w:footnoteRef/>
      </w:r>
      <w:r w:rsidRPr="004B4566">
        <w:rPr>
          <w:sz w:val="16"/>
        </w:rPr>
        <w:t xml:space="preserve"> </w:t>
      </w:r>
      <w:r w:rsidRPr="004B4566">
        <w:rPr>
          <w:sz w:val="16"/>
        </w:rPr>
        <w:t>Section 295 added s74(5A) to the 1983 Act to provide</w:t>
      </w:r>
      <w:r w:rsidRPr="004B4566">
        <w:rPr>
          <w:sz w:val="16"/>
        </w:rPr>
        <w:t xml:space="preserve"> </w:t>
      </w:r>
      <w:r w:rsidRPr="004B4566">
        <w:rPr>
          <w:sz w:val="16"/>
        </w:rPr>
        <w:t>that a transferred prisoner in hospital subject to a</w:t>
      </w:r>
      <w:r w:rsidRPr="004B4566">
        <w:rPr>
          <w:sz w:val="16"/>
        </w:rPr>
        <w:t xml:space="preserve"> </w:t>
      </w:r>
      <w:r w:rsidRPr="004B4566">
        <w:rPr>
          <w:sz w:val="16"/>
        </w:rPr>
        <w:t>restriction direction could apply to the Parole Board and</w:t>
      </w:r>
      <w:r w:rsidRPr="004B4566">
        <w:rPr>
          <w:sz w:val="16"/>
        </w:rPr>
        <w:t xml:space="preserve"> </w:t>
      </w:r>
      <w:r w:rsidRPr="004B4566">
        <w:rPr>
          <w:sz w:val="16"/>
        </w:rPr>
        <w:t>if the Board directed his release the restriction direction</w:t>
      </w:r>
      <w:r w:rsidRPr="004B4566">
        <w:rPr>
          <w:sz w:val="16"/>
        </w:rPr>
        <w:t xml:space="preserve"> </w:t>
      </w:r>
      <w:r w:rsidRPr="004B4566">
        <w:rPr>
          <w:sz w:val="16"/>
        </w:rPr>
        <w:t>would cease to have effect on his release.</w:t>
      </w:r>
    </w:p>
  </w:footnote>
  <w:footnote w:id="20">
    <w:p w:rsidR="004B4566" w:rsidRPr="004B4566" w:rsidRDefault="004B4566" w:rsidP="004B4566">
      <w:pPr>
        <w:pStyle w:val="FootnoteText"/>
        <w:rPr>
          <w:sz w:val="16"/>
        </w:rPr>
      </w:pPr>
      <w:r w:rsidRPr="004B4566">
        <w:rPr>
          <w:rStyle w:val="FootnoteReference"/>
          <w:sz w:val="16"/>
        </w:rPr>
        <w:footnoteRef/>
      </w:r>
      <w:r w:rsidRPr="004B4566">
        <w:rPr>
          <w:sz w:val="16"/>
        </w:rPr>
        <w:t xml:space="preserve"> </w:t>
      </w:r>
      <w:r w:rsidRPr="004B4566">
        <w:rPr>
          <w:sz w:val="16"/>
        </w:rPr>
        <w:t>The now-abolished “technical lifer” status described in</w:t>
      </w:r>
      <w:r w:rsidRPr="004B4566">
        <w:rPr>
          <w:sz w:val="16"/>
        </w:rPr>
        <w:t xml:space="preserve"> </w:t>
      </w:r>
      <w:r w:rsidRPr="004B4566">
        <w:rPr>
          <w:sz w:val="16"/>
        </w:rPr>
        <w:t>R (IR) v (1) Dr G Shetty (2) Home Secretary (No 2)</w:t>
      </w:r>
      <w:r w:rsidRPr="004B4566">
        <w:rPr>
          <w:sz w:val="16"/>
        </w:rPr>
        <w:t xml:space="preserve"> </w:t>
      </w:r>
      <w:r w:rsidRPr="004B4566">
        <w:rPr>
          <w:sz w:val="16"/>
        </w:rPr>
        <w:t>[2004] Mental Health Law Reports 130</w:t>
      </w:r>
    </w:p>
  </w:footnote>
  <w:footnote w:id="21">
    <w:p w:rsidR="004B4566" w:rsidRPr="004B4566" w:rsidRDefault="004B4566" w:rsidP="004B4566">
      <w:pPr>
        <w:pStyle w:val="FootnoteText"/>
        <w:rPr>
          <w:sz w:val="16"/>
        </w:rPr>
      </w:pPr>
      <w:r w:rsidRPr="004B4566">
        <w:rPr>
          <w:rStyle w:val="FootnoteReference"/>
          <w:sz w:val="16"/>
        </w:rPr>
        <w:footnoteRef/>
      </w:r>
      <w:r w:rsidRPr="004B4566">
        <w:rPr>
          <w:sz w:val="16"/>
        </w:rPr>
        <w:t xml:space="preserve"> </w:t>
      </w:r>
      <w:r w:rsidRPr="004B4566">
        <w:rPr>
          <w:sz w:val="16"/>
        </w:rPr>
        <w:t>The Court cited long-established case law in relation to</w:t>
      </w:r>
      <w:r w:rsidRPr="004B4566">
        <w:rPr>
          <w:sz w:val="16"/>
        </w:rPr>
        <w:t xml:space="preserve"> </w:t>
      </w:r>
      <w:r w:rsidRPr="004B4566">
        <w:rPr>
          <w:sz w:val="16"/>
        </w:rPr>
        <w:t>life sentence prisoners, Weeks v UK (1987) 10 EHRR</w:t>
      </w:r>
      <w:r w:rsidRPr="004B4566">
        <w:rPr>
          <w:sz w:val="16"/>
        </w:rPr>
        <w:t xml:space="preserve"> </w:t>
      </w:r>
      <w:r w:rsidRPr="004B4566">
        <w:rPr>
          <w:sz w:val="16"/>
        </w:rPr>
        <w:t>293 and Singh v UK (1996) 22 EHRR 1, and also DN</w:t>
      </w:r>
      <w:r w:rsidRPr="004B4566">
        <w:rPr>
          <w:sz w:val="16"/>
        </w:rPr>
        <w:t xml:space="preserve"> </w:t>
      </w:r>
      <w:r w:rsidRPr="004B4566">
        <w:rPr>
          <w:sz w:val="16"/>
        </w:rPr>
        <w:t>v Switzerland [2001] Mental Health Law Reports 117,</w:t>
      </w:r>
    </w:p>
  </w:footnote>
  <w:footnote w:id="22">
    <w:p w:rsidR="004B4566" w:rsidRPr="004B4566" w:rsidRDefault="004B4566">
      <w:pPr>
        <w:pStyle w:val="FootnoteText"/>
        <w:rPr>
          <w:sz w:val="16"/>
        </w:rPr>
      </w:pPr>
      <w:r w:rsidRPr="004B4566">
        <w:rPr>
          <w:rStyle w:val="FootnoteReference"/>
          <w:sz w:val="16"/>
        </w:rPr>
        <w:footnoteRef/>
      </w:r>
      <w:r w:rsidRPr="004B4566">
        <w:rPr>
          <w:sz w:val="16"/>
        </w:rPr>
        <w:t xml:space="preserve"> </w:t>
      </w:r>
      <w:proofErr w:type="gramStart"/>
      <w:r w:rsidRPr="004B4566">
        <w:rPr>
          <w:sz w:val="16"/>
        </w:rPr>
        <w:t>Section 6 of the 1983 Act.</w:t>
      </w:r>
      <w:proofErr w:type="gramEnd"/>
    </w:p>
  </w:footnote>
  <w:footnote w:id="23">
    <w:p w:rsidR="004B4566" w:rsidRPr="004B4566" w:rsidRDefault="004B4566" w:rsidP="004B4566">
      <w:pPr>
        <w:pStyle w:val="FootnoteText"/>
        <w:rPr>
          <w:sz w:val="16"/>
        </w:rPr>
      </w:pPr>
      <w:r w:rsidRPr="004B4566">
        <w:rPr>
          <w:rStyle w:val="FootnoteReference"/>
          <w:sz w:val="16"/>
        </w:rPr>
        <w:footnoteRef/>
      </w:r>
      <w:r w:rsidRPr="004B4566">
        <w:rPr>
          <w:sz w:val="16"/>
        </w:rPr>
        <w:t xml:space="preserve"> </w:t>
      </w:r>
      <w:r w:rsidRPr="004B4566">
        <w:rPr>
          <w:sz w:val="16"/>
        </w:rPr>
        <w:t>Including the need for steps to be taken to make rights</w:t>
      </w:r>
      <w:r w:rsidRPr="004B4566">
        <w:rPr>
          <w:sz w:val="16"/>
        </w:rPr>
        <w:t xml:space="preserve"> </w:t>
      </w:r>
      <w:r w:rsidRPr="004B4566">
        <w:rPr>
          <w:sz w:val="16"/>
        </w:rPr>
        <w:t>practical and effective, referred to above.</w:t>
      </w:r>
    </w:p>
  </w:footnote>
  <w:footnote w:id="24">
    <w:p w:rsidR="004B4566" w:rsidRPr="004B4566" w:rsidRDefault="004B4566" w:rsidP="004B4566">
      <w:pPr>
        <w:pStyle w:val="FootnoteText"/>
        <w:rPr>
          <w:sz w:val="16"/>
        </w:rPr>
      </w:pPr>
      <w:r w:rsidRPr="004B4566">
        <w:rPr>
          <w:rStyle w:val="FootnoteReference"/>
          <w:sz w:val="16"/>
        </w:rPr>
        <w:footnoteRef/>
      </w:r>
      <w:r w:rsidRPr="004B4566">
        <w:rPr>
          <w:sz w:val="16"/>
        </w:rPr>
        <w:t xml:space="preserve"> </w:t>
      </w:r>
      <w:r w:rsidRPr="004B4566">
        <w:rPr>
          <w:sz w:val="16"/>
        </w:rPr>
        <w:t>Just as, for example, the inability of patients to change</w:t>
      </w:r>
      <w:r w:rsidRPr="004B4566">
        <w:rPr>
          <w:sz w:val="16"/>
        </w:rPr>
        <w:t xml:space="preserve"> </w:t>
      </w:r>
      <w:r w:rsidRPr="004B4566">
        <w:rPr>
          <w:sz w:val="16"/>
        </w:rPr>
        <w:t>their nearest relative has been recognised and accepted</w:t>
      </w:r>
      <w:r w:rsidRPr="004B4566">
        <w:rPr>
          <w:sz w:val="16"/>
        </w:rPr>
        <w:t xml:space="preserve"> </w:t>
      </w:r>
      <w:r w:rsidRPr="004B4566">
        <w:rPr>
          <w:sz w:val="16"/>
        </w:rPr>
        <w:t>for several years (see FC v UK [1999] Mental Health</w:t>
      </w:r>
      <w:r w:rsidRPr="004B4566">
        <w:rPr>
          <w:sz w:val="16"/>
        </w:rPr>
        <w:t xml:space="preserve"> </w:t>
      </w:r>
      <w:r w:rsidRPr="004B4566">
        <w:rPr>
          <w:sz w:val="16"/>
        </w:rPr>
        <w:t>Law Reports 174, 7 September 1999, in which the Court</w:t>
      </w:r>
      <w:r w:rsidRPr="004B4566">
        <w:rPr>
          <w:sz w:val="16"/>
        </w:rPr>
        <w:t xml:space="preserve"> </w:t>
      </w:r>
      <w:r w:rsidRPr="004B4566">
        <w:rPr>
          <w:sz w:val="16"/>
        </w:rPr>
        <w:t>referred to correspondence from the government</w:t>
      </w:r>
      <w:r w:rsidRPr="004B4566">
        <w:rPr>
          <w:sz w:val="16"/>
        </w:rPr>
        <w:t xml:space="preserve"> </w:t>
      </w:r>
      <w:r w:rsidRPr="004B4566">
        <w:rPr>
          <w:sz w:val="16"/>
        </w:rPr>
        <w:t>indicating that the matter would be resolved as part of a</w:t>
      </w:r>
      <w:r w:rsidRPr="004B4566">
        <w:rPr>
          <w:sz w:val="16"/>
        </w:rPr>
        <w:t xml:space="preserve"> </w:t>
      </w:r>
      <w:r w:rsidRPr="004B4566">
        <w:rPr>
          <w:sz w:val="16"/>
        </w:rPr>
        <w:t>review of mental health legislation). See also JT v UK</w:t>
      </w:r>
      <w:r w:rsidRPr="004B4566">
        <w:rPr>
          <w:sz w:val="16"/>
        </w:rPr>
        <w:t xml:space="preserve"> </w:t>
      </w:r>
      <w:r w:rsidRPr="004B4566">
        <w:rPr>
          <w:sz w:val="16"/>
        </w:rPr>
        <w:t>[2000] Mental Health Law Reports 254, 30 March</w:t>
      </w:r>
      <w:r w:rsidRPr="004B4566">
        <w:rPr>
          <w:sz w:val="16"/>
        </w:rPr>
        <w:t xml:space="preserve"> </w:t>
      </w:r>
      <w:r w:rsidRPr="004B4566">
        <w:rPr>
          <w:sz w:val="16"/>
        </w:rPr>
        <w:t>2000.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D0"/>
    <w:rsid w:val="000C6466"/>
    <w:rsid w:val="00261FD0"/>
    <w:rsid w:val="0037081C"/>
    <w:rsid w:val="004366E6"/>
    <w:rsid w:val="004B4566"/>
    <w:rsid w:val="004E6848"/>
    <w:rsid w:val="007048F6"/>
    <w:rsid w:val="007E5716"/>
    <w:rsid w:val="0098307A"/>
    <w:rsid w:val="00A916F3"/>
    <w:rsid w:val="00B94AAB"/>
    <w:rsid w:val="00ED6A77"/>
    <w:rsid w:val="00FB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916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6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6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916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6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2870-EDA3-4C52-A202-470581C3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4985</Words>
  <Characters>28416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33335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6</cp:revision>
  <dcterms:created xsi:type="dcterms:W3CDTF">2014-10-21T11:22:00Z</dcterms:created>
  <dcterms:modified xsi:type="dcterms:W3CDTF">2014-10-21T14:46:00Z</dcterms:modified>
</cp:coreProperties>
</file>