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D7B" w:rsidRPr="00843D7B" w:rsidRDefault="00843D7B" w:rsidP="00843D7B">
      <w:pPr>
        <w:rPr>
          <w:sz w:val="56"/>
          <w:szCs w:val="56"/>
        </w:rPr>
      </w:pPr>
      <w:r w:rsidRPr="00843D7B">
        <w:rPr>
          <w:sz w:val="56"/>
          <w:szCs w:val="56"/>
        </w:rPr>
        <w:t>Book reviews</w:t>
      </w:r>
    </w:p>
    <w:p w:rsidR="00843D7B" w:rsidRPr="00843D7B" w:rsidRDefault="00843D7B" w:rsidP="00843D7B">
      <w:pPr>
        <w:rPr>
          <w:b/>
          <w:bCs/>
          <w:i/>
          <w:iCs/>
          <w:sz w:val="40"/>
          <w:szCs w:val="40"/>
        </w:rPr>
      </w:pPr>
      <w:r w:rsidRPr="00843D7B">
        <w:rPr>
          <w:b/>
          <w:bCs/>
          <w:i/>
          <w:iCs/>
          <w:sz w:val="40"/>
          <w:szCs w:val="40"/>
        </w:rPr>
        <w:t xml:space="preserve">Seminal Issues in Mental Health Law by Jill </w:t>
      </w:r>
      <w:proofErr w:type="spellStart"/>
      <w:r w:rsidRPr="00843D7B">
        <w:rPr>
          <w:b/>
          <w:bCs/>
          <w:i/>
          <w:iCs/>
          <w:sz w:val="40"/>
          <w:szCs w:val="40"/>
        </w:rPr>
        <w:t>Peay</w:t>
      </w:r>
      <w:proofErr w:type="spellEnd"/>
    </w:p>
    <w:p w:rsidR="00843D7B" w:rsidRPr="00843D7B" w:rsidRDefault="00843D7B" w:rsidP="00843D7B">
      <w:pPr>
        <w:rPr>
          <w:b/>
          <w:bCs/>
          <w:i/>
          <w:iCs/>
          <w:sz w:val="36"/>
          <w:szCs w:val="36"/>
        </w:rPr>
      </w:pPr>
      <w:r w:rsidRPr="00843D7B">
        <w:rPr>
          <w:b/>
          <w:bCs/>
          <w:i/>
          <w:iCs/>
          <w:sz w:val="36"/>
          <w:szCs w:val="36"/>
        </w:rPr>
        <w:t xml:space="preserve">Published by </w:t>
      </w:r>
      <w:proofErr w:type="spellStart"/>
      <w:r w:rsidRPr="00843D7B">
        <w:rPr>
          <w:b/>
          <w:bCs/>
          <w:i/>
          <w:iCs/>
          <w:sz w:val="36"/>
          <w:szCs w:val="36"/>
        </w:rPr>
        <w:t>Ashgate</w:t>
      </w:r>
      <w:proofErr w:type="spellEnd"/>
      <w:r w:rsidRPr="00843D7B">
        <w:rPr>
          <w:b/>
          <w:bCs/>
          <w:i/>
          <w:iCs/>
          <w:sz w:val="36"/>
          <w:szCs w:val="36"/>
        </w:rPr>
        <w:t xml:space="preserve"> (2005), £135</w:t>
      </w:r>
    </w:p>
    <w:p w:rsidR="00843D7B" w:rsidRDefault="00843D7B" w:rsidP="00843D7B"/>
    <w:p w:rsidR="00843D7B" w:rsidRPr="00843D7B" w:rsidRDefault="00843D7B" w:rsidP="00843D7B">
      <w:r w:rsidRPr="00843D7B">
        <w:t>This excellent resource is a collection of thirty-five essays, chapters and extracts on civil mental</w:t>
      </w:r>
      <w:r>
        <w:t xml:space="preserve"> </w:t>
      </w:r>
      <w:r w:rsidRPr="00843D7B">
        <w:t>health law from various authors, drawn from a range of sources between 1973 and 2005 (with</w:t>
      </w:r>
      <w:r>
        <w:t xml:space="preserve"> </w:t>
      </w:r>
      <w:r w:rsidRPr="00843D7B">
        <w:t>three-quarters of the selections dated after 1990). The texts, which are mainly academic journal</w:t>
      </w:r>
      <w:r>
        <w:t xml:space="preserve"> </w:t>
      </w:r>
      <w:r w:rsidRPr="00843D7B">
        <w:t>articles, are reproduced with original typography, pagination and bibliographies which, whilst</w:t>
      </w:r>
      <w:r>
        <w:t xml:space="preserve"> </w:t>
      </w:r>
      <w:r w:rsidRPr="00843D7B">
        <w:t>occasionally reduced to uncomfortably small font sizes, will be a help in research and referencing.</w:t>
      </w:r>
      <w:r>
        <w:t xml:space="preserve"> </w:t>
      </w:r>
      <w:r w:rsidRPr="00843D7B">
        <w:t>It is indexed by name but not, unfortunately, by subject. The long introductory essay by the editor,</w:t>
      </w:r>
      <w:r>
        <w:t xml:space="preserve"> </w:t>
      </w:r>
      <w:r w:rsidRPr="00843D7B">
        <w:t xml:space="preserve">Professor Jill </w:t>
      </w:r>
      <w:proofErr w:type="spellStart"/>
      <w:r w:rsidRPr="00843D7B">
        <w:t>Peay</w:t>
      </w:r>
      <w:proofErr w:type="spellEnd"/>
      <w:r w:rsidRPr="00843D7B">
        <w:t xml:space="preserve"> (London School of Economics), provides an interesting and useful commentary</w:t>
      </w:r>
      <w:r>
        <w:t xml:space="preserve"> </w:t>
      </w:r>
      <w:r w:rsidRPr="00843D7B">
        <w:t>on the choices of material, highlights areas where the law has moved on from the positions</w:t>
      </w:r>
      <w:r>
        <w:t xml:space="preserve"> </w:t>
      </w:r>
      <w:r w:rsidRPr="00843D7B">
        <w:t>discussed, and draws out a theme from the collection as a whole.</w:t>
      </w:r>
    </w:p>
    <w:p w:rsidR="00843D7B" w:rsidRPr="00843D7B" w:rsidRDefault="00843D7B" w:rsidP="00843D7B">
      <w:r w:rsidRPr="00843D7B">
        <w:t xml:space="preserve">Whilst </w:t>
      </w:r>
      <w:proofErr w:type="spellStart"/>
      <w:r w:rsidRPr="00843D7B">
        <w:t>Peay</w:t>
      </w:r>
      <w:proofErr w:type="spellEnd"/>
      <w:r w:rsidRPr="00843D7B">
        <w:t xml:space="preserve"> suggests that this is a volume to be dipped into rather than read through, there is</w:t>
      </w:r>
      <w:r>
        <w:t xml:space="preserve"> </w:t>
      </w:r>
      <w:r w:rsidRPr="00843D7B">
        <w:t>structure behind its arrangement, and I found it rewarding to read from cover to cover. The book</w:t>
      </w:r>
      <w:r>
        <w:t xml:space="preserve"> </w:t>
      </w:r>
      <w:r w:rsidRPr="00843D7B">
        <w:t>is divided into three parts (titled respectively ‘principles’, ‘process’ and ‘trends’) and many essays</w:t>
      </w:r>
      <w:r>
        <w:t xml:space="preserve"> </w:t>
      </w:r>
      <w:r w:rsidRPr="00843D7B">
        <w:t>provide a development, or a contrast, to preceding themes. In particular, the first half dozen</w:t>
      </w:r>
      <w:r>
        <w:t xml:space="preserve"> </w:t>
      </w:r>
      <w:r w:rsidRPr="00843D7B">
        <w:t>selections in the ‘principles’ section, read in the order presented, serves as an excellent primer in</w:t>
      </w:r>
      <w:r>
        <w:t xml:space="preserve"> </w:t>
      </w:r>
      <w:r w:rsidRPr="00843D7B">
        <w:t>the basic arguments at stake over the purposes of mental health law.</w:t>
      </w:r>
    </w:p>
    <w:p w:rsidR="00843D7B" w:rsidRPr="00843D7B" w:rsidRDefault="00843D7B" w:rsidP="00843D7B">
      <w:r w:rsidRPr="00843D7B">
        <w:t xml:space="preserve">In her editorial introduction, </w:t>
      </w:r>
      <w:proofErr w:type="spellStart"/>
      <w:r w:rsidRPr="00843D7B">
        <w:t>Peay</w:t>
      </w:r>
      <w:proofErr w:type="spellEnd"/>
      <w:r w:rsidRPr="00843D7B">
        <w:t xml:space="preserve"> writes of her impression that mental health law has appeared to</w:t>
      </w:r>
      <w:r>
        <w:t xml:space="preserve"> </w:t>
      </w:r>
      <w:r w:rsidRPr="00843D7B">
        <w:t>be in a state of flux throughout her working life. That working life spans the lifetime of England</w:t>
      </w:r>
      <w:r>
        <w:t xml:space="preserve"> </w:t>
      </w:r>
      <w:r w:rsidRPr="00843D7B">
        <w:t xml:space="preserve">and Wales’ </w:t>
      </w:r>
      <w:r w:rsidRPr="00843D7B">
        <w:rPr>
          <w:i/>
          <w:iCs/>
        </w:rPr>
        <w:t>Mental Health Act 1983</w:t>
      </w:r>
      <w:r w:rsidRPr="00843D7B">
        <w:t>: from doctoral research into Tribunal practice in the final years</w:t>
      </w:r>
      <w:r>
        <w:t xml:space="preserve"> </w:t>
      </w:r>
      <w:r w:rsidRPr="00843D7B">
        <w:t>of the 1959 Act to participation in the expert committee originally charged by Government to</w:t>
      </w:r>
      <w:r>
        <w:t xml:space="preserve"> </w:t>
      </w:r>
      <w:r w:rsidRPr="00843D7B">
        <w:t>consider how the 1983 Act might be subject to what was promised as “root and branch” reform.</w:t>
      </w:r>
      <w:r>
        <w:t xml:space="preserve"> </w:t>
      </w:r>
      <w:r w:rsidRPr="00843D7B">
        <w:t>That promise has heightened the sense of shifting ground in mental health law over recent years,</w:t>
      </w:r>
      <w:r>
        <w:t xml:space="preserve"> </w:t>
      </w:r>
      <w:r w:rsidRPr="00843D7B">
        <w:t>during which we have seen two massively detailed and universally derided draft Bills, as well as pre</w:t>
      </w:r>
      <w:r>
        <w:t>-</w:t>
      </w:r>
      <w:r w:rsidRPr="00843D7B">
        <w:t>legislative</w:t>
      </w:r>
      <w:r>
        <w:t xml:space="preserve"> </w:t>
      </w:r>
      <w:r w:rsidRPr="00843D7B">
        <w:t>scrutiny procedures echoing former Royal Commissions in scale.</w:t>
      </w:r>
    </w:p>
    <w:p w:rsidR="00F0551A" w:rsidRDefault="00843D7B" w:rsidP="00843D7B">
      <w:r w:rsidRPr="00843D7B">
        <w:t>But this book appears as the reform process appears to have spectacularly collapsed, leaving a</w:t>
      </w:r>
      <w:r>
        <w:t xml:space="preserve"> </w:t>
      </w:r>
      <w:r w:rsidRPr="00843D7B">
        <w:t>compromise remarkable even in comparison to the knockabout history of previous legislative</w:t>
      </w:r>
      <w:r>
        <w:t xml:space="preserve"> </w:t>
      </w:r>
      <w:r w:rsidRPr="00843D7B">
        <w:t>change. There is to be no new Mental Health Act under this administration, but instead a slim</w:t>
      </w:r>
      <w:r>
        <w:t xml:space="preserve"> </w:t>
      </w:r>
      <w:r w:rsidRPr="00843D7B">
        <w:t>amendment Bill to patch up those parts of the current law that are in conflict with human rights</w:t>
      </w:r>
      <w:r>
        <w:t xml:space="preserve"> </w:t>
      </w:r>
      <w:r w:rsidRPr="00843D7B">
        <w:t>rulings, whilst also broadening the scope of professional discretion over the scope of its general</w:t>
      </w:r>
      <w:r>
        <w:t xml:space="preserve"> </w:t>
      </w:r>
      <w:r w:rsidRPr="00843D7B">
        <w:t>powers. The cautious welcome given by mental health professional and patient groups to the</w:t>
      </w:r>
      <w:r>
        <w:t xml:space="preserve"> </w:t>
      </w:r>
      <w:r w:rsidRPr="00843D7B">
        <w:t>dropping of the hugely unpopular draft Bill is tempered with anxiety that an amendment Bill could</w:t>
      </w:r>
      <w:r>
        <w:t xml:space="preserve"> </w:t>
      </w:r>
      <w:r w:rsidRPr="00843D7B">
        <w:t>import some of its most worrisome aspects into current law.</w:t>
      </w:r>
    </w:p>
    <w:p w:rsidR="004B05D0" w:rsidRPr="004B05D0" w:rsidRDefault="004B05D0" w:rsidP="004B05D0">
      <w:r w:rsidRPr="004B05D0">
        <w:t>In the past, Government’s role in the development of mental health legislation has been</w:t>
      </w:r>
      <w:r>
        <w:t xml:space="preserve"> </w:t>
      </w:r>
      <w:r w:rsidRPr="004B05D0">
        <w:t>characterised as one of arbitration between warring factions of professional interest, with lawyers</w:t>
      </w:r>
      <w:r>
        <w:t xml:space="preserve"> </w:t>
      </w:r>
      <w:r w:rsidRPr="004B05D0">
        <w:lastRenderedPageBreak/>
        <w:t>arguing to curtail doctors’ powers over their patients in the name of civil liberties, and doctors</w:t>
      </w:r>
      <w:r>
        <w:t xml:space="preserve"> </w:t>
      </w:r>
      <w:r w:rsidRPr="004B05D0">
        <w:t>resisting such limitations in the name of clinical discretion. In contrast, our present age appears to</w:t>
      </w:r>
      <w:r>
        <w:t xml:space="preserve"> </w:t>
      </w:r>
      <w:r w:rsidRPr="004B05D0">
        <w:t>present a veneer of agreement between these usually rancorous professional interests, in unified</w:t>
      </w:r>
      <w:r>
        <w:t xml:space="preserve"> </w:t>
      </w:r>
      <w:r w:rsidRPr="004B05D0">
        <w:t>opposition to the plans of Government policy makers. Whether this is yet more evidence of</w:t>
      </w:r>
      <w:r>
        <w:t xml:space="preserve"> </w:t>
      </w:r>
      <w:r w:rsidRPr="004B05D0">
        <w:t xml:space="preserve">shifting ground, or an ephemeral phenomenon of political alliances and </w:t>
      </w:r>
      <w:r w:rsidRPr="004B05D0">
        <w:rPr>
          <w:i/>
          <w:iCs/>
        </w:rPr>
        <w:t>realpolitik</w:t>
      </w:r>
      <w:r w:rsidRPr="004B05D0">
        <w:t>, it indicates to</w:t>
      </w:r>
      <w:r>
        <w:t xml:space="preserve"> </w:t>
      </w:r>
      <w:r w:rsidRPr="004B05D0">
        <w:t xml:space="preserve">me that this is a good time to have a volume that seeks to set out, in </w:t>
      </w:r>
      <w:proofErr w:type="spellStart"/>
      <w:r w:rsidRPr="004B05D0">
        <w:t>Peay’s</w:t>
      </w:r>
      <w:proofErr w:type="spellEnd"/>
      <w:r w:rsidRPr="004B05D0">
        <w:t xml:space="preserve"> words, “a clear</w:t>
      </w:r>
      <w:r>
        <w:t xml:space="preserve"> </w:t>
      </w:r>
      <w:r w:rsidRPr="004B05D0">
        <w:t>perspective on our mutual history” and attempts ‘“to capture innovative critical moments in</w:t>
      </w:r>
      <w:r>
        <w:t xml:space="preserve"> </w:t>
      </w:r>
      <w:r w:rsidRPr="004B05D0">
        <w:t>mental health law, put them into context with each other, make them readily accessible to readers</w:t>
      </w:r>
      <w:r>
        <w:t xml:space="preserve"> </w:t>
      </w:r>
      <w:r w:rsidRPr="004B05D0">
        <w:t>and thereby, hopefully, avoid the wheel being rediscovered”.</w:t>
      </w:r>
    </w:p>
    <w:p w:rsidR="004B05D0" w:rsidRPr="004B05D0" w:rsidRDefault="004B05D0" w:rsidP="004B05D0">
      <w:r w:rsidRPr="004B05D0">
        <w:t>Whilst allowing that the extent of such a “race memory” of mental health law as her volume hopes</w:t>
      </w:r>
      <w:r>
        <w:t xml:space="preserve"> </w:t>
      </w:r>
      <w:r w:rsidRPr="004B05D0">
        <w:t xml:space="preserve">to achieve is problematic amongst academics, </w:t>
      </w:r>
      <w:proofErr w:type="spellStart"/>
      <w:r w:rsidRPr="004B05D0">
        <w:t>Peay</w:t>
      </w:r>
      <w:proofErr w:type="spellEnd"/>
      <w:r w:rsidRPr="004B05D0">
        <w:t xml:space="preserve"> suggests that it is absent in Government policymakers,</w:t>
      </w:r>
      <w:r>
        <w:t xml:space="preserve"> </w:t>
      </w:r>
      <w:r w:rsidRPr="004B05D0">
        <w:t>as a result of the bureaucratic shuffling of civil-servants who may otherwise develop</w:t>
      </w:r>
      <w:r>
        <w:t xml:space="preserve"> </w:t>
      </w:r>
      <w:r w:rsidRPr="004B05D0">
        <w:t>suitable expertise. As with all generalisations, this is unfair in some specific cases, and of course we</w:t>
      </w:r>
      <w:r>
        <w:t xml:space="preserve"> </w:t>
      </w:r>
      <w:r w:rsidRPr="004B05D0">
        <w:t>should remember that decisions about policy are the responsibility of Ministers rather than</w:t>
      </w:r>
      <w:r>
        <w:t xml:space="preserve"> </w:t>
      </w:r>
      <w:r w:rsidRPr="004B05D0">
        <w:t>officials. Nevertheless, looking on at a Government process that has so effectively alienated all of</w:t>
      </w:r>
      <w:r>
        <w:t xml:space="preserve"> </w:t>
      </w:r>
      <w:r w:rsidRPr="004B05D0">
        <w:t xml:space="preserve">its “stakeholders” whilst building a theoretical system that proved impossible to resource, </w:t>
      </w:r>
      <w:proofErr w:type="spellStart"/>
      <w:r w:rsidRPr="004B05D0">
        <w:t>Peay’s</w:t>
      </w:r>
      <w:proofErr w:type="spellEnd"/>
      <w:r>
        <w:t xml:space="preserve"> </w:t>
      </w:r>
      <w:r w:rsidRPr="004B05D0">
        <w:t xml:space="preserve">comment seems to me to chime with an analogy used by </w:t>
      </w:r>
      <w:proofErr w:type="spellStart"/>
      <w:r w:rsidRPr="004B05D0">
        <w:t>Aneurin</w:t>
      </w:r>
      <w:proofErr w:type="spellEnd"/>
      <w:r w:rsidRPr="004B05D0">
        <w:t xml:space="preserve"> Bevan, who wrote of leaders and</w:t>
      </w:r>
      <w:r>
        <w:t xml:space="preserve"> </w:t>
      </w:r>
      <w:r w:rsidRPr="004B05D0">
        <w:t>thinkers losing touch with those who are grounded in reality by the nature of their work and</w:t>
      </w:r>
      <w:r>
        <w:t xml:space="preserve"> </w:t>
      </w:r>
      <w:r w:rsidRPr="004B05D0">
        <w:t>becoming “adrift like passengers in an escaped balloon”</w:t>
      </w:r>
      <w:r>
        <w:rPr>
          <w:rStyle w:val="FootnoteReference"/>
        </w:rPr>
        <w:footnoteReference w:id="1"/>
      </w:r>
      <w:r w:rsidRPr="004B05D0">
        <w:t>. The escaped balloon of the draft Mental</w:t>
      </w:r>
      <w:r>
        <w:t xml:space="preserve"> </w:t>
      </w:r>
      <w:r w:rsidRPr="004B05D0">
        <w:t>Health Bill appears to have popped. Although it is perhaps far-fetched to suggest that it slipped its</w:t>
      </w:r>
      <w:r>
        <w:t xml:space="preserve"> </w:t>
      </w:r>
      <w:r w:rsidRPr="004B05D0">
        <w:t>moorings for lack of a compendium of legal academia such as this (after all, academics and</w:t>
      </w:r>
      <w:r>
        <w:t xml:space="preserve"> </w:t>
      </w:r>
      <w:r w:rsidRPr="004B05D0">
        <w:t>commentators on mental health law are quite capable of their own flights of fancy), the value of a</w:t>
      </w:r>
      <w:r>
        <w:t xml:space="preserve"> </w:t>
      </w:r>
      <w:r w:rsidRPr="004B05D0">
        <w:t>resource such as this should now be self-evident.</w:t>
      </w:r>
    </w:p>
    <w:p w:rsidR="004B05D0" w:rsidRPr="004B05D0" w:rsidRDefault="004B05D0" w:rsidP="004B05D0">
      <w:r w:rsidRPr="004B05D0">
        <w:t xml:space="preserve">In her introductory essay to this volume, </w:t>
      </w:r>
      <w:proofErr w:type="spellStart"/>
      <w:r w:rsidRPr="004B05D0">
        <w:t>Peay</w:t>
      </w:r>
      <w:proofErr w:type="spellEnd"/>
      <w:r w:rsidRPr="004B05D0">
        <w:t xml:space="preserve"> makes a number of well-judged observations about</w:t>
      </w:r>
      <w:r>
        <w:t xml:space="preserve"> </w:t>
      </w:r>
      <w:r w:rsidRPr="004B05D0">
        <w:t>the instability of mental health law, including a proposition that there is probably no ideal system</w:t>
      </w:r>
      <w:r>
        <w:t xml:space="preserve"> </w:t>
      </w:r>
      <w:r w:rsidRPr="004B05D0">
        <w:t>or approach that will transcend or dissolve the intrinsic tensions between civil rights (‘autonomy</w:t>
      </w:r>
      <w:r>
        <w:t>-</w:t>
      </w:r>
      <w:r w:rsidRPr="004B05D0">
        <w:t>based</w:t>
      </w:r>
      <w:r>
        <w:t xml:space="preserve"> </w:t>
      </w:r>
      <w:r w:rsidRPr="004B05D0">
        <w:t>principles’) and civil society (‘socially-based protective principles’). This is a refreshingly</w:t>
      </w:r>
      <w:r>
        <w:t xml:space="preserve"> </w:t>
      </w:r>
      <w:r w:rsidRPr="004B05D0">
        <w:t>grounded acknowledgment, especially given that the editor of this book cannot claim to be nonpartisan</w:t>
      </w:r>
      <w:r>
        <w:t xml:space="preserve"> </w:t>
      </w:r>
      <w:r w:rsidRPr="004B05D0">
        <w:t xml:space="preserve">in current debates over the appropriate theoretical basis for psychiatric coercion: </w:t>
      </w:r>
      <w:proofErr w:type="spellStart"/>
      <w:r w:rsidRPr="004B05D0">
        <w:t>Peay</w:t>
      </w:r>
      <w:proofErr w:type="spellEnd"/>
      <w:r>
        <w:t xml:space="preserve"> </w:t>
      </w:r>
      <w:r w:rsidRPr="004B05D0">
        <w:t>concedes that her introduction, on its own terms and as a synoptic account of the essays that she</w:t>
      </w:r>
      <w:r>
        <w:t xml:space="preserve"> </w:t>
      </w:r>
      <w:r w:rsidRPr="004B05D0">
        <w:t>has selected, “reads like an argument for capacity-based legislation”.</w:t>
      </w:r>
    </w:p>
    <w:p w:rsidR="004B05D0" w:rsidRPr="004B05D0" w:rsidRDefault="004B05D0" w:rsidP="004B05D0">
      <w:proofErr w:type="spellStart"/>
      <w:r w:rsidRPr="004B05D0">
        <w:t>Peay’s</w:t>
      </w:r>
      <w:proofErr w:type="spellEnd"/>
      <w:r w:rsidRPr="004B05D0">
        <w:t xml:space="preserve"> theoretical even-handedness on the issue of the law’s social function, which is echoed in a</w:t>
      </w:r>
      <w:r>
        <w:t xml:space="preserve"> </w:t>
      </w:r>
      <w:r w:rsidRPr="004B05D0">
        <w:t>number of the essays in this volume, should, I think, be reflected upon by those who would</w:t>
      </w:r>
      <w:r>
        <w:t xml:space="preserve"> </w:t>
      </w:r>
      <w:r w:rsidRPr="004B05D0">
        <w:t>criticise the present Government for trying to use mental health law for purposes of social control.</w:t>
      </w:r>
      <w:r>
        <w:t xml:space="preserve"> </w:t>
      </w:r>
      <w:r w:rsidRPr="004B05D0">
        <w:t xml:space="preserve">Peter Bartlett’s essay in this collection accuses such critics of </w:t>
      </w:r>
      <w:proofErr w:type="spellStart"/>
      <w:r w:rsidRPr="004B05D0">
        <w:t>sqeamishness</w:t>
      </w:r>
      <w:proofErr w:type="spellEnd"/>
      <w:r w:rsidRPr="004B05D0">
        <w:t>, arguing (in echo of</w:t>
      </w:r>
      <w:r>
        <w:t xml:space="preserve"> </w:t>
      </w:r>
      <w:r w:rsidRPr="004B05D0">
        <w:t>Bean and others in the volume) that social control is an inevitable and unavoidable component of</w:t>
      </w:r>
      <w:r>
        <w:t xml:space="preserve"> </w:t>
      </w:r>
      <w:r w:rsidRPr="004B05D0">
        <w:t>mental health legislation. I think that I would rather take this view than try to divorce issues of</w:t>
      </w:r>
      <w:r>
        <w:t xml:space="preserve"> </w:t>
      </w:r>
      <w:r w:rsidRPr="004B05D0">
        <w:t>social control from psychiatric practice, as the essayists with the most radical suggestions in this</w:t>
      </w:r>
      <w:r>
        <w:t xml:space="preserve"> </w:t>
      </w:r>
      <w:r w:rsidRPr="004B05D0">
        <w:t>volume attempt. In a 1994 essay in the collection, Tom Campbell (incidentally the overall editor of</w:t>
      </w:r>
      <w:r>
        <w:t xml:space="preserve"> </w:t>
      </w:r>
      <w:r w:rsidRPr="004B05D0">
        <w:t>the series in which this volume appears) proposed that if any form of preventive detention were</w:t>
      </w:r>
      <w:r>
        <w:t xml:space="preserve"> </w:t>
      </w:r>
      <w:r w:rsidRPr="004B05D0">
        <w:t xml:space="preserve">justifiable on grounds of risk to others, it should be justifiable in the case of </w:t>
      </w:r>
      <w:r w:rsidRPr="004B05D0">
        <w:rPr>
          <w:i/>
          <w:iCs/>
        </w:rPr>
        <w:t xml:space="preserve">all </w:t>
      </w:r>
      <w:r w:rsidRPr="004B05D0">
        <w:t>people, and not</w:t>
      </w:r>
      <w:r>
        <w:t xml:space="preserve"> </w:t>
      </w:r>
      <w:r w:rsidRPr="004B05D0">
        <w:t xml:space="preserve">only those given some form </w:t>
      </w:r>
      <w:r w:rsidRPr="004B05D0">
        <w:lastRenderedPageBreak/>
        <w:t>of psychiatric diagnosis. Campbell accepts that his proposal might</w:t>
      </w:r>
      <w:r>
        <w:t xml:space="preserve"> </w:t>
      </w:r>
      <w:r w:rsidRPr="004B05D0">
        <w:t>appear to be bizarre (and it is certainly counter-intuitive in terms of the general protection of civil</w:t>
      </w:r>
      <w:r>
        <w:t xml:space="preserve"> </w:t>
      </w:r>
      <w:r w:rsidRPr="004B05D0">
        <w:t>liberties), but seems to suggest that this strangeness is merely an attribute of prejudice against the</w:t>
      </w:r>
      <w:r>
        <w:t xml:space="preserve"> </w:t>
      </w:r>
      <w:r w:rsidRPr="004B05D0">
        <w:t>mentally disordered. I think that that he is mistaken in this, and gives insufficient weight to</w:t>
      </w:r>
      <w:r>
        <w:t xml:space="preserve"> </w:t>
      </w:r>
      <w:r w:rsidRPr="004B05D0">
        <w:t>concerns that such rigorous ideological exclusion of ‘social control’ issues from the realms of</w:t>
      </w:r>
      <w:r>
        <w:t xml:space="preserve"> </w:t>
      </w:r>
      <w:r w:rsidRPr="004B05D0">
        <w:t>medical law would be likely to criminalise and imprison vulnerable people who would otherwise</w:t>
      </w:r>
      <w:r>
        <w:t xml:space="preserve"> </w:t>
      </w:r>
      <w:r w:rsidRPr="004B05D0">
        <w:t xml:space="preserve">be civil detainees in hospital. For some hard-headed types (one thinks of Thomas </w:t>
      </w:r>
      <w:proofErr w:type="spellStart"/>
      <w:r w:rsidRPr="004B05D0">
        <w:t>Szaz</w:t>
      </w:r>
      <w:proofErr w:type="spellEnd"/>
      <w:r w:rsidRPr="004B05D0">
        <w:t>) this may</w:t>
      </w:r>
      <w:r>
        <w:t xml:space="preserve"> </w:t>
      </w:r>
      <w:r w:rsidRPr="004B05D0">
        <w:t>be an acceptable consequence of the abolition of all traces of paternalism, but for many others</w:t>
      </w:r>
      <w:r>
        <w:t xml:space="preserve"> </w:t>
      </w:r>
      <w:r w:rsidRPr="004B05D0">
        <w:t>there must be compromise to allow society to retain some protective function over the vulnerable.</w:t>
      </w:r>
      <w:r>
        <w:t xml:space="preserve"> </w:t>
      </w:r>
      <w:r w:rsidRPr="004B05D0">
        <w:t>Indeed, although Campbell is surely right to want to remove discrimination on the basis of</w:t>
      </w:r>
      <w:r>
        <w:t xml:space="preserve"> </w:t>
      </w:r>
      <w:r w:rsidRPr="004B05D0">
        <w:rPr>
          <w:i/>
          <w:iCs/>
        </w:rPr>
        <w:t>diagnosis</w:t>
      </w:r>
      <w:r w:rsidRPr="004B05D0">
        <w:t>, his proposal gives insufficient weight to the question of potentially justifiable</w:t>
      </w:r>
      <w:r>
        <w:t xml:space="preserve"> </w:t>
      </w:r>
      <w:r w:rsidRPr="004B05D0">
        <w:t xml:space="preserve">discrimination on the basis of </w:t>
      </w:r>
      <w:r w:rsidRPr="004B05D0">
        <w:rPr>
          <w:i/>
          <w:iCs/>
        </w:rPr>
        <w:t>prognosis</w:t>
      </w:r>
      <w:r w:rsidRPr="004B05D0">
        <w:t>, which lies behind the treatability test operative for some</w:t>
      </w:r>
      <w:r>
        <w:t xml:space="preserve"> </w:t>
      </w:r>
      <w:r w:rsidRPr="004B05D0">
        <w:t>conditions under the current law. I recall little discussion in this volume on the issue of</w:t>
      </w:r>
      <w:r>
        <w:t xml:space="preserve"> </w:t>
      </w:r>
      <w:r w:rsidRPr="004B05D0">
        <w:t>‘treatability’, and I wonder if this is a shortcoming, particularly given that the concept is under fire</w:t>
      </w:r>
      <w:r>
        <w:t xml:space="preserve"> </w:t>
      </w:r>
      <w:r w:rsidRPr="004B05D0">
        <w:t>from the Government and is likely to be excised from the current criteria for compulsion under</w:t>
      </w:r>
      <w:r>
        <w:t xml:space="preserve"> </w:t>
      </w:r>
      <w:r w:rsidRPr="004B05D0">
        <w:t>amending legislation. Whilst the practical effectiveness of the treatability criterion under the</w:t>
      </w:r>
      <w:r>
        <w:t xml:space="preserve"> </w:t>
      </w:r>
      <w:r w:rsidRPr="004B05D0">
        <w:t>current law is often questioned, my own view is that it establishes an important and fundamental</w:t>
      </w:r>
      <w:r>
        <w:t xml:space="preserve"> </w:t>
      </w:r>
      <w:r w:rsidRPr="004B05D0">
        <w:t>principle for compulsion that it may be dangerous to jettison.</w:t>
      </w:r>
    </w:p>
    <w:p w:rsidR="004B05D0" w:rsidRDefault="004B05D0" w:rsidP="004B05D0">
      <w:r w:rsidRPr="004B05D0">
        <w:t>However, concerns about social control are only part of the impetus behind the arguments for</w:t>
      </w:r>
      <w:r>
        <w:t xml:space="preserve"> </w:t>
      </w:r>
      <w:r w:rsidRPr="004B05D0">
        <w:t>capacity-based legislation, and it is the role of a capacity-based threshold for intervention that is</w:t>
      </w:r>
      <w:r>
        <w:t xml:space="preserve"> </w:t>
      </w:r>
      <w:r w:rsidRPr="004B05D0">
        <w:t>the volume’s dominant theme. Some of the essays (e.g. Gordon on Canadian law in 1993;</w:t>
      </w:r>
      <w:r>
        <w:t xml:space="preserve"> </w:t>
      </w:r>
      <w:r w:rsidRPr="004B05D0">
        <w:t>Richardson on English and Welsh law in 2002) set out a case for the abolition of mental health law</w:t>
      </w:r>
      <w:r>
        <w:t xml:space="preserve"> </w:t>
      </w:r>
      <w:r w:rsidRPr="004B05D0">
        <w:t>per se in favour of a broad-ranging legislation dealing with the mentally incapable, although</w:t>
      </w:r>
      <w:r>
        <w:t xml:space="preserve"> </w:t>
      </w:r>
      <w:r w:rsidRPr="004B05D0">
        <w:t>Richardson recognises that such a proposal has no chance of being accepted by the UK</w:t>
      </w:r>
      <w:r>
        <w:t xml:space="preserve"> </w:t>
      </w:r>
      <w:r w:rsidRPr="004B05D0">
        <w:t>Government. Both writers, as with many supporters of a capacity-test in mental health law, justify</w:t>
      </w:r>
      <w:r>
        <w:t xml:space="preserve"> </w:t>
      </w:r>
      <w:r w:rsidRPr="004B05D0">
        <w:t>their arguments on the discriminatory inconsistency between rules concerning the imposition of</w:t>
      </w:r>
      <w:r>
        <w:t xml:space="preserve"> </w:t>
      </w:r>
      <w:r w:rsidRPr="004B05D0">
        <w:t>physical and mental health care. That there is such inconsistency is inarguable, but that is not the</w:t>
      </w:r>
      <w:r>
        <w:t xml:space="preserve"> </w:t>
      </w:r>
      <w:r w:rsidRPr="004B05D0">
        <w:t>same thing as it being indefensible (there is a striking statement by Kathleen Jones in the first essay</w:t>
      </w:r>
      <w:r>
        <w:t xml:space="preserve"> </w:t>
      </w:r>
      <w:r w:rsidRPr="004B05D0">
        <w:t>of the volume to the effect that the law tolerates ambiguity and paradox in its own workings, but</w:t>
      </w:r>
      <w:r>
        <w:t xml:space="preserve"> </w:t>
      </w:r>
      <w:r w:rsidRPr="004B05D0">
        <w:t>is intolerant of such qualities when they are displayed by the mental health professions). In a</w:t>
      </w:r>
      <w:r>
        <w:t xml:space="preserve"> </w:t>
      </w:r>
      <w:r w:rsidRPr="004B05D0">
        <w:t xml:space="preserve">pivotal essay in </w:t>
      </w:r>
      <w:proofErr w:type="spellStart"/>
      <w:r w:rsidRPr="004B05D0">
        <w:t>Peay’s</w:t>
      </w:r>
      <w:proofErr w:type="spellEnd"/>
      <w:r w:rsidRPr="004B05D0">
        <w:t xml:space="preserve"> collection, taken from the pages of this journal in 2000</w:t>
      </w:r>
      <w:r>
        <w:rPr>
          <w:rStyle w:val="FootnoteReference"/>
        </w:rPr>
        <w:footnoteReference w:id="2"/>
      </w:r>
      <w:r w:rsidRPr="004B05D0">
        <w:t xml:space="preserve"> (but now regrettably</w:t>
      </w:r>
      <w:r>
        <w:t xml:space="preserve"> </w:t>
      </w:r>
      <w:r w:rsidRPr="004B05D0">
        <w:t>divorced from a companion piece from Robert Robinson</w:t>
      </w:r>
      <w:r>
        <w:rPr>
          <w:rStyle w:val="FootnoteReference"/>
        </w:rPr>
        <w:footnoteReference w:id="3"/>
      </w:r>
      <w:r w:rsidRPr="004B05D0">
        <w:t xml:space="preserve"> putting an alternative view), Mike Gunn</w:t>
      </w:r>
      <w:r>
        <w:t xml:space="preserve"> </w:t>
      </w:r>
      <w:r w:rsidRPr="004B05D0">
        <w:t>sets out a case for capacity-based legislation and, in a curious choice of phrase that attracts</w:t>
      </w:r>
      <w:r>
        <w:t xml:space="preserve"> </w:t>
      </w:r>
      <w:r w:rsidRPr="004B05D0">
        <w:t xml:space="preserve">comment in </w:t>
      </w:r>
      <w:proofErr w:type="spellStart"/>
      <w:r w:rsidRPr="004B05D0">
        <w:t>Peay’s</w:t>
      </w:r>
      <w:proofErr w:type="spellEnd"/>
      <w:r w:rsidRPr="004B05D0">
        <w:t xml:space="preserve"> editorial, accuses the Richardson Committee’s proposals relating to capacity</w:t>
      </w:r>
      <w:r>
        <w:t>-</w:t>
      </w:r>
      <w:r w:rsidRPr="004B05D0">
        <w:t>based</w:t>
      </w:r>
      <w:r>
        <w:t xml:space="preserve"> </w:t>
      </w:r>
      <w:r w:rsidRPr="004B05D0">
        <w:t xml:space="preserve">criteria as being “not pure” but “infected” with pragmatism. </w:t>
      </w:r>
      <w:proofErr w:type="spellStart"/>
      <w:r w:rsidRPr="004B05D0">
        <w:t>Peay</w:t>
      </w:r>
      <w:proofErr w:type="spellEnd"/>
      <w:r w:rsidRPr="004B05D0">
        <w:t xml:space="preserve"> counters that this</w:t>
      </w:r>
      <w:r>
        <w:t xml:space="preserve"> </w:t>
      </w:r>
      <w:r w:rsidRPr="004B05D0">
        <w:t>overlooks the fact that the committee upon which she served had in fact put forward as alternatives</w:t>
      </w:r>
      <w:r>
        <w:t xml:space="preserve"> </w:t>
      </w:r>
      <w:r w:rsidRPr="004B05D0">
        <w:t>a “consistent” capacity-based model and a “pragmatic” model, stating that the moral dilemmas in</w:t>
      </w:r>
      <w:r>
        <w:t xml:space="preserve"> </w:t>
      </w:r>
      <w:r w:rsidRPr="004B05D0">
        <w:t>choosing between them were a matter for politicians. One might equally question the value of</w:t>
      </w:r>
      <w:r>
        <w:t xml:space="preserve"> </w:t>
      </w:r>
      <w:r w:rsidRPr="004B05D0">
        <w:t>conceptual ‘purity’ in approaches to social policy. Such an answer to Gunn’s reproach is given by</w:t>
      </w:r>
      <w:r>
        <w:t xml:space="preserve"> </w:t>
      </w:r>
      <w:r w:rsidRPr="004B05D0">
        <w:t xml:space="preserve">one of the oldest essays in this collection: </w:t>
      </w:r>
      <w:proofErr w:type="spellStart"/>
      <w:r w:rsidRPr="004B05D0">
        <w:t>Treffert’s</w:t>
      </w:r>
      <w:proofErr w:type="spellEnd"/>
      <w:r w:rsidRPr="004B05D0">
        <w:t xml:space="preserve"> article on the US from 1974 entitled “Dying</w:t>
      </w:r>
      <w:r>
        <w:t xml:space="preserve"> </w:t>
      </w:r>
      <w:r w:rsidRPr="004B05D0">
        <w:t>with their rights on”.</w:t>
      </w:r>
    </w:p>
    <w:p w:rsidR="004B05D0" w:rsidRPr="004B05D0" w:rsidRDefault="004B05D0" w:rsidP="004B05D0">
      <w:r w:rsidRPr="004B05D0">
        <w:t>If capacity is to take on a central role in future mental health law – and although the legislature for</w:t>
      </w:r>
      <w:r>
        <w:t xml:space="preserve"> </w:t>
      </w:r>
      <w:r w:rsidRPr="004B05D0">
        <w:t>England and Wales may duck the issue this time, there is likely to be pressure on the domestic and</w:t>
      </w:r>
      <w:r>
        <w:t xml:space="preserve"> </w:t>
      </w:r>
      <w:r w:rsidRPr="004B05D0">
        <w:lastRenderedPageBreak/>
        <w:t>Strasbourg judiciary to establish it on grounds on non-discrimination – it will be necessary to</w:t>
      </w:r>
      <w:r>
        <w:t xml:space="preserve"> </w:t>
      </w:r>
      <w:r w:rsidRPr="004B05D0">
        <w:t xml:space="preserve">decide what it means to be capable of refusing treatment. </w:t>
      </w:r>
      <w:proofErr w:type="spellStart"/>
      <w:r w:rsidRPr="004B05D0">
        <w:t>Peay</w:t>
      </w:r>
      <w:proofErr w:type="spellEnd"/>
      <w:r w:rsidRPr="004B05D0">
        <w:t xml:space="preserve"> provides a useful run-through of</w:t>
      </w:r>
      <w:r>
        <w:t xml:space="preserve"> </w:t>
      </w:r>
      <w:r w:rsidRPr="004B05D0">
        <w:t xml:space="preserve">approaches to defining capacity by Roth, </w:t>
      </w:r>
      <w:proofErr w:type="spellStart"/>
      <w:r w:rsidRPr="004B05D0">
        <w:t>Meisel</w:t>
      </w:r>
      <w:proofErr w:type="spellEnd"/>
      <w:r w:rsidRPr="004B05D0">
        <w:t xml:space="preserve"> and </w:t>
      </w:r>
      <w:proofErr w:type="spellStart"/>
      <w:r w:rsidRPr="004B05D0">
        <w:t>Lidz</w:t>
      </w:r>
      <w:proofErr w:type="spellEnd"/>
      <w:r w:rsidRPr="004B05D0">
        <w:t xml:space="preserve"> from 1997, and an older piece from</w:t>
      </w:r>
      <w:r>
        <w:t xml:space="preserve"> </w:t>
      </w:r>
      <w:proofErr w:type="spellStart"/>
      <w:r w:rsidRPr="004B05D0">
        <w:t>Grisso</w:t>
      </w:r>
      <w:proofErr w:type="spellEnd"/>
      <w:r w:rsidRPr="004B05D0">
        <w:t xml:space="preserve"> and </w:t>
      </w:r>
      <w:proofErr w:type="spellStart"/>
      <w:r w:rsidRPr="004B05D0">
        <w:t>Appelbaum</w:t>
      </w:r>
      <w:proofErr w:type="spellEnd"/>
      <w:r w:rsidRPr="004B05D0">
        <w:t xml:space="preserve"> showing empirical studies based around the MacArthur Treatment</w:t>
      </w:r>
      <w:r>
        <w:t xml:space="preserve"> </w:t>
      </w:r>
      <w:r w:rsidRPr="004B05D0">
        <w:t>Competence Study of the 1990s. The 1997 essay reaches the awkward conclusion that “the search</w:t>
      </w:r>
      <w:r>
        <w:t xml:space="preserve"> </w:t>
      </w:r>
      <w:r w:rsidRPr="004B05D0">
        <w:t>for a single test of competency is a search for a Holy Grail”; the earlier essay used tests</w:t>
      </w:r>
      <w:r>
        <w:t xml:space="preserve"> </w:t>
      </w:r>
      <w:r w:rsidRPr="004B05D0">
        <w:t>acknowledged to be too cumbersome for daily clinical use, but indicated that an assessment tool</w:t>
      </w:r>
      <w:r>
        <w:t xml:space="preserve"> </w:t>
      </w:r>
      <w:r w:rsidRPr="004B05D0">
        <w:t>for clinical use was in development. The authors of this essay have indeed gone on to do much</w:t>
      </w:r>
      <w:r>
        <w:t xml:space="preserve"> </w:t>
      </w:r>
      <w:r w:rsidRPr="004B05D0">
        <w:t>developmental work in conceptualising capacity-tests (although a reader of this volume will not be</w:t>
      </w:r>
      <w:r>
        <w:t xml:space="preserve"> </w:t>
      </w:r>
      <w:r w:rsidRPr="004B05D0">
        <w:t>directed towards this, which is unfortunate). I believe that, even with the passing into law of the</w:t>
      </w:r>
      <w:r>
        <w:t xml:space="preserve"> </w:t>
      </w:r>
      <w:r w:rsidRPr="004B05D0">
        <w:rPr>
          <w:i/>
          <w:iCs/>
        </w:rPr>
        <w:t>Mental Capacity Act 2005</w:t>
      </w:r>
      <w:r w:rsidRPr="004B05D0">
        <w:t>, there is still a need for a proper conceptual understanding of incapacity</w:t>
      </w:r>
      <w:r>
        <w:t xml:space="preserve"> </w:t>
      </w:r>
      <w:r w:rsidRPr="004B05D0">
        <w:t>that could serve as a robust threshold for the imposition of psychiatric treatment in the face of</w:t>
      </w:r>
      <w:r>
        <w:t xml:space="preserve"> </w:t>
      </w:r>
      <w:r w:rsidRPr="004B05D0">
        <w:t>refusal or resistance. Without such a definition, and confidence that it will be used in practice, I</w:t>
      </w:r>
      <w:r>
        <w:t xml:space="preserve"> </w:t>
      </w:r>
      <w:r w:rsidRPr="004B05D0">
        <w:t xml:space="preserve">am unsure of its benefit in a mental health law context described by </w:t>
      </w:r>
      <w:proofErr w:type="spellStart"/>
      <w:r w:rsidRPr="004B05D0">
        <w:t>Peay</w:t>
      </w:r>
      <w:proofErr w:type="spellEnd"/>
      <w:r w:rsidRPr="004B05D0">
        <w:t xml:space="preserve"> as involving</w:t>
      </w:r>
      <w:r>
        <w:t xml:space="preserve"> </w:t>
      </w:r>
      <w:r w:rsidRPr="004B05D0">
        <w:t>“questionable science, individual prejudice and overpowering beneficent intentions”. The danger</w:t>
      </w:r>
      <w:r>
        <w:t xml:space="preserve"> </w:t>
      </w:r>
      <w:r w:rsidRPr="004B05D0">
        <w:t>is of course that refusing consent to an intervention considered as necessary by your doctor is</w:t>
      </w:r>
      <w:r>
        <w:t xml:space="preserve"> </w:t>
      </w:r>
      <w:r w:rsidRPr="004B05D0">
        <w:t>taken as a sign of incapacity. Anyone doubting the potential for fluidity in defining capacity should</w:t>
      </w:r>
      <w:r>
        <w:t xml:space="preserve"> </w:t>
      </w:r>
      <w:r w:rsidRPr="004B05D0">
        <w:t>consider the remarkable fact that, in the last year, the Law Society and the Government informed</w:t>
      </w:r>
      <w:r>
        <w:t xml:space="preserve"> </w:t>
      </w:r>
      <w:r w:rsidRPr="004B05D0">
        <w:t>a Parliamentary committee that any patient who required ECT would be unlikely to be in a</w:t>
      </w:r>
      <w:r>
        <w:t xml:space="preserve"> </w:t>
      </w:r>
      <w:r w:rsidRPr="004B05D0">
        <w:t>position to capably refuse consent to it, when in practice over a third of statutory second opinion</w:t>
      </w:r>
      <w:r>
        <w:t xml:space="preserve"> </w:t>
      </w:r>
      <w:r w:rsidRPr="004B05D0">
        <w:t>authorisations of ECT were to such patients</w:t>
      </w:r>
      <w:r>
        <w:rPr>
          <w:rStyle w:val="FootnoteReference"/>
        </w:rPr>
        <w:footnoteReference w:id="4"/>
      </w:r>
      <w:r w:rsidRPr="004B05D0">
        <w:t>. Whatever else lies behind that fact, it seems likely</w:t>
      </w:r>
      <w:r>
        <w:t xml:space="preserve"> </w:t>
      </w:r>
      <w:r w:rsidRPr="004B05D0">
        <w:t xml:space="preserve">that the notions of capacity involved are inconsistent. When </w:t>
      </w:r>
      <w:proofErr w:type="spellStart"/>
      <w:r w:rsidRPr="004B05D0">
        <w:t>Aneurin</w:t>
      </w:r>
      <w:proofErr w:type="spellEnd"/>
      <w:r w:rsidRPr="004B05D0">
        <w:t xml:space="preserve"> Bevan warned of the</w:t>
      </w:r>
      <w:r>
        <w:t xml:space="preserve"> </w:t>
      </w:r>
      <w:r w:rsidRPr="004B05D0">
        <w:t>tendency for intellectual activity to drift he specifically pointed to the dangers of “symbol</w:t>
      </w:r>
      <w:r>
        <w:t xml:space="preserve"> </w:t>
      </w:r>
      <w:r w:rsidRPr="004B05D0">
        <w:t>worship”, where words persist whilst the reality that lies behind them shifts and changes, so that</w:t>
      </w:r>
      <w:r>
        <w:t xml:space="preserve"> </w:t>
      </w:r>
      <w:r w:rsidRPr="004B05D0">
        <w:t>“ideas degenerate into a kind of folklore which we pass onto each other, thinking we are still</w:t>
      </w:r>
      <w:r>
        <w:t xml:space="preserve"> </w:t>
      </w:r>
      <w:r w:rsidRPr="004B05D0">
        <w:t>talking the reality around us”.</w:t>
      </w:r>
      <w:r>
        <w:rPr>
          <w:rStyle w:val="FootnoteReference"/>
        </w:rPr>
        <w:footnoteReference w:id="5"/>
      </w:r>
    </w:p>
    <w:p w:rsidR="004B05D0" w:rsidRPr="004B05D0" w:rsidRDefault="004B05D0" w:rsidP="004B05D0">
      <w:r w:rsidRPr="004B05D0">
        <w:t>This collection is nevertheless comprehensive enough to cater for most shades of enthusiast and</w:t>
      </w:r>
      <w:r>
        <w:t xml:space="preserve"> </w:t>
      </w:r>
      <w:r w:rsidRPr="004B05D0">
        <w:t>doubter alike, and many essays are themselves examples of academic balance between competing</w:t>
      </w:r>
      <w:r>
        <w:t xml:space="preserve"> </w:t>
      </w:r>
      <w:r w:rsidRPr="004B05D0">
        <w:t>claims (some authors whose general position one tends to perceive in caricature through an</w:t>
      </w:r>
      <w:r>
        <w:t xml:space="preserve"> </w:t>
      </w:r>
      <w:r w:rsidRPr="004B05D0">
        <w:t>imagined familiarity with their arguments prove to be more nuanced in these pieces: for example</w:t>
      </w:r>
      <w:r>
        <w:t xml:space="preserve"> </w:t>
      </w:r>
      <w:r w:rsidRPr="004B05D0">
        <w:t xml:space="preserve">the ‘legalist’ Larry </w:t>
      </w:r>
      <w:proofErr w:type="spellStart"/>
      <w:r w:rsidRPr="004B05D0">
        <w:t>Gostin</w:t>
      </w:r>
      <w:proofErr w:type="spellEnd"/>
      <w:r w:rsidRPr="004B05D0">
        <w:t xml:space="preserve"> wrote in 1983 on the importance of vigilance against attempts by the</w:t>
      </w:r>
      <w:r>
        <w:t xml:space="preserve"> </w:t>
      </w:r>
      <w:r w:rsidRPr="004B05D0">
        <w:t>legal profession to erect a superstructure of technical procedures or cumbersome legal regulations,</w:t>
      </w:r>
      <w:r>
        <w:t xml:space="preserve"> </w:t>
      </w:r>
      <w:r w:rsidRPr="004B05D0">
        <w:t>or to substitute the discretion of lawyers and courts for that of mental health professionals on</w:t>
      </w:r>
      <w:r>
        <w:t xml:space="preserve"> </w:t>
      </w:r>
      <w:r w:rsidRPr="004B05D0">
        <w:t>matters of treatment). But between these covers, Marxist critique of the language of rights rubs</w:t>
      </w:r>
      <w:r>
        <w:t xml:space="preserve"> </w:t>
      </w:r>
      <w:r w:rsidRPr="004B05D0">
        <w:t xml:space="preserve">against civil-libertarian demands of ‘new legalist’ perspectives, and </w:t>
      </w:r>
      <w:proofErr w:type="spellStart"/>
      <w:r w:rsidRPr="004B05D0">
        <w:t>Benthamite</w:t>
      </w:r>
      <w:proofErr w:type="spellEnd"/>
      <w:r w:rsidRPr="004B05D0">
        <w:t xml:space="preserve"> calls for</w:t>
      </w:r>
      <w:r>
        <w:t xml:space="preserve"> </w:t>
      </w:r>
      <w:r w:rsidRPr="004B05D0">
        <w:t>codification of implicit powers sit alongside various sceptical examinations of the power of law</w:t>
      </w:r>
      <w:r>
        <w:t xml:space="preserve"> </w:t>
      </w:r>
      <w:r w:rsidRPr="004B05D0">
        <w:t xml:space="preserve">itself. </w:t>
      </w:r>
      <w:proofErr w:type="spellStart"/>
      <w:r w:rsidRPr="004B05D0">
        <w:t>Unsworth’s</w:t>
      </w:r>
      <w:proofErr w:type="spellEnd"/>
      <w:r w:rsidRPr="004B05D0">
        <w:t xml:space="preserve"> 1993 essay on Victorian law and lunacy is a stylish reminder of the value of the</w:t>
      </w:r>
      <w:r>
        <w:t xml:space="preserve"> </w:t>
      </w:r>
      <w:r w:rsidRPr="004B05D0">
        <w:t xml:space="preserve">past in understanding the present, which has led me to search out his 1987 book </w:t>
      </w:r>
      <w:r w:rsidRPr="004B05D0">
        <w:rPr>
          <w:i/>
          <w:iCs/>
        </w:rPr>
        <w:t>Mental Health</w:t>
      </w:r>
      <w:r>
        <w:rPr>
          <w:i/>
          <w:iCs/>
        </w:rPr>
        <w:t xml:space="preserve"> </w:t>
      </w:r>
      <w:r w:rsidRPr="004B05D0">
        <w:rPr>
          <w:i/>
          <w:iCs/>
        </w:rPr>
        <w:t xml:space="preserve">Law and Politics </w:t>
      </w:r>
      <w:r w:rsidRPr="004B05D0">
        <w:t>(his essay is also a good lead into the ‘revisionist’ historical approaches of writers</w:t>
      </w:r>
      <w:r>
        <w:t xml:space="preserve"> </w:t>
      </w:r>
      <w:r w:rsidRPr="004B05D0">
        <w:t>such as Castel and Scull who otherwise fall outside of the scope of this volume). If mental health</w:t>
      </w:r>
      <w:r>
        <w:t xml:space="preserve"> </w:t>
      </w:r>
      <w:r w:rsidRPr="004B05D0">
        <w:t>services are undergoing ‘</w:t>
      </w:r>
      <w:proofErr w:type="spellStart"/>
      <w:r w:rsidRPr="004B05D0">
        <w:t>reinstitutionalisation</w:t>
      </w:r>
      <w:proofErr w:type="spellEnd"/>
      <w:r w:rsidRPr="004B05D0">
        <w:t>’, as was claimed in the striking but controversial</w:t>
      </w:r>
      <w:r w:rsidR="0027440A">
        <w:t xml:space="preserve"> </w:t>
      </w:r>
      <w:r w:rsidRPr="004B05D0">
        <w:t xml:space="preserve">2005 BMJ editorial by </w:t>
      </w:r>
      <w:proofErr w:type="spellStart"/>
      <w:r w:rsidRPr="004B05D0">
        <w:t>Priebe</w:t>
      </w:r>
      <w:proofErr w:type="spellEnd"/>
      <w:r w:rsidRPr="004B05D0">
        <w:t xml:space="preserve"> and Turner reprinted in this volume, those historians may yet be</w:t>
      </w:r>
      <w:r w:rsidR="0027440A">
        <w:t xml:space="preserve"> </w:t>
      </w:r>
      <w:r w:rsidRPr="004B05D0">
        <w:t>futurologists’ best tools.</w:t>
      </w:r>
    </w:p>
    <w:p w:rsidR="004B05D0" w:rsidRDefault="004B05D0" w:rsidP="004B05D0">
      <w:r w:rsidRPr="004B05D0">
        <w:lastRenderedPageBreak/>
        <w:t xml:space="preserve">The medical sciences are represented with rather less range, being most visible in </w:t>
      </w:r>
      <w:proofErr w:type="spellStart"/>
      <w:r w:rsidRPr="004B05D0">
        <w:t>Peay’s</w:t>
      </w:r>
      <w:proofErr w:type="spellEnd"/>
      <w:r w:rsidRPr="004B05D0">
        <w:t xml:space="preserve"> essentially</w:t>
      </w:r>
      <w:r w:rsidR="0027440A">
        <w:t xml:space="preserve"> </w:t>
      </w:r>
      <w:r w:rsidRPr="004B05D0">
        <w:t xml:space="preserve">polemical inclusion of a slice from </w:t>
      </w:r>
      <w:proofErr w:type="spellStart"/>
      <w:r w:rsidRPr="004B05D0">
        <w:t>Bentall’s</w:t>
      </w:r>
      <w:proofErr w:type="spellEnd"/>
      <w:r w:rsidRPr="004B05D0">
        <w:t xml:space="preserve"> </w:t>
      </w:r>
      <w:r w:rsidRPr="004B05D0">
        <w:rPr>
          <w:i/>
          <w:iCs/>
        </w:rPr>
        <w:t xml:space="preserve">Madness Explained </w:t>
      </w:r>
      <w:r w:rsidRPr="004B05D0">
        <w:t>(2003) that argues a continuum</w:t>
      </w:r>
      <w:r w:rsidR="0027440A">
        <w:t xml:space="preserve"> </w:t>
      </w:r>
      <w:r w:rsidRPr="004B05D0">
        <w:t xml:space="preserve">between psychosis and normal mental functioning. </w:t>
      </w:r>
      <w:proofErr w:type="spellStart"/>
      <w:r w:rsidRPr="004B05D0">
        <w:t>Peay</w:t>
      </w:r>
      <w:proofErr w:type="spellEnd"/>
      <w:r w:rsidRPr="004B05D0">
        <w:t xml:space="preserve"> suggests that, by questioning the</w:t>
      </w:r>
      <w:r w:rsidR="0027440A">
        <w:t xml:space="preserve"> </w:t>
      </w:r>
      <w:r w:rsidRPr="004B05D0">
        <w:t xml:space="preserve">boundaries between madness and sanity, </w:t>
      </w:r>
      <w:proofErr w:type="spellStart"/>
      <w:r w:rsidRPr="004B05D0">
        <w:t>Bentall’s</w:t>
      </w:r>
      <w:proofErr w:type="spellEnd"/>
      <w:r w:rsidRPr="004B05D0">
        <w:t xml:space="preserve"> arguments support the notion of legislation</w:t>
      </w:r>
      <w:r w:rsidR="0027440A">
        <w:t xml:space="preserve"> </w:t>
      </w:r>
      <w:r w:rsidRPr="004B05D0">
        <w:t>based upon decision-making capacity that is applicable to persons irrespective of diagnostic label.</w:t>
      </w:r>
      <w:r w:rsidR="0027440A">
        <w:t xml:space="preserve"> </w:t>
      </w:r>
      <w:r w:rsidRPr="004B05D0">
        <w:t>Perhaps so, but their inclusion in this volume also recalls the anti-psychiatry influences on the ‘new</w:t>
      </w:r>
      <w:r w:rsidR="0027440A">
        <w:t xml:space="preserve"> </w:t>
      </w:r>
      <w:r w:rsidRPr="004B05D0">
        <w:t>legalism’ that gave much impetus to current thinking on mental health law. This is not to say that</w:t>
      </w:r>
      <w:r w:rsidR="0027440A">
        <w:t xml:space="preserve"> </w:t>
      </w:r>
      <w:proofErr w:type="spellStart"/>
      <w:r w:rsidRPr="004B05D0">
        <w:t>Peay</w:t>
      </w:r>
      <w:proofErr w:type="spellEnd"/>
      <w:r w:rsidRPr="004B05D0">
        <w:t xml:space="preserve"> has constructed an anti-psychiatry subtext to her collection. I find </w:t>
      </w:r>
      <w:proofErr w:type="spellStart"/>
      <w:r w:rsidRPr="004B05D0">
        <w:t>Bentall’s</w:t>
      </w:r>
      <w:proofErr w:type="spellEnd"/>
      <w:r w:rsidRPr="004B05D0">
        <w:t xml:space="preserve"> thesis (and in</w:t>
      </w:r>
      <w:r w:rsidR="0027440A">
        <w:t xml:space="preserve"> </w:t>
      </w:r>
      <w:r w:rsidRPr="004B05D0">
        <w:t>particular his use of a comparison between the boundaries of madness and the boundaries of</w:t>
      </w:r>
      <w:r w:rsidR="0027440A">
        <w:t xml:space="preserve"> </w:t>
      </w:r>
      <w:r w:rsidRPr="004B05D0">
        <w:t>hypertension) to be much more subtle than the anti-psychiatric canon to which it has a perhaps</w:t>
      </w:r>
      <w:r w:rsidR="0027440A">
        <w:t xml:space="preserve"> </w:t>
      </w:r>
      <w:r w:rsidRPr="004B05D0">
        <w:t xml:space="preserve">superficial resemblance (one that is noted by </w:t>
      </w:r>
      <w:proofErr w:type="spellStart"/>
      <w:r w:rsidRPr="004B05D0">
        <w:t>Bentall</w:t>
      </w:r>
      <w:proofErr w:type="spellEnd"/>
      <w:r w:rsidRPr="004B05D0">
        <w:t xml:space="preserve"> himself), and </w:t>
      </w:r>
      <w:proofErr w:type="spellStart"/>
      <w:r w:rsidRPr="004B05D0">
        <w:t>Peay’s</w:t>
      </w:r>
      <w:proofErr w:type="spellEnd"/>
      <w:r w:rsidRPr="004B05D0">
        <w:t xml:space="preserve"> inclusion of a user</w:t>
      </w:r>
      <w:r w:rsidR="0027440A">
        <w:t xml:space="preserve"> </w:t>
      </w:r>
      <w:r w:rsidRPr="004B05D0">
        <w:t xml:space="preserve">perspective of mania from Kay Redfield Jamison is as effective a critique of </w:t>
      </w:r>
      <w:proofErr w:type="spellStart"/>
      <w:r w:rsidRPr="004B05D0">
        <w:t>Szaz</w:t>
      </w:r>
      <w:proofErr w:type="spellEnd"/>
      <w:r w:rsidRPr="004B05D0">
        <w:t xml:space="preserve"> or Laing as the</w:t>
      </w:r>
      <w:r w:rsidR="0027440A">
        <w:t xml:space="preserve"> </w:t>
      </w:r>
      <w:r w:rsidRPr="004B05D0">
        <w:t>1978 essay included here by Antony Clare. But one professional standpoint – that of the “Neo-</w:t>
      </w:r>
      <w:r w:rsidR="0027440A">
        <w:t xml:space="preserve"> </w:t>
      </w:r>
      <w:proofErr w:type="spellStart"/>
      <w:r w:rsidRPr="004B05D0">
        <w:t>Kraepelinian</w:t>
      </w:r>
      <w:proofErr w:type="spellEnd"/>
      <w:r w:rsidRPr="004B05D0">
        <w:t xml:space="preserve">” and traditional classificatory psychiatry challenged by </w:t>
      </w:r>
      <w:proofErr w:type="spellStart"/>
      <w:r w:rsidRPr="004B05D0">
        <w:t>Bentall’s</w:t>
      </w:r>
      <w:proofErr w:type="spellEnd"/>
      <w:r w:rsidRPr="004B05D0">
        <w:t xml:space="preserve"> thesis – remains</w:t>
      </w:r>
      <w:r w:rsidR="0027440A">
        <w:t xml:space="preserve"> </w:t>
      </w:r>
      <w:r w:rsidRPr="004B05D0">
        <w:t>intriguingly alien to the concerns of this volume. It could be a mistake to read too much into this,</w:t>
      </w:r>
      <w:r w:rsidR="0027440A">
        <w:t xml:space="preserve"> </w:t>
      </w:r>
      <w:r w:rsidRPr="004B05D0">
        <w:t>as no doubt much written work in this field falls outside of the scope of this volume, although the</w:t>
      </w:r>
      <w:r w:rsidR="0027440A">
        <w:t xml:space="preserve"> </w:t>
      </w:r>
      <w:r w:rsidRPr="004B05D0">
        <w:t>products of this excluded approach – the diagnostic manuals DSM-IV and ICD-10 – are</w:t>
      </w:r>
      <w:r w:rsidR="0027440A">
        <w:t xml:space="preserve"> </w:t>
      </w:r>
      <w:r w:rsidRPr="004B05D0">
        <w:t>nonetheless themselves no small players in numerous criminal and civil courtroom dramas. Could</w:t>
      </w:r>
      <w:r w:rsidR="0027440A">
        <w:t xml:space="preserve"> </w:t>
      </w:r>
      <w:r w:rsidRPr="004B05D0">
        <w:t>it be that the relative consensus apparent in recent years between the medical and legal professions</w:t>
      </w:r>
      <w:r w:rsidR="0027440A">
        <w:t xml:space="preserve"> </w:t>
      </w:r>
      <w:r w:rsidRPr="004B05D0">
        <w:t>is more fragile than it appears?</w:t>
      </w:r>
    </w:p>
    <w:p w:rsidR="0027440A" w:rsidRPr="004B05D0" w:rsidRDefault="0027440A" w:rsidP="004B05D0"/>
    <w:p w:rsidR="004B05D0" w:rsidRPr="000F2C5E" w:rsidRDefault="004B05D0" w:rsidP="004B05D0">
      <w:pPr>
        <w:rPr>
          <w:sz w:val="28"/>
        </w:rPr>
      </w:pPr>
      <w:r w:rsidRPr="000F2C5E">
        <w:rPr>
          <w:sz w:val="28"/>
        </w:rPr>
        <w:t xml:space="preserve">Mat </w:t>
      </w:r>
      <w:proofErr w:type="spellStart"/>
      <w:r w:rsidRPr="000F2C5E">
        <w:rPr>
          <w:sz w:val="28"/>
        </w:rPr>
        <w:t>Kinton</w:t>
      </w:r>
      <w:proofErr w:type="spellEnd"/>
    </w:p>
    <w:p w:rsidR="004B05D0" w:rsidRDefault="004B05D0" w:rsidP="004B05D0">
      <w:r w:rsidRPr="004B05D0">
        <w:t>Senior Policy Analyst, Mental Health Act Commission</w:t>
      </w:r>
      <w:bookmarkStart w:id="0" w:name="_GoBack"/>
      <w:bookmarkEnd w:id="0"/>
    </w:p>
    <w:sectPr w:rsidR="004B05D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05D0" w:rsidRDefault="004B05D0" w:rsidP="004B05D0">
      <w:pPr>
        <w:spacing w:after="0" w:line="240" w:lineRule="auto"/>
      </w:pPr>
      <w:r>
        <w:separator/>
      </w:r>
    </w:p>
  </w:endnote>
  <w:endnote w:type="continuationSeparator" w:id="0">
    <w:p w:rsidR="004B05D0" w:rsidRDefault="004B05D0" w:rsidP="004B05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05D0" w:rsidRDefault="004B05D0" w:rsidP="004B05D0">
      <w:pPr>
        <w:spacing w:after="0" w:line="240" w:lineRule="auto"/>
      </w:pPr>
      <w:r>
        <w:separator/>
      </w:r>
    </w:p>
  </w:footnote>
  <w:footnote w:type="continuationSeparator" w:id="0">
    <w:p w:rsidR="004B05D0" w:rsidRDefault="004B05D0" w:rsidP="004B05D0">
      <w:pPr>
        <w:spacing w:after="0" w:line="240" w:lineRule="auto"/>
      </w:pPr>
      <w:r>
        <w:continuationSeparator/>
      </w:r>
    </w:p>
  </w:footnote>
  <w:footnote w:id="1">
    <w:p w:rsidR="004B05D0" w:rsidRPr="004B05D0" w:rsidRDefault="004B05D0">
      <w:pPr>
        <w:pStyle w:val="FootnoteText"/>
        <w:rPr>
          <w:sz w:val="16"/>
        </w:rPr>
      </w:pPr>
      <w:r w:rsidRPr="004B05D0">
        <w:rPr>
          <w:rStyle w:val="FootnoteReference"/>
          <w:sz w:val="16"/>
        </w:rPr>
        <w:footnoteRef/>
      </w:r>
      <w:r w:rsidRPr="004B05D0">
        <w:rPr>
          <w:sz w:val="16"/>
        </w:rPr>
        <w:t xml:space="preserve"> Bevan, A. 1952 In Place of Fear, Chapter 2</w:t>
      </w:r>
    </w:p>
  </w:footnote>
  <w:footnote w:id="2">
    <w:p w:rsidR="004B05D0" w:rsidRPr="004B05D0" w:rsidRDefault="004B05D0" w:rsidP="004B05D0">
      <w:pPr>
        <w:pStyle w:val="FootnoteText"/>
        <w:rPr>
          <w:sz w:val="16"/>
        </w:rPr>
      </w:pPr>
      <w:r w:rsidRPr="004B05D0">
        <w:rPr>
          <w:rStyle w:val="FootnoteReference"/>
          <w:sz w:val="16"/>
        </w:rPr>
        <w:footnoteRef/>
      </w:r>
      <w:r w:rsidRPr="004B05D0">
        <w:rPr>
          <w:sz w:val="16"/>
        </w:rPr>
        <w:t xml:space="preserve"> </w:t>
      </w:r>
      <w:r w:rsidRPr="004B05D0">
        <w:rPr>
          <w:sz w:val="16"/>
        </w:rPr>
        <w:t>‘Reform of the Mental Health Act 1983: The Relevance</w:t>
      </w:r>
      <w:r w:rsidRPr="004B05D0">
        <w:rPr>
          <w:sz w:val="16"/>
        </w:rPr>
        <w:t xml:space="preserve"> </w:t>
      </w:r>
      <w:r w:rsidRPr="004B05D0">
        <w:rPr>
          <w:sz w:val="16"/>
        </w:rPr>
        <w:t>of Capacity to make decisions’. Professor M. Gunn</w:t>
      </w:r>
      <w:r w:rsidRPr="004B05D0">
        <w:rPr>
          <w:sz w:val="16"/>
        </w:rPr>
        <w:t xml:space="preserve"> </w:t>
      </w:r>
      <w:r w:rsidRPr="004B05D0">
        <w:rPr>
          <w:sz w:val="16"/>
        </w:rPr>
        <w:t>JMHL Feb 2000 pp39–43</w:t>
      </w:r>
    </w:p>
  </w:footnote>
  <w:footnote w:id="3">
    <w:p w:rsidR="004B05D0" w:rsidRPr="004B05D0" w:rsidRDefault="004B05D0" w:rsidP="004B05D0">
      <w:pPr>
        <w:pStyle w:val="FootnoteText"/>
        <w:rPr>
          <w:sz w:val="16"/>
        </w:rPr>
      </w:pPr>
      <w:r w:rsidRPr="004B05D0">
        <w:rPr>
          <w:rStyle w:val="FootnoteReference"/>
          <w:sz w:val="16"/>
        </w:rPr>
        <w:footnoteRef/>
      </w:r>
      <w:r w:rsidRPr="004B05D0">
        <w:rPr>
          <w:sz w:val="16"/>
        </w:rPr>
        <w:t xml:space="preserve"> </w:t>
      </w:r>
      <w:r w:rsidRPr="004B05D0">
        <w:rPr>
          <w:sz w:val="16"/>
        </w:rPr>
        <w:t>‘Capacity as the Gateway: an alternative view’ Robert</w:t>
      </w:r>
      <w:r w:rsidRPr="004B05D0">
        <w:rPr>
          <w:sz w:val="16"/>
        </w:rPr>
        <w:t xml:space="preserve"> </w:t>
      </w:r>
      <w:r w:rsidRPr="004B05D0">
        <w:rPr>
          <w:sz w:val="16"/>
        </w:rPr>
        <w:t>Robinson JMHL Feb 2000 pp 44–48</w:t>
      </w:r>
    </w:p>
  </w:footnote>
  <w:footnote w:id="4">
    <w:p w:rsidR="004B05D0" w:rsidRPr="004B05D0" w:rsidRDefault="004B05D0" w:rsidP="004B05D0">
      <w:pPr>
        <w:pStyle w:val="FootnoteText"/>
        <w:rPr>
          <w:sz w:val="16"/>
        </w:rPr>
      </w:pPr>
      <w:r w:rsidRPr="004B05D0">
        <w:rPr>
          <w:rStyle w:val="FootnoteReference"/>
          <w:sz w:val="16"/>
        </w:rPr>
        <w:footnoteRef/>
      </w:r>
      <w:r w:rsidRPr="004B05D0">
        <w:rPr>
          <w:sz w:val="16"/>
        </w:rPr>
        <w:t xml:space="preserve"> </w:t>
      </w:r>
      <w:proofErr w:type="gramStart"/>
      <w:r w:rsidRPr="004B05D0">
        <w:rPr>
          <w:sz w:val="16"/>
        </w:rPr>
        <w:t>Mental Health Act Commission 2006, In Place of</w:t>
      </w:r>
      <w:r w:rsidRPr="004B05D0">
        <w:rPr>
          <w:sz w:val="16"/>
        </w:rPr>
        <w:t xml:space="preserve"> </w:t>
      </w:r>
      <w:r w:rsidRPr="004B05D0">
        <w:rPr>
          <w:sz w:val="16"/>
        </w:rPr>
        <w:t>Fear?</w:t>
      </w:r>
      <w:proofErr w:type="gramEnd"/>
      <w:r w:rsidRPr="004B05D0">
        <w:rPr>
          <w:sz w:val="16"/>
        </w:rPr>
        <w:t xml:space="preserve"> Eleventh Biennial Report 2003–05, para 4.71–3.</w:t>
      </w:r>
    </w:p>
  </w:footnote>
  <w:footnote w:id="5">
    <w:p w:rsidR="004B05D0" w:rsidRPr="004B05D0" w:rsidRDefault="004B05D0">
      <w:pPr>
        <w:pStyle w:val="FootnoteText"/>
        <w:rPr>
          <w:sz w:val="16"/>
        </w:rPr>
      </w:pPr>
      <w:r w:rsidRPr="004B05D0">
        <w:rPr>
          <w:rStyle w:val="FootnoteReference"/>
          <w:sz w:val="16"/>
        </w:rPr>
        <w:footnoteRef/>
      </w:r>
      <w:r w:rsidRPr="004B05D0">
        <w:rPr>
          <w:sz w:val="16"/>
        </w:rPr>
        <w:t xml:space="preserve"> Bevan, A. supra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3D7B"/>
    <w:rsid w:val="000F2C5E"/>
    <w:rsid w:val="0027440A"/>
    <w:rsid w:val="004B05D0"/>
    <w:rsid w:val="00843D7B"/>
    <w:rsid w:val="00F0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0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5D0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4B05D0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4B05D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4B05D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236954-C93D-40B9-BAF1-4A87077DE8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2541</Words>
  <Characters>14488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Northumbria University</Company>
  <LinksUpToDate>false</LinksUpToDate>
  <CharactersWithSpaces>16996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Becky Skoyles</dc:creator>
  <cp:lastModifiedBy>Becky Skoyles</cp:lastModifiedBy>
  <cp:revision>3</cp:revision>
  <dcterms:created xsi:type="dcterms:W3CDTF">2014-10-22T11:46:00Z</dcterms:created>
  <dcterms:modified xsi:type="dcterms:W3CDTF">2014-10-22T11:57:00Z</dcterms:modified>
</cp:coreProperties>
</file>