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B54" w:rsidRPr="00CC4B54" w:rsidRDefault="00CC4B54" w:rsidP="00CC4B54">
      <w:pPr>
        <w:rPr>
          <w:sz w:val="56"/>
          <w:szCs w:val="56"/>
        </w:rPr>
      </w:pPr>
      <w:r w:rsidRPr="00CC4B54">
        <w:rPr>
          <w:sz w:val="56"/>
          <w:szCs w:val="56"/>
        </w:rPr>
        <w:t>Deprivations of Liberty: Mental Health Act or Mental Capacity Act?</w:t>
      </w:r>
    </w:p>
    <w:p w:rsidR="00CC4B54" w:rsidRPr="00CC4B54" w:rsidRDefault="00CC4B54" w:rsidP="00CC4B54">
      <w:pPr>
        <w:rPr>
          <w:b/>
          <w:bCs/>
          <w:i/>
          <w:iCs/>
          <w:sz w:val="28"/>
        </w:rPr>
      </w:pPr>
      <w:r w:rsidRPr="00CC4B54">
        <w:rPr>
          <w:b/>
          <w:bCs/>
          <w:i/>
          <w:iCs/>
          <w:sz w:val="28"/>
        </w:rPr>
        <w:t>Richard Jones</w:t>
      </w:r>
      <w:r>
        <w:rPr>
          <w:rStyle w:val="FootnoteReference"/>
          <w:b/>
          <w:bCs/>
          <w:i/>
          <w:iCs/>
          <w:sz w:val="28"/>
        </w:rPr>
        <w:footnoteReference w:id="1"/>
      </w:r>
    </w:p>
    <w:p w:rsidR="00CC4B54" w:rsidRDefault="00CC4B54" w:rsidP="00CC4B54"/>
    <w:p w:rsidR="00CC4B54" w:rsidRPr="00CC4B54" w:rsidRDefault="00CC4B54" w:rsidP="00CC4B54">
      <w:r w:rsidRPr="00CC4B54">
        <w:t xml:space="preserve">The provisions of the </w:t>
      </w:r>
      <w:r w:rsidRPr="00CC4B54">
        <w:rPr>
          <w:i/>
          <w:iCs/>
        </w:rPr>
        <w:t>Mental Health Act 2007</w:t>
      </w:r>
      <w:r>
        <w:rPr>
          <w:rStyle w:val="FootnoteReference"/>
          <w:i/>
          <w:iCs/>
        </w:rPr>
        <w:footnoteReference w:id="2"/>
      </w:r>
      <w:r w:rsidRPr="00CC4B54">
        <w:t xml:space="preserve"> (the 2007 Act) which amend the </w:t>
      </w:r>
      <w:r w:rsidRPr="00CC4B54">
        <w:rPr>
          <w:i/>
          <w:iCs/>
        </w:rPr>
        <w:t>Mental Capacity Act 2005</w:t>
      </w:r>
      <w:r>
        <w:rPr>
          <w:i/>
          <w:iCs/>
        </w:rPr>
        <w:t xml:space="preserve"> </w:t>
      </w:r>
      <w:r w:rsidRPr="00CC4B54">
        <w:t>(MCA) so as to provide for a procedure that can be used to authorise the deprivation of the liberty of a</w:t>
      </w:r>
      <w:r>
        <w:t xml:space="preserve"> </w:t>
      </w:r>
      <w:r w:rsidRPr="00CC4B54">
        <w:t>mentally incapacitated person</w:t>
      </w:r>
      <w:r>
        <w:rPr>
          <w:rStyle w:val="FootnoteReference"/>
        </w:rPr>
        <w:footnoteReference w:id="3"/>
      </w:r>
      <w:r w:rsidRPr="00CC4B54">
        <w:t xml:space="preserve"> are intended to sit alongside existing </w:t>
      </w:r>
      <w:r w:rsidRPr="00CC4B54">
        <w:rPr>
          <w:i/>
          <w:iCs/>
        </w:rPr>
        <w:t xml:space="preserve">Mental Health Act 1983 </w:t>
      </w:r>
      <w:r w:rsidRPr="00CC4B54">
        <w:t>(MHA)</w:t>
      </w:r>
      <w:r>
        <w:t xml:space="preserve"> </w:t>
      </w:r>
      <w:r w:rsidRPr="00CC4B54">
        <w:t>powers. But the nature of the relationship between the two Acts is far from clear. This article suggests</w:t>
      </w:r>
      <w:r>
        <w:t xml:space="preserve"> </w:t>
      </w:r>
      <w:r w:rsidRPr="00CC4B54">
        <w:t>that the new MCA procedure could be very much the poor relation of the MHA.</w:t>
      </w:r>
    </w:p>
    <w:p w:rsidR="00CC4B54" w:rsidRDefault="00CC4B54" w:rsidP="00CC4B54">
      <w:pPr>
        <w:rPr>
          <w:b/>
          <w:bCs/>
        </w:rPr>
      </w:pPr>
    </w:p>
    <w:p w:rsidR="00CC4B54" w:rsidRPr="00CC4B54" w:rsidRDefault="00CC4B54" w:rsidP="00CC4B54">
      <w:pPr>
        <w:rPr>
          <w:b/>
          <w:bCs/>
          <w:sz w:val="24"/>
        </w:rPr>
      </w:pPr>
      <w:r w:rsidRPr="00CC4B54">
        <w:rPr>
          <w:b/>
          <w:bCs/>
          <w:sz w:val="24"/>
        </w:rPr>
        <w:t>Guardianship</w:t>
      </w:r>
    </w:p>
    <w:p w:rsidR="00CC4B54" w:rsidRPr="00CC4B54" w:rsidRDefault="00CC4B54" w:rsidP="00CC4B54">
      <w:r w:rsidRPr="00CC4B54">
        <w:t>The Code of Practice on the MCA confidently asserts, at para.13.16, that guardianship cannot be used</w:t>
      </w:r>
      <w:r>
        <w:t xml:space="preserve"> </w:t>
      </w:r>
      <w:r w:rsidRPr="00CC4B54">
        <w:t>to deprive a person of their liberty. This is a commonly held opinion, but is it correct? The MHA, as</w:t>
      </w:r>
      <w:r>
        <w:t xml:space="preserve"> </w:t>
      </w:r>
      <w:r w:rsidRPr="00CC4B54">
        <w:t>amended by the 2007 Act, provides the guardian of a mentally incapacitated person with the following</w:t>
      </w:r>
      <w:r>
        <w:t xml:space="preserve"> </w:t>
      </w:r>
      <w:r w:rsidRPr="00CC4B54">
        <w:t>powers:</w:t>
      </w:r>
    </w:p>
    <w:p w:rsidR="00CC4B54" w:rsidRDefault="00CC4B54" w:rsidP="00CC4B54">
      <w:pPr>
        <w:pStyle w:val="ListParagraph"/>
        <w:numPr>
          <w:ilvl w:val="0"/>
          <w:numId w:val="1"/>
        </w:numPr>
      </w:pPr>
      <w:proofErr w:type="gramStart"/>
      <w:r w:rsidRPr="00CC4B54">
        <w:t>a</w:t>
      </w:r>
      <w:proofErr w:type="gramEnd"/>
      <w:r w:rsidRPr="00CC4B54">
        <w:t xml:space="preserve"> power to take the person to where he or she does not want to go, using force if necessary</w:t>
      </w:r>
      <w:r>
        <w:t xml:space="preserve"> </w:t>
      </w:r>
      <w:r w:rsidRPr="00CC4B54">
        <w:t>(MHA ss.18(7)</w:t>
      </w:r>
      <w:r>
        <w:rPr>
          <w:rStyle w:val="FootnoteReference"/>
        </w:rPr>
        <w:footnoteReference w:id="4"/>
      </w:r>
      <w:r w:rsidRPr="00CC4B54">
        <w:t xml:space="preserve"> and 137).</w:t>
      </w:r>
    </w:p>
    <w:p w:rsidR="00CC4B54" w:rsidRDefault="00CC4B54" w:rsidP="00CC4B54">
      <w:pPr>
        <w:pStyle w:val="ListParagraph"/>
        <w:numPr>
          <w:ilvl w:val="0"/>
          <w:numId w:val="1"/>
        </w:numPr>
      </w:pPr>
      <w:proofErr w:type="gramStart"/>
      <w:r w:rsidRPr="00CC4B54">
        <w:t>a</w:t>
      </w:r>
      <w:proofErr w:type="gramEnd"/>
      <w:r w:rsidRPr="00CC4B54">
        <w:t xml:space="preserve"> power to insist that the person remains at that place (MHA s.8(1)(a)).</w:t>
      </w:r>
    </w:p>
    <w:p w:rsidR="00CC4B54" w:rsidRDefault="00CC4B54" w:rsidP="00CC4B54">
      <w:pPr>
        <w:pStyle w:val="ListParagraph"/>
        <w:numPr>
          <w:ilvl w:val="0"/>
          <w:numId w:val="1"/>
        </w:numPr>
      </w:pPr>
      <w:proofErr w:type="gramStart"/>
      <w:r w:rsidRPr="00CC4B54">
        <w:t>a</w:t>
      </w:r>
      <w:proofErr w:type="gramEnd"/>
      <w:r w:rsidRPr="00CC4B54">
        <w:t xml:space="preserve"> power to return the person to that place if he or she leaves without authority, using force if</w:t>
      </w:r>
      <w:r>
        <w:t xml:space="preserve"> </w:t>
      </w:r>
      <w:r w:rsidRPr="00CC4B54">
        <w:t>necessary (MHA ss.18(4), 137).</w:t>
      </w:r>
    </w:p>
    <w:p w:rsidR="00CC4B54" w:rsidRPr="00CC4B54" w:rsidRDefault="00CC4B54" w:rsidP="00CC4B54">
      <w:pPr>
        <w:pStyle w:val="ListParagraph"/>
        <w:numPr>
          <w:ilvl w:val="0"/>
          <w:numId w:val="1"/>
        </w:numPr>
      </w:pPr>
      <w:proofErr w:type="gramStart"/>
      <w:r w:rsidRPr="00CC4B54">
        <w:t>a</w:t>
      </w:r>
      <w:proofErr w:type="gramEnd"/>
      <w:r w:rsidRPr="00CC4B54">
        <w:t xml:space="preserve"> power to take the person to a place where he or she will receive medical treatment under the</w:t>
      </w:r>
      <w:r>
        <w:t xml:space="preserve"> </w:t>
      </w:r>
      <w:r w:rsidRPr="00CC4B54">
        <w:t>authority of the MCA (MHA s.8(1)(b), MCA ss.5,6).</w:t>
      </w:r>
    </w:p>
    <w:p w:rsidR="00CC4B54" w:rsidRPr="00CC4B54" w:rsidRDefault="00CC4B54" w:rsidP="00CC4B54">
      <w:r w:rsidRPr="00CC4B54">
        <w:t>Put bluntly, a person under guardianship can be forced to leave his or her home to go to a place where</w:t>
      </w:r>
      <w:r>
        <w:t xml:space="preserve"> </w:t>
      </w:r>
      <w:r w:rsidRPr="00CC4B54">
        <w:t>he or she does not want to go to, can be required to stay in that place and can be returned to that place</w:t>
      </w:r>
      <w:r>
        <w:t xml:space="preserve"> </w:t>
      </w:r>
      <w:r w:rsidRPr="00CC4B54">
        <w:t>if he or she leaves without being given permission to do so. Given the interpretation that the European</w:t>
      </w:r>
      <w:r>
        <w:t xml:space="preserve"> </w:t>
      </w:r>
      <w:r w:rsidRPr="00CC4B54">
        <w:t>Court of Human Rights and the High Court have given to the meaning of a deprivation of liberty</w:t>
      </w:r>
      <w:r>
        <w:rPr>
          <w:rStyle w:val="FootnoteReference"/>
        </w:rPr>
        <w:footnoteReference w:id="5"/>
      </w:r>
      <w:r w:rsidRPr="00CC4B54">
        <w:t>, how</w:t>
      </w:r>
      <w:r>
        <w:t xml:space="preserve"> </w:t>
      </w:r>
      <w:r w:rsidRPr="00CC4B54">
        <w:t>can it possibly be argued that a person who is subject to the operation of such powers is not being deprived</w:t>
      </w:r>
      <w:r>
        <w:t xml:space="preserve"> </w:t>
      </w:r>
      <w:r w:rsidRPr="00CC4B54">
        <w:t>of his or her liberty? Such a person is clearly subject to the continuous control of the guardian and is not</w:t>
      </w:r>
      <w:r>
        <w:t xml:space="preserve"> </w:t>
      </w:r>
      <w:r w:rsidRPr="00CC4B54">
        <w:t>free to leave the specified place of residence</w:t>
      </w:r>
      <w:r>
        <w:rPr>
          <w:rStyle w:val="FootnoteReference"/>
        </w:rPr>
        <w:footnoteReference w:id="6"/>
      </w:r>
      <w:r w:rsidRPr="00CC4B54">
        <w:t>. The fact that the provisions of the MHA that relate to</w:t>
      </w:r>
      <w:r>
        <w:t xml:space="preserve"> </w:t>
      </w:r>
      <w:r w:rsidRPr="00CC4B54">
        <w:t xml:space="preserve">guardianship do not specifically state that guardianship can be </w:t>
      </w:r>
      <w:r w:rsidRPr="00CC4B54">
        <w:lastRenderedPageBreak/>
        <w:t>used to authorise the deprivation of a</w:t>
      </w:r>
      <w:r>
        <w:t xml:space="preserve"> </w:t>
      </w:r>
      <w:r w:rsidRPr="00CC4B54">
        <w:t>patient’s liberty is not legally relevant to the question of whether the provisions can have that effect.</w:t>
      </w:r>
    </w:p>
    <w:p w:rsidR="00CC4B54" w:rsidRPr="00CC4B54" w:rsidRDefault="00CC4B54" w:rsidP="00CC4B54">
      <w:r w:rsidRPr="00CC4B54">
        <w:t xml:space="preserve">In </w:t>
      </w:r>
      <w:r w:rsidRPr="00CC4B54">
        <w:rPr>
          <w:i/>
          <w:iCs/>
        </w:rPr>
        <w:t xml:space="preserve">JE v DE (1) Surrey County Council (2) EW (3) </w:t>
      </w:r>
      <w:r w:rsidRPr="00CC4B54">
        <w:t>[2006] EWHC 3459 (</w:t>
      </w:r>
      <w:proofErr w:type="spellStart"/>
      <w:r w:rsidRPr="00CC4B54">
        <w:t>Fam</w:t>
      </w:r>
      <w:proofErr w:type="spellEnd"/>
      <w:r w:rsidRPr="00CC4B54">
        <w:t xml:space="preserve">), </w:t>
      </w:r>
      <w:proofErr w:type="spellStart"/>
      <w:r w:rsidRPr="00CC4B54">
        <w:t>Munby</w:t>
      </w:r>
      <w:proofErr w:type="spellEnd"/>
      <w:r w:rsidRPr="00CC4B54">
        <w:t xml:space="preserve"> J. held that the</w:t>
      </w:r>
      <w:r>
        <w:t xml:space="preserve"> </w:t>
      </w:r>
      <w:r w:rsidRPr="00CC4B54">
        <w:t>crucial issue in determining whether a mentally incapacitated person who is being cared for in a care</w:t>
      </w:r>
      <w:r>
        <w:t xml:space="preserve"> </w:t>
      </w:r>
      <w:r w:rsidRPr="00CC4B54">
        <w:t>home is being deprived of his or her liberty is not so much whether the person’s freedom within the home</w:t>
      </w:r>
      <w:r>
        <w:t xml:space="preserve"> </w:t>
      </w:r>
      <w:r w:rsidRPr="00CC4B54">
        <w:t>is curtailed but rather whether or not the person is free to leave. His Lordship said</w:t>
      </w:r>
      <w:r>
        <w:rPr>
          <w:rStyle w:val="FootnoteReference"/>
        </w:rPr>
        <w:footnoteReference w:id="7"/>
      </w:r>
      <w:r w:rsidRPr="00CC4B54">
        <w:t xml:space="preserve"> that the person</w:t>
      </w:r>
      <w:r>
        <w:t xml:space="preserve"> </w:t>
      </w:r>
      <w:r w:rsidRPr="00CC4B54">
        <w:t>concerned, who had not been received into the guardianship of the local authority, was not free to leave</w:t>
      </w:r>
      <w:r>
        <w:t xml:space="preserve"> </w:t>
      </w:r>
      <w:r w:rsidRPr="00CC4B54">
        <w:t>and “was and is, in that sense, completely under the control of the [local authority]”, because it is the</w:t>
      </w:r>
      <w:r>
        <w:t xml:space="preserve"> </w:t>
      </w:r>
      <w:r w:rsidRPr="00CC4B54">
        <w:t>local authority who decides the essential matters of where he should live, whether he can leave and</w:t>
      </w:r>
      <w:r>
        <w:t xml:space="preserve"> </w:t>
      </w:r>
      <w:r w:rsidRPr="00CC4B54">
        <w:t>whether he can be with his wife. Guardianship would have provided the authority with the power to make</w:t>
      </w:r>
      <w:r>
        <w:t xml:space="preserve"> </w:t>
      </w:r>
      <w:r w:rsidRPr="00CC4B54">
        <w:t xml:space="preserve">such decisions. It follows from </w:t>
      </w:r>
      <w:r w:rsidRPr="00CC4B54">
        <w:rPr>
          <w:i/>
          <w:iCs/>
        </w:rPr>
        <w:t xml:space="preserve">DE </w:t>
      </w:r>
      <w:r w:rsidRPr="00CC4B54">
        <w:t>that if guardianship is being used to ensure that a person does not leave</w:t>
      </w:r>
      <w:r>
        <w:t xml:space="preserve"> </w:t>
      </w:r>
      <w:r w:rsidRPr="00CC4B54">
        <w:t>the place where he or she is required by the guardian to reside, it is being used to deprive that person of</w:t>
      </w:r>
      <w:r>
        <w:t xml:space="preserve"> </w:t>
      </w:r>
      <w:r w:rsidRPr="00CC4B54">
        <w:t>his or her liberty.</w:t>
      </w:r>
    </w:p>
    <w:p w:rsidR="00CC4B54" w:rsidRPr="00CC4B54" w:rsidRDefault="00CC4B54" w:rsidP="00CC4B54">
      <w:r w:rsidRPr="00CC4B54">
        <w:t xml:space="preserve">Does guardianship comply with Art.5 of the </w:t>
      </w:r>
      <w:r w:rsidRPr="00CC4B54">
        <w:rPr>
          <w:i/>
          <w:iCs/>
        </w:rPr>
        <w:t>European Convention on Human Rights</w:t>
      </w:r>
      <w:r w:rsidRPr="00CC4B54">
        <w:t>, which is designed “to</w:t>
      </w:r>
      <w:r>
        <w:t xml:space="preserve"> </w:t>
      </w:r>
      <w:r w:rsidRPr="00CC4B54">
        <w:t>ensure that no one should be arbitrarily dispossessed of his liberty”</w:t>
      </w:r>
      <w:r>
        <w:rPr>
          <w:rStyle w:val="FootnoteReference"/>
        </w:rPr>
        <w:footnoteReference w:id="8"/>
      </w:r>
      <w:r w:rsidRPr="00CC4B54">
        <w:t>? Guardianship is clearly a “procedure</w:t>
      </w:r>
      <w:r>
        <w:t xml:space="preserve"> </w:t>
      </w:r>
      <w:r w:rsidRPr="00CC4B54">
        <w:t xml:space="preserve">prescribed by law” for the purposes of </w:t>
      </w:r>
      <w:proofErr w:type="gramStart"/>
      <w:r w:rsidRPr="00CC4B54">
        <w:t>Art.5(</w:t>
      </w:r>
      <w:proofErr w:type="gramEnd"/>
      <w:r w:rsidRPr="00CC4B54">
        <w:t>1) and the House of Lords has held</w:t>
      </w:r>
      <w:r>
        <w:rPr>
          <w:rStyle w:val="FootnoteReference"/>
        </w:rPr>
        <w:footnoteReference w:id="9"/>
      </w:r>
      <w:r w:rsidRPr="00CC4B54">
        <w:t xml:space="preserve"> that Art.5(4), which</w:t>
      </w:r>
      <w:r>
        <w:t xml:space="preserve"> </w:t>
      </w:r>
      <w:r w:rsidRPr="00CC4B54">
        <w:t>provides that a person who has been deprived of his or her liberty must be entitled to take proceedings to</w:t>
      </w:r>
      <w:r>
        <w:t xml:space="preserve"> </w:t>
      </w:r>
      <w:r w:rsidRPr="00CC4B54">
        <w:t>challenge the lawfulness of the detention, is not breached by virtue of the fact that the person concerned</w:t>
      </w:r>
      <w:r>
        <w:t xml:space="preserve"> </w:t>
      </w:r>
      <w:r w:rsidRPr="00CC4B54">
        <w:t>lacks the mental capacity to institute such proceedings. It is also the case that the procedure for making</w:t>
      </w:r>
      <w:r>
        <w:t xml:space="preserve"> </w:t>
      </w:r>
      <w:r w:rsidRPr="00CC4B54">
        <w:t>a guardianship application under s.7 of the MHA meets the substantive and procedural requirements for</w:t>
      </w:r>
      <w:r>
        <w:t xml:space="preserve"> </w:t>
      </w:r>
      <w:r w:rsidRPr="00CC4B54">
        <w:t>the lawful detention of persons of unsound mind which were established by the European Court of</w:t>
      </w:r>
      <w:r>
        <w:t xml:space="preserve"> </w:t>
      </w:r>
      <w:r w:rsidRPr="00CC4B54">
        <w:t xml:space="preserve">Human Rights in </w:t>
      </w:r>
      <w:proofErr w:type="spellStart"/>
      <w:r w:rsidRPr="00CC4B54">
        <w:rPr>
          <w:i/>
          <w:iCs/>
        </w:rPr>
        <w:t>Winterwerp</w:t>
      </w:r>
      <w:proofErr w:type="spellEnd"/>
      <w:r w:rsidRPr="00CC4B54">
        <w:rPr>
          <w:i/>
          <w:iCs/>
        </w:rPr>
        <w:t xml:space="preserve"> v Netherlands </w:t>
      </w:r>
      <w:r w:rsidRPr="00CC4B54">
        <w:t>(1979–80) 2 E.H.R.R. 387.</w:t>
      </w:r>
    </w:p>
    <w:p w:rsidR="00CC4B54" w:rsidRPr="00CC4B54" w:rsidRDefault="00CC4B54" w:rsidP="00CC4B54">
      <w:r w:rsidRPr="00CC4B54">
        <w:t>The Government could be faced with a compatibility issue under the Convention if a person who has</w:t>
      </w:r>
      <w:r>
        <w:t xml:space="preserve"> </w:t>
      </w:r>
      <w:r w:rsidRPr="00CC4B54">
        <w:t>been deprived of his or her liberty on the authority of a guardianship application makes an application to</w:t>
      </w:r>
      <w:r>
        <w:t xml:space="preserve"> </w:t>
      </w:r>
      <w:r w:rsidRPr="00CC4B54">
        <w:t>a Mental Health Review Tribunal. Subsequent to the decision of the Court of Appeal</w:t>
      </w:r>
      <w:r>
        <w:rPr>
          <w:rStyle w:val="FootnoteReference"/>
        </w:rPr>
        <w:footnoteReference w:id="10"/>
      </w:r>
      <w:r w:rsidRPr="00CC4B54">
        <w:t xml:space="preserve"> which declared</w:t>
      </w:r>
      <w:r>
        <w:t xml:space="preserve"> </w:t>
      </w:r>
      <w:r w:rsidRPr="00CC4B54">
        <w:t xml:space="preserve">that </w:t>
      </w:r>
      <w:proofErr w:type="gramStart"/>
      <w:r w:rsidRPr="00CC4B54">
        <w:t>ss.72(</w:t>
      </w:r>
      <w:proofErr w:type="gramEnd"/>
      <w:r w:rsidRPr="00CC4B54">
        <w:t>1) and 73(1) of the MHA were incompatible with Arts.5(1) and 5(4) because they placed the</w:t>
      </w:r>
      <w:r>
        <w:t xml:space="preserve"> </w:t>
      </w:r>
      <w:r w:rsidRPr="00CC4B54">
        <w:t>burden upon the patient to prove that the criteria justifying detention no longer exist, Parliament passed</w:t>
      </w:r>
      <w:r>
        <w:t xml:space="preserve"> </w:t>
      </w:r>
      <w:r w:rsidRPr="00CC4B54">
        <w:t xml:space="preserve">the </w:t>
      </w:r>
      <w:r w:rsidRPr="00CC4B54">
        <w:rPr>
          <w:i/>
          <w:iCs/>
        </w:rPr>
        <w:t>Mental Health Act 1983 (Remedial) Order 2001</w:t>
      </w:r>
      <w:r>
        <w:rPr>
          <w:rStyle w:val="FootnoteReference"/>
          <w:i/>
          <w:iCs/>
        </w:rPr>
        <w:footnoteReference w:id="11"/>
      </w:r>
      <w:r w:rsidRPr="00CC4B54">
        <w:t xml:space="preserve"> which placed the burden of proof on the detaining</w:t>
      </w:r>
      <w:r>
        <w:t xml:space="preserve"> </w:t>
      </w:r>
      <w:r w:rsidRPr="00CC4B54">
        <w:t>authority. As this Order did not reverse the burden of proof in s.72(4), which deals with applications</w:t>
      </w:r>
      <w:r>
        <w:t xml:space="preserve"> </w:t>
      </w:r>
      <w:r w:rsidRPr="00CC4B54">
        <w:t>made by guardianship patients, the Government would have to make a further remedial order to ensure</w:t>
      </w:r>
      <w:r>
        <w:t xml:space="preserve"> </w:t>
      </w:r>
      <w:r w:rsidRPr="00CC4B54">
        <w:t>that this provision is compatible with Art.5.</w:t>
      </w:r>
    </w:p>
    <w:p w:rsidR="00042A23" w:rsidRDefault="00CC4B54" w:rsidP="00CC4B54">
      <w:r w:rsidRPr="00CC4B54">
        <w:t>If guardianship can be used to deprive a person of his or her liberty, should it be used in preference to the</w:t>
      </w:r>
      <w:r>
        <w:t xml:space="preserve"> </w:t>
      </w:r>
      <w:r w:rsidRPr="00CC4B54">
        <w:t>new MCA procedure given that the Code of Practice on the MCA states, at para.13.20, that decision</w:t>
      </w:r>
      <w:r>
        <w:t>-</w:t>
      </w:r>
      <w:r w:rsidRPr="00CC4B54">
        <w:t>makers</w:t>
      </w:r>
      <w:r>
        <w:t xml:space="preserve"> </w:t>
      </w:r>
      <w:r w:rsidRPr="00CC4B54">
        <w:t>“must never consider guardianship as a way to avoid applying the MCA”? The new MCA</w:t>
      </w:r>
      <w:r>
        <w:t xml:space="preserve"> </w:t>
      </w:r>
      <w:r w:rsidRPr="00CC4B54">
        <w:t xml:space="preserve">procedure is Byzantine in its complexity, but this factor alone would not provide a “cogent </w:t>
      </w:r>
      <w:r w:rsidRPr="00CC4B54">
        <w:lastRenderedPageBreak/>
        <w:t>reason” for</w:t>
      </w:r>
      <w:r>
        <w:t xml:space="preserve"> </w:t>
      </w:r>
      <w:r w:rsidRPr="00CC4B54">
        <w:t>departing from the guidance in the Code</w:t>
      </w:r>
      <w:r>
        <w:rPr>
          <w:rStyle w:val="FootnoteReference"/>
        </w:rPr>
        <w:footnoteReference w:id="12"/>
      </w:r>
      <w:r w:rsidRPr="00CC4B54">
        <w:t>. However, the following factors do provide such reasons:</w:t>
      </w:r>
    </w:p>
    <w:p w:rsidR="005E612A" w:rsidRDefault="005E612A" w:rsidP="005E612A">
      <w:pPr>
        <w:pStyle w:val="ListParagraph"/>
        <w:numPr>
          <w:ilvl w:val="0"/>
          <w:numId w:val="2"/>
        </w:numPr>
      </w:pPr>
      <w:r w:rsidRPr="005E612A">
        <w:t>There is a strong argument in favour of the contention that the statement in the Code that</w:t>
      </w:r>
      <w:r>
        <w:t xml:space="preserve"> </w:t>
      </w:r>
      <w:r w:rsidRPr="005E612A">
        <w:t>guardianship cannot be used to deprive a person of his or her liberty does not represent the</w:t>
      </w:r>
      <w:r>
        <w:t xml:space="preserve"> </w:t>
      </w:r>
      <w:r w:rsidRPr="005E612A">
        <w:t>true legal position.</w:t>
      </w:r>
    </w:p>
    <w:p w:rsidR="005E612A" w:rsidRPr="005E612A" w:rsidRDefault="005E612A" w:rsidP="005E612A">
      <w:pPr>
        <w:pStyle w:val="ListParagraph"/>
        <w:numPr>
          <w:ilvl w:val="0"/>
          <w:numId w:val="2"/>
        </w:numPr>
      </w:pPr>
      <w:r w:rsidRPr="005E612A">
        <w:t>Guardianship provides a greater degree of protection than that provided for in the MCA to</w:t>
      </w:r>
      <w:r>
        <w:t xml:space="preserve"> </w:t>
      </w:r>
      <w:r w:rsidRPr="005E612A">
        <w:t>both professional and lay carers and the person who is subject to the deprivation of liberty in</w:t>
      </w:r>
      <w:r>
        <w:t xml:space="preserve"> </w:t>
      </w:r>
      <w:r w:rsidRPr="005E612A">
        <w:t>that:</w:t>
      </w:r>
    </w:p>
    <w:p w:rsidR="005E612A" w:rsidRDefault="005E612A" w:rsidP="005E612A">
      <w:pPr>
        <w:pStyle w:val="ListParagraph"/>
        <w:numPr>
          <w:ilvl w:val="0"/>
          <w:numId w:val="3"/>
        </w:numPr>
        <w:ind w:left="1134"/>
      </w:pPr>
      <w:r w:rsidRPr="005E612A">
        <w:t>unlike the MCA, guardianship provides explicit legal authority to deprive a person of his</w:t>
      </w:r>
      <w:r>
        <w:t xml:space="preserve"> </w:t>
      </w:r>
      <w:r w:rsidRPr="005E612A">
        <w:t>or her liberty during conveyance from that person’s home to the specified place of</w:t>
      </w:r>
      <w:r>
        <w:t xml:space="preserve">  </w:t>
      </w:r>
      <w:r w:rsidRPr="005E612A">
        <w:t>residence</w:t>
      </w:r>
      <w:r w:rsidR="005D39DB">
        <w:rPr>
          <w:rStyle w:val="FootnoteReference"/>
        </w:rPr>
        <w:footnoteReference w:id="13"/>
      </w:r>
      <w:r w:rsidRPr="005E612A">
        <w:t>;</w:t>
      </w:r>
    </w:p>
    <w:p w:rsidR="005E612A" w:rsidRDefault="005E612A" w:rsidP="005E612A">
      <w:pPr>
        <w:pStyle w:val="ListParagraph"/>
        <w:numPr>
          <w:ilvl w:val="0"/>
          <w:numId w:val="3"/>
        </w:numPr>
        <w:ind w:left="1134"/>
      </w:pPr>
      <w:r w:rsidRPr="005E612A">
        <w:t>unlike the MCA, guardianship provides explicit authority for the person to be returned to</w:t>
      </w:r>
      <w:r>
        <w:t xml:space="preserve"> </w:t>
      </w:r>
      <w:r w:rsidRPr="005E612A">
        <w:t>the specified place of residence in the event of the person leaving that place without</w:t>
      </w:r>
      <w:r>
        <w:t xml:space="preserve"> </w:t>
      </w:r>
      <w:r w:rsidRPr="005E612A">
        <w:t>authority</w:t>
      </w:r>
      <w:r w:rsidR="005D39DB">
        <w:rPr>
          <w:rStyle w:val="FootnoteReference"/>
        </w:rPr>
        <w:footnoteReference w:id="14"/>
      </w:r>
      <w:r w:rsidRPr="005E612A">
        <w:t>;</w:t>
      </w:r>
    </w:p>
    <w:p w:rsidR="005E612A" w:rsidRDefault="005E612A" w:rsidP="005E612A">
      <w:pPr>
        <w:pStyle w:val="ListParagraph"/>
        <w:numPr>
          <w:ilvl w:val="0"/>
          <w:numId w:val="3"/>
        </w:numPr>
        <w:ind w:left="1134"/>
      </w:pPr>
      <w:proofErr w:type="gramStart"/>
      <w:r w:rsidRPr="005E612A">
        <w:t>the</w:t>
      </w:r>
      <w:proofErr w:type="gramEnd"/>
      <w:r w:rsidRPr="005E612A">
        <w:t xml:space="preserve"> responsible social services authority must arrange for a person under guardianship to</w:t>
      </w:r>
      <w:r>
        <w:t xml:space="preserve"> </w:t>
      </w:r>
      <w:r w:rsidRPr="005E612A">
        <w:t>be visited at intervals of not more than 3 months, and at least one such visit in any year</w:t>
      </w:r>
      <w:r>
        <w:t xml:space="preserve"> </w:t>
      </w:r>
      <w:r w:rsidRPr="005E612A">
        <w:t>shall be by a “section 12 doctor”</w:t>
      </w:r>
      <w:r w:rsidR="005D39DB">
        <w:rPr>
          <w:rStyle w:val="FootnoteReference"/>
        </w:rPr>
        <w:footnoteReference w:id="15"/>
      </w:r>
      <w:r w:rsidRPr="005E612A">
        <w:t>. No similar obligation is to be found in the MCA; and</w:t>
      </w:r>
      <w:r>
        <w:t xml:space="preserve"> </w:t>
      </w:r>
    </w:p>
    <w:p w:rsidR="005E612A" w:rsidRPr="005E612A" w:rsidRDefault="005E612A" w:rsidP="005E612A">
      <w:pPr>
        <w:pStyle w:val="ListParagraph"/>
        <w:numPr>
          <w:ilvl w:val="0"/>
          <w:numId w:val="3"/>
        </w:numPr>
        <w:ind w:left="1134"/>
      </w:pPr>
      <w:proofErr w:type="gramStart"/>
      <w:r w:rsidRPr="005E612A">
        <w:t>the</w:t>
      </w:r>
      <w:proofErr w:type="gramEnd"/>
      <w:r w:rsidRPr="005E612A">
        <w:t xml:space="preserve"> MHA provides a patient’s nearest relative with powers with respect to guardianship</w:t>
      </w:r>
      <w:r>
        <w:t xml:space="preserve"> </w:t>
      </w:r>
      <w:r w:rsidRPr="005E612A">
        <w:t>that are intended to protect the position of the patient</w:t>
      </w:r>
      <w:r w:rsidR="005D39DB">
        <w:rPr>
          <w:rStyle w:val="FootnoteReference"/>
        </w:rPr>
        <w:footnoteReference w:id="16"/>
      </w:r>
      <w:r w:rsidRPr="005E612A">
        <w:t>. The nearest relative has no role</w:t>
      </w:r>
      <w:r>
        <w:t xml:space="preserve"> </w:t>
      </w:r>
      <w:r w:rsidRPr="005E612A">
        <w:t>to play under the MCA.</w:t>
      </w:r>
    </w:p>
    <w:p w:rsidR="005E612A" w:rsidRPr="005E612A" w:rsidRDefault="005E612A" w:rsidP="005E612A">
      <w:r w:rsidRPr="005E612A">
        <w:t>There would therefore appear to be no legal impediment to prevent guardianship being used to justify the</w:t>
      </w:r>
      <w:r>
        <w:t xml:space="preserve"> </w:t>
      </w:r>
      <w:r w:rsidRPr="005E612A">
        <w:t>deprivation of a patient’s liberty in a care home in preference to the MCA procedure.</w:t>
      </w:r>
    </w:p>
    <w:p w:rsidR="005E612A" w:rsidRDefault="005E612A" w:rsidP="005E612A">
      <w:pPr>
        <w:rPr>
          <w:b/>
          <w:bCs/>
        </w:rPr>
      </w:pPr>
    </w:p>
    <w:p w:rsidR="005E612A" w:rsidRPr="005E612A" w:rsidRDefault="005E612A" w:rsidP="005E612A">
      <w:pPr>
        <w:rPr>
          <w:b/>
          <w:bCs/>
          <w:sz w:val="24"/>
        </w:rPr>
      </w:pPr>
      <w:r w:rsidRPr="005E612A">
        <w:rPr>
          <w:b/>
          <w:bCs/>
          <w:sz w:val="24"/>
        </w:rPr>
        <w:t>Sectioning</w:t>
      </w:r>
    </w:p>
    <w:p w:rsidR="005E612A" w:rsidRPr="005E612A" w:rsidRDefault="005E612A" w:rsidP="005E612A">
      <w:r w:rsidRPr="005E612A">
        <w:t>New Schedule 1A to the MCA sets out the circumstances that prevent a person who is being deprived</w:t>
      </w:r>
      <w:r>
        <w:t xml:space="preserve"> </w:t>
      </w:r>
      <w:r w:rsidRPr="005E612A">
        <w:t>of his or her liberty from being the subject of the MCA procedure</w:t>
      </w:r>
      <w:r w:rsidR="005D39DB">
        <w:rPr>
          <w:rStyle w:val="FootnoteReference"/>
        </w:rPr>
        <w:footnoteReference w:id="17"/>
      </w:r>
      <w:r w:rsidRPr="005E612A">
        <w:t>. If Schedule IA applies, the MHA</w:t>
      </w:r>
      <w:r>
        <w:t xml:space="preserve"> </w:t>
      </w:r>
      <w:r w:rsidRPr="005E612A">
        <w:t>must be used. However there is nothing in either the MCA or the MHA that prevents the MHA being</w:t>
      </w:r>
      <w:r>
        <w:t xml:space="preserve"> </w:t>
      </w:r>
      <w:r w:rsidRPr="005E612A">
        <w:t>used to justify a deprivation of liberty in a situation where Schedule IA does not apply</w:t>
      </w:r>
      <w:r w:rsidR="005D39DB">
        <w:rPr>
          <w:rStyle w:val="FootnoteReference"/>
        </w:rPr>
        <w:footnoteReference w:id="18"/>
      </w:r>
      <w:r w:rsidRPr="005E612A">
        <w:t>. In this situation,</w:t>
      </w:r>
      <w:r>
        <w:t xml:space="preserve"> </w:t>
      </w:r>
      <w:r w:rsidRPr="005E612A">
        <w:t>either the MCA or the MHA can be invoked if the patient satisfies the appropriate criteria under either</w:t>
      </w:r>
      <w:r>
        <w:t xml:space="preserve"> </w:t>
      </w:r>
      <w:r w:rsidRPr="005E612A">
        <w:t>Act. The following factors provide strong support for exercising choice in favour of the MHA:</w:t>
      </w:r>
    </w:p>
    <w:p w:rsidR="005E612A" w:rsidRDefault="005E612A" w:rsidP="005E612A">
      <w:pPr>
        <w:pStyle w:val="ListParagraph"/>
        <w:numPr>
          <w:ilvl w:val="0"/>
          <w:numId w:val="4"/>
        </w:numPr>
      </w:pPr>
      <w:r w:rsidRPr="005E612A">
        <w:t>Parts IV and IVA of the MHA provide patients with significant protections relating to the</w:t>
      </w:r>
      <w:r w:rsidR="005D39DB">
        <w:t xml:space="preserve"> </w:t>
      </w:r>
      <w:r w:rsidRPr="005E612A">
        <w:t>provision of treatment for the patient’s mental disorder. The provision of such treatment to</w:t>
      </w:r>
      <w:r w:rsidR="005D39DB">
        <w:t xml:space="preserve"> </w:t>
      </w:r>
      <w:r w:rsidRPr="005E612A">
        <w:t>patients subject to the MCA is unregulated.</w:t>
      </w:r>
    </w:p>
    <w:p w:rsidR="005E612A" w:rsidRDefault="005E612A" w:rsidP="005E612A">
      <w:pPr>
        <w:pStyle w:val="ListParagraph"/>
        <w:numPr>
          <w:ilvl w:val="0"/>
          <w:numId w:val="4"/>
        </w:numPr>
      </w:pPr>
      <w:r w:rsidRPr="005E612A">
        <w:lastRenderedPageBreak/>
        <w:t>The MHA provides a patient’s nearest relative with protective powers relating to the patient’s</w:t>
      </w:r>
      <w:r w:rsidR="005D39DB">
        <w:t xml:space="preserve"> </w:t>
      </w:r>
      <w:r w:rsidRPr="005E612A">
        <w:t>detention</w:t>
      </w:r>
      <w:r w:rsidR="005D39DB">
        <w:rPr>
          <w:rStyle w:val="FootnoteReference"/>
        </w:rPr>
        <w:footnoteReference w:id="19"/>
      </w:r>
      <w:r w:rsidRPr="005E612A">
        <w:t>. The nearest relative has no role to play under the MCA.</w:t>
      </w:r>
    </w:p>
    <w:p w:rsidR="005E612A" w:rsidRDefault="005E612A" w:rsidP="005E612A">
      <w:pPr>
        <w:pStyle w:val="ListParagraph"/>
        <w:numPr>
          <w:ilvl w:val="0"/>
          <w:numId w:val="4"/>
        </w:numPr>
      </w:pPr>
      <w:r w:rsidRPr="005E612A">
        <w:t>A MHA patient has a right to make an application to a Mental Health Review Tribunal and</w:t>
      </w:r>
      <w:r w:rsidR="005D39DB">
        <w:t xml:space="preserve"> </w:t>
      </w:r>
      <w:r w:rsidRPr="005E612A">
        <w:t>his or her case will be referred to the tribunal is this right is not exercised</w:t>
      </w:r>
      <w:r w:rsidR="005D39DB">
        <w:rPr>
          <w:rStyle w:val="FootnoteReference"/>
        </w:rPr>
        <w:footnoteReference w:id="20"/>
      </w:r>
      <w:r w:rsidRPr="005E612A">
        <w:t>. The MCA</w:t>
      </w:r>
      <w:r w:rsidR="005D39DB">
        <w:t xml:space="preserve"> </w:t>
      </w:r>
      <w:r w:rsidRPr="005E612A">
        <w:t>provides for no automatic judicial oversight of the patient’s detention.</w:t>
      </w:r>
    </w:p>
    <w:p w:rsidR="005D39DB" w:rsidRDefault="005D39DB" w:rsidP="005D39DB">
      <w:pPr>
        <w:pStyle w:val="ListParagraph"/>
        <w:numPr>
          <w:ilvl w:val="0"/>
          <w:numId w:val="4"/>
        </w:numPr>
      </w:pPr>
      <w:r w:rsidRPr="005D39DB">
        <w:t>The MHA contains explicit authority for the applicant to “take and convey” the patient to the</w:t>
      </w:r>
      <w:r>
        <w:t xml:space="preserve"> </w:t>
      </w:r>
      <w:r w:rsidRPr="005D39DB">
        <w:t>hospital named in the application</w:t>
      </w:r>
      <w:r>
        <w:rPr>
          <w:rStyle w:val="FootnoteReference"/>
        </w:rPr>
        <w:footnoteReference w:id="21"/>
      </w:r>
      <w:r w:rsidRPr="005D39DB">
        <w:t xml:space="preserve"> and for the hospital authority to return the patient to the</w:t>
      </w:r>
      <w:r>
        <w:t xml:space="preserve"> </w:t>
      </w:r>
      <w:r w:rsidRPr="005D39DB">
        <w:t>hospital in the event of the patient absconding</w:t>
      </w:r>
      <w:r>
        <w:rPr>
          <w:rStyle w:val="FootnoteReference"/>
        </w:rPr>
        <w:footnoteReference w:id="22"/>
      </w:r>
      <w:r w:rsidRPr="005D39DB">
        <w:t>. The MCA is silent on these points.</w:t>
      </w:r>
    </w:p>
    <w:p w:rsidR="005D39DB" w:rsidRDefault="005D39DB" w:rsidP="005D39DB">
      <w:pPr>
        <w:pStyle w:val="ListParagraph"/>
        <w:numPr>
          <w:ilvl w:val="0"/>
          <w:numId w:val="4"/>
        </w:numPr>
      </w:pPr>
      <w:r w:rsidRPr="005D39DB">
        <w:t>MHA patients who are subject to s.117 of the Act receive after-care services provided under</w:t>
      </w:r>
      <w:r>
        <w:t xml:space="preserve"> </w:t>
      </w:r>
      <w:r w:rsidRPr="005D39DB">
        <w:t>that section free of charge</w:t>
      </w:r>
      <w:r>
        <w:rPr>
          <w:rStyle w:val="FootnoteReference"/>
        </w:rPr>
        <w:footnoteReference w:id="23"/>
      </w:r>
      <w:r w:rsidRPr="005D39DB">
        <w:t>. MCA patients who are discharged from hospital will be subject to</w:t>
      </w:r>
      <w:r>
        <w:t xml:space="preserve"> </w:t>
      </w:r>
      <w:r w:rsidRPr="005D39DB">
        <w:t>a mandatory charging regime if they are placed in a care home</w:t>
      </w:r>
      <w:r>
        <w:rPr>
          <w:rStyle w:val="FootnoteReference"/>
        </w:rPr>
        <w:footnoteReference w:id="24"/>
      </w:r>
      <w:r w:rsidRPr="005D39DB">
        <w:t xml:space="preserve"> and a discretionary charging</w:t>
      </w:r>
      <w:r>
        <w:t xml:space="preserve"> </w:t>
      </w:r>
      <w:r w:rsidRPr="005D39DB">
        <w:t>regime if they receive domiciliary care services</w:t>
      </w:r>
      <w:r>
        <w:rPr>
          <w:rStyle w:val="FootnoteReference"/>
        </w:rPr>
        <w:footnoteReference w:id="25"/>
      </w:r>
      <w:r w:rsidRPr="005D39DB">
        <w:t>.</w:t>
      </w:r>
    </w:p>
    <w:p w:rsidR="005D39DB" w:rsidRPr="005D39DB" w:rsidRDefault="005D39DB" w:rsidP="005D39DB"/>
    <w:p w:rsidR="005D39DB" w:rsidRPr="005D39DB" w:rsidRDefault="005D39DB" w:rsidP="005D39DB">
      <w:pPr>
        <w:rPr>
          <w:b/>
          <w:bCs/>
          <w:sz w:val="24"/>
        </w:rPr>
      </w:pPr>
      <w:r w:rsidRPr="005D39DB">
        <w:rPr>
          <w:b/>
          <w:bCs/>
          <w:sz w:val="24"/>
        </w:rPr>
        <w:t>Conclusion</w:t>
      </w:r>
    </w:p>
    <w:p w:rsidR="005D39DB" w:rsidRDefault="005D39DB" w:rsidP="005D39DB">
      <w:r w:rsidRPr="005D39DB">
        <w:t>MHA powers provide patients who are being subjected to a deprivation of liberty with a degree of</w:t>
      </w:r>
      <w:r>
        <w:t xml:space="preserve"> </w:t>
      </w:r>
      <w:r w:rsidRPr="005D39DB">
        <w:t>protection that exceeds those contained in the MCA. If the approach outlined above is adopted, the</w:t>
      </w:r>
      <w:r>
        <w:t xml:space="preserve"> </w:t>
      </w:r>
      <w:r w:rsidRPr="005D39DB">
        <w:t>MCA procedure need only be invoked for the small number of patients who are either being deprived of</w:t>
      </w:r>
      <w:r>
        <w:t xml:space="preserve"> </w:t>
      </w:r>
      <w:r w:rsidRPr="005D39DB">
        <w:t>their liberty while being treated in hospital for a physical disorder or who require hospital treatment for a</w:t>
      </w:r>
      <w:r>
        <w:t xml:space="preserve"> </w:t>
      </w:r>
      <w:r w:rsidRPr="005D39DB">
        <w:t xml:space="preserve">mental disorder but fail to satisfy </w:t>
      </w:r>
      <w:bookmarkStart w:id="0" w:name="_GoBack"/>
      <w:bookmarkEnd w:id="0"/>
      <w:r w:rsidRPr="005D39DB">
        <w:t>the criteria for detention under the MHA</w:t>
      </w:r>
      <w:r>
        <w:rPr>
          <w:rStyle w:val="FootnoteReference"/>
        </w:rPr>
        <w:footnoteReference w:id="26"/>
      </w:r>
      <w:r w:rsidRPr="005D39DB">
        <w:t>.</w:t>
      </w:r>
    </w:p>
    <w:sectPr w:rsidR="005D39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B54" w:rsidRDefault="00CC4B54" w:rsidP="00CC4B54">
      <w:pPr>
        <w:spacing w:after="0" w:line="240" w:lineRule="auto"/>
      </w:pPr>
      <w:r>
        <w:separator/>
      </w:r>
    </w:p>
  </w:endnote>
  <w:endnote w:type="continuationSeparator" w:id="0">
    <w:p w:rsidR="00CC4B54" w:rsidRDefault="00CC4B54" w:rsidP="00CC4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B54" w:rsidRDefault="00CC4B54" w:rsidP="00CC4B54">
      <w:pPr>
        <w:spacing w:after="0" w:line="240" w:lineRule="auto"/>
      </w:pPr>
      <w:r>
        <w:separator/>
      </w:r>
    </w:p>
  </w:footnote>
  <w:footnote w:type="continuationSeparator" w:id="0">
    <w:p w:rsidR="00CC4B54" w:rsidRDefault="00CC4B54" w:rsidP="00CC4B54">
      <w:pPr>
        <w:spacing w:after="0" w:line="240" w:lineRule="auto"/>
      </w:pPr>
      <w:r>
        <w:continuationSeparator/>
      </w:r>
    </w:p>
  </w:footnote>
  <w:footnote w:id="1">
    <w:p w:rsidR="00CC4B54" w:rsidRPr="00CC4B54" w:rsidRDefault="00CC4B54" w:rsidP="00CC4B54">
      <w:pPr>
        <w:pStyle w:val="FootnoteText"/>
        <w:rPr>
          <w:sz w:val="16"/>
        </w:rPr>
      </w:pPr>
      <w:r w:rsidRPr="00CC4B54">
        <w:rPr>
          <w:rStyle w:val="FootnoteReference"/>
          <w:sz w:val="16"/>
        </w:rPr>
        <w:footnoteRef/>
      </w:r>
      <w:r w:rsidRPr="00CC4B54">
        <w:rPr>
          <w:sz w:val="16"/>
        </w:rPr>
        <w:t xml:space="preserve"> </w:t>
      </w:r>
      <w:proofErr w:type="gramStart"/>
      <w:r w:rsidRPr="00CC4B54">
        <w:rPr>
          <w:sz w:val="16"/>
        </w:rPr>
        <w:t>Consultant in Mental Health and Community Care Law,</w:t>
      </w:r>
      <w:r w:rsidRPr="00CC4B54">
        <w:rPr>
          <w:sz w:val="16"/>
        </w:rPr>
        <w:t xml:space="preserve"> </w:t>
      </w:r>
      <w:r w:rsidRPr="00CC4B54">
        <w:rPr>
          <w:sz w:val="16"/>
        </w:rPr>
        <w:t>Morgan Cole, Solicitors.</w:t>
      </w:r>
      <w:proofErr w:type="gramEnd"/>
      <w:r w:rsidRPr="00CC4B54">
        <w:rPr>
          <w:sz w:val="16"/>
        </w:rPr>
        <w:t xml:space="preserve"> Author of Mental Health Act</w:t>
      </w:r>
      <w:r w:rsidRPr="00CC4B54">
        <w:rPr>
          <w:sz w:val="16"/>
        </w:rPr>
        <w:t xml:space="preserve"> </w:t>
      </w:r>
      <w:r w:rsidRPr="00CC4B54">
        <w:rPr>
          <w:sz w:val="16"/>
        </w:rPr>
        <w:t xml:space="preserve">Manual 10th </w:t>
      </w:r>
      <w:proofErr w:type="spellStart"/>
      <w:proofErr w:type="gramStart"/>
      <w:r w:rsidRPr="00CC4B54">
        <w:rPr>
          <w:sz w:val="16"/>
        </w:rPr>
        <w:t>ed</w:t>
      </w:r>
      <w:proofErr w:type="spellEnd"/>
      <w:proofErr w:type="gramEnd"/>
      <w:r w:rsidRPr="00CC4B54">
        <w:rPr>
          <w:sz w:val="16"/>
        </w:rPr>
        <w:t xml:space="preserve"> (2006) (Sweet and Maxwell) and</w:t>
      </w:r>
      <w:r w:rsidRPr="00CC4B54">
        <w:rPr>
          <w:sz w:val="16"/>
        </w:rPr>
        <w:t xml:space="preserve"> </w:t>
      </w:r>
      <w:r w:rsidRPr="00CC4B54">
        <w:rPr>
          <w:sz w:val="16"/>
        </w:rPr>
        <w:t xml:space="preserve">Mental Capacity Act Manual 2nd </w:t>
      </w:r>
      <w:proofErr w:type="spellStart"/>
      <w:r w:rsidRPr="00CC4B54">
        <w:rPr>
          <w:sz w:val="16"/>
        </w:rPr>
        <w:t>ed</w:t>
      </w:r>
      <w:proofErr w:type="spellEnd"/>
      <w:r w:rsidRPr="00CC4B54">
        <w:rPr>
          <w:sz w:val="16"/>
        </w:rPr>
        <w:t xml:space="preserve"> (2007) (Sweet</w:t>
      </w:r>
      <w:r w:rsidRPr="00CC4B54">
        <w:rPr>
          <w:sz w:val="16"/>
        </w:rPr>
        <w:t xml:space="preserve"> </w:t>
      </w:r>
      <w:r w:rsidRPr="00CC4B54">
        <w:rPr>
          <w:sz w:val="16"/>
        </w:rPr>
        <w:t>and Maxwell).</w:t>
      </w:r>
    </w:p>
  </w:footnote>
  <w:footnote w:id="2">
    <w:p w:rsidR="00CC4B54" w:rsidRPr="00CC4B54" w:rsidRDefault="00CC4B54" w:rsidP="00CC4B54">
      <w:pPr>
        <w:pStyle w:val="FootnoteText"/>
        <w:rPr>
          <w:sz w:val="16"/>
        </w:rPr>
      </w:pPr>
      <w:r w:rsidRPr="00CC4B54">
        <w:rPr>
          <w:rStyle w:val="FootnoteReference"/>
          <w:sz w:val="16"/>
        </w:rPr>
        <w:footnoteRef/>
      </w:r>
      <w:r w:rsidRPr="00CC4B54">
        <w:rPr>
          <w:sz w:val="16"/>
        </w:rPr>
        <w:t xml:space="preserve"> </w:t>
      </w:r>
      <w:r w:rsidRPr="00CC4B54">
        <w:rPr>
          <w:sz w:val="16"/>
        </w:rPr>
        <w:t>The provisions of the Act which are referred to in this</w:t>
      </w:r>
      <w:r w:rsidRPr="00CC4B54">
        <w:rPr>
          <w:sz w:val="16"/>
        </w:rPr>
        <w:t xml:space="preserve"> </w:t>
      </w:r>
      <w:r w:rsidRPr="00CC4B54">
        <w:rPr>
          <w:sz w:val="16"/>
        </w:rPr>
        <w:t>article are not yet in force.</w:t>
      </w:r>
    </w:p>
  </w:footnote>
  <w:footnote w:id="3">
    <w:p w:rsidR="00CC4B54" w:rsidRPr="00CC4B54" w:rsidRDefault="00CC4B54">
      <w:pPr>
        <w:pStyle w:val="FootnoteText"/>
        <w:rPr>
          <w:sz w:val="16"/>
        </w:rPr>
      </w:pPr>
      <w:r w:rsidRPr="00CC4B54">
        <w:rPr>
          <w:rStyle w:val="FootnoteReference"/>
          <w:sz w:val="16"/>
        </w:rPr>
        <w:footnoteRef/>
      </w:r>
      <w:r w:rsidRPr="00CC4B54">
        <w:rPr>
          <w:sz w:val="16"/>
        </w:rPr>
        <w:t xml:space="preserve"> See section 50 Mental Health Act 2007.</w:t>
      </w:r>
    </w:p>
  </w:footnote>
  <w:footnote w:id="4">
    <w:p w:rsidR="00CC4B54" w:rsidRPr="00CC4B54" w:rsidRDefault="00CC4B54">
      <w:pPr>
        <w:pStyle w:val="FootnoteText"/>
        <w:rPr>
          <w:sz w:val="16"/>
        </w:rPr>
      </w:pPr>
      <w:r w:rsidRPr="00CC4B54">
        <w:rPr>
          <w:rStyle w:val="FootnoteReference"/>
          <w:sz w:val="16"/>
        </w:rPr>
        <w:footnoteRef/>
      </w:r>
      <w:r w:rsidRPr="00CC4B54">
        <w:rPr>
          <w:sz w:val="16"/>
        </w:rPr>
        <w:t xml:space="preserve"> As inserted by Sch.3, </w:t>
      </w:r>
      <w:proofErr w:type="gramStart"/>
      <w:r w:rsidRPr="00CC4B54">
        <w:rPr>
          <w:sz w:val="16"/>
        </w:rPr>
        <w:t>para.3(</w:t>
      </w:r>
      <w:proofErr w:type="gramEnd"/>
      <w:r w:rsidRPr="00CC4B54">
        <w:rPr>
          <w:sz w:val="16"/>
        </w:rPr>
        <w:t>5) of the 2007 Act.</w:t>
      </w:r>
    </w:p>
  </w:footnote>
  <w:footnote w:id="5">
    <w:p w:rsidR="00CC4B54" w:rsidRPr="00CC4B54" w:rsidRDefault="00CC4B54" w:rsidP="00CC4B54">
      <w:pPr>
        <w:pStyle w:val="FootnoteText"/>
        <w:rPr>
          <w:sz w:val="16"/>
        </w:rPr>
      </w:pPr>
      <w:r w:rsidRPr="00CC4B54">
        <w:rPr>
          <w:rStyle w:val="FootnoteReference"/>
          <w:sz w:val="16"/>
        </w:rPr>
        <w:footnoteRef/>
      </w:r>
      <w:r w:rsidRPr="00CC4B54">
        <w:rPr>
          <w:sz w:val="16"/>
        </w:rPr>
        <w:t xml:space="preserve"> </w:t>
      </w:r>
      <w:r w:rsidRPr="00CC4B54">
        <w:rPr>
          <w:sz w:val="16"/>
        </w:rPr>
        <w:t>See the discussion in the author’s Mental Capacity Act</w:t>
      </w:r>
      <w:r w:rsidRPr="00CC4B54">
        <w:rPr>
          <w:sz w:val="16"/>
        </w:rPr>
        <w:t xml:space="preserve"> </w:t>
      </w:r>
      <w:r w:rsidRPr="00CC4B54">
        <w:rPr>
          <w:sz w:val="16"/>
        </w:rPr>
        <w:t xml:space="preserve">Manual, 2nd </w:t>
      </w:r>
      <w:proofErr w:type="spellStart"/>
      <w:proofErr w:type="gramStart"/>
      <w:r w:rsidRPr="00CC4B54">
        <w:rPr>
          <w:sz w:val="16"/>
        </w:rPr>
        <w:t>ed</w:t>
      </w:r>
      <w:proofErr w:type="spellEnd"/>
      <w:proofErr w:type="gramEnd"/>
      <w:r w:rsidRPr="00CC4B54">
        <w:rPr>
          <w:sz w:val="16"/>
        </w:rPr>
        <w:t>, 2007, pp. 95–99.</w:t>
      </w:r>
    </w:p>
  </w:footnote>
  <w:footnote w:id="6">
    <w:p w:rsidR="00CC4B54" w:rsidRPr="00CC4B54" w:rsidRDefault="00CC4B54" w:rsidP="00CC4B54">
      <w:pPr>
        <w:pStyle w:val="FootnoteText"/>
        <w:rPr>
          <w:sz w:val="16"/>
        </w:rPr>
      </w:pPr>
      <w:r w:rsidRPr="00CC4B54">
        <w:rPr>
          <w:rStyle w:val="FootnoteReference"/>
          <w:sz w:val="16"/>
        </w:rPr>
        <w:footnoteRef/>
      </w:r>
      <w:r w:rsidRPr="00CC4B54">
        <w:rPr>
          <w:sz w:val="16"/>
        </w:rPr>
        <w:t xml:space="preserve"> </w:t>
      </w:r>
      <w:proofErr w:type="gramStart"/>
      <w:r w:rsidRPr="00CC4B54">
        <w:rPr>
          <w:sz w:val="16"/>
        </w:rPr>
        <w:t>HL v United Kingdom (2004) 40 E.H.R.R. 761,</w:t>
      </w:r>
      <w:r w:rsidRPr="00CC4B54">
        <w:rPr>
          <w:sz w:val="16"/>
        </w:rPr>
        <w:t xml:space="preserve"> </w:t>
      </w:r>
      <w:r w:rsidRPr="00CC4B54">
        <w:rPr>
          <w:sz w:val="16"/>
        </w:rPr>
        <w:t>para.91.</w:t>
      </w:r>
      <w:proofErr w:type="gramEnd"/>
    </w:p>
  </w:footnote>
  <w:footnote w:id="7">
    <w:p w:rsidR="00CC4B54" w:rsidRPr="00CC4B54" w:rsidRDefault="00CC4B54">
      <w:pPr>
        <w:pStyle w:val="FootnoteText"/>
        <w:rPr>
          <w:sz w:val="16"/>
        </w:rPr>
      </w:pPr>
      <w:r w:rsidRPr="00CC4B54">
        <w:rPr>
          <w:rStyle w:val="FootnoteReference"/>
          <w:sz w:val="16"/>
        </w:rPr>
        <w:footnoteRef/>
      </w:r>
      <w:r w:rsidRPr="00CC4B54">
        <w:rPr>
          <w:sz w:val="16"/>
        </w:rPr>
        <w:t xml:space="preserve"> See para.117.</w:t>
      </w:r>
    </w:p>
  </w:footnote>
  <w:footnote w:id="8">
    <w:p w:rsidR="00CC4B54" w:rsidRPr="00CC4B54" w:rsidRDefault="00CC4B54">
      <w:pPr>
        <w:pStyle w:val="FootnoteText"/>
        <w:rPr>
          <w:sz w:val="16"/>
          <w:lang w:val="de-DE"/>
        </w:rPr>
      </w:pPr>
      <w:r w:rsidRPr="00CC4B54">
        <w:rPr>
          <w:rStyle w:val="FootnoteReference"/>
          <w:sz w:val="16"/>
        </w:rPr>
        <w:footnoteRef/>
      </w:r>
      <w:r w:rsidRPr="00CC4B54">
        <w:rPr>
          <w:sz w:val="16"/>
          <w:lang w:val="de-DE"/>
        </w:rPr>
        <w:t xml:space="preserve"> </w:t>
      </w:r>
      <w:r w:rsidRPr="00CC4B54">
        <w:rPr>
          <w:sz w:val="16"/>
          <w:lang w:val="de-DE"/>
        </w:rPr>
        <w:t>Shiesser v Switzerland (1979) 2 E.H.R.R. 417,425.</w:t>
      </w:r>
    </w:p>
  </w:footnote>
  <w:footnote w:id="9">
    <w:p w:rsidR="00CC4B54" w:rsidRPr="00CC4B54" w:rsidRDefault="00CC4B54" w:rsidP="00CC4B54">
      <w:pPr>
        <w:pStyle w:val="FootnoteText"/>
        <w:rPr>
          <w:sz w:val="16"/>
        </w:rPr>
      </w:pPr>
      <w:r w:rsidRPr="00CC4B54">
        <w:rPr>
          <w:rStyle w:val="FootnoteReference"/>
          <w:sz w:val="16"/>
        </w:rPr>
        <w:footnoteRef/>
      </w:r>
      <w:r w:rsidRPr="00CC4B54">
        <w:rPr>
          <w:sz w:val="16"/>
        </w:rPr>
        <w:t xml:space="preserve"> </w:t>
      </w:r>
      <w:proofErr w:type="gramStart"/>
      <w:r w:rsidRPr="00CC4B54">
        <w:rPr>
          <w:sz w:val="16"/>
        </w:rPr>
        <w:t>R (on the application of MH) v Secretary of State for</w:t>
      </w:r>
      <w:r w:rsidRPr="00CC4B54">
        <w:rPr>
          <w:sz w:val="16"/>
        </w:rPr>
        <w:t xml:space="preserve"> </w:t>
      </w:r>
      <w:r w:rsidRPr="00CC4B54">
        <w:rPr>
          <w:sz w:val="16"/>
        </w:rPr>
        <w:t>Health [2005] UKHL 60.</w:t>
      </w:r>
      <w:proofErr w:type="gramEnd"/>
    </w:p>
  </w:footnote>
  <w:footnote w:id="10">
    <w:p w:rsidR="00CC4B54" w:rsidRPr="00CC4B54" w:rsidRDefault="00CC4B54" w:rsidP="00CC4B54">
      <w:pPr>
        <w:pStyle w:val="FootnoteText"/>
        <w:rPr>
          <w:sz w:val="16"/>
        </w:rPr>
      </w:pPr>
      <w:r w:rsidRPr="00CC4B54">
        <w:rPr>
          <w:rStyle w:val="FootnoteReference"/>
          <w:sz w:val="16"/>
        </w:rPr>
        <w:footnoteRef/>
      </w:r>
      <w:r w:rsidRPr="00CC4B54">
        <w:rPr>
          <w:sz w:val="16"/>
        </w:rPr>
        <w:t xml:space="preserve"> </w:t>
      </w:r>
      <w:proofErr w:type="gramStart"/>
      <w:r w:rsidRPr="00CC4B54">
        <w:rPr>
          <w:sz w:val="16"/>
        </w:rPr>
        <w:t>R. (on the application of H) v Mental Health Review</w:t>
      </w:r>
      <w:r w:rsidRPr="00CC4B54">
        <w:rPr>
          <w:sz w:val="16"/>
        </w:rPr>
        <w:t xml:space="preserve"> </w:t>
      </w:r>
      <w:r w:rsidRPr="00CC4B54">
        <w:rPr>
          <w:sz w:val="16"/>
        </w:rPr>
        <w:t>Tribunal, North and East London Region [2001] EWCA</w:t>
      </w:r>
      <w:r w:rsidRPr="00CC4B54">
        <w:rPr>
          <w:sz w:val="16"/>
        </w:rPr>
        <w:t xml:space="preserve"> </w:t>
      </w:r>
      <w:proofErr w:type="spellStart"/>
      <w:r w:rsidRPr="00CC4B54">
        <w:rPr>
          <w:sz w:val="16"/>
        </w:rPr>
        <w:t>Civ</w:t>
      </w:r>
      <w:proofErr w:type="spellEnd"/>
      <w:r w:rsidRPr="00CC4B54">
        <w:rPr>
          <w:sz w:val="16"/>
        </w:rPr>
        <w:t xml:space="preserve"> 415.</w:t>
      </w:r>
      <w:proofErr w:type="gramEnd"/>
    </w:p>
  </w:footnote>
  <w:footnote w:id="11">
    <w:p w:rsidR="00CC4B54" w:rsidRPr="00CC4B54" w:rsidRDefault="00CC4B54">
      <w:pPr>
        <w:pStyle w:val="FootnoteText"/>
        <w:rPr>
          <w:sz w:val="16"/>
        </w:rPr>
      </w:pPr>
      <w:r w:rsidRPr="00CC4B54">
        <w:rPr>
          <w:rStyle w:val="FootnoteReference"/>
          <w:sz w:val="16"/>
        </w:rPr>
        <w:footnoteRef/>
      </w:r>
      <w:r w:rsidRPr="00CC4B54">
        <w:rPr>
          <w:sz w:val="16"/>
        </w:rPr>
        <w:t xml:space="preserve"> </w:t>
      </w:r>
      <w:proofErr w:type="gramStart"/>
      <w:r w:rsidRPr="00CC4B54">
        <w:rPr>
          <w:sz w:val="16"/>
        </w:rPr>
        <w:t>SI 2001/3712.</w:t>
      </w:r>
      <w:proofErr w:type="gramEnd"/>
    </w:p>
  </w:footnote>
  <w:footnote w:id="12">
    <w:p w:rsidR="00CC4B54" w:rsidRPr="005D39DB" w:rsidRDefault="00CC4B54" w:rsidP="00CC4B54">
      <w:pPr>
        <w:pStyle w:val="FootnoteText"/>
        <w:rPr>
          <w:sz w:val="16"/>
        </w:rPr>
      </w:pPr>
      <w:r w:rsidRPr="005D39DB">
        <w:rPr>
          <w:rStyle w:val="FootnoteReference"/>
          <w:sz w:val="16"/>
        </w:rPr>
        <w:footnoteRef/>
      </w:r>
      <w:r w:rsidRPr="005D39DB">
        <w:rPr>
          <w:sz w:val="16"/>
        </w:rPr>
        <w:t xml:space="preserve"> </w:t>
      </w:r>
      <w:proofErr w:type="gramStart"/>
      <w:r w:rsidRPr="005D39DB">
        <w:rPr>
          <w:sz w:val="16"/>
        </w:rPr>
        <w:t xml:space="preserve">R. (on the application of </w:t>
      </w:r>
      <w:proofErr w:type="spellStart"/>
      <w:r w:rsidRPr="005D39DB">
        <w:rPr>
          <w:sz w:val="16"/>
        </w:rPr>
        <w:t>Munjaz</w:t>
      </w:r>
      <w:proofErr w:type="spellEnd"/>
      <w:r w:rsidRPr="005D39DB">
        <w:rPr>
          <w:sz w:val="16"/>
        </w:rPr>
        <w:t>) v Mersey Care</w:t>
      </w:r>
      <w:r w:rsidRPr="005D39DB">
        <w:rPr>
          <w:sz w:val="16"/>
        </w:rPr>
        <w:t xml:space="preserve"> </w:t>
      </w:r>
      <w:r w:rsidRPr="005D39DB">
        <w:rPr>
          <w:sz w:val="16"/>
        </w:rPr>
        <w:t>National Health Service Trust [2005] UKHL 58.</w:t>
      </w:r>
      <w:proofErr w:type="gramEnd"/>
    </w:p>
  </w:footnote>
  <w:footnote w:id="13">
    <w:p w:rsidR="005D39DB" w:rsidRPr="005D39DB" w:rsidRDefault="005D39DB">
      <w:pPr>
        <w:pStyle w:val="FootnoteText"/>
        <w:rPr>
          <w:sz w:val="16"/>
        </w:rPr>
      </w:pPr>
      <w:r w:rsidRPr="005D39DB">
        <w:rPr>
          <w:rStyle w:val="FootnoteReference"/>
          <w:sz w:val="16"/>
        </w:rPr>
        <w:footnoteRef/>
      </w:r>
      <w:r w:rsidRPr="005D39DB">
        <w:rPr>
          <w:sz w:val="16"/>
        </w:rPr>
        <w:t xml:space="preserve"> MHA </w:t>
      </w:r>
      <w:proofErr w:type="gramStart"/>
      <w:r w:rsidRPr="005D39DB">
        <w:rPr>
          <w:sz w:val="16"/>
        </w:rPr>
        <w:t>s.18(</w:t>
      </w:r>
      <w:proofErr w:type="gramEnd"/>
      <w:r w:rsidRPr="005D39DB">
        <w:rPr>
          <w:sz w:val="16"/>
        </w:rPr>
        <w:t>7).</w:t>
      </w:r>
    </w:p>
  </w:footnote>
  <w:footnote w:id="14">
    <w:p w:rsidR="005D39DB" w:rsidRPr="005D39DB" w:rsidRDefault="005D39DB">
      <w:pPr>
        <w:pStyle w:val="FootnoteText"/>
        <w:rPr>
          <w:sz w:val="16"/>
        </w:rPr>
      </w:pPr>
      <w:r w:rsidRPr="005D39DB">
        <w:rPr>
          <w:rStyle w:val="FootnoteReference"/>
          <w:sz w:val="16"/>
        </w:rPr>
        <w:footnoteRef/>
      </w:r>
      <w:r w:rsidRPr="005D39DB">
        <w:rPr>
          <w:sz w:val="16"/>
        </w:rPr>
        <w:t xml:space="preserve"> MHA </w:t>
      </w:r>
      <w:proofErr w:type="gramStart"/>
      <w:r w:rsidRPr="005D39DB">
        <w:rPr>
          <w:sz w:val="16"/>
        </w:rPr>
        <w:t>s.18(</w:t>
      </w:r>
      <w:proofErr w:type="gramEnd"/>
      <w:r w:rsidRPr="005D39DB">
        <w:rPr>
          <w:sz w:val="16"/>
        </w:rPr>
        <w:t>3).</w:t>
      </w:r>
    </w:p>
  </w:footnote>
  <w:footnote w:id="15">
    <w:p w:rsidR="005D39DB" w:rsidRPr="005D39DB" w:rsidRDefault="005D39DB">
      <w:pPr>
        <w:pStyle w:val="FootnoteText"/>
        <w:rPr>
          <w:sz w:val="16"/>
        </w:rPr>
      </w:pPr>
      <w:r w:rsidRPr="005D39DB">
        <w:rPr>
          <w:rStyle w:val="FootnoteReference"/>
          <w:sz w:val="16"/>
        </w:rPr>
        <w:footnoteRef/>
      </w:r>
      <w:r w:rsidRPr="005D39DB">
        <w:rPr>
          <w:sz w:val="16"/>
        </w:rPr>
        <w:t xml:space="preserve"> SI 1983/983, reg.13.</w:t>
      </w:r>
    </w:p>
  </w:footnote>
  <w:footnote w:id="16">
    <w:p w:rsidR="005D39DB" w:rsidRPr="005D39DB" w:rsidRDefault="005D39DB">
      <w:pPr>
        <w:pStyle w:val="FootnoteText"/>
        <w:rPr>
          <w:sz w:val="16"/>
        </w:rPr>
      </w:pPr>
      <w:r w:rsidRPr="005D39DB">
        <w:rPr>
          <w:rStyle w:val="FootnoteReference"/>
          <w:sz w:val="16"/>
        </w:rPr>
        <w:footnoteRef/>
      </w:r>
      <w:r w:rsidRPr="005D39DB">
        <w:rPr>
          <w:sz w:val="16"/>
        </w:rPr>
        <w:t xml:space="preserve"> See, for </w:t>
      </w:r>
      <w:proofErr w:type="spellStart"/>
      <w:r w:rsidRPr="005D39DB">
        <w:rPr>
          <w:sz w:val="16"/>
        </w:rPr>
        <w:t>e.g</w:t>
      </w:r>
      <w:proofErr w:type="spellEnd"/>
      <w:r w:rsidRPr="005D39DB">
        <w:rPr>
          <w:sz w:val="16"/>
        </w:rPr>
        <w:t xml:space="preserve">, </w:t>
      </w:r>
      <w:proofErr w:type="gramStart"/>
      <w:r w:rsidRPr="005D39DB">
        <w:rPr>
          <w:sz w:val="16"/>
        </w:rPr>
        <w:t>s.11(</w:t>
      </w:r>
      <w:proofErr w:type="gramEnd"/>
      <w:r w:rsidRPr="005D39DB">
        <w:rPr>
          <w:sz w:val="16"/>
        </w:rPr>
        <w:t>4) and 23(2) of the MHA.</w:t>
      </w:r>
    </w:p>
  </w:footnote>
  <w:footnote w:id="17">
    <w:p w:rsidR="005D39DB" w:rsidRPr="005D39DB" w:rsidRDefault="005D39DB" w:rsidP="005D39DB">
      <w:pPr>
        <w:pStyle w:val="FootnoteText"/>
        <w:rPr>
          <w:sz w:val="16"/>
        </w:rPr>
      </w:pPr>
      <w:r w:rsidRPr="005D39DB">
        <w:rPr>
          <w:rStyle w:val="FootnoteReference"/>
          <w:sz w:val="16"/>
        </w:rPr>
        <w:footnoteRef/>
      </w:r>
      <w:r w:rsidRPr="005D39DB">
        <w:rPr>
          <w:sz w:val="16"/>
        </w:rPr>
        <w:t xml:space="preserve"> </w:t>
      </w:r>
      <w:r w:rsidRPr="005D39DB">
        <w:rPr>
          <w:sz w:val="16"/>
        </w:rPr>
        <w:t>Sch.1A is considered by Robert Robinson in the May</w:t>
      </w:r>
      <w:r w:rsidRPr="005D39DB">
        <w:rPr>
          <w:sz w:val="16"/>
        </w:rPr>
        <w:t xml:space="preserve"> </w:t>
      </w:r>
      <w:r w:rsidRPr="005D39DB">
        <w:rPr>
          <w:sz w:val="16"/>
        </w:rPr>
        <w:t>2007 issue of this Journal at pp.35–37.</w:t>
      </w:r>
    </w:p>
  </w:footnote>
  <w:footnote w:id="18">
    <w:p w:rsidR="005D39DB" w:rsidRPr="005D39DB" w:rsidRDefault="005D39DB" w:rsidP="005D39DB">
      <w:pPr>
        <w:pStyle w:val="FootnoteText"/>
        <w:rPr>
          <w:sz w:val="16"/>
        </w:rPr>
      </w:pPr>
      <w:r w:rsidRPr="005D39DB">
        <w:rPr>
          <w:rStyle w:val="FootnoteReference"/>
          <w:sz w:val="16"/>
        </w:rPr>
        <w:footnoteRef/>
      </w:r>
      <w:r w:rsidRPr="005D39DB">
        <w:rPr>
          <w:sz w:val="16"/>
        </w:rPr>
        <w:t xml:space="preserve"> </w:t>
      </w:r>
      <w:proofErr w:type="gramStart"/>
      <w:r w:rsidRPr="005D39DB">
        <w:rPr>
          <w:sz w:val="16"/>
        </w:rPr>
        <w:t>Confirmed by the “Draft Illustrative Code of Practice on</w:t>
      </w:r>
      <w:r w:rsidRPr="005D39DB">
        <w:rPr>
          <w:sz w:val="16"/>
        </w:rPr>
        <w:t xml:space="preserve"> </w:t>
      </w:r>
      <w:r w:rsidRPr="005D39DB">
        <w:rPr>
          <w:sz w:val="16"/>
        </w:rPr>
        <w:t xml:space="preserve">the </w:t>
      </w:r>
      <w:proofErr w:type="spellStart"/>
      <w:r w:rsidRPr="005D39DB">
        <w:rPr>
          <w:sz w:val="16"/>
        </w:rPr>
        <w:t>Bournewood</w:t>
      </w:r>
      <w:proofErr w:type="spellEnd"/>
      <w:r w:rsidRPr="005D39DB">
        <w:rPr>
          <w:sz w:val="16"/>
        </w:rPr>
        <w:t xml:space="preserve"> safeguards”, Department of Health,</w:t>
      </w:r>
      <w:r w:rsidRPr="005D39DB">
        <w:rPr>
          <w:sz w:val="16"/>
        </w:rPr>
        <w:t xml:space="preserve"> </w:t>
      </w:r>
      <w:r w:rsidRPr="005D39DB">
        <w:rPr>
          <w:sz w:val="16"/>
        </w:rPr>
        <w:t>December 2006, para.86.</w:t>
      </w:r>
      <w:proofErr w:type="gramEnd"/>
    </w:p>
  </w:footnote>
  <w:footnote w:id="19">
    <w:p w:rsidR="005D39DB" w:rsidRPr="00610BB4" w:rsidRDefault="005D39DB">
      <w:pPr>
        <w:pStyle w:val="FootnoteText"/>
        <w:rPr>
          <w:sz w:val="16"/>
        </w:rPr>
      </w:pPr>
      <w:r w:rsidRPr="00610BB4">
        <w:rPr>
          <w:rStyle w:val="FootnoteReference"/>
          <w:sz w:val="16"/>
        </w:rPr>
        <w:footnoteRef/>
      </w:r>
      <w:r w:rsidRPr="00610BB4">
        <w:rPr>
          <w:sz w:val="16"/>
        </w:rPr>
        <w:t xml:space="preserve"> See footnote 16, above.</w:t>
      </w:r>
    </w:p>
  </w:footnote>
  <w:footnote w:id="20">
    <w:p w:rsidR="005D39DB" w:rsidRPr="00610BB4" w:rsidRDefault="005D39DB">
      <w:pPr>
        <w:pStyle w:val="FootnoteText"/>
        <w:rPr>
          <w:sz w:val="16"/>
        </w:rPr>
      </w:pPr>
      <w:r w:rsidRPr="00610BB4">
        <w:rPr>
          <w:rStyle w:val="FootnoteReference"/>
          <w:sz w:val="16"/>
        </w:rPr>
        <w:footnoteRef/>
      </w:r>
      <w:r w:rsidRPr="00610BB4">
        <w:rPr>
          <w:sz w:val="16"/>
        </w:rPr>
        <w:t xml:space="preserve"> See Part V of the MHA.</w:t>
      </w:r>
    </w:p>
  </w:footnote>
  <w:footnote w:id="21">
    <w:p w:rsidR="005D39DB" w:rsidRPr="00610BB4" w:rsidRDefault="005D39DB">
      <w:pPr>
        <w:pStyle w:val="FootnoteText"/>
        <w:rPr>
          <w:sz w:val="16"/>
        </w:rPr>
      </w:pPr>
      <w:r w:rsidRPr="00610BB4">
        <w:rPr>
          <w:rStyle w:val="FootnoteReference"/>
          <w:sz w:val="16"/>
        </w:rPr>
        <w:footnoteRef/>
      </w:r>
      <w:r w:rsidRPr="00610BB4">
        <w:rPr>
          <w:sz w:val="16"/>
        </w:rPr>
        <w:t xml:space="preserve"> MHA </w:t>
      </w:r>
      <w:proofErr w:type="gramStart"/>
      <w:r w:rsidRPr="00610BB4">
        <w:rPr>
          <w:sz w:val="16"/>
        </w:rPr>
        <w:t>s.6(</w:t>
      </w:r>
      <w:proofErr w:type="gramEnd"/>
      <w:r w:rsidRPr="00610BB4">
        <w:rPr>
          <w:sz w:val="16"/>
        </w:rPr>
        <w:t>1).</w:t>
      </w:r>
    </w:p>
  </w:footnote>
  <w:footnote w:id="22">
    <w:p w:rsidR="005D39DB" w:rsidRPr="00610BB4" w:rsidRDefault="005D39DB">
      <w:pPr>
        <w:pStyle w:val="FootnoteText"/>
        <w:rPr>
          <w:sz w:val="16"/>
        </w:rPr>
      </w:pPr>
      <w:r w:rsidRPr="00610BB4">
        <w:rPr>
          <w:rStyle w:val="FootnoteReference"/>
          <w:sz w:val="16"/>
        </w:rPr>
        <w:footnoteRef/>
      </w:r>
      <w:r w:rsidRPr="00610BB4">
        <w:rPr>
          <w:sz w:val="16"/>
        </w:rPr>
        <w:t xml:space="preserve"> MHA </w:t>
      </w:r>
      <w:proofErr w:type="gramStart"/>
      <w:r w:rsidRPr="00610BB4">
        <w:rPr>
          <w:sz w:val="16"/>
        </w:rPr>
        <w:t>s.18(</w:t>
      </w:r>
      <w:proofErr w:type="gramEnd"/>
      <w:r w:rsidRPr="00610BB4">
        <w:rPr>
          <w:sz w:val="16"/>
        </w:rPr>
        <w:t>1).</w:t>
      </w:r>
    </w:p>
  </w:footnote>
  <w:footnote w:id="23">
    <w:p w:rsidR="005D39DB" w:rsidRPr="00610BB4" w:rsidRDefault="005D39DB" w:rsidP="005D39DB">
      <w:pPr>
        <w:pStyle w:val="FootnoteText"/>
        <w:rPr>
          <w:sz w:val="16"/>
        </w:rPr>
      </w:pPr>
      <w:r w:rsidRPr="00610BB4">
        <w:rPr>
          <w:rStyle w:val="FootnoteReference"/>
          <w:sz w:val="16"/>
        </w:rPr>
        <w:footnoteRef/>
      </w:r>
      <w:r w:rsidRPr="00610BB4">
        <w:rPr>
          <w:sz w:val="16"/>
        </w:rPr>
        <w:t xml:space="preserve"> </w:t>
      </w:r>
      <w:proofErr w:type="gramStart"/>
      <w:r w:rsidRPr="00610BB4">
        <w:rPr>
          <w:sz w:val="16"/>
        </w:rPr>
        <w:t xml:space="preserve">R. v Manchester City Council, ex p. </w:t>
      </w:r>
      <w:proofErr w:type="spellStart"/>
      <w:r w:rsidRPr="00610BB4">
        <w:rPr>
          <w:sz w:val="16"/>
        </w:rPr>
        <w:t>Stennett</w:t>
      </w:r>
      <w:proofErr w:type="spellEnd"/>
      <w:r w:rsidRPr="00610BB4">
        <w:rPr>
          <w:sz w:val="16"/>
        </w:rPr>
        <w:t xml:space="preserve"> [2002]</w:t>
      </w:r>
      <w:r w:rsidRPr="00610BB4">
        <w:rPr>
          <w:sz w:val="16"/>
        </w:rPr>
        <w:t xml:space="preserve"> </w:t>
      </w:r>
      <w:r w:rsidRPr="00610BB4">
        <w:rPr>
          <w:sz w:val="16"/>
        </w:rPr>
        <w:t>UKHL 34.</w:t>
      </w:r>
      <w:proofErr w:type="gramEnd"/>
    </w:p>
  </w:footnote>
  <w:footnote w:id="24">
    <w:p w:rsidR="005D39DB" w:rsidRPr="00610BB4" w:rsidRDefault="005D39DB">
      <w:pPr>
        <w:pStyle w:val="FootnoteText"/>
        <w:rPr>
          <w:sz w:val="16"/>
        </w:rPr>
      </w:pPr>
      <w:r w:rsidRPr="00610BB4">
        <w:rPr>
          <w:rStyle w:val="FootnoteReference"/>
          <w:sz w:val="16"/>
        </w:rPr>
        <w:footnoteRef/>
      </w:r>
      <w:r w:rsidRPr="00610BB4">
        <w:rPr>
          <w:sz w:val="16"/>
        </w:rPr>
        <w:t xml:space="preserve"> National Assistance Act 1948, s.22.</w:t>
      </w:r>
    </w:p>
  </w:footnote>
  <w:footnote w:id="25">
    <w:p w:rsidR="005D39DB" w:rsidRPr="00610BB4" w:rsidRDefault="005D39DB" w:rsidP="005D39DB">
      <w:pPr>
        <w:pStyle w:val="FootnoteText"/>
        <w:rPr>
          <w:sz w:val="16"/>
        </w:rPr>
      </w:pPr>
      <w:r w:rsidRPr="00610BB4">
        <w:rPr>
          <w:rStyle w:val="FootnoteReference"/>
          <w:sz w:val="16"/>
        </w:rPr>
        <w:footnoteRef/>
      </w:r>
      <w:r w:rsidRPr="00610BB4">
        <w:rPr>
          <w:sz w:val="16"/>
        </w:rPr>
        <w:t xml:space="preserve"> </w:t>
      </w:r>
      <w:proofErr w:type="gramStart"/>
      <w:r w:rsidRPr="00610BB4">
        <w:rPr>
          <w:sz w:val="16"/>
        </w:rPr>
        <w:t>Health and Social Services and Social Security</w:t>
      </w:r>
      <w:r w:rsidRPr="00610BB4">
        <w:rPr>
          <w:sz w:val="16"/>
        </w:rPr>
        <w:t xml:space="preserve"> </w:t>
      </w:r>
      <w:r w:rsidRPr="00610BB4">
        <w:rPr>
          <w:sz w:val="16"/>
        </w:rPr>
        <w:t>Adjudications Act 1983, s.17.</w:t>
      </w:r>
      <w:proofErr w:type="gramEnd"/>
    </w:p>
  </w:footnote>
  <w:footnote w:id="26">
    <w:p w:rsidR="005D39DB" w:rsidRPr="00610BB4" w:rsidRDefault="005D39DB" w:rsidP="005D39DB">
      <w:pPr>
        <w:pStyle w:val="FootnoteText"/>
        <w:rPr>
          <w:sz w:val="16"/>
        </w:rPr>
      </w:pPr>
      <w:r w:rsidRPr="00610BB4">
        <w:rPr>
          <w:rStyle w:val="FootnoteReference"/>
          <w:sz w:val="16"/>
        </w:rPr>
        <w:footnoteRef/>
      </w:r>
      <w:r w:rsidRPr="00610BB4">
        <w:rPr>
          <w:sz w:val="16"/>
        </w:rPr>
        <w:t xml:space="preserve"> </w:t>
      </w:r>
      <w:r w:rsidRPr="00610BB4">
        <w:rPr>
          <w:sz w:val="16"/>
        </w:rPr>
        <w:t>For e.g., a learning disabled patient who requires detention</w:t>
      </w:r>
      <w:r w:rsidRPr="00610BB4">
        <w:rPr>
          <w:sz w:val="16"/>
        </w:rPr>
        <w:t xml:space="preserve"> </w:t>
      </w:r>
      <w:r w:rsidRPr="00610BB4">
        <w:rPr>
          <w:sz w:val="16"/>
        </w:rPr>
        <w:t>under s.3 but whose disability is not “associated with</w:t>
      </w:r>
      <w:r w:rsidRPr="00610BB4">
        <w:rPr>
          <w:sz w:val="16"/>
        </w:rPr>
        <w:t xml:space="preserve"> </w:t>
      </w:r>
      <w:r w:rsidRPr="00610BB4">
        <w:rPr>
          <w:sz w:val="16"/>
        </w:rPr>
        <w:t>abnormally aggressive or seriously irresponsible conduct”</w:t>
      </w:r>
      <w:r w:rsidRPr="00610BB4">
        <w:rPr>
          <w:sz w:val="16"/>
        </w:rPr>
        <w:t xml:space="preserve"> </w:t>
      </w:r>
      <w:r w:rsidRPr="00610BB4">
        <w:rPr>
          <w:sz w:val="16"/>
        </w:rPr>
        <w:t xml:space="preserve">(see </w:t>
      </w:r>
      <w:proofErr w:type="gramStart"/>
      <w:r w:rsidRPr="00610BB4">
        <w:rPr>
          <w:sz w:val="16"/>
        </w:rPr>
        <w:t>s.2(</w:t>
      </w:r>
      <w:proofErr w:type="gramEnd"/>
      <w:r w:rsidRPr="00610BB4">
        <w:rPr>
          <w:sz w:val="16"/>
        </w:rPr>
        <w:t>2) of the 2007 Act).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7D9E"/>
    <w:multiLevelType w:val="hybridMultilevel"/>
    <w:tmpl w:val="BEA40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C655FB"/>
    <w:multiLevelType w:val="hybridMultilevel"/>
    <w:tmpl w:val="9384B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F57E97"/>
    <w:multiLevelType w:val="hybridMultilevel"/>
    <w:tmpl w:val="82E86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8358FC"/>
    <w:multiLevelType w:val="hybridMultilevel"/>
    <w:tmpl w:val="EA8EEF18"/>
    <w:lvl w:ilvl="0" w:tplc="02EC5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54"/>
    <w:rsid w:val="00042A23"/>
    <w:rsid w:val="005D39DB"/>
    <w:rsid w:val="005E612A"/>
    <w:rsid w:val="00610BB4"/>
    <w:rsid w:val="00CC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B5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C4B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4B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4B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B5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C4B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4B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4B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09D6B-EB2E-4474-AAA9-DFD9B4A52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9395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Skoyles</dc:creator>
  <cp:lastModifiedBy>Becky Skoyles</cp:lastModifiedBy>
  <cp:revision>3</cp:revision>
  <dcterms:created xsi:type="dcterms:W3CDTF">2014-10-24T11:33:00Z</dcterms:created>
  <dcterms:modified xsi:type="dcterms:W3CDTF">2014-10-24T11:49:00Z</dcterms:modified>
</cp:coreProperties>
</file>