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A0F" w:rsidRPr="00240A0F" w:rsidRDefault="00240A0F" w:rsidP="00240A0F">
      <w:pPr>
        <w:suppressAutoHyphens/>
        <w:spacing w:after="120" w:line="240" w:lineRule="auto"/>
        <w:rPr>
          <w:rFonts w:ascii="Calibri" w:hAnsi="Calibri"/>
          <w:b/>
          <w:sz w:val="84"/>
          <w:szCs w:val="84"/>
        </w:rPr>
      </w:pPr>
      <w:r w:rsidRPr="00240A0F">
        <w:rPr>
          <w:rFonts w:ascii="Calibri" w:hAnsi="Calibri"/>
          <w:b/>
          <w:sz w:val="84"/>
          <w:szCs w:val="84"/>
        </w:rPr>
        <w:t>When protective powers become threatening</w:t>
      </w:r>
    </w:p>
    <w:p w:rsidR="00240A0F" w:rsidRDefault="00240A0F" w:rsidP="00240A0F">
      <w:pPr>
        <w:suppressAutoHyphens/>
        <w:spacing w:after="120" w:line="240" w:lineRule="auto"/>
        <w:rPr>
          <w:rFonts w:ascii="Calibri" w:hAnsi="Calibri"/>
          <w:sz w:val="24"/>
        </w:rPr>
      </w:pPr>
    </w:p>
    <w:p w:rsidR="00240A0F" w:rsidRPr="00240A0F" w:rsidRDefault="00240A0F" w:rsidP="00240A0F">
      <w:pPr>
        <w:suppressAutoHyphens/>
        <w:spacing w:after="120" w:line="240" w:lineRule="auto"/>
        <w:rPr>
          <w:rFonts w:ascii="Calibri" w:hAnsi="Calibri"/>
          <w:b/>
          <w:i/>
          <w:sz w:val="28"/>
        </w:rPr>
      </w:pPr>
      <w:r w:rsidRPr="00240A0F">
        <w:rPr>
          <w:rFonts w:ascii="Calibri" w:hAnsi="Calibri"/>
          <w:b/>
          <w:i/>
          <w:sz w:val="28"/>
        </w:rPr>
        <w:t xml:space="preserve">Deborah </w:t>
      </w:r>
      <w:proofErr w:type="spellStart"/>
      <w:r w:rsidRPr="00240A0F">
        <w:rPr>
          <w:rFonts w:ascii="Calibri" w:hAnsi="Calibri"/>
          <w:b/>
          <w:i/>
          <w:sz w:val="28"/>
        </w:rPr>
        <w:t>Padfield</w:t>
      </w:r>
      <w:proofErr w:type="spellEnd"/>
      <w:r w:rsidRPr="00240A0F">
        <w:rPr>
          <w:rStyle w:val="FootnoteReference"/>
          <w:rFonts w:ascii="Calibri" w:hAnsi="Calibri"/>
          <w:b/>
          <w:i/>
          <w:sz w:val="28"/>
        </w:rPr>
        <w:footnoteReference w:id="1"/>
      </w:r>
    </w:p>
    <w:p w:rsidR="00240A0F" w:rsidRPr="00240A0F" w:rsidRDefault="00240A0F" w:rsidP="00240A0F">
      <w:pPr>
        <w:suppressAutoHyphens/>
        <w:spacing w:after="120" w:line="240" w:lineRule="auto"/>
        <w:rPr>
          <w:rFonts w:ascii="Calibri" w:hAnsi="Calibri"/>
          <w:sz w:val="24"/>
        </w:rPr>
      </w:pPr>
    </w:p>
    <w:p w:rsidR="00240A0F" w:rsidRPr="00240A0F" w:rsidRDefault="00240A0F" w:rsidP="00240A0F">
      <w:pPr>
        <w:suppressAutoHyphens/>
        <w:spacing w:after="120" w:line="240" w:lineRule="auto"/>
        <w:rPr>
          <w:rFonts w:ascii="Calibri" w:hAnsi="Calibri"/>
          <w:sz w:val="24"/>
        </w:rPr>
      </w:pPr>
      <w:r w:rsidRPr="00240A0F">
        <w:rPr>
          <w:rFonts w:ascii="Calibri" w:hAnsi="Calibri"/>
          <w:sz w:val="24"/>
        </w:rPr>
        <w:t>Indefinite and preventive detention: two archetypal danger-areas for the civil-libertarian mind. Both are permitted by criminal and mental health law, subject to the safeguards provided by common law and the European Convention on Human Rights (ECHR). Watchful eyes need to remain focused on the interpretati</w:t>
      </w:r>
      <w:r>
        <w:rPr>
          <w:rFonts w:ascii="Calibri" w:hAnsi="Calibri"/>
          <w:sz w:val="24"/>
        </w:rPr>
        <w:t>on of such powers of detention.</w:t>
      </w:r>
    </w:p>
    <w:p w:rsidR="00240A0F" w:rsidRPr="00240A0F" w:rsidRDefault="00240A0F" w:rsidP="00240A0F">
      <w:pPr>
        <w:suppressAutoHyphens/>
        <w:spacing w:after="120" w:line="240" w:lineRule="auto"/>
        <w:rPr>
          <w:rFonts w:ascii="Calibri" w:hAnsi="Calibri"/>
          <w:sz w:val="24"/>
        </w:rPr>
      </w:pPr>
      <w:r w:rsidRPr="00240A0F">
        <w:rPr>
          <w:rFonts w:ascii="Calibri" w:hAnsi="Calibri"/>
          <w:sz w:val="24"/>
        </w:rPr>
        <w:t>That any coercive power that can be abused by authority will be so abused seems a reasonable rule of thumb. Certainly it is the assumption on which responsible legislators ought to work; even if they are willing to trust their own imperturbability in the face of events they have no right to do so, or so to trust their successors. Stop-and-search has been heavily abused,</w:t>
      </w:r>
      <w:r>
        <w:rPr>
          <w:rStyle w:val="FootnoteReference"/>
          <w:rFonts w:ascii="Calibri" w:hAnsi="Calibri"/>
          <w:sz w:val="24"/>
        </w:rPr>
        <w:footnoteReference w:id="2"/>
      </w:r>
      <w:r w:rsidRPr="00240A0F">
        <w:rPr>
          <w:rFonts w:ascii="Calibri" w:hAnsi="Calibri"/>
          <w:sz w:val="24"/>
        </w:rPr>
        <w:t xml:space="preserve"> while the limits on control orders are under judicial scrutiny d</w:t>
      </w:r>
      <w:r>
        <w:rPr>
          <w:rFonts w:ascii="Calibri" w:hAnsi="Calibri"/>
          <w:sz w:val="24"/>
        </w:rPr>
        <w:t>omestically and at Strasbourg.</w:t>
      </w:r>
      <w:r>
        <w:rPr>
          <w:rStyle w:val="FootnoteReference"/>
          <w:rFonts w:ascii="Calibri" w:hAnsi="Calibri"/>
          <w:sz w:val="24"/>
        </w:rPr>
        <w:footnoteReference w:id="3"/>
      </w:r>
    </w:p>
    <w:p w:rsidR="00240A0F" w:rsidRDefault="00240A0F" w:rsidP="00240A0F">
      <w:pPr>
        <w:suppressAutoHyphens/>
        <w:spacing w:after="120" w:line="240" w:lineRule="auto"/>
        <w:rPr>
          <w:rFonts w:ascii="Calibri" w:hAnsi="Calibri"/>
          <w:sz w:val="24"/>
        </w:rPr>
      </w:pPr>
      <w:r w:rsidRPr="00240A0F">
        <w:rPr>
          <w:rFonts w:ascii="Calibri" w:hAnsi="Calibri"/>
          <w:sz w:val="24"/>
        </w:rPr>
        <w:t>Terrorism trials and those involving notoriously violent criminals catch headlines, especially where mental disorder is involved. My concern here is the looseness of provisions which, operating out of the public eye, can indefinitely detai</w:t>
      </w:r>
      <w:r>
        <w:rPr>
          <w:rFonts w:ascii="Calibri" w:hAnsi="Calibri"/>
          <w:sz w:val="24"/>
        </w:rPr>
        <w:t>n people on preventive grounds.</w:t>
      </w:r>
    </w:p>
    <w:p w:rsidR="00240A0F" w:rsidRPr="00240A0F" w:rsidRDefault="00240A0F" w:rsidP="00240A0F">
      <w:pPr>
        <w:suppressAutoHyphens/>
        <w:spacing w:after="120" w:line="240" w:lineRule="auto"/>
        <w:rPr>
          <w:rFonts w:ascii="Calibri" w:hAnsi="Calibri"/>
          <w:sz w:val="24"/>
        </w:rPr>
      </w:pPr>
    </w:p>
    <w:p w:rsidR="00240A0F" w:rsidRPr="00240A0F" w:rsidRDefault="00240A0F" w:rsidP="00240A0F">
      <w:pPr>
        <w:suppressAutoHyphens/>
        <w:spacing w:after="120" w:line="240" w:lineRule="auto"/>
        <w:rPr>
          <w:rFonts w:ascii="Calibri" w:hAnsi="Calibri"/>
          <w:b/>
          <w:sz w:val="28"/>
        </w:rPr>
      </w:pPr>
      <w:r w:rsidRPr="00240A0F">
        <w:rPr>
          <w:rFonts w:ascii="Calibri" w:hAnsi="Calibri"/>
          <w:b/>
          <w:sz w:val="28"/>
        </w:rPr>
        <w:t>Popular fear as basis for detention</w:t>
      </w:r>
    </w:p>
    <w:p w:rsidR="00240A0F" w:rsidRPr="00240A0F" w:rsidRDefault="00240A0F" w:rsidP="00240A0F">
      <w:pPr>
        <w:suppressAutoHyphens/>
        <w:spacing w:after="120" w:line="240" w:lineRule="auto"/>
        <w:rPr>
          <w:rFonts w:ascii="Calibri" w:hAnsi="Calibri"/>
          <w:sz w:val="24"/>
        </w:rPr>
      </w:pPr>
      <w:r w:rsidRPr="00240A0F">
        <w:rPr>
          <w:rFonts w:ascii="Calibri" w:hAnsi="Calibri"/>
          <w:sz w:val="24"/>
        </w:rPr>
        <w:t>In the context of mental health, government has a major anti-stigma campaign in operation. Thus a Departme</w:t>
      </w:r>
      <w:r>
        <w:rPr>
          <w:rFonts w:ascii="Calibri" w:hAnsi="Calibri"/>
          <w:sz w:val="24"/>
        </w:rPr>
        <w:t>nt of Health (</w:t>
      </w:r>
      <w:proofErr w:type="spellStart"/>
      <w:r>
        <w:rPr>
          <w:rFonts w:ascii="Calibri" w:hAnsi="Calibri"/>
          <w:sz w:val="24"/>
        </w:rPr>
        <w:t>DoH</w:t>
      </w:r>
      <w:proofErr w:type="spellEnd"/>
      <w:r>
        <w:rPr>
          <w:rFonts w:ascii="Calibri" w:hAnsi="Calibri"/>
          <w:sz w:val="24"/>
        </w:rPr>
        <w:t>) perspective:</w:t>
      </w:r>
    </w:p>
    <w:p w:rsidR="00240A0F" w:rsidRPr="00240A0F" w:rsidRDefault="00240A0F" w:rsidP="00240A0F">
      <w:pPr>
        <w:suppressAutoHyphens/>
        <w:spacing w:after="120" w:line="240" w:lineRule="auto"/>
        <w:ind w:left="720"/>
        <w:rPr>
          <w:rFonts w:ascii="Calibri" w:hAnsi="Calibri"/>
          <w:sz w:val="24"/>
        </w:rPr>
      </w:pPr>
      <w:r w:rsidRPr="00240A0F">
        <w:rPr>
          <w:rFonts w:ascii="Calibri" w:hAnsi="Calibri"/>
          <w:i/>
          <w:sz w:val="24"/>
        </w:rPr>
        <w:t>‘...the killing of strangers by people with mental illness is rare; most stranger homicides are committed by young men without mental illness who are under the influence of alcohol or drugs. The public may fear the mentally ill but they are more at risk from heavy drinkers.’</w:t>
      </w:r>
      <w:r>
        <w:rPr>
          <w:rStyle w:val="FootnoteReference"/>
          <w:rFonts w:ascii="Calibri" w:hAnsi="Calibri"/>
          <w:sz w:val="24"/>
        </w:rPr>
        <w:footnoteReference w:id="4"/>
      </w:r>
    </w:p>
    <w:p w:rsidR="00240A0F" w:rsidRPr="00240A0F" w:rsidRDefault="00240A0F" w:rsidP="00240A0F">
      <w:pPr>
        <w:suppressAutoHyphens/>
        <w:spacing w:after="120" w:line="240" w:lineRule="auto"/>
        <w:rPr>
          <w:rFonts w:ascii="Calibri" w:hAnsi="Calibri"/>
          <w:sz w:val="24"/>
        </w:rPr>
      </w:pPr>
      <w:r w:rsidRPr="00240A0F">
        <w:rPr>
          <w:rFonts w:ascii="Calibri" w:hAnsi="Calibri"/>
          <w:sz w:val="24"/>
        </w:rPr>
        <w:lastRenderedPageBreak/>
        <w:t>Risk-aversion, however, having gained a popular voice which no politician can ignore, has become a political tool which few politicians will eschew. Speaking at the 2010 Conservative Party Conference, Justice Secretary Ken Clarke espoused community sentencing for short-term prisoners while reiterating that the goals of prison were public safety and punishment, ‘and also’ reduction of reoffending.</w:t>
      </w:r>
      <w:r w:rsidR="00DC2857">
        <w:rPr>
          <w:rStyle w:val="FootnoteReference"/>
          <w:rFonts w:ascii="Calibri" w:hAnsi="Calibri"/>
          <w:sz w:val="24"/>
        </w:rPr>
        <w:footnoteReference w:id="5"/>
      </w:r>
      <w:r w:rsidRPr="00240A0F">
        <w:rPr>
          <w:rFonts w:ascii="Calibri" w:hAnsi="Calibri"/>
          <w:sz w:val="24"/>
        </w:rPr>
        <w:t xml:space="preserve"> His policy shift has not diluted a former Hom</w:t>
      </w:r>
      <w:r>
        <w:rPr>
          <w:rFonts w:ascii="Calibri" w:hAnsi="Calibri"/>
          <w:sz w:val="24"/>
        </w:rPr>
        <w:t>e Secretary’s emphasis on risk:</w:t>
      </w:r>
    </w:p>
    <w:p w:rsidR="00240A0F" w:rsidRPr="00240A0F" w:rsidRDefault="00240A0F" w:rsidP="00DC2857">
      <w:pPr>
        <w:suppressAutoHyphens/>
        <w:spacing w:after="120" w:line="240" w:lineRule="auto"/>
        <w:ind w:left="720"/>
        <w:rPr>
          <w:rFonts w:ascii="Calibri" w:hAnsi="Calibri"/>
          <w:sz w:val="24"/>
        </w:rPr>
      </w:pPr>
      <w:r w:rsidRPr="00DC2857">
        <w:rPr>
          <w:rFonts w:ascii="Calibri" w:hAnsi="Calibri"/>
          <w:i/>
          <w:sz w:val="24"/>
        </w:rPr>
        <w:t xml:space="preserve">“I am... proposing to take new powers to enable dangerous and high-risk offenders to be better managed... The plans which we have recently announced to amend mental health legislation will help to ensure that mentally disordered offenders get the treatment they need and that the risk which they pose to </w:t>
      </w:r>
      <w:r w:rsidR="00DC2857" w:rsidRPr="00DC2857">
        <w:rPr>
          <w:rFonts w:ascii="Calibri" w:hAnsi="Calibri"/>
          <w:i/>
          <w:sz w:val="24"/>
        </w:rPr>
        <w:t>the public is minimised...”</w:t>
      </w:r>
      <w:r w:rsidR="00DC2857">
        <w:rPr>
          <w:rStyle w:val="FootnoteReference"/>
          <w:rFonts w:ascii="Calibri" w:hAnsi="Calibri"/>
          <w:sz w:val="24"/>
        </w:rPr>
        <w:footnoteReference w:id="6"/>
      </w:r>
    </w:p>
    <w:p w:rsidR="00240A0F" w:rsidRPr="00240A0F" w:rsidRDefault="00240A0F" w:rsidP="00240A0F">
      <w:pPr>
        <w:suppressAutoHyphens/>
        <w:spacing w:after="120" w:line="240" w:lineRule="auto"/>
        <w:rPr>
          <w:rFonts w:ascii="Calibri" w:hAnsi="Calibri"/>
          <w:sz w:val="24"/>
        </w:rPr>
      </w:pPr>
      <w:r w:rsidRPr="00240A0F">
        <w:rPr>
          <w:rFonts w:ascii="Calibri" w:hAnsi="Calibri"/>
          <w:sz w:val="24"/>
        </w:rPr>
        <w:t xml:space="preserve">This is an idealised win-win scenario. It suggests that offenders are thus detained for their own sake and the protection of others. That is not what the </w:t>
      </w:r>
      <w:r w:rsidRPr="00183728">
        <w:rPr>
          <w:rFonts w:ascii="Calibri" w:hAnsi="Calibri"/>
          <w:i/>
          <w:sz w:val="24"/>
        </w:rPr>
        <w:t>Mental Health Act</w:t>
      </w:r>
      <w:r w:rsidRPr="00240A0F">
        <w:rPr>
          <w:rFonts w:ascii="Calibri" w:hAnsi="Calibri"/>
          <w:sz w:val="24"/>
        </w:rPr>
        <w:t xml:space="preserve"> says. Rather, patients can be detained for their own health and safety or for the protection of other people. The </w:t>
      </w:r>
      <w:r w:rsidRPr="00183728">
        <w:rPr>
          <w:rFonts w:ascii="Calibri" w:hAnsi="Calibri"/>
          <w:i/>
          <w:sz w:val="24"/>
        </w:rPr>
        <w:t>Mental Health Act</w:t>
      </w:r>
      <w:r w:rsidRPr="00240A0F">
        <w:rPr>
          <w:rFonts w:ascii="Calibri" w:hAnsi="Calibri"/>
          <w:sz w:val="24"/>
        </w:rPr>
        <w:t xml:space="preserve"> – before and after the reform of 2007 – provides for psychiatric detention purely o</w:t>
      </w:r>
      <w:r w:rsidR="00DC2857">
        <w:rPr>
          <w:rFonts w:ascii="Calibri" w:hAnsi="Calibri"/>
          <w:sz w:val="24"/>
        </w:rPr>
        <w:t>n the grounds of dangerousness.</w:t>
      </w:r>
    </w:p>
    <w:p w:rsidR="00240A0F" w:rsidRPr="00240A0F" w:rsidRDefault="00240A0F" w:rsidP="00240A0F">
      <w:pPr>
        <w:suppressAutoHyphens/>
        <w:spacing w:after="120" w:line="240" w:lineRule="auto"/>
        <w:rPr>
          <w:rFonts w:ascii="Calibri" w:hAnsi="Calibri"/>
          <w:sz w:val="24"/>
        </w:rPr>
      </w:pPr>
      <w:r w:rsidRPr="00240A0F">
        <w:rPr>
          <w:rFonts w:ascii="Calibri" w:hAnsi="Calibri"/>
          <w:sz w:val="24"/>
        </w:rPr>
        <w:t>Both perceptions are true: violence by mentally disordered people represents a minority of crimes but a small number of serious offences remain the high-profile work of seriously disturbed (mainly) men. Policy thus has to tackle stigma and public protection. The question here is whether policy addresses not merely actual but also perceived danger, an inflation resulting in the lawful but unnecessary detention of people whose human rights are inadequately protected</w:t>
      </w:r>
      <w:r w:rsidR="00DC2857">
        <w:rPr>
          <w:rFonts w:ascii="Calibri" w:hAnsi="Calibri"/>
          <w:sz w:val="24"/>
        </w:rPr>
        <w:t xml:space="preserve"> by domestic or Convention law.</w:t>
      </w:r>
    </w:p>
    <w:p w:rsidR="00240A0F" w:rsidRPr="00240A0F" w:rsidRDefault="00240A0F" w:rsidP="00240A0F">
      <w:pPr>
        <w:suppressAutoHyphens/>
        <w:spacing w:after="120" w:line="240" w:lineRule="auto"/>
        <w:rPr>
          <w:rFonts w:ascii="Calibri" w:hAnsi="Calibri"/>
          <w:sz w:val="24"/>
        </w:rPr>
      </w:pPr>
      <w:r w:rsidRPr="00240A0F">
        <w:rPr>
          <w:rFonts w:ascii="Calibri" w:hAnsi="Calibri"/>
          <w:sz w:val="24"/>
        </w:rPr>
        <w:t>Though Parliament has not inhibited assaults on civil liberties</w:t>
      </w:r>
      <w:r w:rsidR="00DC2857">
        <w:rPr>
          <w:rStyle w:val="FootnoteReference"/>
          <w:rFonts w:ascii="Calibri" w:hAnsi="Calibri"/>
          <w:sz w:val="24"/>
        </w:rPr>
        <w:footnoteReference w:id="7"/>
      </w:r>
      <w:r w:rsidRPr="00240A0F">
        <w:rPr>
          <w:rFonts w:ascii="Calibri" w:hAnsi="Calibri"/>
          <w:sz w:val="24"/>
        </w:rPr>
        <w:t xml:space="preserve"> and the Courts have shown an uneven resistance,</w:t>
      </w:r>
      <w:r w:rsidR="00DC2857">
        <w:rPr>
          <w:rStyle w:val="FootnoteReference"/>
          <w:rFonts w:ascii="Calibri" w:hAnsi="Calibri"/>
          <w:sz w:val="24"/>
        </w:rPr>
        <w:footnoteReference w:id="8"/>
      </w:r>
      <w:r w:rsidRPr="00240A0F">
        <w:rPr>
          <w:rFonts w:ascii="Calibri" w:hAnsi="Calibri"/>
          <w:sz w:val="24"/>
        </w:rPr>
        <w:t xml:space="preserve"> there are checks on centralised control. Indeed, the Labour administration showed no coherent purpose of increasing such control, in its first term incorporating the ECHR in the </w:t>
      </w:r>
      <w:r w:rsidRPr="00183728">
        <w:rPr>
          <w:rFonts w:ascii="Calibri" w:hAnsi="Calibri"/>
          <w:i/>
          <w:sz w:val="24"/>
        </w:rPr>
        <w:t>Human Rights Act</w:t>
      </w:r>
      <w:r w:rsidRPr="00240A0F">
        <w:rPr>
          <w:rFonts w:ascii="Calibri" w:hAnsi="Calibri"/>
          <w:sz w:val="24"/>
        </w:rPr>
        <w:t xml:space="preserve"> </w:t>
      </w:r>
      <w:r w:rsidRPr="00183728">
        <w:rPr>
          <w:rFonts w:ascii="Calibri" w:hAnsi="Calibri"/>
          <w:i/>
          <w:sz w:val="24"/>
        </w:rPr>
        <w:t>1998</w:t>
      </w:r>
      <w:r w:rsidRPr="00240A0F">
        <w:rPr>
          <w:rFonts w:ascii="Calibri" w:hAnsi="Calibri"/>
          <w:sz w:val="24"/>
        </w:rPr>
        <w:t xml:space="preserve"> and passing the </w:t>
      </w:r>
      <w:r w:rsidRPr="00183728">
        <w:rPr>
          <w:rFonts w:ascii="Calibri" w:hAnsi="Calibri"/>
          <w:i/>
          <w:sz w:val="24"/>
        </w:rPr>
        <w:t>F</w:t>
      </w:r>
      <w:r w:rsidR="00DC2857" w:rsidRPr="00183728">
        <w:rPr>
          <w:rFonts w:ascii="Calibri" w:hAnsi="Calibri"/>
          <w:i/>
          <w:sz w:val="24"/>
        </w:rPr>
        <w:t>reedom of Information Act 2000</w:t>
      </w:r>
      <w:r w:rsidR="00DC2857">
        <w:rPr>
          <w:rFonts w:ascii="Calibri" w:hAnsi="Calibri"/>
          <w:sz w:val="24"/>
        </w:rPr>
        <w:t>.</w:t>
      </w:r>
      <w:r w:rsidR="00DC2857">
        <w:rPr>
          <w:rStyle w:val="FootnoteReference"/>
          <w:rFonts w:ascii="Calibri" w:hAnsi="Calibri"/>
          <w:sz w:val="24"/>
        </w:rPr>
        <w:footnoteReference w:id="9"/>
      </w:r>
    </w:p>
    <w:p w:rsidR="00240A0F" w:rsidRPr="00240A0F" w:rsidRDefault="00240A0F" w:rsidP="00240A0F">
      <w:pPr>
        <w:suppressAutoHyphens/>
        <w:spacing w:after="120" w:line="240" w:lineRule="auto"/>
        <w:rPr>
          <w:rFonts w:ascii="Calibri" w:hAnsi="Calibri"/>
          <w:sz w:val="24"/>
        </w:rPr>
      </w:pPr>
      <w:r w:rsidRPr="00240A0F">
        <w:rPr>
          <w:rFonts w:ascii="Calibri" w:hAnsi="Calibri"/>
          <w:sz w:val="24"/>
        </w:rPr>
        <w:t>Nevertheless, thresholds of detention have been falling under criminal and mental health law. That fall relies significantly on public fear. After every public-authority-related tragedy, even while the seeds of future tragedies continue to be sown, the same meaningless mantra is mouthed: ‘it must never happen again’. Where detention is concerned, a sense of entitlement to a uniquely risk-free society combines with denial of the limitations of risk prediction to produce an uncritical appetite for control, or ‘management’.</w:t>
      </w:r>
      <w:r w:rsidR="00DC2857">
        <w:rPr>
          <w:rStyle w:val="FootnoteReference"/>
          <w:rFonts w:ascii="Calibri" w:hAnsi="Calibri"/>
          <w:sz w:val="24"/>
        </w:rPr>
        <w:footnoteReference w:id="10"/>
      </w:r>
      <w:r w:rsidRPr="00240A0F">
        <w:rPr>
          <w:rFonts w:ascii="Calibri" w:hAnsi="Calibri"/>
          <w:sz w:val="24"/>
        </w:rPr>
        <w:t xml:space="preserve"> Following rather </w:t>
      </w:r>
      <w:r w:rsidRPr="00240A0F">
        <w:rPr>
          <w:rFonts w:ascii="Calibri" w:hAnsi="Calibri"/>
          <w:sz w:val="24"/>
        </w:rPr>
        <w:lastRenderedPageBreak/>
        <w:t>than engaging with media reactions, politicians help to create a climate within which borderline discharge decisio</w:t>
      </w:r>
      <w:r w:rsidR="00DC2857">
        <w:rPr>
          <w:rFonts w:ascii="Calibri" w:hAnsi="Calibri"/>
          <w:sz w:val="24"/>
        </w:rPr>
        <w:t>ns become ever more difficult.</w:t>
      </w:r>
    </w:p>
    <w:p w:rsidR="00240A0F" w:rsidRPr="00240A0F" w:rsidRDefault="00240A0F" w:rsidP="00240A0F">
      <w:pPr>
        <w:suppressAutoHyphens/>
        <w:spacing w:after="120" w:line="240" w:lineRule="auto"/>
        <w:rPr>
          <w:rFonts w:ascii="Calibri" w:hAnsi="Calibri"/>
          <w:sz w:val="24"/>
        </w:rPr>
      </w:pPr>
      <w:r w:rsidRPr="00240A0F">
        <w:rPr>
          <w:rFonts w:ascii="Calibri" w:hAnsi="Calibri"/>
          <w:sz w:val="24"/>
        </w:rPr>
        <w:t>In relation to criminal law, the Labour government legitimised an expansion of prison populations by arguing that the policy is ‘“protecting the public from thousands of offence</w:t>
      </w:r>
      <w:r w:rsidR="00E6222C">
        <w:rPr>
          <w:rFonts w:ascii="Calibri" w:hAnsi="Calibri"/>
          <w:sz w:val="24"/>
        </w:rPr>
        <w:t>s a year which might otherwise have occurred”.</w:t>
      </w:r>
      <w:r w:rsidR="00E6222C">
        <w:rPr>
          <w:rStyle w:val="FootnoteReference"/>
          <w:rFonts w:ascii="Calibri" w:hAnsi="Calibri"/>
          <w:sz w:val="24"/>
        </w:rPr>
        <w:footnoteReference w:id="11"/>
      </w:r>
      <w:r w:rsidRPr="00240A0F">
        <w:rPr>
          <w:rFonts w:ascii="Calibri" w:hAnsi="Calibri"/>
          <w:sz w:val="24"/>
        </w:rPr>
        <w:t xml:space="preserve"> Crime is disproportionately presented as violent and sexual, provoking an exaggerated perception of the need for penal</w:t>
      </w:r>
      <w:r w:rsidR="00E6222C">
        <w:rPr>
          <w:rFonts w:ascii="Calibri" w:hAnsi="Calibri"/>
          <w:sz w:val="24"/>
        </w:rPr>
        <w:t xml:space="preserve"> and preventive imprisonment.</w:t>
      </w:r>
      <w:r w:rsidR="00E6222C">
        <w:rPr>
          <w:rStyle w:val="FootnoteReference"/>
          <w:rFonts w:ascii="Calibri" w:hAnsi="Calibri"/>
          <w:sz w:val="24"/>
        </w:rPr>
        <w:footnoteReference w:id="12"/>
      </w:r>
    </w:p>
    <w:p w:rsidR="00240A0F" w:rsidRPr="00240A0F" w:rsidRDefault="00240A0F" w:rsidP="00240A0F">
      <w:pPr>
        <w:suppressAutoHyphens/>
        <w:spacing w:after="120" w:line="240" w:lineRule="auto"/>
        <w:rPr>
          <w:rFonts w:ascii="Calibri" w:hAnsi="Calibri"/>
          <w:sz w:val="24"/>
        </w:rPr>
      </w:pPr>
      <w:r w:rsidRPr="00240A0F">
        <w:rPr>
          <w:rFonts w:ascii="Calibri" w:hAnsi="Calibri"/>
          <w:sz w:val="24"/>
        </w:rPr>
        <w:t>Inevitably, the stakes are raised by high-profile tragedies. The 2006 Anthony Rice murder</w:t>
      </w:r>
      <w:r w:rsidR="00E6222C">
        <w:rPr>
          <w:rStyle w:val="FootnoteReference"/>
          <w:rFonts w:ascii="Calibri" w:hAnsi="Calibri"/>
          <w:sz w:val="24"/>
        </w:rPr>
        <w:footnoteReference w:id="13"/>
      </w:r>
      <w:r w:rsidRPr="00240A0F">
        <w:rPr>
          <w:rFonts w:ascii="Calibri" w:hAnsi="Calibri"/>
          <w:sz w:val="24"/>
        </w:rPr>
        <w:t xml:space="preserve"> helped to provoke then-Prime Minister Blair into requiring Home Secretary John Reid to question whether judicial interpretation of the HRA was unacceptabl</w:t>
      </w:r>
      <w:r w:rsidR="00E6222C">
        <w:rPr>
          <w:rFonts w:ascii="Calibri" w:hAnsi="Calibri"/>
          <w:sz w:val="24"/>
        </w:rPr>
        <w:t>y overruling government policy.</w:t>
      </w:r>
      <w:r w:rsidR="00E6222C">
        <w:rPr>
          <w:rStyle w:val="FootnoteReference"/>
          <w:rFonts w:ascii="Calibri" w:hAnsi="Calibri"/>
          <w:sz w:val="24"/>
        </w:rPr>
        <w:footnoteReference w:id="14"/>
      </w:r>
      <w:r w:rsidRPr="00240A0F">
        <w:rPr>
          <w:rFonts w:ascii="Calibri" w:hAnsi="Calibri"/>
          <w:sz w:val="24"/>
        </w:rPr>
        <w:t xml:space="preserve"> It is a valid question for the executive; but the overall message of government’s response was to use the tragedy as an opportunity of responding to popular fear, rather than of tackling the far-from-zero-sum relationship between indivi</w:t>
      </w:r>
      <w:r w:rsidR="00E6222C">
        <w:rPr>
          <w:rFonts w:ascii="Calibri" w:hAnsi="Calibri"/>
          <w:sz w:val="24"/>
        </w:rPr>
        <w:t>dual freedom and public safety.</w:t>
      </w:r>
    </w:p>
    <w:p w:rsidR="00240A0F" w:rsidRPr="00240A0F" w:rsidRDefault="00240A0F" w:rsidP="00240A0F">
      <w:pPr>
        <w:suppressAutoHyphens/>
        <w:spacing w:after="120" w:line="240" w:lineRule="auto"/>
        <w:rPr>
          <w:rFonts w:ascii="Calibri" w:hAnsi="Calibri"/>
          <w:sz w:val="24"/>
        </w:rPr>
      </w:pPr>
      <w:r w:rsidRPr="00240A0F">
        <w:rPr>
          <w:rFonts w:ascii="Calibri" w:hAnsi="Calibri"/>
          <w:sz w:val="24"/>
        </w:rPr>
        <w:t xml:space="preserve">Scare stories about tragically ill-fated releases of psychiatric patients </w:t>
      </w:r>
      <w:r w:rsidR="00E6222C">
        <w:rPr>
          <w:rFonts w:ascii="Calibri" w:hAnsi="Calibri"/>
          <w:sz w:val="24"/>
        </w:rPr>
        <w:t>show a corresponding rationale.</w:t>
      </w:r>
      <w:r w:rsidR="00E6222C">
        <w:rPr>
          <w:rStyle w:val="FootnoteReference"/>
          <w:rFonts w:ascii="Calibri" w:hAnsi="Calibri"/>
          <w:sz w:val="24"/>
        </w:rPr>
        <w:footnoteReference w:id="15"/>
      </w:r>
      <w:r w:rsidRPr="00240A0F">
        <w:rPr>
          <w:rFonts w:ascii="Calibri" w:hAnsi="Calibri"/>
          <w:sz w:val="24"/>
        </w:rPr>
        <w:t xml:space="preserve"> A study of ‘Media influences on mental health policy’ following the </w:t>
      </w:r>
      <w:proofErr w:type="spellStart"/>
      <w:r w:rsidRPr="00240A0F">
        <w:rPr>
          <w:rFonts w:ascii="Calibri" w:hAnsi="Calibri"/>
          <w:sz w:val="24"/>
        </w:rPr>
        <w:t>Clunis</w:t>
      </w:r>
      <w:proofErr w:type="spellEnd"/>
      <w:r w:rsidRPr="00240A0F">
        <w:rPr>
          <w:rFonts w:ascii="Calibri" w:hAnsi="Calibri"/>
          <w:sz w:val="24"/>
        </w:rPr>
        <w:t xml:space="preserve"> and </w:t>
      </w:r>
      <w:proofErr w:type="spellStart"/>
      <w:r w:rsidRPr="00240A0F">
        <w:rPr>
          <w:rFonts w:ascii="Calibri" w:hAnsi="Calibri"/>
          <w:sz w:val="24"/>
        </w:rPr>
        <w:t>Silcock</w:t>
      </w:r>
      <w:proofErr w:type="spellEnd"/>
      <w:r w:rsidRPr="00240A0F">
        <w:rPr>
          <w:rFonts w:ascii="Calibri" w:hAnsi="Calibri"/>
          <w:sz w:val="24"/>
        </w:rPr>
        <w:t xml:space="preserve"> cases concluded that while press coverage had been partly motivated by a desire to improve psychiatric care, policy responses to public fears had produced increased constraints up</w:t>
      </w:r>
      <w:r w:rsidR="00E6222C">
        <w:rPr>
          <w:rFonts w:ascii="Calibri" w:hAnsi="Calibri"/>
          <w:sz w:val="24"/>
        </w:rPr>
        <w:t>on mentally disordered people.</w:t>
      </w:r>
      <w:r w:rsidR="00E6222C">
        <w:rPr>
          <w:rStyle w:val="FootnoteReference"/>
          <w:rFonts w:ascii="Calibri" w:hAnsi="Calibri"/>
          <w:sz w:val="24"/>
        </w:rPr>
        <w:footnoteReference w:id="16"/>
      </w:r>
      <w:r w:rsidRPr="00240A0F">
        <w:rPr>
          <w:rFonts w:ascii="Calibri" w:hAnsi="Calibri"/>
          <w:sz w:val="24"/>
        </w:rPr>
        <w:t xml:space="preserve"> Citing a Texan judgment in 2006, Richards LJ commented revealingly on the</w:t>
      </w:r>
      <w:r w:rsidR="00E6222C">
        <w:rPr>
          <w:rFonts w:ascii="Calibri" w:hAnsi="Calibri"/>
          <w:sz w:val="24"/>
        </w:rPr>
        <w:t xml:space="preserve"> rights of mentally ill people:</w:t>
      </w:r>
    </w:p>
    <w:p w:rsidR="00240A0F" w:rsidRPr="00E6222C" w:rsidRDefault="00240A0F" w:rsidP="00E6222C">
      <w:pPr>
        <w:suppressAutoHyphens/>
        <w:spacing w:after="120" w:line="240" w:lineRule="auto"/>
        <w:ind w:left="720"/>
        <w:rPr>
          <w:rFonts w:ascii="Calibri" w:hAnsi="Calibri"/>
          <w:i/>
          <w:sz w:val="24"/>
        </w:rPr>
      </w:pPr>
      <w:r w:rsidRPr="00E6222C">
        <w:rPr>
          <w:rFonts w:ascii="Calibri" w:hAnsi="Calibri"/>
          <w:i/>
          <w:sz w:val="24"/>
        </w:rPr>
        <w:t xml:space="preserve">‘“One who is suffering from a debilitating mental illness and in need of treatment is neither wholly at liberty nor free of stigma… It cannot be said, therefore, that it is much better for a mentally ill person to ‘go free’ than for a mentally </w:t>
      </w:r>
      <w:r w:rsidR="00E6222C" w:rsidRPr="00E6222C">
        <w:rPr>
          <w:rFonts w:ascii="Calibri" w:hAnsi="Calibri"/>
          <w:i/>
          <w:sz w:val="24"/>
        </w:rPr>
        <w:t>normal person to be committed.”</w:t>
      </w:r>
    </w:p>
    <w:p w:rsidR="00240A0F" w:rsidRPr="00240A0F" w:rsidRDefault="00240A0F" w:rsidP="00E6222C">
      <w:pPr>
        <w:suppressAutoHyphens/>
        <w:spacing w:after="120" w:line="240" w:lineRule="auto"/>
        <w:ind w:left="720"/>
        <w:rPr>
          <w:rFonts w:ascii="Calibri" w:hAnsi="Calibri"/>
          <w:sz w:val="24"/>
        </w:rPr>
      </w:pPr>
      <w:r w:rsidRPr="00E6222C">
        <w:rPr>
          <w:rFonts w:ascii="Calibri" w:hAnsi="Calibri"/>
          <w:i/>
          <w:sz w:val="24"/>
        </w:rPr>
        <w:t>‘Furthermore the consequences that may flow from the release of a person suffering from mental disorder include not only a risk to the individual's own health and safety..., but also a risk of harm to other members of the public</w:t>
      </w:r>
      <w:r w:rsidR="00E34E63">
        <w:rPr>
          <w:rFonts w:ascii="Calibri" w:hAnsi="Calibri"/>
          <w:i/>
          <w:sz w:val="24"/>
        </w:rPr>
        <w:t>…</w:t>
      </w:r>
      <w:r w:rsidRPr="00E6222C">
        <w:rPr>
          <w:rFonts w:ascii="Calibri" w:hAnsi="Calibri"/>
          <w:i/>
          <w:sz w:val="24"/>
        </w:rPr>
        <w:t xml:space="preserve"> [A] person whose </w:t>
      </w:r>
      <w:r w:rsidRPr="00E6222C">
        <w:rPr>
          <w:rFonts w:ascii="Calibri" w:hAnsi="Calibri"/>
          <w:i/>
          <w:sz w:val="24"/>
        </w:rPr>
        <w:lastRenderedPageBreak/>
        <w:t>case is being considered under section 73 was detained in the first place pursuant to a hospital order... following conviction for a criminal offence, often an offence of violence: the appalling facts of N’s [sic] own cas</w:t>
      </w:r>
      <w:r w:rsidR="00E6222C" w:rsidRPr="00E6222C">
        <w:rPr>
          <w:rFonts w:ascii="Calibri" w:hAnsi="Calibri"/>
          <w:i/>
          <w:sz w:val="24"/>
        </w:rPr>
        <w:t>e are very much in point.</w:t>
      </w:r>
      <w:r w:rsidR="00E34E63">
        <w:rPr>
          <w:rFonts w:ascii="Calibri" w:hAnsi="Calibri"/>
          <w:i/>
          <w:sz w:val="24"/>
        </w:rPr>
        <w:t xml:space="preserve"> </w:t>
      </w:r>
      <w:r w:rsidR="00E6222C" w:rsidRPr="00E6222C">
        <w:rPr>
          <w:rFonts w:ascii="Calibri" w:hAnsi="Calibri"/>
          <w:i/>
          <w:sz w:val="24"/>
        </w:rPr>
        <w:t>...’</w:t>
      </w:r>
      <w:r w:rsidR="00E6222C">
        <w:rPr>
          <w:rStyle w:val="FootnoteReference"/>
          <w:rFonts w:ascii="Calibri" w:hAnsi="Calibri"/>
          <w:sz w:val="24"/>
        </w:rPr>
        <w:footnoteReference w:id="17"/>
      </w:r>
    </w:p>
    <w:p w:rsidR="00240A0F" w:rsidRPr="00240A0F" w:rsidRDefault="00240A0F" w:rsidP="00240A0F">
      <w:pPr>
        <w:suppressAutoHyphens/>
        <w:spacing w:after="120" w:line="240" w:lineRule="auto"/>
        <w:rPr>
          <w:rFonts w:ascii="Calibri" w:hAnsi="Calibri"/>
          <w:sz w:val="24"/>
        </w:rPr>
      </w:pPr>
      <w:r w:rsidRPr="00240A0F">
        <w:rPr>
          <w:rFonts w:ascii="Calibri" w:hAnsi="Calibri"/>
          <w:sz w:val="24"/>
        </w:rPr>
        <w:t>Various points here. Firstly, the belief that neither liberty nor freedom from stigma is possible for a ‘</w:t>
      </w:r>
      <w:proofErr w:type="spellStart"/>
      <w:r w:rsidRPr="00240A0F">
        <w:rPr>
          <w:rFonts w:ascii="Calibri" w:hAnsi="Calibri"/>
          <w:sz w:val="24"/>
        </w:rPr>
        <w:t>debilitatingly</w:t>
      </w:r>
      <w:proofErr w:type="spellEnd"/>
      <w:r w:rsidRPr="00240A0F">
        <w:rPr>
          <w:rFonts w:ascii="Calibri" w:hAnsi="Calibri"/>
          <w:sz w:val="24"/>
        </w:rPr>
        <w:t xml:space="preserve">’ mentally ill person, so that incarceration is less bad (damaging? painful? morally suspect?) than for a ‘mentally normal person’. Such demotion of minorities to marginal </w:t>
      </w:r>
      <w:proofErr w:type="spellStart"/>
      <w:r w:rsidRPr="00240A0F">
        <w:rPr>
          <w:rFonts w:ascii="Calibri" w:hAnsi="Calibri"/>
          <w:sz w:val="24"/>
        </w:rPr>
        <w:t>subhumanity</w:t>
      </w:r>
      <w:proofErr w:type="spellEnd"/>
      <w:r w:rsidRPr="00240A0F">
        <w:rPr>
          <w:rFonts w:ascii="Calibri" w:hAnsi="Calibri"/>
          <w:sz w:val="24"/>
        </w:rPr>
        <w:t xml:space="preserve"> has a malign history. Secondly, note the slippage from the particulars of AN’s ‘appalling’ case to generalisation about people </w:t>
      </w:r>
      <w:r w:rsidR="00E6222C">
        <w:rPr>
          <w:rFonts w:ascii="Calibri" w:hAnsi="Calibri"/>
          <w:sz w:val="24"/>
        </w:rPr>
        <w:t>suffering from mental disorder.</w:t>
      </w:r>
    </w:p>
    <w:p w:rsidR="00240A0F" w:rsidRPr="00240A0F" w:rsidRDefault="00240A0F" w:rsidP="00240A0F">
      <w:pPr>
        <w:suppressAutoHyphens/>
        <w:spacing w:after="120" w:line="240" w:lineRule="auto"/>
        <w:rPr>
          <w:rFonts w:ascii="Calibri" w:hAnsi="Calibri"/>
          <w:sz w:val="24"/>
        </w:rPr>
      </w:pPr>
      <w:r w:rsidRPr="00240A0F">
        <w:rPr>
          <w:rFonts w:ascii="Calibri" w:hAnsi="Calibri"/>
          <w:sz w:val="24"/>
        </w:rPr>
        <w:t>This is not an isolated instance. A few years earlier, quoting a judgment of the European Court of Human Rights (</w:t>
      </w:r>
      <w:proofErr w:type="spellStart"/>
      <w:r w:rsidRPr="00240A0F">
        <w:rPr>
          <w:rFonts w:ascii="Calibri" w:hAnsi="Calibri"/>
          <w:sz w:val="24"/>
        </w:rPr>
        <w:t>ECtHR</w:t>
      </w:r>
      <w:proofErr w:type="spellEnd"/>
      <w:r w:rsidRPr="00240A0F">
        <w:rPr>
          <w:rFonts w:ascii="Calibri" w:hAnsi="Calibri"/>
          <w:sz w:val="24"/>
        </w:rPr>
        <w:t>), Lord Clyde had referred approvingly to the ECHR’s equation of ‘persons of unsound mind</w:t>
      </w:r>
      <w:r w:rsidR="00FE4265">
        <w:rPr>
          <w:rFonts w:ascii="Calibri" w:hAnsi="Calibri"/>
          <w:sz w:val="24"/>
        </w:rPr>
        <w:t>, alcoholics and drug addicts’.</w:t>
      </w:r>
    </w:p>
    <w:p w:rsidR="00240A0F" w:rsidRPr="00240A0F" w:rsidRDefault="00240A0F" w:rsidP="00FE4265">
      <w:pPr>
        <w:suppressAutoHyphens/>
        <w:spacing w:after="120" w:line="240" w:lineRule="auto"/>
        <w:ind w:left="720"/>
        <w:rPr>
          <w:rFonts w:ascii="Calibri" w:hAnsi="Calibri"/>
          <w:sz w:val="24"/>
        </w:rPr>
      </w:pPr>
      <w:r w:rsidRPr="00FE4265">
        <w:rPr>
          <w:rFonts w:ascii="Calibri" w:hAnsi="Calibri"/>
          <w:i/>
          <w:sz w:val="24"/>
        </w:rPr>
        <w:t xml:space="preserve">“The reason why the Convention allows the latter individuals, all of whom are socially maladjusted, to be deprived of their liberty is not only that they have to be considered as occasionally dangerous for public safety but also that their own interests may </w:t>
      </w:r>
      <w:r w:rsidR="00FE4265" w:rsidRPr="00FE4265">
        <w:rPr>
          <w:rFonts w:ascii="Calibri" w:hAnsi="Calibri"/>
          <w:i/>
          <w:sz w:val="24"/>
        </w:rPr>
        <w:t>necessitate their detention.”</w:t>
      </w:r>
      <w:r w:rsidR="00FE4265">
        <w:rPr>
          <w:rStyle w:val="FootnoteReference"/>
          <w:rFonts w:ascii="Calibri" w:hAnsi="Calibri"/>
          <w:sz w:val="24"/>
        </w:rPr>
        <w:footnoteReference w:id="18"/>
      </w:r>
    </w:p>
    <w:p w:rsidR="00240A0F" w:rsidRPr="00240A0F" w:rsidRDefault="00240A0F" w:rsidP="00240A0F">
      <w:pPr>
        <w:suppressAutoHyphens/>
        <w:spacing w:after="120" w:line="240" w:lineRule="auto"/>
        <w:rPr>
          <w:rFonts w:ascii="Calibri" w:hAnsi="Calibri"/>
          <w:sz w:val="24"/>
        </w:rPr>
      </w:pPr>
      <w:r w:rsidRPr="00240A0F">
        <w:rPr>
          <w:rFonts w:ascii="Calibri" w:hAnsi="Calibri"/>
          <w:sz w:val="24"/>
        </w:rPr>
        <w:t xml:space="preserve">The specific outcome was to legitimise the indefinite detention of 12 men diagnosed with ‘psychopathic personality disorders’ and assessed as highly dangerous, but not amenable to lawful imprisonment or assessed as treatable; the ‘own interests’ argument, with no place in mental health law, can be little more than a paternalistic </w:t>
      </w:r>
      <w:r w:rsidR="00FE4265">
        <w:rPr>
          <w:rFonts w:ascii="Calibri" w:hAnsi="Calibri"/>
          <w:sz w:val="24"/>
        </w:rPr>
        <w:t>attempt at moral justification.</w:t>
      </w:r>
    </w:p>
    <w:p w:rsidR="00240A0F" w:rsidRPr="00240A0F" w:rsidRDefault="00240A0F" w:rsidP="00240A0F">
      <w:pPr>
        <w:suppressAutoHyphens/>
        <w:spacing w:after="120" w:line="240" w:lineRule="auto"/>
        <w:rPr>
          <w:rFonts w:ascii="Calibri" w:hAnsi="Calibri"/>
          <w:sz w:val="24"/>
        </w:rPr>
      </w:pPr>
      <w:r w:rsidRPr="00240A0F">
        <w:rPr>
          <w:rFonts w:ascii="Calibri" w:hAnsi="Calibri"/>
          <w:sz w:val="24"/>
        </w:rPr>
        <w:t>The problem here is not the (uncontentious) assertion that some mentally disordered people may be ‘occasionally dangerous’, but the suggested presumption of such a connection. A similar carelessness – or prejudice – marks his judgment a little earlier: “One of the immediate concerns which one has about such persons is that of public safety...”</w:t>
      </w:r>
      <w:r w:rsidR="00FE4265">
        <w:rPr>
          <w:rStyle w:val="FootnoteReference"/>
          <w:rFonts w:ascii="Calibri" w:hAnsi="Calibri"/>
          <w:sz w:val="24"/>
        </w:rPr>
        <w:footnoteReference w:id="19"/>
      </w:r>
      <w:r w:rsidRPr="00240A0F">
        <w:rPr>
          <w:rFonts w:ascii="Calibri" w:hAnsi="Calibri"/>
          <w:sz w:val="24"/>
        </w:rPr>
        <w:t xml:space="preserve"> It is a presumption which one-sidedly weights the evidence needed for courts balancing the interests of mentally disordered people and public safety, and which gi</w:t>
      </w:r>
      <w:r w:rsidR="00FE4265">
        <w:rPr>
          <w:rFonts w:ascii="Calibri" w:hAnsi="Calibri"/>
          <w:sz w:val="24"/>
        </w:rPr>
        <w:t>ves authority to popular fears.</w:t>
      </w:r>
    </w:p>
    <w:p w:rsidR="00240A0F" w:rsidRPr="00240A0F" w:rsidRDefault="00240A0F" w:rsidP="00240A0F">
      <w:pPr>
        <w:suppressAutoHyphens/>
        <w:spacing w:after="120" w:line="240" w:lineRule="auto"/>
        <w:rPr>
          <w:rFonts w:ascii="Calibri" w:hAnsi="Calibri"/>
          <w:sz w:val="24"/>
        </w:rPr>
      </w:pPr>
      <w:r w:rsidRPr="00240A0F">
        <w:rPr>
          <w:rFonts w:ascii="Calibri" w:hAnsi="Calibri"/>
          <w:sz w:val="24"/>
        </w:rPr>
        <w:t>The judiciary is not blind to its relationship with popular fear. The Parole Board in 1977 agonised over the extent to which its decisions on notorious prisoners should be influenced by public opinion; its 1986 Report ‘felt it necessary to spell out that public perceptions were part of the risk assessment process with the Board taking into account "the degree of abhorrence with which society regards that offence and the likely public reaction to the offender's early release from custody". This can be contrasted with the long­standing principle that public reaction is not relevant to judicial sentencing and release decisions.’</w:t>
      </w:r>
      <w:r w:rsidR="00FE4265">
        <w:rPr>
          <w:rStyle w:val="FootnoteReference"/>
          <w:rFonts w:ascii="Calibri" w:hAnsi="Calibri"/>
          <w:sz w:val="24"/>
        </w:rPr>
        <w:footnoteReference w:id="20"/>
      </w:r>
      <w:r w:rsidRPr="00240A0F">
        <w:rPr>
          <w:rFonts w:ascii="Calibri" w:hAnsi="Calibri"/>
          <w:sz w:val="24"/>
        </w:rPr>
        <w:t xml:space="preserve"> That principle is spelt out by Goff LJ in the </w:t>
      </w:r>
      <w:proofErr w:type="spellStart"/>
      <w:r w:rsidRPr="00240A0F">
        <w:rPr>
          <w:rFonts w:ascii="Calibri" w:hAnsi="Calibri"/>
          <w:sz w:val="24"/>
        </w:rPr>
        <w:t>Venables</w:t>
      </w:r>
      <w:proofErr w:type="spellEnd"/>
      <w:r w:rsidRPr="00240A0F">
        <w:rPr>
          <w:rFonts w:ascii="Calibri" w:hAnsi="Calibri"/>
          <w:sz w:val="24"/>
        </w:rPr>
        <w:t xml:space="preserve"> and Thompson case: “I wish to draw a distinction... between public concern of a general nature with regard to, for example, the prevalence of certain types of offence, and the need that those who commit such offences should be duly punished; and public clamour that a particular offender whose case is under </w:t>
      </w:r>
      <w:r w:rsidRPr="00240A0F">
        <w:rPr>
          <w:rFonts w:ascii="Calibri" w:hAnsi="Calibri"/>
          <w:sz w:val="24"/>
        </w:rPr>
        <w:lastRenderedPageBreak/>
        <w:t>consideration should be singled out for severe punishment. It is legitimate for a sentencing authority to take the former concern into accoun</w:t>
      </w:r>
      <w:r w:rsidR="00FE4265">
        <w:rPr>
          <w:rFonts w:ascii="Calibri" w:hAnsi="Calibri"/>
          <w:sz w:val="24"/>
        </w:rPr>
        <w:t>t, but not the latter”.</w:t>
      </w:r>
      <w:r w:rsidR="00FE4265">
        <w:rPr>
          <w:rStyle w:val="FootnoteReference"/>
          <w:rFonts w:ascii="Calibri" w:hAnsi="Calibri"/>
          <w:sz w:val="24"/>
        </w:rPr>
        <w:footnoteReference w:id="21"/>
      </w:r>
      <w:r w:rsidRPr="00240A0F">
        <w:rPr>
          <w:rFonts w:ascii="Calibri" w:hAnsi="Calibri"/>
          <w:sz w:val="24"/>
        </w:rPr>
        <w:t xml:space="preserve"> It is a principle deserving closer consideration in political </w:t>
      </w:r>
      <w:r w:rsidR="00FE4265">
        <w:rPr>
          <w:rFonts w:ascii="Calibri" w:hAnsi="Calibri"/>
          <w:sz w:val="24"/>
        </w:rPr>
        <w:t>as well as judicial contexts.</w:t>
      </w:r>
      <w:r w:rsidR="00FE4265">
        <w:rPr>
          <w:rStyle w:val="FootnoteReference"/>
          <w:rFonts w:ascii="Calibri" w:hAnsi="Calibri"/>
          <w:sz w:val="24"/>
        </w:rPr>
        <w:footnoteReference w:id="22"/>
      </w:r>
    </w:p>
    <w:p w:rsidR="00240A0F" w:rsidRDefault="00240A0F" w:rsidP="00240A0F">
      <w:pPr>
        <w:suppressAutoHyphens/>
        <w:spacing w:after="120" w:line="240" w:lineRule="auto"/>
        <w:rPr>
          <w:rFonts w:ascii="Calibri" w:hAnsi="Calibri"/>
          <w:sz w:val="24"/>
        </w:rPr>
      </w:pPr>
      <w:r w:rsidRPr="00240A0F">
        <w:rPr>
          <w:rFonts w:ascii="Calibri" w:hAnsi="Calibri"/>
          <w:sz w:val="24"/>
        </w:rPr>
        <w:t xml:space="preserve">Governments shrink from confronting populist fears, being characteristically unwilling to open up discussion of the limits of risk assessment or of the complex relationship between incarceration and risk reduction. The former administration’s simultaneous desire to present the </w:t>
      </w:r>
      <w:proofErr w:type="spellStart"/>
      <w:r w:rsidRPr="00240A0F">
        <w:rPr>
          <w:rFonts w:ascii="Calibri" w:hAnsi="Calibri"/>
          <w:sz w:val="24"/>
        </w:rPr>
        <w:t>DoH</w:t>
      </w:r>
      <w:proofErr w:type="spellEnd"/>
      <w:r w:rsidRPr="00240A0F">
        <w:rPr>
          <w:rFonts w:ascii="Calibri" w:hAnsi="Calibri"/>
          <w:sz w:val="24"/>
        </w:rPr>
        <w:t xml:space="preserve"> anti-stigma campaign made incoherence inevitable. One had to take centre stage; the Ministry of Justice (</w:t>
      </w:r>
      <w:proofErr w:type="spellStart"/>
      <w:r w:rsidRPr="00240A0F">
        <w:rPr>
          <w:rFonts w:ascii="Calibri" w:hAnsi="Calibri"/>
          <w:sz w:val="24"/>
        </w:rPr>
        <w:t>MoJ</w:t>
      </w:r>
      <w:proofErr w:type="spellEnd"/>
      <w:r w:rsidRPr="00240A0F">
        <w:rPr>
          <w:rFonts w:ascii="Calibri" w:hAnsi="Calibri"/>
          <w:sz w:val="24"/>
        </w:rPr>
        <w:t>) won. The Coalition government has not indic</w:t>
      </w:r>
      <w:r w:rsidR="00FE4265">
        <w:rPr>
          <w:rFonts w:ascii="Calibri" w:hAnsi="Calibri"/>
          <w:sz w:val="24"/>
        </w:rPr>
        <w:t>ated any shift in this balance.</w:t>
      </w:r>
    </w:p>
    <w:p w:rsidR="00FE4265" w:rsidRPr="00240A0F" w:rsidRDefault="00FE4265" w:rsidP="00240A0F">
      <w:pPr>
        <w:suppressAutoHyphens/>
        <w:spacing w:after="120" w:line="240" w:lineRule="auto"/>
        <w:rPr>
          <w:rFonts w:ascii="Calibri" w:hAnsi="Calibri"/>
          <w:sz w:val="24"/>
        </w:rPr>
      </w:pPr>
    </w:p>
    <w:p w:rsidR="00240A0F" w:rsidRPr="00FE4265" w:rsidRDefault="00FE4265" w:rsidP="00240A0F">
      <w:pPr>
        <w:suppressAutoHyphens/>
        <w:spacing w:after="120" w:line="240" w:lineRule="auto"/>
        <w:rPr>
          <w:rFonts w:ascii="Calibri" w:hAnsi="Calibri"/>
          <w:b/>
          <w:sz w:val="28"/>
        </w:rPr>
      </w:pPr>
      <w:r w:rsidRPr="00FE4265">
        <w:rPr>
          <w:rFonts w:ascii="Calibri" w:hAnsi="Calibri"/>
          <w:b/>
          <w:sz w:val="28"/>
        </w:rPr>
        <w:t>Levels of detention</w:t>
      </w:r>
    </w:p>
    <w:p w:rsidR="00240A0F" w:rsidRPr="00240A0F" w:rsidRDefault="00240A0F" w:rsidP="00240A0F">
      <w:pPr>
        <w:suppressAutoHyphens/>
        <w:spacing w:after="120" w:line="240" w:lineRule="auto"/>
        <w:rPr>
          <w:rFonts w:ascii="Calibri" w:hAnsi="Calibri"/>
          <w:sz w:val="24"/>
        </w:rPr>
      </w:pPr>
      <w:r w:rsidRPr="00240A0F">
        <w:rPr>
          <w:rFonts w:ascii="Calibri" w:hAnsi="Calibri"/>
          <w:sz w:val="24"/>
        </w:rPr>
        <w:t>What is the evidence to support government’s enthusiasm for preventiv</w:t>
      </w:r>
      <w:r w:rsidR="00FE4265">
        <w:rPr>
          <w:rFonts w:ascii="Calibri" w:hAnsi="Calibri"/>
          <w:sz w:val="24"/>
        </w:rPr>
        <w:t xml:space="preserve">e detention? One needs to look </w:t>
      </w:r>
      <w:r w:rsidRPr="00240A0F">
        <w:rPr>
          <w:rFonts w:ascii="Calibri" w:hAnsi="Calibri"/>
          <w:sz w:val="24"/>
        </w:rPr>
        <w:t xml:space="preserve">at the kinds of detention involved. Part III of the </w:t>
      </w:r>
      <w:r w:rsidRPr="000266E9">
        <w:rPr>
          <w:rFonts w:ascii="Calibri" w:hAnsi="Calibri"/>
          <w:i/>
          <w:sz w:val="24"/>
        </w:rPr>
        <w:t>Mental Health Act</w:t>
      </w:r>
      <w:r w:rsidRPr="00240A0F">
        <w:rPr>
          <w:rFonts w:ascii="Calibri" w:hAnsi="Calibri"/>
          <w:sz w:val="24"/>
        </w:rPr>
        <w:t xml:space="preserve"> deals with people who are facing, or have faced, criminal charges, while indeterminate prison sentences – now primarily mandatory and discretionary life sentences and sentences of Imprisonment for Public Protection (IPP) – permit imprisonment</w:t>
      </w:r>
      <w:r w:rsidR="00FE4265">
        <w:rPr>
          <w:rFonts w:ascii="Calibri" w:hAnsi="Calibri"/>
          <w:sz w:val="24"/>
        </w:rPr>
        <w:t xml:space="preserve"> beyond the penal minimum term.</w:t>
      </w:r>
    </w:p>
    <w:p w:rsidR="00240A0F" w:rsidRPr="00240A0F" w:rsidRDefault="00240A0F" w:rsidP="00240A0F">
      <w:pPr>
        <w:suppressAutoHyphens/>
        <w:spacing w:after="120" w:line="240" w:lineRule="auto"/>
        <w:rPr>
          <w:rFonts w:ascii="Calibri" w:hAnsi="Calibri"/>
          <w:sz w:val="24"/>
        </w:rPr>
      </w:pPr>
      <w:r w:rsidRPr="00240A0F">
        <w:rPr>
          <w:rFonts w:ascii="Calibri" w:hAnsi="Calibri"/>
          <w:sz w:val="24"/>
        </w:rPr>
        <w:t>Looking therefore at the relevant figures: while overall NHS psychi</w:t>
      </w:r>
      <w:r w:rsidR="00FE4265">
        <w:rPr>
          <w:rFonts w:ascii="Calibri" w:hAnsi="Calibri"/>
          <w:sz w:val="24"/>
        </w:rPr>
        <w:t>atric bed numbers are falling,</w:t>
      </w:r>
      <w:r w:rsidR="00FE4265">
        <w:rPr>
          <w:rStyle w:val="FootnoteReference"/>
          <w:rFonts w:ascii="Calibri" w:hAnsi="Calibri"/>
          <w:sz w:val="24"/>
        </w:rPr>
        <w:footnoteReference w:id="23"/>
      </w:r>
      <w:r w:rsidRPr="00240A0F">
        <w:rPr>
          <w:rFonts w:ascii="Calibri" w:hAnsi="Calibri"/>
          <w:sz w:val="24"/>
        </w:rPr>
        <w:t xml:space="preserve"> those in NHS medium-secu</w:t>
      </w:r>
      <w:r w:rsidR="00FE4265">
        <w:rPr>
          <w:rFonts w:ascii="Calibri" w:hAnsi="Calibri"/>
          <w:sz w:val="24"/>
        </w:rPr>
        <w:t>re units have been rising;</w:t>
      </w:r>
      <w:r w:rsidR="00FE4265">
        <w:rPr>
          <w:rStyle w:val="FootnoteReference"/>
          <w:rFonts w:ascii="Calibri" w:hAnsi="Calibri"/>
          <w:sz w:val="24"/>
        </w:rPr>
        <w:footnoteReference w:id="24"/>
      </w:r>
      <w:r w:rsidRPr="00240A0F">
        <w:rPr>
          <w:rFonts w:ascii="Calibri" w:hAnsi="Calibri"/>
          <w:sz w:val="24"/>
        </w:rPr>
        <w:t xml:space="preserve"> the units for Dangerous &amp; Serious Personal</w:t>
      </w:r>
      <w:r w:rsidR="006B0289">
        <w:rPr>
          <w:rFonts w:ascii="Calibri" w:hAnsi="Calibri"/>
          <w:sz w:val="24"/>
        </w:rPr>
        <w:t>ity Disordered (DSPD) patients,</w:t>
      </w:r>
      <w:r w:rsidR="006B0289">
        <w:rPr>
          <w:rStyle w:val="FootnoteReference"/>
          <w:rFonts w:ascii="Calibri" w:hAnsi="Calibri"/>
          <w:sz w:val="24"/>
        </w:rPr>
        <w:footnoteReference w:id="25"/>
      </w:r>
      <w:r w:rsidRPr="00240A0F">
        <w:rPr>
          <w:rFonts w:ascii="Calibri" w:hAnsi="Calibri"/>
          <w:sz w:val="24"/>
        </w:rPr>
        <w:t xml:space="preserve"> High-Security Hospitals</w:t>
      </w:r>
      <w:r w:rsidR="006B0289">
        <w:rPr>
          <w:rFonts w:ascii="Calibri" w:hAnsi="Calibri"/>
          <w:sz w:val="24"/>
        </w:rPr>
        <w:t xml:space="preserve"> (HSHs) and private facilities</w:t>
      </w:r>
      <w:r w:rsidR="006B0289">
        <w:rPr>
          <w:rStyle w:val="FootnoteReference"/>
          <w:rFonts w:ascii="Calibri" w:hAnsi="Calibri"/>
          <w:sz w:val="24"/>
        </w:rPr>
        <w:footnoteReference w:id="26"/>
      </w:r>
      <w:r w:rsidRPr="00240A0F">
        <w:rPr>
          <w:rFonts w:ascii="Calibri" w:hAnsi="Calibri"/>
          <w:sz w:val="24"/>
        </w:rPr>
        <w:t xml:space="preserve"> are additional to that rise. In 2009, the Mental Health Act Commission (MHAC) welcomed a ‘recent upturn’ in the use of s37 hospital orders, ‘on the grounds that every individual case is a diversion from the criminal justice system’; however, ‘in the light of the massive increase in prison population during this period... the overall proportion of diversions may have fallen considerably....’</w:t>
      </w:r>
      <w:r w:rsidR="006B0289">
        <w:rPr>
          <w:rStyle w:val="FootnoteReference"/>
          <w:rFonts w:ascii="Calibri" w:hAnsi="Calibri"/>
          <w:sz w:val="24"/>
        </w:rPr>
        <w:footnoteReference w:id="27"/>
      </w:r>
      <w:r w:rsidRPr="00240A0F">
        <w:rPr>
          <w:rFonts w:ascii="Calibri" w:hAnsi="Calibri"/>
          <w:sz w:val="24"/>
        </w:rPr>
        <w:t xml:space="preserve"> Moreover, the upturn is accounted for solely </w:t>
      </w:r>
      <w:r w:rsidRPr="00240A0F">
        <w:rPr>
          <w:rFonts w:ascii="Calibri" w:hAnsi="Calibri"/>
          <w:sz w:val="24"/>
        </w:rPr>
        <w:lastRenderedPageBreak/>
        <w:t>by 37/41 detentions – restricted hospital orders.</w:t>
      </w:r>
      <w:r w:rsidR="006B0289">
        <w:rPr>
          <w:rStyle w:val="FootnoteReference"/>
          <w:rFonts w:ascii="Calibri" w:hAnsi="Calibri"/>
          <w:sz w:val="24"/>
        </w:rPr>
        <w:footnoteReference w:id="28"/>
      </w:r>
      <w:r w:rsidRPr="00240A0F">
        <w:rPr>
          <w:rFonts w:ascii="Calibri" w:hAnsi="Calibri"/>
          <w:sz w:val="24"/>
        </w:rPr>
        <w:t xml:space="preserve"> Singh and Moncrieff argue that a rise in </w:t>
      </w:r>
      <w:proofErr w:type="spellStart"/>
      <w:r w:rsidRPr="00240A0F">
        <w:rPr>
          <w:rFonts w:ascii="Calibri" w:hAnsi="Calibri"/>
          <w:sz w:val="24"/>
        </w:rPr>
        <w:t>ss</w:t>
      </w:r>
      <w:proofErr w:type="spellEnd"/>
      <w:r w:rsidRPr="00240A0F">
        <w:rPr>
          <w:rFonts w:ascii="Calibri" w:hAnsi="Calibri"/>
          <w:sz w:val="24"/>
        </w:rPr>
        <w:t xml:space="preserve"> 2, 3 and 37/41 detentions, combined with steady levels of discharge on appeal, may suggest a lowering of the threshold for detention (restricted and unrestricted) and rise of that for discharge.</w:t>
      </w:r>
      <w:r w:rsidR="006B0289">
        <w:rPr>
          <w:rStyle w:val="FootnoteReference"/>
          <w:rFonts w:ascii="Calibri" w:hAnsi="Calibri"/>
          <w:sz w:val="24"/>
        </w:rPr>
        <w:footnoteReference w:id="29"/>
      </w:r>
      <w:r w:rsidRPr="00240A0F">
        <w:rPr>
          <w:rFonts w:ascii="Calibri" w:hAnsi="Calibri"/>
          <w:sz w:val="24"/>
        </w:rPr>
        <w:t xml:space="preserve"> Last year saw a record n</w:t>
      </w:r>
      <w:r w:rsidR="006B0289">
        <w:rPr>
          <w:rFonts w:ascii="Calibri" w:hAnsi="Calibri"/>
          <w:sz w:val="24"/>
        </w:rPr>
        <w:t>umber of Part III detentions.</w:t>
      </w:r>
      <w:r w:rsidR="006B0289">
        <w:rPr>
          <w:rStyle w:val="FootnoteReference"/>
          <w:rFonts w:ascii="Calibri" w:hAnsi="Calibri"/>
          <w:sz w:val="24"/>
        </w:rPr>
        <w:footnoteReference w:id="30"/>
      </w:r>
    </w:p>
    <w:p w:rsidR="00240A0F" w:rsidRPr="00240A0F" w:rsidRDefault="00240A0F" w:rsidP="00240A0F">
      <w:pPr>
        <w:suppressAutoHyphens/>
        <w:spacing w:after="120" w:line="240" w:lineRule="auto"/>
        <w:rPr>
          <w:rFonts w:ascii="Calibri" w:hAnsi="Calibri"/>
          <w:sz w:val="24"/>
        </w:rPr>
      </w:pPr>
      <w:r w:rsidRPr="00240A0F">
        <w:rPr>
          <w:rFonts w:ascii="Calibri" w:hAnsi="Calibri"/>
          <w:sz w:val="24"/>
        </w:rPr>
        <w:t>Tracking figures is not straightforward. Though 2009/10 saw a slight reversal in the trend since 2002-03 towards court and prison disposals in private hospitals at</w:t>
      </w:r>
      <w:r w:rsidR="006B0289">
        <w:rPr>
          <w:rFonts w:ascii="Calibri" w:hAnsi="Calibri"/>
          <w:sz w:val="24"/>
        </w:rPr>
        <w:t xml:space="preserve"> the expense of NHS facilities,</w:t>
      </w:r>
      <w:r w:rsidR="006B0289">
        <w:rPr>
          <w:rStyle w:val="FootnoteReference"/>
          <w:rFonts w:ascii="Calibri" w:hAnsi="Calibri"/>
          <w:sz w:val="24"/>
        </w:rPr>
        <w:footnoteReference w:id="31"/>
      </w:r>
      <w:r w:rsidRPr="00240A0F">
        <w:rPr>
          <w:rFonts w:ascii="Calibri" w:hAnsi="Calibri"/>
          <w:sz w:val="24"/>
        </w:rPr>
        <w:t xml:space="preserve"> the private sector remains significant. ‘Information is not collected by the Department [of Health] on the proportion or cost of personality disorder placements made in the private sector’; furthermore, ‘[</w:t>
      </w:r>
      <w:proofErr w:type="spellStart"/>
      <w:r w:rsidRPr="00240A0F">
        <w:rPr>
          <w:rFonts w:ascii="Calibri" w:hAnsi="Calibri"/>
          <w:sz w:val="24"/>
        </w:rPr>
        <w:t>i</w:t>
      </w:r>
      <w:proofErr w:type="spellEnd"/>
      <w:r w:rsidRPr="00240A0F">
        <w:rPr>
          <w:rFonts w:ascii="Calibri" w:hAnsi="Calibri"/>
          <w:sz w:val="24"/>
        </w:rPr>
        <w:t>]</w:t>
      </w:r>
      <w:proofErr w:type="spellStart"/>
      <w:r w:rsidRPr="00240A0F">
        <w:rPr>
          <w:rFonts w:ascii="Calibri" w:hAnsi="Calibri"/>
          <w:sz w:val="24"/>
        </w:rPr>
        <w:t>nformation</w:t>
      </w:r>
      <w:proofErr w:type="spellEnd"/>
      <w:r w:rsidRPr="00240A0F">
        <w:rPr>
          <w:rFonts w:ascii="Calibri" w:hAnsi="Calibri"/>
          <w:sz w:val="24"/>
        </w:rPr>
        <w:t xml:space="preserve"> is not collected centrally on the effectiveness of personality disorder placements commissioned by PCTs [primary care trusts] from the private sector.’</w:t>
      </w:r>
      <w:r w:rsidR="006B0289">
        <w:rPr>
          <w:rStyle w:val="FootnoteReference"/>
          <w:rFonts w:ascii="Calibri" w:hAnsi="Calibri"/>
          <w:sz w:val="24"/>
        </w:rPr>
        <w:footnoteReference w:id="32"/>
      </w:r>
      <w:r w:rsidRPr="00240A0F">
        <w:rPr>
          <w:rFonts w:ascii="Calibri" w:hAnsi="Calibri"/>
          <w:sz w:val="24"/>
        </w:rPr>
        <w:t xml:space="preserve"> Given that the Care Quality Commission relies heavily on self-assessment by private providers, such lack </w:t>
      </w:r>
      <w:r w:rsidR="006B0289">
        <w:rPr>
          <w:rFonts w:ascii="Calibri" w:hAnsi="Calibri"/>
          <w:sz w:val="24"/>
        </w:rPr>
        <w:t>of information is unsurprising.</w:t>
      </w:r>
      <w:r w:rsidR="006B0289">
        <w:rPr>
          <w:rStyle w:val="FootnoteReference"/>
          <w:rFonts w:ascii="Calibri" w:hAnsi="Calibri"/>
          <w:sz w:val="24"/>
        </w:rPr>
        <w:footnoteReference w:id="33"/>
      </w:r>
      <w:r w:rsidRPr="00240A0F">
        <w:rPr>
          <w:rFonts w:ascii="Calibri" w:hAnsi="Calibri"/>
          <w:sz w:val="24"/>
        </w:rPr>
        <w:t xml:space="preserve"> People confined in a unique ‘position of inferiority and powerlessnes</w:t>
      </w:r>
      <w:r w:rsidR="006B0289">
        <w:rPr>
          <w:rFonts w:ascii="Calibri" w:hAnsi="Calibri"/>
          <w:sz w:val="24"/>
        </w:rPr>
        <w:t>s’</w:t>
      </w:r>
      <w:r w:rsidR="006B0289">
        <w:rPr>
          <w:rStyle w:val="FootnoteReference"/>
          <w:rFonts w:ascii="Calibri" w:hAnsi="Calibri"/>
          <w:sz w:val="24"/>
        </w:rPr>
        <w:footnoteReference w:id="34"/>
      </w:r>
      <w:r w:rsidRPr="00240A0F">
        <w:rPr>
          <w:rFonts w:ascii="Calibri" w:hAnsi="Calibri"/>
          <w:sz w:val="24"/>
        </w:rPr>
        <w:t xml:space="preserve"> are being lo</w:t>
      </w:r>
      <w:r w:rsidR="00F32B4D">
        <w:rPr>
          <w:rFonts w:ascii="Calibri" w:hAnsi="Calibri"/>
          <w:sz w:val="24"/>
        </w:rPr>
        <w:t>st to official or public sight.</w:t>
      </w:r>
    </w:p>
    <w:p w:rsidR="00240A0F" w:rsidRPr="00240A0F" w:rsidRDefault="00240A0F" w:rsidP="00240A0F">
      <w:pPr>
        <w:suppressAutoHyphens/>
        <w:spacing w:after="120" w:line="240" w:lineRule="auto"/>
        <w:rPr>
          <w:rFonts w:ascii="Calibri" w:hAnsi="Calibri"/>
          <w:sz w:val="24"/>
        </w:rPr>
      </w:pPr>
      <w:r w:rsidRPr="00240A0F">
        <w:rPr>
          <w:rFonts w:ascii="Calibri" w:hAnsi="Calibri"/>
          <w:sz w:val="24"/>
        </w:rPr>
        <w:t>Meanwhile, seriously worrying numbers of mentally d</w:t>
      </w:r>
      <w:r w:rsidR="00F32B4D">
        <w:rPr>
          <w:rFonts w:ascii="Calibri" w:hAnsi="Calibri"/>
          <w:sz w:val="24"/>
        </w:rPr>
        <w:t>isordered people are in prison</w:t>
      </w:r>
      <w:r w:rsidR="00F32B4D">
        <w:rPr>
          <w:rStyle w:val="FootnoteReference"/>
          <w:rFonts w:ascii="Calibri" w:hAnsi="Calibri"/>
          <w:sz w:val="24"/>
        </w:rPr>
        <w:footnoteReference w:id="35"/>
      </w:r>
      <w:r w:rsidRPr="00240A0F">
        <w:rPr>
          <w:rFonts w:ascii="Calibri" w:hAnsi="Calibri"/>
          <w:sz w:val="24"/>
        </w:rPr>
        <w:t xml:space="preserve"> while prisoner numbers are at a record high and rising, albeit more s</w:t>
      </w:r>
      <w:r w:rsidR="00F32B4D">
        <w:rPr>
          <w:rFonts w:ascii="Calibri" w:hAnsi="Calibri"/>
          <w:sz w:val="24"/>
        </w:rPr>
        <w:t>lowly than in the recent years.</w:t>
      </w:r>
      <w:r w:rsidR="00F32B4D">
        <w:rPr>
          <w:rStyle w:val="FootnoteReference"/>
          <w:rFonts w:ascii="Calibri" w:hAnsi="Calibri"/>
          <w:sz w:val="24"/>
        </w:rPr>
        <w:footnoteReference w:id="36"/>
      </w:r>
      <w:r w:rsidRPr="00240A0F">
        <w:rPr>
          <w:rFonts w:ascii="Calibri" w:hAnsi="Calibri"/>
          <w:sz w:val="24"/>
        </w:rPr>
        <w:t xml:space="preserve"> The rise was linked to the introduction of IPP under the </w:t>
      </w:r>
      <w:r w:rsidRPr="00D819B6">
        <w:rPr>
          <w:rFonts w:ascii="Calibri" w:hAnsi="Calibri"/>
          <w:i/>
          <w:sz w:val="24"/>
        </w:rPr>
        <w:t>C</w:t>
      </w:r>
      <w:r w:rsidR="00F32B4D" w:rsidRPr="00D819B6">
        <w:rPr>
          <w:rFonts w:ascii="Calibri" w:hAnsi="Calibri"/>
          <w:i/>
          <w:sz w:val="24"/>
        </w:rPr>
        <w:t>riminal Justice Act 2003</w:t>
      </w:r>
      <w:r w:rsidR="00F32B4D">
        <w:rPr>
          <w:rFonts w:ascii="Calibri" w:hAnsi="Calibri"/>
          <w:sz w:val="24"/>
        </w:rPr>
        <w:t xml:space="preserve"> (CJA),</w:t>
      </w:r>
      <w:r w:rsidR="00F32B4D">
        <w:rPr>
          <w:rStyle w:val="FootnoteReference"/>
          <w:rFonts w:ascii="Calibri" w:hAnsi="Calibri"/>
          <w:sz w:val="24"/>
        </w:rPr>
        <w:footnoteReference w:id="37"/>
      </w:r>
      <w:r w:rsidRPr="00240A0F">
        <w:rPr>
          <w:rFonts w:ascii="Calibri" w:hAnsi="Calibri"/>
          <w:sz w:val="24"/>
        </w:rPr>
        <w:t xml:space="preserve"> together with an upward trend in recalls, tougher licence conditions, greater surveillance of those on licence and growing risk-aversion by the Board</w:t>
      </w:r>
      <w:r w:rsidR="00F32B4D">
        <w:rPr>
          <w:rStyle w:val="FootnoteReference"/>
          <w:rFonts w:ascii="Calibri" w:hAnsi="Calibri"/>
          <w:sz w:val="24"/>
        </w:rPr>
        <w:footnoteReference w:id="38"/>
      </w:r>
      <w:r w:rsidRPr="00240A0F">
        <w:rPr>
          <w:rFonts w:ascii="Calibri" w:hAnsi="Calibri"/>
          <w:sz w:val="24"/>
        </w:rPr>
        <w:t xml:space="preserve"> and the withdrawal of End of Custody Licence in March 2010. The levelling-off is attributable partly to the </w:t>
      </w:r>
      <w:r w:rsidRPr="00D819B6">
        <w:rPr>
          <w:rFonts w:ascii="Calibri" w:hAnsi="Calibri"/>
          <w:i/>
          <w:sz w:val="24"/>
        </w:rPr>
        <w:t>Criminal Justice &amp; Immigration Act 2008</w:t>
      </w:r>
      <w:r w:rsidRPr="00240A0F">
        <w:rPr>
          <w:rFonts w:ascii="Calibri" w:hAnsi="Calibri"/>
          <w:sz w:val="24"/>
        </w:rPr>
        <w:t xml:space="preserve"> (CJIA),</w:t>
      </w:r>
      <w:r w:rsidR="00F32B4D">
        <w:rPr>
          <w:rStyle w:val="FootnoteReference"/>
          <w:rFonts w:ascii="Calibri" w:hAnsi="Calibri"/>
          <w:sz w:val="24"/>
        </w:rPr>
        <w:footnoteReference w:id="39"/>
      </w:r>
      <w:r w:rsidRPr="00240A0F">
        <w:rPr>
          <w:rFonts w:ascii="Calibri" w:hAnsi="Calibri"/>
          <w:sz w:val="24"/>
        </w:rPr>
        <w:t xml:space="preserve"> including amendments to IPP which </w:t>
      </w:r>
      <w:r w:rsidRPr="00240A0F">
        <w:rPr>
          <w:rFonts w:ascii="Calibri" w:hAnsi="Calibri"/>
          <w:sz w:val="24"/>
        </w:rPr>
        <w:lastRenderedPageBreak/>
        <w:t>reduced the remarkable swathe o</w:t>
      </w:r>
      <w:r w:rsidR="00F32B4D">
        <w:rPr>
          <w:rFonts w:ascii="Calibri" w:hAnsi="Calibri"/>
          <w:sz w:val="24"/>
        </w:rPr>
        <w:t>f offences accounted dangerous.</w:t>
      </w:r>
      <w:r w:rsidR="00F32B4D">
        <w:rPr>
          <w:rStyle w:val="FootnoteReference"/>
          <w:rFonts w:ascii="Calibri" w:hAnsi="Calibri"/>
          <w:sz w:val="24"/>
        </w:rPr>
        <w:footnoteReference w:id="40"/>
      </w:r>
      <w:r w:rsidRPr="00240A0F">
        <w:rPr>
          <w:rFonts w:ascii="Calibri" w:hAnsi="Calibri"/>
          <w:sz w:val="24"/>
        </w:rPr>
        <w:t xml:space="preserve"> CJIA also restored judicial discretion in sentencing, abolishing the mandatory assumption that those committing offences potentially attracti</w:t>
      </w:r>
      <w:r w:rsidR="00F32B4D">
        <w:rPr>
          <w:rFonts w:ascii="Calibri" w:hAnsi="Calibri"/>
          <w:sz w:val="24"/>
        </w:rPr>
        <w:t>ng IPP were indeed dangerous.</w:t>
      </w:r>
      <w:r w:rsidR="00F32B4D">
        <w:rPr>
          <w:rStyle w:val="FootnoteReference"/>
          <w:rFonts w:ascii="Calibri" w:hAnsi="Calibri"/>
          <w:sz w:val="24"/>
        </w:rPr>
        <w:footnoteReference w:id="41"/>
      </w:r>
    </w:p>
    <w:p w:rsidR="00F32B4D" w:rsidRDefault="00F32B4D" w:rsidP="00240A0F">
      <w:pPr>
        <w:suppressAutoHyphens/>
        <w:spacing w:after="120" w:line="240" w:lineRule="auto"/>
        <w:rPr>
          <w:rFonts w:ascii="Calibri" w:hAnsi="Calibri"/>
          <w:sz w:val="24"/>
        </w:rPr>
      </w:pPr>
    </w:p>
    <w:p w:rsidR="00240A0F" w:rsidRPr="00F32B4D" w:rsidRDefault="00240A0F" w:rsidP="00240A0F">
      <w:pPr>
        <w:suppressAutoHyphens/>
        <w:spacing w:after="120" w:line="240" w:lineRule="auto"/>
        <w:rPr>
          <w:rFonts w:ascii="Calibri" w:hAnsi="Calibri"/>
          <w:b/>
          <w:sz w:val="28"/>
        </w:rPr>
      </w:pPr>
      <w:r w:rsidRPr="00F32B4D">
        <w:rPr>
          <w:rFonts w:ascii="Calibri" w:hAnsi="Calibri"/>
          <w:b/>
          <w:sz w:val="28"/>
        </w:rPr>
        <w:t>Det</w:t>
      </w:r>
      <w:r w:rsidR="00F32B4D" w:rsidRPr="00F32B4D">
        <w:rPr>
          <w:rFonts w:ascii="Calibri" w:hAnsi="Calibri"/>
          <w:b/>
          <w:sz w:val="28"/>
        </w:rPr>
        <w:t>ention for the safety of others</w:t>
      </w:r>
    </w:p>
    <w:p w:rsidR="00240A0F" w:rsidRPr="00240A0F" w:rsidRDefault="00240A0F" w:rsidP="00240A0F">
      <w:pPr>
        <w:suppressAutoHyphens/>
        <w:spacing w:after="120" w:line="240" w:lineRule="auto"/>
        <w:rPr>
          <w:rFonts w:ascii="Calibri" w:hAnsi="Calibri"/>
          <w:sz w:val="24"/>
        </w:rPr>
      </w:pPr>
      <w:r w:rsidRPr="00240A0F">
        <w:rPr>
          <w:rFonts w:ascii="Calibri" w:hAnsi="Calibri"/>
          <w:sz w:val="24"/>
        </w:rPr>
        <w:t>So what are the legal grounds for non-punitive detention on the grounds of dangerousness to others? Th</w:t>
      </w:r>
      <w:r w:rsidR="00F32B4D">
        <w:rPr>
          <w:rFonts w:ascii="Calibri" w:hAnsi="Calibri"/>
          <w:sz w:val="24"/>
        </w:rPr>
        <w:t>e quick answer is ‘very broad’.</w:t>
      </w:r>
    </w:p>
    <w:p w:rsidR="00240A0F" w:rsidRPr="00240A0F" w:rsidRDefault="00240A0F" w:rsidP="00240A0F">
      <w:pPr>
        <w:suppressAutoHyphens/>
        <w:spacing w:after="120" w:line="240" w:lineRule="auto"/>
        <w:rPr>
          <w:rFonts w:ascii="Calibri" w:hAnsi="Calibri"/>
          <w:sz w:val="24"/>
        </w:rPr>
      </w:pPr>
      <w:r w:rsidRPr="00240A0F">
        <w:rPr>
          <w:rFonts w:ascii="Calibri" w:hAnsi="Calibri"/>
          <w:sz w:val="24"/>
        </w:rPr>
        <w:t>The Parole Board is “the court” responsible under Article 5(4) of the ECHR for deciding the continuing lawfulness of detention of prisoners for whom the original justification under Article 5(1)(a) has ended. Statute and case law have in the last couple of decades produced a complication of sentences, but the Board’s remit includes indeterminate prisoners who have served their punitive minimum term. Lawfulness after this is on the grounds solely of public safety. The Board has an apparently-specific criterion for continued imprisonment in the ‘</w:t>
      </w:r>
      <w:r w:rsidR="00F32B4D">
        <w:rPr>
          <w:rFonts w:ascii="Calibri" w:hAnsi="Calibri"/>
          <w:sz w:val="24"/>
        </w:rPr>
        <w:t>life and limb’ test for lifers,</w:t>
      </w:r>
      <w:r w:rsidR="00F32B4D">
        <w:rPr>
          <w:rStyle w:val="FootnoteReference"/>
          <w:rFonts w:ascii="Calibri" w:hAnsi="Calibri"/>
          <w:sz w:val="24"/>
        </w:rPr>
        <w:footnoteReference w:id="42"/>
      </w:r>
      <w:r w:rsidRPr="00240A0F">
        <w:rPr>
          <w:rFonts w:ascii="Calibri" w:hAnsi="Calibri"/>
          <w:sz w:val="24"/>
        </w:rPr>
        <w:t xml:space="preserve"> r</w:t>
      </w:r>
      <w:r w:rsidR="00F32B4D">
        <w:rPr>
          <w:rFonts w:ascii="Calibri" w:hAnsi="Calibri"/>
          <w:sz w:val="24"/>
        </w:rPr>
        <w:t xml:space="preserve">ecognised as leaving the level </w:t>
      </w:r>
      <w:r w:rsidRPr="00240A0F">
        <w:rPr>
          <w:rFonts w:ascii="Calibri" w:hAnsi="Calibri"/>
          <w:sz w:val="24"/>
        </w:rPr>
        <w:t>of acceptable risk ‘wholly</w:t>
      </w:r>
      <w:r w:rsidR="00F32B4D">
        <w:rPr>
          <w:rFonts w:ascii="Calibri" w:hAnsi="Calibri"/>
          <w:sz w:val="24"/>
        </w:rPr>
        <w:t xml:space="preserve"> undefined’ because indefinable</w:t>
      </w:r>
      <w:r w:rsidR="00F32B4D">
        <w:rPr>
          <w:rStyle w:val="FootnoteReference"/>
          <w:rFonts w:ascii="Calibri" w:hAnsi="Calibri"/>
          <w:sz w:val="24"/>
        </w:rPr>
        <w:footnoteReference w:id="43"/>
      </w:r>
      <w:r w:rsidRPr="00240A0F">
        <w:rPr>
          <w:rFonts w:ascii="Calibri" w:hAnsi="Calibri"/>
          <w:sz w:val="24"/>
        </w:rPr>
        <w:t xml:space="preserve"> and subject to executive direction.</w:t>
      </w:r>
      <w:r w:rsidR="00D91556">
        <w:rPr>
          <w:rStyle w:val="FootnoteReference"/>
          <w:rFonts w:ascii="Calibri" w:hAnsi="Calibri"/>
          <w:sz w:val="24"/>
        </w:rPr>
        <w:footnoteReference w:id="44"/>
      </w:r>
      <w:r w:rsidRPr="00240A0F">
        <w:rPr>
          <w:rFonts w:ascii="Calibri" w:hAnsi="Calibri"/>
          <w:sz w:val="24"/>
        </w:rPr>
        <w:t xml:space="preserve"> The concept of burden of proof has been ruled ‘inappropriate when one i</w:t>
      </w:r>
      <w:r w:rsidR="00D91556">
        <w:rPr>
          <w:rFonts w:ascii="Calibri" w:hAnsi="Calibri"/>
          <w:sz w:val="24"/>
        </w:rPr>
        <w:t>s involved in risk evaluation’,</w:t>
      </w:r>
      <w:r w:rsidR="00D91556">
        <w:rPr>
          <w:rStyle w:val="FootnoteReference"/>
          <w:rFonts w:ascii="Calibri" w:hAnsi="Calibri"/>
          <w:sz w:val="24"/>
        </w:rPr>
        <w:footnoteReference w:id="45"/>
      </w:r>
      <w:r w:rsidRPr="00240A0F">
        <w:rPr>
          <w:rFonts w:ascii="Calibri" w:hAnsi="Calibri"/>
          <w:sz w:val="24"/>
        </w:rPr>
        <w:t xml:space="preserve"> but the prisoner must in practice demonstrate that the risk he </w:t>
      </w:r>
      <w:r w:rsidR="00F32B4D">
        <w:rPr>
          <w:rFonts w:ascii="Calibri" w:hAnsi="Calibri"/>
          <w:sz w:val="24"/>
        </w:rPr>
        <w:t>poses is not more than minimal.</w:t>
      </w:r>
    </w:p>
    <w:p w:rsidR="00240A0F" w:rsidRPr="00240A0F" w:rsidRDefault="00240A0F" w:rsidP="00240A0F">
      <w:pPr>
        <w:suppressAutoHyphens/>
        <w:spacing w:after="120" w:line="240" w:lineRule="auto"/>
        <w:rPr>
          <w:rFonts w:ascii="Calibri" w:hAnsi="Calibri"/>
          <w:sz w:val="24"/>
        </w:rPr>
      </w:pPr>
      <w:r w:rsidRPr="00240A0F">
        <w:rPr>
          <w:rFonts w:ascii="Calibri" w:hAnsi="Calibri"/>
          <w:sz w:val="24"/>
        </w:rPr>
        <w:t xml:space="preserve">The element of arbitrariness built into such judgments is illustrated by the comparison of monthly average figures for the numbers detained under IPP pre- and post-2008 and their average pre-tariff sentence-length. Under the original range of offences whose perpetrators were accounted dangerous, 140 IPP prisoners were received per month, serving 38 months. Under the amended terms of reference, 45 IPPs were received, serving 60 months. The sentence now focuses on fewer, more serious offenders. Yet the Parole Board’s assessment inevitably has as its starting point the assessment of all these prisoners, </w:t>
      </w:r>
      <w:proofErr w:type="spellStart"/>
      <w:r w:rsidRPr="00240A0F">
        <w:rPr>
          <w:rFonts w:ascii="Calibri" w:hAnsi="Calibri"/>
          <w:sz w:val="24"/>
        </w:rPr>
        <w:t>pre­and</w:t>
      </w:r>
      <w:proofErr w:type="spellEnd"/>
      <w:r w:rsidRPr="00240A0F">
        <w:rPr>
          <w:rFonts w:ascii="Calibri" w:hAnsi="Calibri"/>
          <w:sz w:val="24"/>
        </w:rPr>
        <w:t xml:space="preserve"> post-2008, as ‘dangerous’. The loss of any connection between imprisonment and rehabilitation is an easy casualty, despite the inclusion of rehabilitation in the purposes of imprisonment in the </w:t>
      </w:r>
      <w:r w:rsidRPr="00CD5A29">
        <w:rPr>
          <w:rFonts w:ascii="Calibri" w:hAnsi="Calibri"/>
          <w:i/>
          <w:sz w:val="24"/>
        </w:rPr>
        <w:t>Criminal Justice Act 2003</w:t>
      </w:r>
      <w:r w:rsidRPr="00240A0F">
        <w:rPr>
          <w:rFonts w:ascii="Calibri" w:hAnsi="Calibri"/>
          <w:sz w:val="24"/>
        </w:rPr>
        <w:t>.</w:t>
      </w:r>
      <w:r w:rsidR="00D91556">
        <w:rPr>
          <w:rStyle w:val="FootnoteReference"/>
          <w:rFonts w:ascii="Calibri" w:hAnsi="Calibri"/>
          <w:sz w:val="24"/>
        </w:rPr>
        <w:footnoteReference w:id="46"/>
      </w:r>
      <w:r w:rsidRPr="00240A0F">
        <w:rPr>
          <w:rFonts w:ascii="Calibri" w:hAnsi="Calibri"/>
          <w:sz w:val="24"/>
        </w:rPr>
        <w:t xml:space="preserve"> Nor does this amendment to IPP signal diminished faith in detention; it merely trims a notoriously under-con</w:t>
      </w:r>
      <w:r w:rsidR="00D91556">
        <w:rPr>
          <w:rFonts w:ascii="Calibri" w:hAnsi="Calibri"/>
          <w:sz w:val="24"/>
        </w:rPr>
        <w:t>sidered piece of legislation.</w:t>
      </w:r>
      <w:r w:rsidR="00D91556">
        <w:rPr>
          <w:rStyle w:val="FootnoteReference"/>
          <w:rFonts w:ascii="Calibri" w:hAnsi="Calibri"/>
          <w:sz w:val="24"/>
        </w:rPr>
        <w:footnoteReference w:id="47"/>
      </w:r>
    </w:p>
    <w:p w:rsidR="00240A0F" w:rsidRPr="00240A0F" w:rsidRDefault="00240A0F" w:rsidP="00240A0F">
      <w:pPr>
        <w:suppressAutoHyphens/>
        <w:spacing w:after="120" w:line="240" w:lineRule="auto"/>
        <w:rPr>
          <w:rFonts w:ascii="Calibri" w:hAnsi="Calibri"/>
          <w:sz w:val="24"/>
        </w:rPr>
      </w:pPr>
      <w:r w:rsidRPr="00240A0F">
        <w:rPr>
          <w:rFonts w:ascii="Calibri" w:hAnsi="Calibri"/>
          <w:sz w:val="24"/>
        </w:rPr>
        <w:lastRenderedPageBreak/>
        <w:t>The Mental Health Tribunal is the Article 5(4) reviewing ‘court’ for people detained under the MHA and covered by Article 5(1)(e). A criterion for MHA detention is an undefined need for ‘the protection of other persons’.</w:t>
      </w:r>
      <w:r w:rsidR="00D91556">
        <w:rPr>
          <w:rStyle w:val="FootnoteReference"/>
          <w:rFonts w:ascii="Calibri" w:hAnsi="Calibri"/>
          <w:sz w:val="24"/>
        </w:rPr>
        <w:footnoteReference w:id="48"/>
      </w:r>
      <w:r w:rsidRPr="00240A0F">
        <w:rPr>
          <w:rFonts w:ascii="Calibri" w:hAnsi="Calibri"/>
          <w:sz w:val="24"/>
        </w:rPr>
        <w:t xml:space="preserve"> Under that provision, there is a yet more serious loss of connection – that between detention and treatment, even for the symptoms of mental </w:t>
      </w:r>
      <w:r w:rsidR="00D91556">
        <w:rPr>
          <w:rFonts w:ascii="Calibri" w:hAnsi="Calibri"/>
          <w:sz w:val="24"/>
        </w:rPr>
        <w:t>disorder;</w:t>
      </w:r>
      <w:r w:rsidR="00D91556">
        <w:rPr>
          <w:rStyle w:val="FootnoteReference"/>
          <w:rFonts w:ascii="Calibri" w:hAnsi="Calibri"/>
          <w:sz w:val="24"/>
        </w:rPr>
        <w:footnoteReference w:id="49"/>
      </w:r>
      <w:r w:rsidRPr="00240A0F">
        <w:rPr>
          <w:rFonts w:ascii="Calibri" w:hAnsi="Calibri"/>
          <w:sz w:val="24"/>
        </w:rPr>
        <w:t xml:space="preserve"> to lose that link would be to accept that psychiatry had be</w:t>
      </w:r>
      <w:r w:rsidR="00D91556">
        <w:rPr>
          <w:rFonts w:ascii="Calibri" w:hAnsi="Calibri"/>
          <w:sz w:val="24"/>
        </w:rPr>
        <w:t>come an overt means of control.</w:t>
      </w:r>
    </w:p>
    <w:p w:rsidR="00240A0F" w:rsidRPr="00240A0F" w:rsidRDefault="00240A0F" w:rsidP="00240A0F">
      <w:pPr>
        <w:suppressAutoHyphens/>
        <w:spacing w:after="120" w:line="240" w:lineRule="auto"/>
        <w:rPr>
          <w:rFonts w:ascii="Calibri" w:hAnsi="Calibri"/>
          <w:sz w:val="24"/>
        </w:rPr>
      </w:pPr>
      <w:r w:rsidRPr="00240A0F">
        <w:rPr>
          <w:rFonts w:ascii="Calibri" w:hAnsi="Calibri"/>
          <w:sz w:val="24"/>
        </w:rPr>
        <w:t>After 1983, the scope of the original provision of detention solely for the protection of others was gradually extended by the judiciary.</w:t>
      </w:r>
      <w:r w:rsidR="00C02C46">
        <w:rPr>
          <w:rStyle w:val="FootnoteReference"/>
          <w:rFonts w:ascii="Calibri" w:hAnsi="Calibri"/>
          <w:sz w:val="24"/>
        </w:rPr>
        <w:footnoteReference w:id="50"/>
      </w:r>
      <w:r w:rsidRPr="00240A0F">
        <w:rPr>
          <w:rFonts w:ascii="Calibri" w:hAnsi="Calibri"/>
          <w:sz w:val="24"/>
        </w:rPr>
        <w:t xml:space="preserve"> The battle for reform finally producing the MHA 2007 challenged that extension: referring to an earlier Bill but making an argument pertinent to the final Act, the Mental Health Alliance was ‘particularly disturbed by the over-emphasis in the Bill on protection of the public from "dangerous" people and the disastrous impact this will have on those people it targets and on the vast majority of mental health patients</w:t>
      </w:r>
      <w:r w:rsidR="00C02C46">
        <w:rPr>
          <w:rFonts w:ascii="Calibri" w:hAnsi="Calibri"/>
          <w:sz w:val="24"/>
        </w:rPr>
        <w:t xml:space="preserve"> who pose no danger to anyone.’</w:t>
      </w:r>
      <w:r w:rsidR="00C02C46">
        <w:rPr>
          <w:rStyle w:val="FootnoteReference"/>
          <w:rFonts w:ascii="Calibri" w:hAnsi="Calibri"/>
          <w:sz w:val="24"/>
        </w:rPr>
        <w:footnoteReference w:id="51"/>
      </w:r>
      <w:r w:rsidRPr="00240A0F">
        <w:rPr>
          <w:rFonts w:ascii="Calibri" w:hAnsi="Calibri"/>
          <w:sz w:val="24"/>
        </w:rPr>
        <w:t xml:space="preserve"> In the upshot the 2007 Act’s inc</w:t>
      </w:r>
      <w:r w:rsidR="00E4232A">
        <w:rPr>
          <w:rFonts w:ascii="Calibri" w:hAnsi="Calibri"/>
          <w:sz w:val="24"/>
        </w:rPr>
        <w:t>lusion of personality disorders</w:t>
      </w:r>
      <w:r w:rsidR="00E4232A">
        <w:rPr>
          <w:rStyle w:val="FootnoteReference"/>
          <w:rFonts w:ascii="Calibri" w:hAnsi="Calibri"/>
          <w:sz w:val="24"/>
        </w:rPr>
        <w:footnoteReference w:id="52"/>
      </w:r>
      <w:r w:rsidRPr="00240A0F">
        <w:rPr>
          <w:rFonts w:ascii="Calibri" w:hAnsi="Calibri"/>
          <w:sz w:val="24"/>
        </w:rPr>
        <w:t xml:space="preserve"> through abolition of the old ‘categories</w:t>
      </w:r>
      <w:r w:rsidR="00B23985">
        <w:rPr>
          <w:rFonts w:ascii="Calibri" w:hAnsi="Calibri"/>
          <w:sz w:val="24"/>
        </w:rPr>
        <w:t xml:space="preserve">’, and its wider definition of </w:t>
      </w:r>
      <w:r w:rsidRPr="00240A0F">
        <w:rPr>
          <w:rFonts w:ascii="Calibri" w:hAnsi="Calibri"/>
          <w:sz w:val="24"/>
        </w:rPr>
        <w:t>‘treatment’,</w:t>
      </w:r>
      <w:r w:rsidR="00B23985">
        <w:rPr>
          <w:rStyle w:val="FootnoteReference"/>
          <w:rFonts w:ascii="Calibri" w:hAnsi="Calibri"/>
          <w:sz w:val="24"/>
        </w:rPr>
        <w:footnoteReference w:id="53"/>
      </w:r>
      <w:r w:rsidRPr="00240A0F">
        <w:rPr>
          <w:rFonts w:ascii="Calibri" w:hAnsi="Calibri"/>
          <w:sz w:val="24"/>
        </w:rPr>
        <w:t xml:space="preserve"> merely confirmed j</w:t>
      </w:r>
      <w:r w:rsidR="00CE7BB2">
        <w:rPr>
          <w:rFonts w:ascii="Calibri" w:hAnsi="Calibri"/>
          <w:sz w:val="24"/>
        </w:rPr>
        <w:t>udicial extension of the law.</w:t>
      </w:r>
      <w:r w:rsidR="00CE7BB2">
        <w:rPr>
          <w:rStyle w:val="FootnoteReference"/>
          <w:rFonts w:ascii="Calibri" w:hAnsi="Calibri"/>
          <w:sz w:val="24"/>
        </w:rPr>
        <w:footnoteReference w:id="54"/>
      </w:r>
    </w:p>
    <w:p w:rsidR="00240A0F" w:rsidRPr="00240A0F" w:rsidRDefault="00240A0F" w:rsidP="00240A0F">
      <w:pPr>
        <w:suppressAutoHyphens/>
        <w:spacing w:after="120" w:line="240" w:lineRule="auto"/>
        <w:rPr>
          <w:rFonts w:ascii="Calibri" w:hAnsi="Calibri"/>
          <w:sz w:val="24"/>
        </w:rPr>
      </w:pPr>
      <w:r w:rsidRPr="00240A0F">
        <w:rPr>
          <w:rFonts w:ascii="Calibri" w:hAnsi="Calibri"/>
          <w:sz w:val="24"/>
        </w:rPr>
        <w:t xml:space="preserve">During the passage of the MHA 2007, the Mental Health Act Commission expressed concern that detention could be legitimised by merely </w:t>
      </w:r>
      <w:r w:rsidRPr="007A6BDC">
        <w:rPr>
          <w:rFonts w:ascii="Calibri" w:hAnsi="Calibri"/>
          <w:i/>
          <w:sz w:val="24"/>
        </w:rPr>
        <w:t>intended</w:t>
      </w:r>
      <w:r w:rsidRPr="00240A0F">
        <w:rPr>
          <w:rFonts w:ascii="Calibri" w:hAnsi="Calibri"/>
          <w:sz w:val="24"/>
        </w:rPr>
        <w:t xml:space="preserve"> benefit to the disorder or its symptoms without evidence of </w:t>
      </w:r>
      <w:r w:rsidRPr="007A6BDC">
        <w:rPr>
          <w:rFonts w:ascii="Calibri" w:hAnsi="Calibri"/>
          <w:i/>
          <w:sz w:val="24"/>
        </w:rPr>
        <w:t>likely</w:t>
      </w:r>
      <w:r w:rsidRPr="00240A0F">
        <w:rPr>
          <w:rFonts w:ascii="Calibri" w:hAnsi="Calibri"/>
          <w:sz w:val="24"/>
        </w:rPr>
        <w:t xml:space="preserve"> benefit. It cited the draft Code of Practice, case-law and Jones to argue that individual ‘best interests’ should remain a </w:t>
      </w:r>
      <w:r w:rsidR="00CE7BB2">
        <w:rPr>
          <w:rFonts w:ascii="Calibri" w:hAnsi="Calibri"/>
          <w:sz w:val="24"/>
        </w:rPr>
        <w:t>criterion,</w:t>
      </w:r>
      <w:r w:rsidR="00CE7BB2">
        <w:rPr>
          <w:rStyle w:val="FootnoteReference"/>
          <w:rFonts w:ascii="Calibri" w:hAnsi="Calibri"/>
          <w:sz w:val="24"/>
        </w:rPr>
        <w:footnoteReference w:id="55"/>
      </w:r>
      <w:r w:rsidRPr="00240A0F">
        <w:rPr>
          <w:rFonts w:ascii="Calibri" w:hAnsi="Calibri"/>
          <w:sz w:val="24"/>
        </w:rPr>
        <w:t xml:space="preserve"> but the published Code contained no such reference. Indeed, while under the Code ‘Simply detaining someone – even in a hospital – does not constitute medical treatment’, detaining that person with nursing and ‘specialist day-to-day care’ under clinical supervision and in a ‘safe and secure therapeutic environment with a structured regime’ does.</w:t>
      </w:r>
      <w:r w:rsidR="00CE7BB2">
        <w:rPr>
          <w:rStyle w:val="FootnoteReference"/>
          <w:rFonts w:ascii="Calibri" w:hAnsi="Calibri"/>
          <w:sz w:val="24"/>
        </w:rPr>
        <w:footnoteReference w:id="56"/>
      </w:r>
      <w:r w:rsidRPr="00240A0F">
        <w:rPr>
          <w:rFonts w:ascii="Calibri" w:hAnsi="Calibri"/>
          <w:sz w:val="24"/>
        </w:rPr>
        <w:t xml:space="preserve"> It is </w:t>
      </w:r>
      <w:r w:rsidR="00CE7BB2">
        <w:rPr>
          <w:rFonts w:ascii="Calibri" w:hAnsi="Calibri"/>
          <w:sz w:val="24"/>
        </w:rPr>
        <w:t>a largely semantic distinction.</w:t>
      </w:r>
    </w:p>
    <w:p w:rsidR="00240A0F" w:rsidRPr="00240A0F" w:rsidRDefault="00CE7BB2" w:rsidP="00240A0F">
      <w:pPr>
        <w:suppressAutoHyphens/>
        <w:spacing w:after="120" w:line="240" w:lineRule="auto"/>
        <w:rPr>
          <w:rFonts w:ascii="Calibri" w:hAnsi="Calibri"/>
          <w:sz w:val="24"/>
        </w:rPr>
      </w:pPr>
      <w:r>
        <w:rPr>
          <w:rFonts w:ascii="Calibri" w:hAnsi="Calibri"/>
          <w:sz w:val="24"/>
        </w:rPr>
        <w:lastRenderedPageBreak/>
        <w:t>The Code follows the case-law.</w:t>
      </w:r>
      <w:r>
        <w:rPr>
          <w:rStyle w:val="FootnoteReference"/>
          <w:rFonts w:ascii="Calibri" w:hAnsi="Calibri"/>
          <w:sz w:val="24"/>
        </w:rPr>
        <w:footnoteReference w:id="57"/>
      </w:r>
      <w:r w:rsidR="00240A0F" w:rsidRPr="00240A0F">
        <w:rPr>
          <w:rFonts w:ascii="Calibri" w:hAnsi="Calibri"/>
          <w:sz w:val="24"/>
        </w:rPr>
        <w:t xml:space="preserve"> </w:t>
      </w:r>
      <w:r w:rsidR="007A6BDC">
        <w:rPr>
          <w:rFonts w:ascii="Calibri" w:hAnsi="Calibri"/>
          <w:sz w:val="24"/>
        </w:rPr>
        <w:t>C</w:t>
      </w:r>
      <w:r w:rsidR="00240A0F" w:rsidRPr="00240A0F">
        <w:rPr>
          <w:rFonts w:ascii="Calibri" w:hAnsi="Calibri"/>
          <w:sz w:val="24"/>
        </w:rPr>
        <w:t xml:space="preserve">ited above is Lord Clyde’s assertion of the power under MHA 1983 and the EHRC to detain people for the sake of public protection on the basis of their mental disorder and in the absence of treatment. That judgment followed </w:t>
      </w:r>
      <w:proofErr w:type="spellStart"/>
      <w:r w:rsidR="00240A0F" w:rsidRPr="007A6BDC">
        <w:rPr>
          <w:rFonts w:ascii="Calibri" w:hAnsi="Calibri"/>
          <w:i/>
          <w:sz w:val="24"/>
        </w:rPr>
        <w:t>Ashingdane</w:t>
      </w:r>
      <w:proofErr w:type="spellEnd"/>
      <w:r w:rsidR="00240A0F" w:rsidRPr="00240A0F">
        <w:rPr>
          <w:rFonts w:ascii="Calibri" w:hAnsi="Calibri"/>
          <w:sz w:val="24"/>
        </w:rPr>
        <w:t>, where only the minority judgment emphasised the difference in purpose between imprisonment and hospital detention, the latter involving the ‘…duty of the executive... to strive after the means most likely to bring a cure</w:t>
      </w:r>
      <w:r>
        <w:rPr>
          <w:rFonts w:ascii="Calibri" w:hAnsi="Calibri"/>
          <w:sz w:val="24"/>
        </w:rPr>
        <w:t>…’</w:t>
      </w:r>
      <w:r>
        <w:rPr>
          <w:rStyle w:val="FootnoteReference"/>
          <w:rFonts w:ascii="Calibri" w:hAnsi="Calibri"/>
          <w:sz w:val="24"/>
        </w:rPr>
        <w:footnoteReference w:id="58"/>
      </w:r>
      <w:r w:rsidR="00240A0F" w:rsidRPr="00240A0F">
        <w:rPr>
          <w:rFonts w:ascii="Calibri" w:hAnsi="Calibri"/>
          <w:sz w:val="24"/>
        </w:rPr>
        <w:t xml:space="preserve"> The majority followed </w:t>
      </w:r>
      <w:proofErr w:type="spellStart"/>
      <w:r w:rsidR="00240A0F" w:rsidRPr="007A6BDC">
        <w:rPr>
          <w:rFonts w:ascii="Calibri" w:hAnsi="Calibri"/>
          <w:i/>
          <w:sz w:val="24"/>
        </w:rPr>
        <w:t>Winterwerp</w:t>
      </w:r>
      <w:proofErr w:type="spellEnd"/>
      <w:r w:rsidR="00240A0F" w:rsidRPr="00240A0F">
        <w:rPr>
          <w:rFonts w:ascii="Calibri" w:hAnsi="Calibri"/>
          <w:sz w:val="24"/>
        </w:rPr>
        <w:t xml:space="preserve"> in ruling that the right to appropriate treatment could not be derived from Article 5(1)(e).</w:t>
      </w:r>
      <w:r>
        <w:rPr>
          <w:rStyle w:val="FootnoteReference"/>
          <w:rFonts w:ascii="Calibri" w:hAnsi="Calibri"/>
          <w:sz w:val="24"/>
        </w:rPr>
        <w:footnoteReference w:id="59"/>
      </w:r>
      <w:r w:rsidR="00240A0F" w:rsidRPr="00240A0F">
        <w:rPr>
          <w:rFonts w:ascii="Calibri" w:hAnsi="Calibri"/>
          <w:sz w:val="24"/>
        </w:rPr>
        <w:t xml:space="preserve"> For Lady Hale, the indefinite confinement of capable and untreatable non-criminals under MHA could not be a ‘justifiable discrimination’; she deplored Strasbourg’s refusal to define ‘unsound mind’ in Article 5(1)(e) and thus restrict its potential abuse.</w:t>
      </w:r>
      <w:r w:rsidR="00106E94">
        <w:rPr>
          <w:rStyle w:val="FootnoteReference"/>
          <w:rFonts w:ascii="Calibri" w:hAnsi="Calibri"/>
          <w:sz w:val="24"/>
        </w:rPr>
        <w:footnoteReference w:id="60"/>
      </w:r>
      <w:r w:rsidR="00240A0F" w:rsidRPr="00240A0F">
        <w:rPr>
          <w:rFonts w:ascii="Calibri" w:hAnsi="Calibri"/>
          <w:sz w:val="24"/>
        </w:rPr>
        <w:t xml:space="preserve"> Her concern mirrored that o</w:t>
      </w:r>
      <w:r w:rsidR="00106E94">
        <w:rPr>
          <w:rFonts w:ascii="Calibri" w:hAnsi="Calibri"/>
          <w:sz w:val="24"/>
        </w:rPr>
        <w:t>f the Mental Health Alliance.</w:t>
      </w:r>
      <w:r w:rsidR="00106E94">
        <w:rPr>
          <w:rStyle w:val="FootnoteReference"/>
          <w:rFonts w:ascii="Calibri" w:hAnsi="Calibri"/>
          <w:sz w:val="24"/>
        </w:rPr>
        <w:footnoteReference w:id="61"/>
      </w:r>
    </w:p>
    <w:p w:rsidR="00240A0F" w:rsidRPr="00240A0F" w:rsidRDefault="00240A0F" w:rsidP="00240A0F">
      <w:pPr>
        <w:suppressAutoHyphens/>
        <w:spacing w:after="120" w:line="240" w:lineRule="auto"/>
        <w:rPr>
          <w:rFonts w:ascii="Calibri" w:hAnsi="Calibri"/>
          <w:sz w:val="24"/>
        </w:rPr>
      </w:pPr>
      <w:r w:rsidRPr="00240A0F">
        <w:rPr>
          <w:rFonts w:ascii="Calibri" w:hAnsi="Calibri"/>
          <w:sz w:val="24"/>
        </w:rPr>
        <w:t>This lack of clear definition of ‘mental disorder’ or ‘appropriate treatment’, including the distinction between detention in a therapeutic ‘milieu’ and mere containment, continues to exercise judges. Unfortunately, their rulings remain so hedged about by ‘if’, ‘may’, ‘might’ and other qualifiers that their call to Tribunals to apply the statutory conditions to the specifics of each case produces more appear</w:t>
      </w:r>
      <w:r w:rsidR="00106E94">
        <w:rPr>
          <w:rFonts w:ascii="Calibri" w:hAnsi="Calibri"/>
          <w:sz w:val="24"/>
        </w:rPr>
        <w:t>ance than reality of safeguard.</w:t>
      </w:r>
      <w:r w:rsidR="00106E94">
        <w:rPr>
          <w:rStyle w:val="FootnoteReference"/>
          <w:rFonts w:ascii="Calibri" w:hAnsi="Calibri"/>
          <w:sz w:val="24"/>
        </w:rPr>
        <w:footnoteReference w:id="62"/>
      </w:r>
      <w:r w:rsidRPr="00240A0F">
        <w:rPr>
          <w:rFonts w:ascii="Calibri" w:hAnsi="Calibri"/>
          <w:sz w:val="24"/>
        </w:rPr>
        <w:t xml:space="preserve"> Lack of defi</w:t>
      </w:r>
      <w:r w:rsidR="00106E94">
        <w:rPr>
          <w:rFonts w:ascii="Calibri" w:hAnsi="Calibri"/>
          <w:sz w:val="24"/>
        </w:rPr>
        <w:t>nition remains a mighty weapon.</w:t>
      </w:r>
    </w:p>
    <w:p w:rsidR="00240A0F" w:rsidRPr="00240A0F" w:rsidRDefault="00240A0F" w:rsidP="00240A0F">
      <w:pPr>
        <w:suppressAutoHyphens/>
        <w:spacing w:after="120" w:line="240" w:lineRule="auto"/>
        <w:rPr>
          <w:rFonts w:ascii="Calibri" w:hAnsi="Calibri"/>
          <w:sz w:val="24"/>
        </w:rPr>
      </w:pPr>
    </w:p>
    <w:p w:rsidR="00240A0F" w:rsidRPr="00106E94" w:rsidRDefault="00106E94" w:rsidP="00240A0F">
      <w:pPr>
        <w:suppressAutoHyphens/>
        <w:spacing w:after="120" w:line="240" w:lineRule="auto"/>
        <w:rPr>
          <w:rFonts w:ascii="Calibri" w:hAnsi="Calibri"/>
          <w:b/>
          <w:sz w:val="28"/>
        </w:rPr>
      </w:pPr>
      <w:r w:rsidRPr="00106E94">
        <w:rPr>
          <w:rFonts w:ascii="Calibri" w:hAnsi="Calibri"/>
          <w:b/>
          <w:sz w:val="28"/>
        </w:rPr>
        <w:t>Prison or hospital?</w:t>
      </w:r>
    </w:p>
    <w:p w:rsidR="00240A0F" w:rsidRPr="00240A0F" w:rsidRDefault="00240A0F" w:rsidP="00240A0F">
      <w:pPr>
        <w:suppressAutoHyphens/>
        <w:spacing w:after="120" w:line="240" w:lineRule="auto"/>
        <w:rPr>
          <w:rFonts w:ascii="Calibri" w:hAnsi="Calibri"/>
          <w:sz w:val="24"/>
        </w:rPr>
      </w:pPr>
      <w:r w:rsidRPr="00240A0F">
        <w:rPr>
          <w:rFonts w:ascii="Calibri" w:hAnsi="Calibri"/>
          <w:sz w:val="24"/>
        </w:rPr>
        <w:t>If people can be detained purely for the protection of others under criminal and mental health law, what i</w:t>
      </w:r>
      <w:r w:rsidR="00106E94">
        <w:rPr>
          <w:rFonts w:ascii="Calibri" w:hAnsi="Calibri"/>
          <w:sz w:val="24"/>
        </w:rPr>
        <w:t>s the distinction between them?</w:t>
      </w:r>
    </w:p>
    <w:p w:rsidR="00240A0F" w:rsidRPr="00240A0F" w:rsidRDefault="00240A0F" w:rsidP="00240A0F">
      <w:pPr>
        <w:suppressAutoHyphens/>
        <w:spacing w:after="120" w:line="240" w:lineRule="auto"/>
        <w:rPr>
          <w:rFonts w:ascii="Calibri" w:hAnsi="Calibri"/>
          <w:sz w:val="24"/>
        </w:rPr>
      </w:pPr>
      <w:r w:rsidRPr="00240A0F">
        <w:rPr>
          <w:rFonts w:ascii="Calibri" w:hAnsi="Calibri"/>
          <w:sz w:val="24"/>
        </w:rPr>
        <w:t xml:space="preserve">In principle, and probably in practice in terms of the experiential difference between even a HSH and a high-security prison, there is a profound distinction in terms of the institutions’ rationale and the motivations and professional ethos of the detaining authorities. </w:t>
      </w:r>
      <w:proofErr w:type="spellStart"/>
      <w:r w:rsidRPr="00240A0F">
        <w:rPr>
          <w:rFonts w:ascii="Calibri" w:hAnsi="Calibri"/>
          <w:sz w:val="24"/>
        </w:rPr>
        <w:t>Hoggett</w:t>
      </w:r>
      <w:proofErr w:type="spellEnd"/>
      <w:r w:rsidRPr="00240A0F">
        <w:rPr>
          <w:rFonts w:ascii="Calibri" w:hAnsi="Calibri"/>
          <w:sz w:val="24"/>
        </w:rPr>
        <w:t>, now Lady Hale, is a prime proponent of a principled difference between t</w:t>
      </w:r>
      <w:r w:rsidR="00B6087F">
        <w:rPr>
          <w:rFonts w:ascii="Calibri" w:hAnsi="Calibri"/>
          <w:sz w:val="24"/>
        </w:rPr>
        <w:t>he two regimes. ‘</w:t>
      </w:r>
      <w:r w:rsidRPr="00240A0F">
        <w:rPr>
          <w:rFonts w:ascii="Calibri" w:hAnsi="Calibri"/>
          <w:sz w:val="24"/>
        </w:rPr>
        <w:t>The gulf between pure preventive detention and some sort of medical care and treatment may be very narrow, but it is nonetheless deep...</w:t>
      </w:r>
      <w:r w:rsidR="00B6087F">
        <w:rPr>
          <w:rFonts w:ascii="Calibri" w:hAnsi="Calibri"/>
          <w:sz w:val="24"/>
        </w:rPr>
        <w:t>’</w:t>
      </w:r>
      <w:r w:rsidRPr="00240A0F">
        <w:rPr>
          <w:rFonts w:ascii="Calibri" w:hAnsi="Calibri"/>
          <w:sz w:val="24"/>
        </w:rPr>
        <w:t>; although she also makes it clear that a gulf so n</w:t>
      </w:r>
      <w:r w:rsidR="00106E94">
        <w:rPr>
          <w:rFonts w:ascii="Calibri" w:hAnsi="Calibri"/>
          <w:sz w:val="24"/>
        </w:rPr>
        <w:t>arrow is liable to be bridged.</w:t>
      </w:r>
      <w:r w:rsidR="00106E94">
        <w:rPr>
          <w:rStyle w:val="FootnoteReference"/>
          <w:rFonts w:ascii="Calibri" w:hAnsi="Calibri"/>
          <w:sz w:val="24"/>
        </w:rPr>
        <w:footnoteReference w:id="63"/>
      </w:r>
      <w:r w:rsidRPr="00240A0F">
        <w:rPr>
          <w:rFonts w:ascii="Calibri" w:hAnsi="Calibri"/>
          <w:sz w:val="24"/>
        </w:rPr>
        <w:t xml:space="preserve"> Dyson LJ subsequently spelled out the ‘subtle yet </w:t>
      </w:r>
      <w:r w:rsidRPr="00240A0F">
        <w:rPr>
          <w:rFonts w:ascii="Calibri" w:hAnsi="Calibri"/>
          <w:sz w:val="24"/>
        </w:rPr>
        <w:lastRenderedPageBreak/>
        <w:t>important differences’ between Tribunal and Board. Before the Tribunal, ‘[w]</w:t>
      </w:r>
      <w:proofErr w:type="spellStart"/>
      <w:r w:rsidRPr="00240A0F">
        <w:rPr>
          <w:rFonts w:ascii="Calibri" w:hAnsi="Calibri"/>
          <w:sz w:val="24"/>
        </w:rPr>
        <w:t>hile</w:t>
      </w:r>
      <w:proofErr w:type="spellEnd"/>
      <w:r w:rsidRPr="00240A0F">
        <w:rPr>
          <w:rFonts w:ascii="Calibri" w:hAnsi="Calibri"/>
          <w:sz w:val="24"/>
        </w:rPr>
        <w:t xml:space="preserve"> risk to the public is a factor it is not determinative in the absence of evidence that the patient meets the criteria for detention in hospital under the Act’. Before the Parole Board, ‘primacy of risk’ to </w:t>
      </w:r>
      <w:r w:rsidR="00F935BD">
        <w:rPr>
          <w:rFonts w:ascii="Calibri" w:hAnsi="Calibri"/>
          <w:sz w:val="24"/>
        </w:rPr>
        <w:t>the public must be respected.</w:t>
      </w:r>
      <w:r w:rsidR="00F935BD">
        <w:rPr>
          <w:rStyle w:val="FootnoteReference"/>
          <w:rFonts w:ascii="Calibri" w:hAnsi="Calibri"/>
          <w:sz w:val="24"/>
        </w:rPr>
        <w:footnoteReference w:id="64"/>
      </w:r>
    </w:p>
    <w:p w:rsidR="00240A0F" w:rsidRPr="00240A0F" w:rsidRDefault="00240A0F" w:rsidP="00240A0F">
      <w:pPr>
        <w:suppressAutoHyphens/>
        <w:spacing w:after="120" w:line="240" w:lineRule="auto"/>
        <w:rPr>
          <w:rFonts w:ascii="Calibri" w:hAnsi="Calibri"/>
          <w:sz w:val="24"/>
        </w:rPr>
      </w:pPr>
      <w:proofErr w:type="spellStart"/>
      <w:r w:rsidRPr="00240A0F">
        <w:rPr>
          <w:rFonts w:ascii="Calibri" w:hAnsi="Calibri"/>
          <w:sz w:val="24"/>
        </w:rPr>
        <w:t>Hallett</w:t>
      </w:r>
      <w:proofErr w:type="spellEnd"/>
      <w:r w:rsidRPr="00240A0F">
        <w:rPr>
          <w:rFonts w:ascii="Calibri" w:hAnsi="Calibri"/>
          <w:sz w:val="24"/>
        </w:rPr>
        <w:t xml:space="preserve"> LJ insists on the principle that ‘the Mental Health Act regime under a hospital order focuses on reducing the risk of a recurrence of mental illness as opposed to reducing the risk of re-offending...’</w:t>
      </w:r>
      <w:r w:rsidR="00F935BD">
        <w:rPr>
          <w:rStyle w:val="FootnoteReference"/>
          <w:rFonts w:ascii="Calibri" w:hAnsi="Calibri"/>
          <w:sz w:val="24"/>
        </w:rPr>
        <w:footnoteReference w:id="65"/>
      </w:r>
      <w:r w:rsidRPr="00240A0F">
        <w:rPr>
          <w:rFonts w:ascii="Calibri" w:hAnsi="Calibri"/>
          <w:sz w:val="24"/>
        </w:rPr>
        <w:t xml:space="preserve"> Parallel reasoning holds for restricted patients: the judiciary must resist any temptation to see a transfer direction as a means</w:t>
      </w:r>
      <w:r w:rsidR="00F935BD">
        <w:rPr>
          <w:rFonts w:ascii="Calibri" w:hAnsi="Calibri"/>
          <w:sz w:val="24"/>
        </w:rPr>
        <w:t xml:space="preserve"> of prolonging penal detention.</w:t>
      </w:r>
      <w:r w:rsidR="00F935BD">
        <w:rPr>
          <w:rStyle w:val="FootnoteReference"/>
          <w:rFonts w:ascii="Calibri" w:hAnsi="Calibri"/>
          <w:sz w:val="24"/>
        </w:rPr>
        <w:footnoteReference w:id="66"/>
      </w:r>
      <w:r w:rsidRPr="00240A0F">
        <w:rPr>
          <w:rFonts w:ascii="Calibri" w:hAnsi="Calibri"/>
          <w:sz w:val="24"/>
        </w:rPr>
        <w:t xml:space="preserve"> Though restriction-direction patients continue to serve their sentence while detained in hospital, psychiatric detention is not (in principle) punitive. So at least Lady Hale argues, commenting on the tendency of Strasbourg to treat psychiatric hospital and prison together and referencing her own Appeal Court ruling in </w:t>
      </w:r>
      <w:proofErr w:type="spellStart"/>
      <w:r w:rsidRPr="00A10F38">
        <w:rPr>
          <w:rFonts w:ascii="Calibri" w:hAnsi="Calibri"/>
          <w:i/>
          <w:sz w:val="24"/>
        </w:rPr>
        <w:t>Munjaz</w:t>
      </w:r>
      <w:proofErr w:type="spellEnd"/>
      <w:r w:rsidR="00F935BD">
        <w:rPr>
          <w:rFonts w:ascii="Calibri" w:hAnsi="Calibri"/>
          <w:sz w:val="24"/>
        </w:rPr>
        <w:t xml:space="preserve"> on their different purposes.</w:t>
      </w:r>
      <w:r w:rsidR="00F935BD">
        <w:rPr>
          <w:rStyle w:val="FootnoteReference"/>
          <w:rFonts w:ascii="Calibri" w:hAnsi="Calibri"/>
          <w:sz w:val="24"/>
        </w:rPr>
        <w:footnoteReference w:id="67"/>
      </w:r>
    </w:p>
    <w:p w:rsidR="00240A0F" w:rsidRPr="00240A0F" w:rsidRDefault="00240A0F" w:rsidP="00240A0F">
      <w:pPr>
        <w:suppressAutoHyphens/>
        <w:spacing w:after="120" w:line="240" w:lineRule="auto"/>
        <w:rPr>
          <w:rFonts w:ascii="Calibri" w:hAnsi="Calibri"/>
          <w:sz w:val="24"/>
        </w:rPr>
      </w:pPr>
      <w:r w:rsidRPr="00240A0F">
        <w:rPr>
          <w:rFonts w:ascii="Calibri" w:hAnsi="Calibri"/>
          <w:sz w:val="24"/>
        </w:rPr>
        <w:t>Sentencing</w:t>
      </w:r>
      <w:r w:rsidR="00F935BD">
        <w:rPr>
          <w:rFonts w:ascii="Calibri" w:hAnsi="Calibri"/>
          <w:sz w:val="24"/>
        </w:rPr>
        <w:t xml:space="preserve"> courts must therefore (try to)</w:t>
      </w:r>
      <w:r w:rsidR="00F935BD">
        <w:rPr>
          <w:rStyle w:val="FootnoteReference"/>
          <w:rFonts w:ascii="Calibri" w:hAnsi="Calibri"/>
          <w:sz w:val="24"/>
        </w:rPr>
        <w:footnoteReference w:id="68"/>
      </w:r>
      <w:r w:rsidRPr="00240A0F">
        <w:rPr>
          <w:rFonts w:ascii="Calibri" w:hAnsi="Calibri"/>
          <w:sz w:val="24"/>
        </w:rPr>
        <w:t xml:space="preserve"> distinguish where on the gradient a law-breaker stands: between offences directly attributable to a mental disorder and those where, despite such a disorder, the causal link is ‘diminished’ or absent.</w:t>
      </w:r>
      <w:r w:rsidR="007071CF">
        <w:rPr>
          <w:rStyle w:val="FootnoteReference"/>
          <w:rFonts w:ascii="Calibri" w:hAnsi="Calibri"/>
          <w:sz w:val="24"/>
        </w:rPr>
        <w:footnoteReference w:id="69"/>
      </w:r>
      <w:r w:rsidRPr="00240A0F">
        <w:rPr>
          <w:rFonts w:ascii="Calibri" w:hAnsi="Calibri"/>
          <w:sz w:val="24"/>
        </w:rPr>
        <w:t xml:space="preserve"> At the one end lies a hospital ord</w:t>
      </w:r>
      <w:r w:rsidR="007071CF">
        <w:rPr>
          <w:rFonts w:ascii="Calibri" w:hAnsi="Calibri"/>
          <w:sz w:val="24"/>
        </w:rPr>
        <w:t>er, probably with restriction;</w:t>
      </w:r>
      <w:r w:rsidR="007071CF">
        <w:rPr>
          <w:rStyle w:val="FootnoteReference"/>
          <w:rFonts w:ascii="Calibri" w:hAnsi="Calibri"/>
          <w:sz w:val="24"/>
        </w:rPr>
        <w:footnoteReference w:id="70"/>
      </w:r>
      <w:r w:rsidRPr="00240A0F">
        <w:rPr>
          <w:rFonts w:ascii="Calibri" w:hAnsi="Calibri"/>
          <w:sz w:val="24"/>
        </w:rPr>
        <w:t xml:space="preserve"> at the other a prison sentence, even if a transfer/restriction di</w:t>
      </w:r>
      <w:r w:rsidR="007071CF">
        <w:rPr>
          <w:rFonts w:ascii="Calibri" w:hAnsi="Calibri"/>
          <w:sz w:val="24"/>
        </w:rPr>
        <w:t>rection is subsequently needed;</w:t>
      </w:r>
      <w:r w:rsidR="007071CF">
        <w:rPr>
          <w:rStyle w:val="FootnoteReference"/>
          <w:rFonts w:ascii="Calibri" w:hAnsi="Calibri"/>
          <w:sz w:val="24"/>
        </w:rPr>
        <w:footnoteReference w:id="71"/>
      </w:r>
      <w:r w:rsidRPr="00240A0F">
        <w:rPr>
          <w:rFonts w:ascii="Calibri" w:hAnsi="Calibri"/>
          <w:sz w:val="24"/>
        </w:rPr>
        <w:t xml:space="preserve"> in the middle a hospital/limitation di</w:t>
      </w:r>
      <w:r w:rsidR="007071CF">
        <w:rPr>
          <w:rFonts w:ascii="Calibri" w:hAnsi="Calibri"/>
          <w:sz w:val="24"/>
        </w:rPr>
        <w:t>rection.</w:t>
      </w:r>
      <w:r w:rsidR="007071CF">
        <w:rPr>
          <w:rStyle w:val="FootnoteReference"/>
          <w:rFonts w:ascii="Calibri" w:hAnsi="Calibri"/>
          <w:sz w:val="24"/>
        </w:rPr>
        <w:footnoteReference w:id="72"/>
      </w:r>
    </w:p>
    <w:p w:rsidR="00240A0F" w:rsidRPr="00240A0F" w:rsidRDefault="00240A0F" w:rsidP="00240A0F">
      <w:pPr>
        <w:suppressAutoHyphens/>
        <w:spacing w:after="120" w:line="240" w:lineRule="auto"/>
        <w:rPr>
          <w:rFonts w:ascii="Calibri" w:hAnsi="Calibri"/>
          <w:sz w:val="24"/>
        </w:rPr>
      </w:pPr>
      <w:r w:rsidRPr="00240A0F">
        <w:rPr>
          <w:rFonts w:ascii="Calibri" w:hAnsi="Calibri"/>
          <w:sz w:val="24"/>
        </w:rPr>
        <w:t>Such complexities make for effectively arbitrary disposals. The MHA 2007 has removed the separate provisions for mental illness and ‘psychopathic disorder’. But legal and clinical understandings of mental disorder continue to differ, driven by different agendas.</w:t>
      </w:r>
      <w:r w:rsidR="007071CF">
        <w:rPr>
          <w:rStyle w:val="FootnoteReference"/>
          <w:rFonts w:ascii="Calibri" w:hAnsi="Calibri"/>
          <w:sz w:val="24"/>
        </w:rPr>
        <w:footnoteReference w:id="73"/>
      </w:r>
      <w:r w:rsidRPr="00240A0F">
        <w:rPr>
          <w:rFonts w:ascii="Calibri" w:hAnsi="Calibri"/>
          <w:sz w:val="24"/>
        </w:rPr>
        <w:t xml:space="preserve"> In </w:t>
      </w:r>
      <w:r w:rsidRPr="00A10F38">
        <w:rPr>
          <w:rFonts w:ascii="Calibri" w:hAnsi="Calibri"/>
          <w:i/>
          <w:sz w:val="24"/>
        </w:rPr>
        <w:t>Murray</w:t>
      </w:r>
      <w:r w:rsidRPr="00240A0F">
        <w:rPr>
          <w:rFonts w:ascii="Calibri" w:hAnsi="Calibri"/>
          <w:sz w:val="24"/>
        </w:rPr>
        <w:t>, se</w:t>
      </w:r>
      <w:r w:rsidR="00A10F38">
        <w:rPr>
          <w:rFonts w:ascii="Calibri" w:hAnsi="Calibri"/>
          <w:sz w:val="24"/>
        </w:rPr>
        <w:t xml:space="preserve">ntencing guidelines and </w:t>
      </w:r>
      <w:proofErr w:type="spellStart"/>
      <w:r w:rsidR="00A10F38">
        <w:rPr>
          <w:rFonts w:ascii="Calibri" w:hAnsi="Calibri"/>
          <w:sz w:val="24"/>
        </w:rPr>
        <w:t>M’Naghte</w:t>
      </w:r>
      <w:r w:rsidRPr="00240A0F">
        <w:rPr>
          <w:rFonts w:ascii="Calibri" w:hAnsi="Calibri"/>
          <w:sz w:val="24"/>
        </w:rPr>
        <w:t>n</w:t>
      </w:r>
      <w:proofErr w:type="spellEnd"/>
      <w:r w:rsidRPr="00240A0F">
        <w:rPr>
          <w:rFonts w:ascii="Calibri" w:hAnsi="Calibri"/>
          <w:sz w:val="24"/>
        </w:rPr>
        <w:t xml:space="preserve"> Rules enforced a penal disposal, though the Appeal Court subsequently </w:t>
      </w:r>
      <w:r w:rsidR="007071CF">
        <w:rPr>
          <w:rFonts w:ascii="Calibri" w:hAnsi="Calibri"/>
          <w:sz w:val="24"/>
        </w:rPr>
        <w:t>moved the claimant to hospital.</w:t>
      </w:r>
      <w:r w:rsidR="007071CF">
        <w:rPr>
          <w:rStyle w:val="FootnoteReference"/>
          <w:rFonts w:ascii="Calibri" w:hAnsi="Calibri"/>
          <w:sz w:val="24"/>
        </w:rPr>
        <w:footnoteReference w:id="74"/>
      </w:r>
      <w:r w:rsidRPr="00240A0F">
        <w:rPr>
          <w:rFonts w:ascii="Calibri" w:hAnsi="Calibri"/>
          <w:sz w:val="24"/>
        </w:rPr>
        <w:t xml:space="preserve"> However, the rules remain </w:t>
      </w:r>
      <w:r w:rsidRPr="00240A0F">
        <w:rPr>
          <w:rFonts w:ascii="Calibri" w:hAnsi="Calibri"/>
          <w:sz w:val="24"/>
        </w:rPr>
        <w:lastRenderedPageBreak/>
        <w:t xml:space="preserve">open to the influence of fear: either hospital or prison can be chosen as providing the longest and securest sentence. Thus the MHAC disapprovingly cited the refusal of the sentencing judge to send Nicky Reilly (diagnosed with Asperger’s syndrome and learning disability) for assessment in Broadmoor </w:t>
      </w:r>
      <w:r w:rsidR="007071CF">
        <w:rPr>
          <w:rFonts w:ascii="Calibri" w:hAnsi="Calibri"/>
          <w:sz w:val="24"/>
        </w:rPr>
        <w:t>before passing a life sentence.</w:t>
      </w:r>
      <w:r w:rsidR="007071CF">
        <w:rPr>
          <w:rStyle w:val="FootnoteReference"/>
          <w:rFonts w:ascii="Calibri" w:hAnsi="Calibri"/>
          <w:sz w:val="24"/>
        </w:rPr>
        <w:footnoteReference w:id="75"/>
      </w:r>
      <w:r w:rsidRPr="00240A0F">
        <w:rPr>
          <w:rFonts w:ascii="Calibri" w:hAnsi="Calibri"/>
          <w:sz w:val="24"/>
        </w:rPr>
        <w:t xml:space="preserve"> In </w:t>
      </w:r>
      <w:r w:rsidRPr="005B3F6A">
        <w:rPr>
          <w:rFonts w:ascii="Calibri" w:hAnsi="Calibri"/>
          <w:i/>
          <w:sz w:val="24"/>
        </w:rPr>
        <w:t>Simpson</w:t>
      </w:r>
      <w:r w:rsidRPr="00240A0F">
        <w:rPr>
          <w:rFonts w:ascii="Calibri" w:hAnsi="Calibri"/>
          <w:sz w:val="24"/>
        </w:rPr>
        <w:t xml:space="preserve">, the Appeal Court overturned the original prison disposal primarily on the grounds not of the offender’s treatability, but because ‘the best chance of minimising the danger lies in a Hospital Order…’. While </w:t>
      </w:r>
      <w:proofErr w:type="spellStart"/>
      <w:r w:rsidRPr="00240A0F">
        <w:rPr>
          <w:rFonts w:ascii="Calibri" w:hAnsi="Calibri"/>
          <w:sz w:val="24"/>
        </w:rPr>
        <w:t>Toulson</w:t>
      </w:r>
      <w:proofErr w:type="spellEnd"/>
      <w:r w:rsidRPr="00240A0F">
        <w:rPr>
          <w:rFonts w:ascii="Calibri" w:hAnsi="Calibri"/>
          <w:sz w:val="24"/>
        </w:rPr>
        <w:t xml:space="preserve"> LJ spoke of the (dim) hope of rehabilitation through medical treatment, the security implications were decisive.</w:t>
      </w:r>
      <w:r w:rsidR="007071CF">
        <w:rPr>
          <w:rStyle w:val="FootnoteReference"/>
          <w:rFonts w:ascii="Calibri" w:hAnsi="Calibri"/>
          <w:sz w:val="24"/>
        </w:rPr>
        <w:footnoteReference w:id="76"/>
      </w:r>
      <w:r w:rsidRPr="00240A0F">
        <w:rPr>
          <w:rFonts w:ascii="Calibri" w:hAnsi="Calibri"/>
          <w:sz w:val="24"/>
        </w:rPr>
        <w:t xml:space="preserve"> The situation was even clearer in </w:t>
      </w:r>
      <w:r w:rsidRPr="005B3F6A">
        <w:rPr>
          <w:rFonts w:ascii="Calibri" w:hAnsi="Calibri"/>
          <w:i/>
          <w:sz w:val="24"/>
        </w:rPr>
        <w:t>IA</w:t>
      </w:r>
      <w:r w:rsidRPr="00240A0F">
        <w:rPr>
          <w:rFonts w:ascii="Calibri" w:hAnsi="Calibri"/>
          <w:sz w:val="24"/>
        </w:rPr>
        <w:t>, where the sentencing judge handed down a life sentence in the ‘hope and expectation’ that Mr IA would be detained in hospital; however, ‘little or nothing appeared to [be] done to effect the</w:t>
      </w:r>
      <w:r w:rsidR="007071CF">
        <w:rPr>
          <w:rFonts w:ascii="Calibri" w:hAnsi="Calibri"/>
          <w:sz w:val="24"/>
        </w:rPr>
        <w:t xml:space="preserve"> transfer’.</w:t>
      </w:r>
      <w:r w:rsidR="007071CF">
        <w:rPr>
          <w:rStyle w:val="FootnoteReference"/>
          <w:rFonts w:ascii="Calibri" w:hAnsi="Calibri"/>
          <w:sz w:val="24"/>
        </w:rPr>
        <w:footnoteReference w:id="77"/>
      </w:r>
    </w:p>
    <w:p w:rsidR="00240A0F" w:rsidRPr="00240A0F" w:rsidRDefault="00240A0F" w:rsidP="00240A0F">
      <w:pPr>
        <w:suppressAutoHyphens/>
        <w:spacing w:after="120" w:line="240" w:lineRule="auto"/>
        <w:rPr>
          <w:rFonts w:ascii="Calibri" w:hAnsi="Calibri"/>
          <w:sz w:val="24"/>
        </w:rPr>
      </w:pPr>
      <w:r w:rsidRPr="00240A0F">
        <w:rPr>
          <w:rFonts w:ascii="Calibri" w:hAnsi="Calibri"/>
          <w:sz w:val="24"/>
        </w:rPr>
        <w:t>It is partly a question of supply and demand. Given that prison beds are uniquely available on demand whatever the overcrowding, many prisoners assessed as needing hospital are not transferred.</w:t>
      </w:r>
      <w:r w:rsidR="007071CF">
        <w:rPr>
          <w:rStyle w:val="FootnoteReference"/>
          <w:rFonts w:ascii="Calibri" w:hAnsi="Calibri"/>
          <w:sz w:val="24"/>
        </w:rPr>
        <w:footnoteReference w:id="78"/>
      </w:r>
      <w:r w:rsidRPr="00240A0F">
        <w:rPr>
          <w:rFonts w:ascii="Calibri" w:hAnsi="Calibri"/>
          <w:sz w:val="24"/>
        </w:rPr>
        <w:t xml:space="preserve"> The ruling in </w:t>
      </w:r>
      <w:r w:rsidRPr="005B3F6A">
        <w:rPr>
          <w:rFonts w:ascii="Calibri" w:hAnsi="Calibri"/>
          <w:i/>
          <w:sz w:val="24"/>
        </w:rPr>
        <w:t>IH</w:t>
      </w:r>
      <w:r w:rsidRPr="00240A0F">
        <w:rPr>
          <w:rFonts w:ascii="Calibri" w:hAnsi="Calibri"/>
          <w:sz w:val="24"/>
        </w:rPr>
        <w:t xml:space="preserve"> is interesting: continued detention of a patient potentially fit for conditional discharge is not unlawful where the ‘nature’ criterion is satisfied and where no appropriate co</w:t>
      </w:r>
      <w:r w:rsidR="00812CAA">
        <w:rPr>
          <w:rFonts w:ascii="Calibri" w:hAnsi="Calibri"/>
          <w:sz w:val="24"/>
        </w:rPr>
        <w:t>mmunity provision is available.</w:t>
      </w:r>
      <w:r w:rsidR="00812CAA">
        <w:rPr>
          <w:rStyle w:val="FootnoteReference"/>
          <w:rFonts w:ascii="Calibri" w:hAnsi="Calibri"/>
          <w:sz w:val="24"/>
        </w:rPr>
        <w:footnoteReference w:id="79"/>
      </w:r>
      <w:r w:rsidRPr="00240A0F">
        <w:rPr>
          <w:rFonts w:ascii="Calibri" w:hAnsi="Calibri"/>
          <w:sz w:val="24"/>
        </w:rPr>
        <w:t xml:space="preserve"> The funding priorities of PCTs and local government thus define the limits</w:t>
      </w:r>
      <w:r w:rsidR="00812CAA">
        <w:rPr>
          <w:rFonts w:ascii="Calibri" w:hAnsi="Calibri"/>
          <w:sz w:val="24"/>
        </w:rPr>
        <w:t xml:space="preserve"> of lawful detention.</w:t>
      </w:r>
      <w:r w:rsidR="00812CAA">
        <w:rPr>
          <w:rStyle w:val="FootnoteReference"/>
          <w:rFonts w:ascii="Calibri" w:hAnsi="Calibri"/>
          <w:sz w:val="24"/>
        </w:rPr>
        <w:footnoteReference w:id="80"/>
      </w:r>
    </w:p>
    <w:p w:rsidR="00240A0F" w:rsidRPr="00240A0F" w:rsidRDefault="00240A0F" w:rsidP="00240A0F">
      <w:pPr>
        <w:suppressAutoHyphens/>
        <w:spacing w:after="120" w:line="240" w:lineRule="auto"/>
        <w:rPr>
          <w:rFonts w:ascii="Calibri" w:hAnsi="Calibri"/>
          <w:sz w:val="24"/>
        </w:rPr>
      </w:pPr>
      <w:r w:rsidRPr="00240A0F">
        <w:rPr>
          <w:rFonts w:ascii="Calibri" w:hAnsi="Calibri"/>
          <w:sz w:val="24"/>
        </w:rPr>
        <w:t xml:space="preserve">So while prisons bulge with mentally disordered inmates, beds in secure units and HSHs are occupied by patients ‘sectioned’ more for security than health reasons. AT indicates the readiness with which </w:t>
      </w:r>
      <w:proofErr w:type="spellStart"/>
      <w:r w:rsidRPr="00240A0F">
        <w:rPr>
          <w:rFonts w:ascii="Calibri" w:hAnsi="Calibri"/>
          <w:sz w:val="24"/>
        </w:rPr>
        <w:t>Hoggett’s</w:t>
      </w:r>
      <w:proofErr w:type="spellEnd"/>
      <w:r w:rsidRPr="00240A0F">
        <w:rPr>
          <w:rFonts w:ascii="Calibri" w:hAnsi="Calibri"/>
          <w:sz w:val="24"/>
        </w:rPr>
        <w:t xml:space="preserve"> ‘gulf’ can be bridged by the use of hospital as place of indefinite preventive detention.</w:t>
      </w:r>
      <w:r w:rsidR="00812CAA">
        <w:rPr>
          <w:rStyle w:val="FootnoteReference"/>
          <w:rFonts w:ascii="Calibri" w:hAnsi="Calibri"/>
          <w:sz w:val="24"/>
        </w:rPr>
        <w:footnoteReference w:id="81"/>
      </w:r>
      <w:r w:rsidRPr="00240A0F">
        <w:rPr>
          <w:rFonts w:ascii="Calibri" w:hAnsi="Calibri"/>
          <w:sz w:val="24"/>
        </w:rPr>
        <w:t xml:space="preserve"> Personality disorder diagnoses in particular are open to control-oriented interpretation: prisoners put forward by the Prison Service for transfer under the MHA can be deemed unsuitable by the Secretary of State [</w:t>
      </w:r>
      <w:proofErr w:type="spellStart"/>
      <w:r w:rsidRPr="00240A0F">
        <w:rPr>
          <w:rFonts w:ascii="Calibri" w:hAnsi="Calibri"/>
          <w:sz w:val="24"/>
        </w:rPr>
        <w:t>SoS</w:t>
      </w:r>
      <w:proofErr w:type="spellEnd"/>
      <w:r w:rsidRPr="00240A0F">
        <w:rPr>
          <w:rFonts w:ascii="Calibri" w:hAnsi="Calibri"/>
          <w:sz w:val="24"/>
        </w:rPr>
        <w:t>] because of their ‘untreatable’ personality disorder</w:t>
      </w:r>
      <w:r w:rsidR="00812CAA">
        <w:rPr>
          <w:rStyle w:val="FootnoteReference"/>
          <w:rFonts w:ascii="Calibri" w:hAnsi="Calibri"/>
          <w:sz w:val="24"/>
        </w:rPr>
        <w:footnoteReference w:id="82"/>
      </w:r>
      <w:r w:rsidRPr="00240A0F">
        <w:rPr>
          <w:rFonts w:ascii="Calibri" w:hAnsi="Calibri"/>
          <w:sz w:val="24"/>
        </w:rPr>
        <w:t xml:space="preserve"> yet i</w:t>
      </w:r>
      <w:r w:rsidR="00812CAA">
        <w:rPr>
          <w:rFonts w:ascii="Calibri" w:hAnsi="Calibri"/>
          <w:sz w:val="24"/>
        </w:rPr>
        <w:t xml:space="preserve">dentically-diagnosed prisoners </w:t>
      </w:r>
      <w:r w:rsidRPr="00240A0F">
        <w:rPr>
          <w:rFonts w:ascii="Calibri" w:hAnsi="Calibri"/>
          <w:sz w:val="24"/>
        </w:rPr>
        <w:t xml:space="preserve">hitherto deemed ‘untreatable’ can now be transferred under that same </w:t>
      </w:r>
      <w:r w:rsidR="00812CAA">
        <w:rPr>
          <w:rFonts w:ascii="Calibri" w:hAnsi="Calibri"/>
          <w:sz w:val="24"/>
        </w:rPr>
        <w:t>Act, and detained indefinitely.</w:t>
      </w:r>
      <w:r w:rsidR="00812CAA">
        <w:rPr>
          <w:rStyle w:val="FootnoteReference"/>
          <w:rFonts w:ascii="Calibri" w:hAnsi="Calibri"/>
          <w:sz w:val="24"/>
        </w:rPr>
        <w:footnoteReference w:id="83"/>
      </w:r>
      <w:r w:rsidRPr="00240A0F">
        <w:rPr>
          <w:rFonts w:ascii="Calibri" w:hAnsi="Calibri"/>
          <w:sz w:val="24"/>
        </w:rPr>
        <w:t xml:space="preserve"> In </w:t>
      </w:r>
      <w:r w:rsidRPr="005B3F6A">
        <w:rPr>
          <w:rFonts w:ascii="Calibri" w:hAnsi="Calibri"/>
          <w:i/>
          <w:sz w:val="24"/>
        </w:rPr>
        <w:t>TF</w:t>
      </w:r>
      <w:r w:rsidRPr="00240A0F">
        <w:rPr>
          <w:rFonts w:ascii="Calibri" w:hAnsi="Calibri"/>
          <w:sz w:val="24"/>
        </w:rPr>
        <w:t xml:space="preserve">, the Appeal Court ruled that a transfer direction effected in September 2008, just before MHA 2007 was implemented and on the eve of young TF’s release, was under s47(1)(b) </w:t>
      </w:r>
      <w:r w:rsidRPr="00240A0F">
        <w:rPr>
          <w:rFonts w:ascii="Calibri" w:hAnsi="Calibri"/>
          <w:sz w:val="24"/>
        </w:rPr>
        <w:lastRenderedPageBreak/>
        <w:t>unlawful in the absence of adequate medical evidence;</w:t>
      </w:r>
      <w:r w:rsidR="00812CAA">
        <w:rPr>
          <w:rStyle w:val="FootnoteReference"/>
          <w:rFonts w:ascii="Calibri" w:hAnsi="Calibri"/>
          <w:sz w:val="24"/>
        </w:rPr>
        <w:footnoteReference w:id="84"/>
      </w:r>
      <w:r w:rsidRPr="00240A0F">
        <w:rPr>
          <w:rFonts w:ascii="Calibri" w:hAnsi="Calibri"/>
          <w:sz w:val="24"/>
        </w:rPr>
        <w:t xml:space="preserve"> the </w:t>
      </w:r>
      <w:proofErr w:type="spellStart"/>
      <w:r w:rsidRPr="00240A0F">
        <w:rPr>
          <w:rFonts w:ascii="Calibri" w:hAnsi="Calibri"/>
          <w:sz w:val="24"/>
        </w:rPr>
        <w:t>SoS</w:t>
      </w:r>
      <w:proofErr w:type="spellEnd"/>
      <w:r w:rsidRPr="00240A0F">
        <w:rPr>
          <w:rFonts w:ascii="Calibri" w:hAnsi="Calibri"/>
          <w:sz w:val="24"/>
        </w:rPr>
        <w:t>’ eleventh-hour attempt to continue detaining that personality-disordered offender had been one degree</w:t>
      </w:r>
      <w:r w:rsidR="00812CAA">
        <w:rPr>
          <w:rFonts w:ascii="Calibri" w:hAnsi="Calibri"/>
          <w:sz w:val="24"/>
        </w:rPr>
        <w:t xml:space="preserve"> too clumsy.</w:t>
      </w:r>
      <w:r w:rsidR="00812CAA">
        <w:rPr>
          <w:rStyle w:val="FootnoteReference"/>
          <w:rFonts w:ascii="Calibri" w:hAnsi="Calibri"/>
          <w:sz w:val="24"/>
        </w:rPr>
        <w:footnoteReference w:id="85"/>
      </w:r>
    </w:p>
    <w:p w:rsidR="00240A0F" w:rsidRPr="00240A0F" w:rsidRDefault="00240A0F" w:rsidP="00240A0F">
      <w:pPr>
        <w:suppressAutoHyphens/>
        <w:spacing w:after="120" w:line="240" w:lineRule="auto"/>
        <w:rPr>
          <w:rFonts w:ascii="Calibri" w:hAnsi="Calibri"/>
          <w:sz w:val="24"/>
        </w:rPr>
      </w:pPr>
      <w:r w:rsidRPr="00240A0F">
        <w:rPr>
          <w:rFonts w:ascii="Calibri" w:hAnsi="Calibri"/>
          <w:sz w:val="24"/>
        </w:rPr>
        <w:t xml:space="preserve">The rationale of recalls is similarly blurred. The </w:t>
      </w:r>
      <w:proofErr w:type="spellStart"/>
      <w:r w:rsidRPr="00240A0F">
        <w:rPr>
          <w:rFonts w:ascii="Calibri" w:hAnsi="Calibri"/>
          <w:sz w:val="24"/>
        </w:rPr>
        <w:t>SoS</w:t>
      </w:r>
      <w:proofErr w:type="spellEnd"/>
      <w:r w:rsidRPr="00240A0F">
        <w:rPr>
          <w:rFonts w:ascii="Calibri" w:hAnsi="Calibri"/>
          <w:sz w:val="24"/>
        </w:rPr>
        <w:t xml:space="preserve"> can recall a conditionally discharged patient though his disorder is not of the statutory ‘degree’ for initial detention ‘because the combination of the patient’s mental disorder and his behaviour makes i</w:t>
      </w:r>
      <w:r w:rsidR="00812CAA">
        <w:rPr>
          <w:rFonts w:ascii="Calibri" w:hAnsi="Calibri"/>
          <w:sz w:val="24"/>
        </w:rPr>
        <w:t>t necessary’ for public safety.</w:t>
      </w:r>
      <w:r w:rsidR="00812CAA">
        <w:rPr>
          <w:rStyle w:val="FootnoteReference"/>
          <w:rFonts w:ascii="Calibri" w:hAnsi="Calibri"/>
          <w:sz w:val="24"/>
        </w:rPr>
        <w:footnoteReference w:id="86"/>
      </w:r>
      <w:r w:rsidRPr="00240A0F">
        <w:rPr>
          <w:rFonts w:ascii="Calibri" w:hAnsi="Calibri"/>
          <w:sz w:val="24"/>
        </w:rPr>
        <w:t xml:space="preserve"> The recall decision depends only ‘partly’ on medical advice, ‘comparatively minor irregularities of behaviour or failure to cooperate with supervisors being sufficient’; though behaviour unconnected with the mental disorder does not merit the ‘sanction’ of recall, ‘the decision will always give precedence to public safety considerations’ – a powerful catch-all.</w:t>
      </w:r>
      <w:r w:rsidR="00812CAA">
        <w:rPr>
          <w:rStyle w:val="FootnoteReference"/>
          <w:rFonts w:ascii="Calibri" w:hAnsi="Calibri"/>
          <w:sz w:val="24"/>
        </w:rPr>
        <w:footnoteReference w:id="87"/>
      </w:r>
      <w:r w:rsidRPr="00240A0F">
        <w:rPr>
          <w:rFonts w:ascii="Calibri" w:hAnsi="Calibri"/>
          <w:sz w:val="24"/>
        </w:rPr>
        <w:t xml:space="preserve"> The </w:t>
      </w:r>
      <w:proofErr w:type="spellStart"/>
      <w:r w:rsidRPr="00240A0F">
        <w:rPr>
          <w:rFonts w:ascii="Calibri" w:hAnsi="Calibri"/>
          <w:sz w:val="24"/>
        </w:rPr>
        <w:t>SoS</w:t>
      </w:r>
      <w:proofErr w:type="spellEnd"/>
      <w:r w:rsidRPr="00240A0F">
        <w:rPr>
          <w:rFonts w:ascii="Calibri" w:hAnsi="Calibri"/>
          <w:sz w:val="24"/>
        </w:rPr>
        <w:t xml:space="preserve"> apparently regards recall as a ‘sanction’ t</w:t>
      </w:r>
      <w:r w:rsidR="00812CAA">
        <w:rPr>
          <w:rFonts w:ascii="Calibri" w:hAnsi="Calibri"/>
          <w:sz w:val="24"/>
        </w:rPr>
        <w:t>hough its role is non-punitive.</w:t>
      </w:r>
    </w:p>
    <w:p w:rsidR="00240A0F" w:rsidRPr="00240A0F" w:rsidRDefault="00240A0F" w:rsidP="00240A0F">
      <w:pPr>
        <w:suppressAutoHyphens/>
        <w:spacing w:after="120" w:line="240" w:lineRule="auto"/>
        <w:rPr>
          <w:rFonts w:ascii="Calibri" w:hAnsi="Calibri"/>
          <w:sz w:val="24"/>
        </w:rPr>
      </w:pPr>
      <w:r w:rsidRPr="00240A0F">
        <w:rPr>
          <w:rFonts w:ascii="Calibri" w:hAnsi="Calibri"/>
          <w:sz w:val="24"/>
        </w:rPr>
        <w:t xml:space="preserve">But perhaps the most revealing indicator of an effectively arbitrary executive use of detention is the </w:t>
      </w:r>
      <w:proofErr w:type="spellStart"/>
      <w:r w:rsidRPr="00240A0F">
        <w:rPr>
          <w:rFonts w:ascii="Calibri" w:hAnsi="Calibri"/>
          <w:sz w:val="24"/>
        </w:rPr>
        <w:t>MoJ’s</w:t>
      </w:r>
      <w:proofErr w:type="spellEnd"/>
      <w:r w:rsidRPr="00240A0F">
        <w:rPr>
          <w:rFonts w:ascii="Calibri" w:hAnsi="Calibri"/>
          <w:sz w:val="24"/>
        </w:rPr>
        <w:t xml:space="preserve"> range of responses when a conditionally discharged patient is reconvicted and sentenced to prison. ‘[T]he </w:t>
      </w:r>
      <w:proofErr w:type="spellStart"/>
      <w:r w:rsidRPr="00240A0F">
        <w:rPr>
          <w:rFonts w:ascii="Calibri" w:hAnsi="Calibri"/>
          <w:sz w:val="24"/>
        </w:rPr>
        <w:t>SoS</w:t>
      </w:r>
      <w:proofErr w:type="spellEnd"/>
      <w:r w:rsidRPr="00240A0F">
        <w:rPr>
          <w:rFonts w:ascii="Calibri" w:hAnsi="Calibri"/>
          <w:sz w:val="24"/>
        </w:rPr>
        <w:t xml:space="preserve"> will often reserve judgement on the patient’s status under the </w:t>
      </w:r>
      <w:r w:rsidRPr="005B3F6A">
        <w:rPr>
          <w:rFonts w:ascii="Calibri" w:hAnsi="Calibri"/>
          <w:i/>
          <w:sz w:val="24"/>
        </w:rPr>
        <w:t>Mental Health Act 1983</w:t>
      </w:r>
      <w:r w:rsidRPr="00240A0F">
        <w:rPr>
          <w:rFonts w:ascii="Calibri" w:hAnsi="Calibri"/>
          <w:sz w:val="24"/>
        </w:rPr>
        <w:t xml:space="preserve"> until he nears the end of his prison sentence, when he will seek fresh medical evidence....’, on the basis of which he may allow conditional discharge to resume, direct immediate recall to hospital or authorise absol</w:t>
      </w:r>
      <w:r w:rsidR="00812CAA">
        <w:rPr>
          <w:rFonts w:ascii="Calibri" w:hAnsi="Calibri"/>
          <w:sz w:val="24"/>
        </w:rPr>
        <w:t>ute discharge.</w:t>
      </w:r>
      <w:r w:rsidR="00812CAA">
        <w:rPr>
          <w:rStyle w:val="FootnoteReference"/>
          <w:rFonts w:ascii="Calibri" w:hAnsi="Calibri"/>
          <w:sz w:val="24"/>
        </w:rPr>
        <w:footnoteReference w:id="88"/>
      </w:r>
      <w:r w:rsidRPr="00240A0F">
        <w:rPr>
          <w:rFonts w:ascii="Calibri" w:hAnsi="Calibri"/>
          <w:sz w:val="24"/>
        </w:rPr>
        <w:t xml:space="preserve"> The ‘need’ for hospital is again provoked only</w:t>
      </w:r>
      <w:r w:rsidR="00812CAA">
        <w:rPr>
          <w:rFonts w:ascii="Calibri" w:hAnsi="Calibri"/>
          <w:sz w:val="24"/>
        </w:rPr>
        <w:t xml:space="preserve"> by the proximity of release.</w:t>
      </w:r>
      <w:r w:rsidR="00812CAA">
        <w:rPr>
          <w:rStyle w:val="FootnoteReference"/>
          <w:rFonts w:ascii="Calibri" w:hAnsi="Calibri"/>
          <w:sz w:val="24"/>
        </w:rPr>
        <w:footnoteReference w:id="89"/>
      </w:r>
    </w:p>
    <w:p w:rsidR="00240A0F" w:rsidRPr="00240A0F" w:rsidRDefault="00240A0F" w:rsidP="00240A0F">
      <w:pPr>
        <w:suppressAutoHyphens/>
        <w:spacing w:after="120" w:line="240" w:lineRule="auto"/>
        <w:rPr>
          <w:rFonts w:ascii="Calibri" w:hAnsi="Calibri"/>
          <w:sz w:val="24"/>
        </w:rPr>
      </w:pPr>
      <w:r w:rsidRPr="00240A0F">
        <w:rPr>
          <w:rFonts w:ascii="Calibri" w:hAnsi="Calibri"/>
          <w:sz w:val="24"/>
        </w:rPr>
        <w:t xml:space="preserve">Optimists in search of rationales based on </w:t>
      </w:r>
      <w:proofErr w:type="spellStart"/>
      <w:r w:rsidRPr="00240A0F">
        <w:rPr>
          <w:rFonts w:ascii="Calibri" w:hAnsi="Calibri"/>
          <w:sz w:val="24"/>
        </w:rPr>
        <w:t>criminogenic</w:t>
      </w:r>
      <w:proofErr w:type="spellEnd"/>
      <w:r w:rsidRPr="00240A0F">
        <w:rPr>
          <w:rFonts w:ascii="Calibri" w:hAnsi="Calibri"/>
          <w:sz w:val="24"/>
        </w:rPr>
        <w:t xml:space="preserve"> or therapeutic priorities may despair. The Board’s judgments on </w:t>
      </w:r>
      <w:proofErr w:type="spellStart"/>
      <w:r w:rsidRPr="00240A0F">
        <w:rPr>
          <w:rFonts w:ascii="Calibri" w:hAnsi="Calibri"/>
          <w:sz w:val="24"/>
        </w:rPr>
        <w:t>criminogenic</w:t>
      </w:r>
      <w:proofErr w:type="spellEnd"/>
      <w:r w:rsidRPr="00240A0F">
        <w:rPr>
          <w:rFonts w:ascii="Calibri" w:hAnsi="Calibri"/>
          <w:sz w:val="24"/>
        </w:rPr>
        <w:t xml:space="preserve"> risk can face executive challenge on the grounds that the offender’s mental health renders its evidence unsafe, thus challenging the v</w:t>
      </w:r>
      <w:r w:rsidR="00812CAA">
        <w:rPr>
          <w:rFonts w:ascii="Calibri" w:hAnsi="Calibri"/>
          <w:sz w:val="24"/>
        </w:rPr>
        <w:t>alidity of its specialist work.</w:t>
      </w:r>
      <w:r w:rsidR="00812CAA">
        <w:rPr>
          <w:rStyle w:val="FootnoteReference"/>
          <w:rFonts w:ascii="Calibri" w:hAnsi="Calibri"/>
          <w:sz w:val="24"/>
        </w:rPr>
        <w:footnoteReference w:id="90"/>
      </w:r>
      <w:r w:rsidRPr="00240A0F">
        <w:rPr>
          <w:rFonts w:ascii="Calibri" w:hAnsi="Calibri"/>
          <w:sz w:val="24"/>
        </w:rPr>
        <w:t xml:space="preserve"> Meanwhile, the </w:t>
      </w:r>
      <w:proofErr w:type="spellStart"/>
      <w:r w:rsidRPr="00240A0F">
        <w:rPr>
          <w:rFonts w:ascii="Calibri" w:hAnsi="Calibri"/>
          <w:sz w:val="24"/>
        </w:rPr>
        <w:t>SoS</w:t>
      </w:r>
      <w:proofErr w:type="spellEnd"/>
      <w:r w:rsidRPr="00240A0F">
        <w:rPr>
          <w:rFonts w:ascii="Calibri" w:hAnsi="Calibri"/>
          <w:sz w:val="24"/>
        </w:rPr>
        <w:t>’ focus on immediate risk-avoidance must be deeply frustrating for courts aware that for some personalities, continued detention and over-stringent risk management on release increase long</w:t>
      </w:r>
      <w:r w:rsidR="00812CAA">
        <w:rPr>
          <w:rFonts w:ascii="Calibri" w:hAnsi="Calibri"/>
          <w:sz w:val="24"/>
        </w:rPr>
        <w:t>er-term risks of reoffending.</w:t>
      </w:r>
      <w:r w:rsidR="00812CAA">
        <w:rPr>
          <w:rStyle w:val="FootnoteReference"/>
          <w:rFonts w:ascii="Calibri" w:hAnsi="Calibri"/>
          <w:sz w:val="24"/>
        </w:rPr>
        <w:footnoteReference w:id="91"/>
      </w:r>
    </w:p>
    <w:p w:rsidR="00240A0F" w:rsidRPr="00240A0F" w:rsidRDefault="00240A0F" w:rsidP="00240A0F">
      <w:pPr>
        <w:suppressAutoHyphens/>
        <w:spacing w:after="120" w:line="240" w:lineRule="auto"/>
        <w:rPr>
          <w:rFonts w:ascii="Calibri" w:hAnsi="Calibri"/>
          <w:sz w:val="24"/>
        </w:rPr>
      </w:pPr>
      <w:r w:rsidRPr="00240A0F">
        <w:rPr>
          <w:rFonts w:ascii="Calibri" w:hAnsi="Calibri"/>
          <w:sz w:val="24"/>
        </w:rPr>
        <w:t>Again, the Tribunal may review pre-tariff lifer restriction-direction patients whose detention may have no therapeutic or a counter-therapeutic effect, without effective power to discharge them: that lies with the Board. The discharge of post-tariff lifers under restriction directions, assessed by the Tribunal as ready for conditional discharge into the community but not back to prison, ma</w:t>
      </w:r>
      <w:r w:rsidR="00812CAA">
        <w:rPr>
          <w:rFonts w:ascii="Calibri" w:hAnsi="Calibri"/>
          <w:sz w:val="24"/>
        </w:rPr>
        <w:t xml:space="preserve">y be indefinitely blocked by a </w:t>
      </w:r>
      <w:r w:rsidRPr="00240A0F">
        <w:rPr>
          <w:rFonts w:ascii="Calibri" w:hAnsi="Calibri"/>
          <w:sz w:val="24"/>
        </w:rPr>
        <w:t xml:space="preserve">Board wary of their lack of </w:t>
      </w:r>
      <w:proofErr w:type="spellStart"/>
      <w:r w:rsidRPr="00240A0F">
        <w:rPr>
          <w:rFonts w:ascii="Calibri" w:hAnsi="Calibri"/>
          <w:sz w:val="24"/>
        </w:rPr>
        <w:t>criminogenic</w:t>
      </w:r>
      <w:proofErr w:type="spellEnd"/>
      <w:r w:rsidRPr="00240A0F">
        <w:rPr>
          <w:rFonts w:ascii="Calibri" w:hAnsi="Calibri"/>
          <w:sz w:val="24"/>
        </w:rPr>
        <w:t xml:space="preserve"> course-</w:t>
      </w:r>
      <w:r w:rsidR="00504065">
        <w:rPr>
          <w:rFonts w:ascii="Calibri" w:hAnsi="Calibri"/>
          <w:sz w:val="24"/>
        </w:rPr>
        <w:t>work or testing in open prison.</w:t>
      </w:r>
      <w:r w:rsidR="00504065">
        <w:rPr>
          <w:rStyle w:val="FootnoteReference"/>
          <w:rFonts w:ascii="Calibri" w:hAnsi="Calibri"/>
          <w:sz w:val="24"/>
        </w:rPr>
        <w:footnoteReference w:id="92"/>
      </w:r>
      <w:r w:rsidRPr="00240A0F">
        <w:rPr>
          <w:rFonts w:ascii="Calibri" w:hAnsi="Calibri"/>
          <w:sz w:val="24"/>
        </w:rPr>
        <w:t xml:space="preserve"> Tribunal members clinging to belief in </w:t>
      </w:r>
      <w:r w:rsidRPr="00240A0F">
        <w:rPr>
          <w:rFonts w:ascii="Calibri" w:hAnsi="Calibri"/>
          <w:sz w:val="24"/>
        </w:rPr>
        <w:lastRenderedPageBreak/>
        <w:t xml:space="preserve">the MHA’s therapeutic rationale will be troubled by the evidence in </w:t>
      </w:r>
      <w:r w:rsidRPr="00F24B6F">
        <w:rPr>
          <w:rFonts w:ascii="Calibri" w:hAnsi="Calibri"/>
          <w:i/>
          <w:sz w:val="24"/>
        </w:rPr>
        <w:t>A and Others</w:t>
      </w:r>
      <w:r w:rsidRPr="00240A0F">
        <w:rPr>
          <w:rFonts w:ascii="Calibri" w:hAnsi="Calibri"/>
          <w:sz w:val="24"/>
        </w:rPr>
        <w:t xml:space="preserve"> of the psychological im</w:t>
      </w:r>
      <w:r w:rsidR="00504065">
        <w:rPr>
          <w:rFonts w:ascii="Calibri" w:hAnsi="Calibri"/>
          <w:sz w:val="24"/>
        </w:rPr>
        <w:t>pact of indefinite detention.</w:t>
      </w:r>
      <w:r w:rsidR="00504065">
        <w:rPr>
          <w:rStyle w:val="FootnoteReference"/>
          <w:rFonts w:ascii="Calibri" w:hAnsi="Calibri"/>
          <w:sz w:val="24"/>
        </w:rPr>
        <w:footnoteReference w:id="93"/>
      </w:r>
    </w:p>
    <w:p w:rsidR="00240A0F" w:rsidRPr="00240A0F" w:rsidRDefault="00240A0F" w:rsidP="00240A0F">
      <w:pPr>
        <w:suppressAutoHyphens/>
        <w:spacing w:after="120" w:line="240" w:lineRule="auto"/>
        <w:rPr>
          <w:rFonts w:ascii="Calibri" w:hAnsi="Calibri"/>
          <w:sz w:val="24"/>
        </w:rPr>
      </w:pPr>
      <w:r w:rsidRPr="00F24B6F">
        <w:rPr>
          <w:rFonts w:ascii="Calibri" w:hAnsi="Calibri"/>
          <w:i/>
          <w:sz w:val="24"/>
        </w:rPr>
        <w:t>Anderson</w:t>
      </w:r>
      <w:r w:rsidRPr="00240A0F">
        <w:rPr>
          <w:rFonts w:ascii="Calibri" w:hAnsi="Calibri"/>
          <w:sz w:val="24"/>
        </w:rPr>
        <w:t xml:space="preserve"> presents the </w:t>
      </w:r>
      <w:proofErr w:type="spellStart"/>
      <w:r w:rsidRPr="00240A0F">
        <w:rPr>
          <w:rFonts w:ascii="Calibri" w:hAnsi="Calibri"/>
          <w:sz w:val="24"/>
        </w:rPr>
        <w:t>incoherences</w:t>
      </w:r>
      <w:proofErr w:type="spellEnd"/>
      <w:r w:rsidRPr="00240A0F">
        <w:rPr>
          <w:rFonts w:ascii="Calibri" w:hAnsi="Calibri"/>
          <w:sz w:val="24"/>
        </w:rPr>
        <w:t xml:space="preserve"> starkly. His disorder having been assessed as untreatable, Mr Anderson could not be held in a prison hospital wing because (unsurprisingly) no treatment was available for him; he could nevertheless be indefinitely detained in hospital. Furthermore, while he required hospitalisation because he was too dangerous to be held in prison, assessment of his dangerousness was deemed to be beyo</w:t>
      </w:r>
      <w:r w:rsidR="00504065">
        <w:rPr>
          <w:rFonts w:ascii="Calibri" w:hAnsi="Calibri"/>
          <w:sz w:val="24"/>
        </w:rPr>
        <w:t>nd the Tribunal’s sole remit.</w:t>
      </w:r>
      <w:r w:rsidR="00504065">
        <w:rPr>
          <w:rStyle w:val="FootnoteReference"/>
          <w:rFonts w:ascii="Calibri" w:hAnsi="Calibri"/>
          <w:sz w:val="24"/>
        </w:rPr>
        <w:footnoteReference w:id="94"/>
      </w:r>
    </w:p>
    <w:p w:rsidR="00240A0F" w:rsidRPr="00240A0F" w:rsidRDefault="00240A0F" w:rsidP="00240A0F">
      <w:pPr>
        <w:suppressAutoHyphens/>
        <w:spacing w:after="120" w:line="240" w:lineRule="auto"/>
        <w:rPr>
          <w:rFonts w:ascii="Calibri" w:hAnsi="Calibri"/>
          <w:sz w:val="24"/>
        </w:rPr>
      </w:pPr>
      <w:r w:rsidRPr="00240A0F">
        <w:rPr>
          <w:rFonts w:ascii="Calibri" w:hAnsi="Calibri"/>
          <w:sz w:val="24"/>
        </w:rPr>
        <w:t>Thus while the Board can grant parole to mentally disordered prisoners who have (randomly) avoided restriction directions, the Tribunal cannot free restriction direction patients. The logic is comprehensible given that the criminal sentence has priority as the detaining rationale: Article 5(1)(a) rather than 5(1)(e). But since the Board’s task of risk assessment is shared by restricted patient Tribunal panels in addition to their mental health responsibilities, it seems absurd for these Tribunals with their ‘exalted membership’ no</w:t>
      </w:r>
      <w:r w:rsidR="00504065">
        <w:rPr>
          <w:rFonts w:ascii="Calibri" w:hAnsi="Calibri"/>
          <w:sz w:val="24"/>
        </w:rPr>
        <w:t>t to have the power of release.</w:t>
      </w:r>
      <w:r w:rsidR="00504065">
        <w:rPr>
          <w:rStyle w:val="FootnoteReference"/>
          <w:rFonts w:ascii="Calibri" w:hAnsi="Calibri"/>
          <w:sz w:val="24"/>
        </w:rPr>
        <w:footnoteReference w:id="95"/>
      </w:r>
      <w:r w:rsidRPr="00240A0F">
        <w:rPr>
          <w:rFonts w:ascii="Calibri" w:hAnsi="Calibri"/>
          <w:sz w:val="24"/>
        </w:rPr>
        <w:t xml:space="preserve"> The situation is a looking-glass land of situations whose essential likeness </w:t>
      </w:r>
      <w:r w:rsidR="00504065">
        <w:rPr>
          <w:rFonts w:ascii="Calibri" w:hAnsi="Calibri"/>
          <w:sz w:val="24"/>
        </w:rPr>
        <w:t>is revealed yet divided by law.</w:t>
      </w:r>
    </w:p>
    <w:p w:rsidR="00240A0F" w:rsidRPr="00240A0F" w:rsidRDefault="00240A0F" w:rsidP="00240A0F">
      <w:pPr>
        <w:suppressAutoHyphens/>
        <w:spacing w:after="120" w:line="240" w:lineRule="auto"/>
        <w:rPr>
          <w:rFonts w:ascii="Calibri" w:hAnsi="Calibri"/>
          <w:sz w:val="24"/>
        </w:rPr>
      </w:pPr>
      <w:r w:rsidRPr="00240A0F">
        <w:rPr>
          <w:rFonts w:ascii="Calibri" w:hAnsi="Calibri"/>
          <w:sz w:val="24"/>
        </w:rPr>
        <w:t>Perhaps the least adequately defined of all prisoners and patients are the ‘personality diso</w:t>
      </w:r>
      <w:r w:rsidR="00504065">
        <w:rPr>
          <w:rFonts w:ascii="Calibri" w:hAnsi="Calibri"/>
          <w:sz w:val="24"/>
        </w:rPr>
        <w:t>rdered’,</w:t>
      </w:r>
      <w:r w:rsidR="00504065">
        <w:rPr>
          <w:rStyle w:val="FootnoteReference"/>
          <w:rFonts w:ascii="Calibri" w:hAnsi="Calibri"/>
          <w:sz w:val="24"/>
        </w:rPr>
        <w:footnoteReference w:id="96"/>
      </w:r>
      <w:r w:rsidRPr="00240A0F">
        <w:rPr>
          <w:rFonts w:ascii="Calibri" w:hAnsi="Calibri"/>
          <w:sz w:val="24"/>
        </w:rPr>
        <w:t xml:space="preserve"> whose situation encapsulates the potential arbitrariness of the dual system. ‘Why does he keep committing crimes? Because he is a psychopath. How do you know he's a psychopath? Because he keeps committing crimes.’</w:t>
      </w:r>
      <w:r w:rsidR="00504065">
        <w:rPr>
          <w:rStyle w:val="FootnoteReference"/>
          <w:rFonts w:ascii="Calibri" w:hAnsi="Calibri"/>
          <w:sz w:val="24"/>
        </w:rPr>
        <w:footnoteReference w:id="97"/>
      </w:r>
      <w:r w:rsidRPr="00240A0F">
        <w:rPr>
          <w:rFonts w:ascii="Calibri" w:hAnsi="Calibri"/>
          <w:sz w:val="24"/>
        </w:rPr>
        <w:t xml:space="preserve"> It is the next twist which is deadly: the ‘extent to which abnormally aggressive or seriously irresponsible conduct now occurs may throw light on whether there is a psychopathic disorder, but the disorder may still exist, even if there has been no s</w:t>
      </w:r>
      <w:r w:rsidR="00504065">
        <w:rPr>
          <w:rFonts w:ascii="Calibri" w:hAnsi="Calibri"/>
          <w:sz w:val="24"/>
        </w:rPr>
        <w:t>uch conduct for several years.’</w:t>
      </w:r>
      <w:r w:rsidR="00504065">
        <w:rPr>
          <w:rStyle w:val="FootnoteReference"/>
          <w:rFonts w:ascii="Calibri" w:hAnsi="Calibri"/>
          <w:sz w:val="24"/>
        </w:rPr>
        <w:footnoteReference w:id="98"/>
      </w:r>
      <w:r w:rsidRPr="00240A0F">
        <w:rPr>
          <w:rFonts w:ascii="Calibri" w:hAnsi="Calibri"/>
          <w:sz w:val="24"/>
        </w:rPr>
        <w:t xml:space="preserve"> How do you know he’s a psychopath? Because he used</w:t>
      </w:r>
      <w:r w:rsidR="00504065">
        <w:rPr>
          <w:rFonts w:ascii="Calibri" w:hAnsi="Calibri"/>
          <w:sz w:val="24"/>
        </w:rPr>
        <w:t xml:space="preserve"> to be seriously irresponsible.</w:t>
      </w:r>
    </w:p>
    <w:p w:rsidR="00240A0F" w:rsidRPr="00240A0F" w:rsidRDefault="00240A0F" w:rsidP="00240A0F">
      <w:pPr>
        <w:suppressAutoHyphens/>
        <w:spacing w:after="120" w:line="240" w:lineRule="auto"/>
        <w:rPr>
          <w:rFonts w:ascii="Calibri" w:hAnsi="Calibri"/>
          <w:sz w:val="24"/>
        </w:rPr>
      </w:pPr>
      <w:r w:rsidRPr="00240A0F">
        <w:rPr>
          <w:rFonts w:ascii="Calibri" w:hAnsi="Calibri"/>
          <w:sz w:val="24"/>
        </w:rPr>
        <w:t>The problem has two sub-divisions. One is the legitimacy in principle of indeterminate preventive detention. The other is the lack of any clear division between incontrovertibly dangerous ‘psychopaths’ and other personality disordered individuals. For Lord Bradley, the government’s DSPD programme (for dangerous and severe personality disordered people) was a positive step towards treating the hitherto ‘untreatable’ PD population.</w:t>
      </w:r>
      <w:r w:rsidR="00504065">
        <w:rPr>
          <w:rStyle w:val="FootnoteReference"/>
          <w:rFonts w:ascii="Calibri" w:hAnsi="Calibri"/>
          <w:sz w:val="24"/>
        </w:rPr>
        <w:footnoteReference w:id="99"/>
      </w:r>
      <w:r w:rsidRPr="00240A0F">
        <w:rPr>
          <w:rFonts w:ascii="Calibri" w:hAnsi="Calibri"/>
          <w:sz w:val="24"/>
        </w:rPr>
        <w:t xml:space="preserve"> Others are more suspicious. For them it is a confirmation of all that i</w:t>
      </w:r>
      <w:r w:rsidR="00504065">
        <w:rPr>
          <w:rFonts w:ascii="Calibri" w:hAnsi="Calibri"/>
          <w:sz w:val="24"/>
        </w:rPr>
        <w:t>s prejudiced and stigmatising;</w:t>
      </w:r>
      <w:r w:rsidR="00504065">
        <w:rPr>
          <w:rStyle w:val="FootnoteReference"/>
          <w:rFonts w:ascii="Calibri" w:hAnsi="Calibri"/>
          <w:sz w:val="24"/>
        </w:rPr>
        <w:footnoteReference w:id="100"/>
      </w:r>
      <w:r w:rsidRPr="00240A0F">
        <w:rPr>
          <w:rFonts w:ascii="Calibri" w:hAnsi="Calibri"/>
          <w:sz w:val="24"/>
        </w:rPr>
        <w:t xml:space="preserve"> an attempt to conceal indefinite detention be</w:t>
      </w:r>
      <w:r w:rsidR="00504065">
        <w:rPr>
          <w:rFonts w:ascii="Calibri" w:hAnsi="Calibri"/>
          <w:sz w:val="24"/>
        </w:rPr>
        <w:t>hind mental health legislation;</w:t>
      </w:r>
      <w:r w:rsidR="00504065">
        <w:rPr>
          <w:rStyle w:val="FootnoteReference"/>
          <w:rFonts w:ascii="Calibri" w:hAnsi="Calibri"/>
          <w:sz w:val="24"/>
        </w:rPr>
        <w:footnoteReference w:id="101"/>
      </w:r>
      <w:r w:rsidRPr="00240A0F">
        <w:rPr>
          <w:rFonts w:ascii="Calibri" w:hAnsi="Calibri"/>
          <w:sz w:val="24"/>
        </w:rPr>
        <w:t xml:space="preserve"> a malign use of </w:t>
      </w:r>
      <w:r w:rsidRPr="00240A0F">
        <w:rPr>
          <w:rFonts w:ascii="Calibri" w:hAnsi="Calibri"/>
          <w:sz w:val="24"/>
        </w:rPr>
        <w:lastRenderedPageBreak/>
        <w:t>hospitalisation for social control.</w:t>
      </w:r>
      <w:r w:rsidR="00504065">
        <w:rPr>
          <w:rStyle w:val="FootnoteReference"/>
          <w:rFonts w:ascii="Calibri" w:hAnsi="Calibri"/>
          <w:sz w:val="24"/>
        </w:rPr>
        <w:footnoteReference w:id="102"/>
      </w:r>
      <w:r w:rsidRPr="00240A0F">
        <w:rPr>
          <w:rFonts w:ascii="Calibri" w:hAnsi="Calibri"/>
          <w:sz w:val="24"/>
        </w:rPr>
        <w:t xml:space="preserve"> Psychiatrists have denounced the categorisation as undefined and clinically unrecognised.</w:t>
      </w:r>
      <w:r w:rsidR="00504065">
        <w:rPr>
          <w:rStyle w:val="FootnoteReference"/>
          <w:rFonts w:ascii="Calibri" w:hAnsi="Calibri"/>
          <w:sz w:val="24"/>
        </w:rPr>
        <w:footnoteReference w:id="103"/>
      </w:r>
      <w:r w:rsidRPr="00240A0F">
        <w:rPr>
          <w:rFonts w:ascii="Calibri" w:hAnsi="Calibri"/>
          <w:sz w:val="24"/>
        </w:rPr>
        <w:t xml:space="preserve"> DSPD has been described as a ‘monster’ created by government as a precursor to ‘draconian legislative powers’, which though not themselves materialising had an equivalent in IPP.</w:t>
      </w:r>
      <w:r w:rsidR="007C25E2">
        <w:rPr>
          <w:rStyle w:val="FootnoteReference"/>
          <w:rFonts w:ascii="Calibri" w:hAnsi="Calibri"/>
          <w:sz w:val="24"/>
        </w:rPr>
        <w:footnoteReference w:id="104"/>
      </w:r>
      <w:r w:rsidRPr="00240A0F">
        <w:rPr>
          <w:rFonts w:ascii="Calibri" w:hAnsi="Calibri"/>
          <w:sz w:val="24"/>
        </w:rPr>
        <w:t xml:space="preserve"> Moncrieff has a parallel concern, focused on the treatment of patients restricted for a wide variety of reasons ‘as if they were restricted for the same reason – the protection of the public from serious harm.’</w:t>
      </w:r>
      <w:r w:rsidR="007C25E2">
        <w:rPr>
          <w:rStyle w:val="FootnoteReference"/>
          <w:rFonts w:ascii="Calibri" w:hAnsi="Calibri"/>
          <w:sz w:val="24"/>
        </w:rPr>
        <w:footnoteReference w:id="105"/>
      </w:r>
      <w:r w:rsidRPr="00240A0F">
        <w:rPr>
          <w:rFonts w:ascii="Calibri" w:hAnsi="Calibri"/>
          <w:sz w:val="24"/>
        </w:rPr>
        <w:t xml:space="preserve"> In a culture in which indefinite detention has become legally normalised, lack of definition permits ‘dangerousness’ to become the scientist’s despair: an </w:t>
      </w:r>
      <w:proofErr w:type="spellStart"/>
      <w:r w:rsidRPr="00240A0F">
        <w:rPr>
          <w:rFonts w:ascii="Calibri" w:hAnsi="Calibri"/>
          <w:sz w:val="24"/>
        </w:rPr>
        <w:t>unfalsifiable</w:t>
      </w:r>
      <w:proofErr w:type="spellEnd"/>
      <w:r w:rsidRPr="00240A0F">
        <w:rPr>
          <w:rFonts w:ascii="Calibri" w:hAnsi="Calibri"/>
          <w:sz w:val="24"/>
        </w:rPr>
        <w:t xml:space="preserve"> proposition and a statemen</w:t>
      </w:r>
      <w:r w:rsidR="007C25E2">
        <w:rPr>
          <w:rFonts w:ascii="Calibri" w:hAnsi="Calibri"/>
          <w:sz w:val="24"/>
        </w:rPr>
        <w:t>t of prejudice and aversion.</w:t>
      </w:r>
      <w:r w:rsidR="007C25E2">
        <w:rPr>
          <w:rStyle w:val="FootnoteReference"/>
          <w:rFonts w:ascii="Calibri" w:hAnsi="Calibri"/>
          <w:sz w:val="24"/>
        </w:rPr>
        <w:footnoteReference w:id="106"/>
      </w:r>
    </w:p>
    <w:p w:rsidR="007C25E2" w:rsidRDefault="007C25E2" w:rsidP="00240A0F">
      <w:pPr>
        <w:suppressAutoHyphens/>
        <w:spacing w:after="120" w:line="240" w:lineRule="auto"/>
        <w:rPr>
          <w:rFonts w:ascii="Calibri" w:hAnsi="Calibri"/>
          <w:sz w:val="24"/>
        </w:rPr>
      </w:pPr>
    </w:p>
    <w:p w:rsidR="00240A0F" w:rsidRPr="007C25E2" w:rsidRDefault="007C25E2" w:rsidP="00240A0F">
      <w:pPr>
        <w:suppressAutoHyphens/>
        <w:spacing w:after="120" w:line="240" w:lineRule="auto"/>
        <w:rPr>
          <w:rFonts w:ascii="Calibri" w:hAnsi="Calibri"/>
          <w:b/>
          <w:sz w:val="28"/>
        </w:rPr>
      </w:pPr>
      <w:r w:rsidRPr="007C25E2">
        <w:rPr>
          <w:rFonts w:ascii="Calibri" w:hAnsi="Calibri"/>
          <w:b/>
          <w:sz w:val="28"/>
        </w:rPr>
        <w:t>Conclusion</w:t>
      </w:r>
    </w:p>
    <w:p w:rsidR="00240A0F" w:rsidRPr="00240A0F" w:rsidRDefault="00240A0F" w:rsidP="00240A0F">
      <w:pPr>
        <w:suppressAutoHyphens/>
        <w:spacing w:after="120" w:line="240" w:lineRule="auto"/>
        <w:rPr>
          <w:rFonts w:ascii="Calibri" w:hAnsi="Calibri"/>
          <w:sz w:val="24"/>
        </w:rPr>
      </w:pPr>
      <w:r w:rsidRPr="00240A0F">
        <w:rPr>
          <w:rFonts w:ascii="Calibri" w:hAnsi="Calibri"/>
          <w:sz w:val="24"/>
        </w:rPr>
        <w:t xml:space="preserve">Moral cowardice lay at the heart of the previous government’s discussion and formulation of policy on dangerous individuals. The British Association of Social Workers noted the </w:t>
      </w:r>
      <w:bookmarkStart w:id="0" w:name="_GoBack"/>
      <w:bookmarkEnd w:id="0"/>
      <w:r w:rsidRPr="00240A0F">
        <w:rPr>
          <w:rFonts w:ascii="Calibri" w:hAnsi="Calibri"/>
          <w:sz w:val="24"/>
        </w:rPr>
        <w:t xml:space="preserve">contrast between the extension of compulsory powers to include personality disordered patients under the </w:t>
      </w:r>
      <w:r w:rsidRPr="001B14E7">
        <w:rPr>
          <w:rFonts w:ascii="Calibri" w:hAnsi="Calibri"/>
          <w:i/>
          <w:sz w:val="24"/>
        </w:rPr>
        <w:t>Mental Health Bill 2007</w:t>
      </w:r>
      <w:r w:rsidRPr="00240A0F">
        <w:rPr>
          <w:rFonts w:ascii="Calibri" w:hAnsi="Calibri"/>
          <w:sz w:val="24"/>
        </w:rPr>
        <w:t xml:space="preserve"> with the lack of actual funds for treatment of such disorders, </w:t>
      </w:r>
      <w:r w:rsidR="007C25E2">
        <w:rPr>
          <w:rFonts w:ascii="Calibri" w:hAnsi="Calibri"/>
          <w:sz w:val="24"/>
        </w:rPr>
        <w:t>in hospital or the community.</w:t>
      </w:r>
      <w:r w:rsidR="007C25E2">
        <w:rPr>
          <w:rStyle w:val="FootnoteReference"/>
          <w:rFonts w:ascii="Calibri" w:hAnsi="Calibri"/>
          <w:sz w:val="24"/>
        </w:rPr>
        <w:footnoteReference w:id="107"/>
      </w:r>
      <w:r w:rsidRPr="00240A0F">
        <w:rPr>
          <w:rFonts w:ascii="Calibri" w:hAnsi="Calibri"/>
          <w:sz w:val="24"/>
        </w:rPr>
        <w:t xml:space="preserve"> It is hard to make sense of government policy save by recognising its desire to be seen as tough on crime and disorder and the individuals which exemplify them, without needing to take on the long-term expenditure needed to address the needs of electora</w:t>
      </w:r>
      <w:r w:rsidR="007C25E2">
        <w:rPr>
          <w:rFonts w:ascii="Calibri" w:hAnsi="Calibri"/>
          <w:sz w:val="24"/>
        </w:rPr>
        <w:t>lly unrewarding social misfits.</w:t>
      </w:r>
    </w:p>
    <w:p w:rsidR="00240A0F" w:rsidRPr="00240A0F" w:rsidRDefault="00240A0F" w:rsidP="00240A0F">
      <w:pPr>
        <w:suppressAutoHyphens/>
        <w:spacing w:after="120" w:line="240" w:lineRule="auto"/>
        <w:rPr>
          <w:rFonts w:ascii="Calibri" w:hAnsi="Calibri"/>
          <w:sz w:val="24"/>
        </w:rPr>
      </w:pPr>
      <w:r w:rsidRPr="00240A0F">
        <w:rPr>
          <w:rFonts w:ascii="Calibri" w:hAnsi="Calibri"/>
          <w:sz w:val="24"/>
        </w:rPr>
        <w:t xml:space="preserve">Compulsion, whether in hospital or in the community, is a policy of containment which minimises costs while maximising electoral advantage. Were the motives otherwise, the </w:t>
      </w:r>
      <w:proofErr w:type="spellStart"/>
      <w:r w:rsidRPr="00240A0F">
        <w:rPr>
          <w:rFonts w:ascii="Calibri" w:hAnsi="Calibri"/>
          <w:sz w:val="24"/>
        </w:rPr>
        <w:t>DoH</w:t>
      </w:r>
      <w:proofErr w:type="spellEnd"/>
      <w:r w:rsidRPr="00240A0F">
        <w:rPr>
          <w:rFonts w:ascii="Calibri" w:hAnsi="Calibri"/>
          <w:sz w:val="24"/>
        </w:rPr>
        <w:t xml:space="preserve"> anti-stigma campaign, supported by coherent policies of health and social care, would be at the forefront of political self-presentation and funds, not the </w:t>
      </w:r>
      <w:proofErr w:type="spellStart"/>
      <w:r w:rsidRPr="00240A0F">
        <w:rPr>
          <w:rFonts w:ascii="Calibri" w:hAnsi="Calibri"/>
          <w:sz w:val="24"/>
        </w:rPr>
        <w:t>MoJ’s</w:t>
      </w:r>
      <w:proofErr w:type="spellEnd"/>
      <w:r w:rsidRPr="00240A0F">
        <w:rPr>
          <w:rFonts w:ascii="Calibri" w:hAnsi="Calibri"/>
          <w:sz w:val="24"/>
        </w:rPr>
        <w:t xml:space="preserve"> crime and disorder agenda. For the policy rides in the face of evidence that popular fears legitimate unnecessarily harsh legislation and counter-productively cautious decision-makin</w:t>
      </w:r>
      <w:r w:rsidR="00A74CBF">
        <w:rPr>
          <w:rFonts w:ascii="Calibri" w:hAnsi="Calibri"/>
          <w:sz w:val="24"/>
        </w:rPr>
        <w:t>g on sentencing and release.</w:t>
      </w:r>
      <w:r w:rsidR="00A74CBF">
        <w:rPr>
          <w:rStyle w:val="FootnoteReference"/>
          <w:rFonts w:ascii="Calibri" w:hAnsi="Calibri"/>
          <w:sz w:val="24"/>
        </w:rPr>
        <w:footnoteReference w:id="108"/>
      </w:r>
    </w:p>
    <w:p w:rsidR="00240A0F" w:rsidRPr="00240A0F" w:rsidRDefault="00240A0F" w:rsidP="00240A0F">
      <w:pPr>
        <w:suppressAutoHyphens/>
        <w:spacing w:after="120" w:line="240" w:lineRule="auto"/>
        <w:rPr>
          <w:rFonts w:ascii="Calibri" w:hAnsi="Calibri"/>
          <w:sz w:val="24"/>
        </w:rPr>
      </w:pPr>
      <w:r w:rsidRPr="00240A0F">
        <w:rPr>
          <w:rFonts w:ascii="Calibri" w:hAnsi="Calibri"/>
          <w:sz w:val="24"/>
        </w:rPr>
        <w:lastRenderedPageBreak/>
        <w:t xml:space="preserve">Concern about the implications of this legal situation for effectively arbitrary detention need not rest on any political judgment about the intentions of the last or present government. Legal safeguards exist to protect us against potential as well as actual danger; when abuse ceases to be potential, it is probably too late to guard against it. Therein lies the inadequacy of denying the threat to civil liberties posed by recent terrorism legislation on the grounds of </w:t>
      </w:r>
      <w:r w:rsidR="00A74CBF">
        <w:rPr>
          <w:rFonts w:ascii="Calibri" w:hAnsi="Calibri"/>
          <w:sz w:val="24"/>
        </w:rPr>
        <w:t>government’s benign intentions.</w:t>
      </w:r>
    </w:p>
    <w:p w:rsidR="00240A0F" w:rsidRPr="00240A0F" w:rsidRDefault="00240A0F" w:rsidP="00240A0F">
      <w:pPr>
        <w:suppressAutoHyphens/>
        <w:spacing w:after="120" w:line="240" w:lineRule="auto"/>
        <w:rPr>
          <w:rFonts w:ascii="Calibri" w:hAnsi="Calibri"/>
          <w:sz w:val="24"/>
        </w:rPr>
      </w:pPr>
      <w:r w:rsidRPr="00240A0F">
        <w:rPr>
          <w:rFonts w:ascii="Calibri" w:hAnsi="Calibri"/>
          <w:sz w:val="24"/>
        </w:rPr>
        <w:t>Challenges to populist myths about the equations of mental disorder and crime with dangerousness by one part of government are swamped by executive pronouncements, statute and case-law which validate them. Fantasies about a risk-free society are politically manipulated. Lawful powers exist and are exercised to detain people indefinitely and preventively; such detention can be maximised by the selective use of mental health and criminal law. The ECHR provides protection against abuses, but is generous in its definition</w:t>
      </w:r>
      <w:r w:rsidR="00A74CBF">
        <w:rPr>
          <w:rFonts w:ascii="Calibri" w:hAnsi="Calibri"/>
          <w:sz w:val="24"/>
        </w:rPr>
        <w:t xml:space="preserve"> of the lawful.</w:t>
      </w:r>
    </w:p>
    <w:p w:rsidR="00343FD2" w:rsidRPr="00240A0F" w:rsidRDefault="00240A0F" w:rsidP="00240A0F">
      <w:pPr>
        <w:suppressAutoHyphens/>
        <w:spacing w:after="120" w:line="240" w:lineRule="auto"/>
        <w:rPr>
          <w:rFonts w:ascii="Calibri" w:hAnsi="Calibri"/>
          <w:sz w:val="24"/>
        </w:rPr>
      </w:pPr>
      <w:r w:rsidRPr="00240A0F">
        <w:rPr>
          <w:rFonts w:ascii="Calibri" w:hAnsi="Calibri"/>
          <w:sz w:val="24"/>
        </w:rPr>
        <w:t>The problem of dangerous anti-social behaviour is real, and the balance to be struck between individual freedom and public safety demands continuing debate. But such conversation must involve more imaginative consideration of how a society can deal with its own ‘brokenness’, less fear-driven approaches to mental disorder and more historical awareness of the significance of civil liberties.</w:t>
      </w:r>
    </w:p>
    <w:sectPr w:rsidR="00343FD2" w:rsidRPr="00240A0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EE7" w:rsidRDefault="004B6EE7" w:rsidP="00240A0F">
      <w:pPr>
        <w:spacing w:after="0" w:line="240" w:lineRule="auto"/>
      </w:pPr>
      <w:r>
        <w:separator/>
      </w:r>
    </w:p>
  </w:endnote>
  <w:endnote w:type="continuationSeparator" w:id="0">
    <w:p w:rsidR="004B6EE7" w:rsidRDefault="004B6EE7" w:rsidP="00240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EE7" w:rsidRDefault="004B6EE7" w:rsidP="00240A0F">
      <w:pPr>
        <w:spacing w:after="0" w:line="240" w:lineRule="auto"/>
      </w:pPr>
      <w:r>
        <w:separator/>
      </w:r>
    </w:p>
  </w:footnote>
  <w:footnote w:type="continuationSeparator" w:id="0">
    <w:p w:rsidR="004B6EE7" w:rsidRDefault="004B6EE7" w:rsidP="00240A0F">
      <w:pPr>
        <w:spacing w:after="0" w:line="240" w:lineRule="auto"/>
      </w:pPr>
      <w:r>
        <w:continuationSeparator/>
      </w:r>
    </w:p>
  </w:footnote>
  <w:footnote w:id="1">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Student on the LLM (Mental Health Law) programme, University of Northumbria 2008-2010.</w:t>
      </w:r>
    </w:p>
  </w:footnote>
  <w:footnote w:id="2">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See for example the comments of Helena Kennedy QC in ‘Access to justice after New Labour’ (January 2010) </w:t>
      </w:r>
      <w:r w:rsidRPr="0034354C">
        <w:rPr>
          <w:rFonts w:ascii="Calibri" w:hAnsi="Calibri"/>
          <w:i/>
          <w:sz w:val="18"/>
        </w:rPr>
        <w:t>Legal Action</w:t>
      </w:r>
      <w:r w:rsidRPr="00A74CBF">
        <w:rPr>
          <w:rFonts w:ascii="Calibri" w:hAnsi="Calibri"/>
          <w:sz w:val="18"/>
        </w:rPr>
        <w:t xml:space="preserve"> news 6-9.</w:t>
      </w:r>
    </w:p>
  </w:footnote>
  <w:footnote w:id="3">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Notably in </w:t>
      </w:r>
      <w:proofErr w:type="spellStart"/>
      <w:r w:rsidRPr="0034354C">
        <w:rPr>
          <w:rFonts w:ascii="Calibri" w:hAnsi="Calibri"/>
          <w:i/>
          <w:sz w:val="18"/>
        </w:rPr>
        <w:t>SoS</w:t>
      </w:r>
      <w:proofErr w:type="spellEnd"/>
      <w:r w:rsidRPr="0034354C">
        <w:rPr>
          <w:rFonts w:ascii="Calibri" w:hAnsi="Calibri"/>
          <w:i/>
          <w:sz w:val="18"/>
        </w:rPr>
        <w:t xml:space="preserve"> for the Home Department v AF (No 3); Same v AN; Same v AE [2009] UKHL 28; A and others v United Kingdom [2009] ECHR 3455/05; N v </w:t>
      </w:r>
      <w:proofErr w:type="spellStart"/>
      <w:r w:rsidRPr="0034354C">
        <w:rPr>
          <w:rFonts w:ascii="Calibri" w:hAnsi="Calibri"/>
          <w:i/>
          <w:sz w:val="18"/>
        </w:rPr>
        <w:t>SoS</w:t>
      </w:r>
      <w:proofErr w:type="spellEnd"/>
      <w:r w:rsidRPr="0034354C">
        <w:rPr>
          <w:rFonts w:ascii="Calibri" w:hAnsi="Calibri"/>
          <w:i/>
          <w:sz w:val="18"/>
        </w:rPr>
        <w:t xml:space="preserve"> for the Home Department [2010] EWCA </w:t>
      </w:r>
      <w:proofErr w:type="spellStart"/>
      <w:r w:rsidRPr="0034354C">
        <w:rPr>
          <w:rFonts w:ascii="Calibri" w:hAnsi="Calibri"/>
          <w:i/>
          <w:sz w:val="18"/>
        </w:rPr>
        <w:t>Civ</w:t>
      </w:r>
      <w:proofErr w:type="spellEnd"/>
      <w:r w:rsidRPr="0034354C">
        <w:rPr>
          <w:rFonts w:ascii="Calibri" w:hAnsi="Calibri"/>
          <w:i/>
          <w:sz w:val="18"/>
        </w:rPr>
        <w:t xml:space="preserve"> 869; R (AP) v </w:t>
      </w:r>
      <w:proofErr w:type="spellStart"/>
      <w:r w:rsidRPr="0034354C">
        <w:rPr>
          <w:rFonts w:ascii="Calibri" w:hAnsi="Calibri"/>
          <w:i/>
          <w:sz w:val="18"/>
        </w:rPr>
        <w:t>SoS</w:t>
      </w:r>
      <w:proofErr w:type="spellEnd"/>
      <w:r w:rsidRPr="0034354C">
        <w:rPr>
          <w:rFonts w:ascii="Calibri" w:hAnsi="Calibri"/>
          <w:i/>
          <w:sz w:val="18"/>
        </w:rPr>
        <w:t xml:space="preserve"> for the Home Department [2010] UKSC 24</w:t>
      </w:r>
      <w:r w:rsidRPr="00A74CBF">
        <w:rPr>
          <w:rFonts w:ascii="Calibri" w:hAnsi="Calibri"/>
          <w:sz w:val="18"/>
        </w:rPr>
        <w:t>.</w:t>
      </w:r>
    </w:p>
  </w:footnote>
  <w:footnote w:id="4">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Department of Health, </w:t>
      </w:r>
      <w:r w:rsidRPr="0034354C">
        <w:rPr>
          <w:rFonts w:ascii="Calibri" w:hAnsi="Calibri"/>
          <w:i/>
          <w:sz w:val="18"/>
        </w:rPr>
        <w:t>Safety First: Five-Year Report of the National Confidential Inquiry into Suicide and Homicide by People with Mental Illness</w:t>
      </w:r>
      <w:r w:rsidRPr="00A74CBF">
        <w:rPr>
          <w:rFonts w:ascii="Calibri" w:hAnsi="Calibri"/>
          <w:sz w:val="18"/>
        </w:rPr>
        <w:t xml:space="preserve">, (London: TSO 2001), p152. Government’s enthusiasm for wider-reaching anti-discrimination measures will be indicated by the speed of implementation of the </w:t>
      </w:r>
      <w:r w:rsidRPr="0034354C">
        <w:rPr>
          <w:rFonts w:ascii="Calibri" w:hAnsi="Calibri"/>
          <w:i/>
          <w:sz w:val="18"/>
        </w:rPr>
        <w:t>Equality Act 2010</w:t>
      </w:r>
      <w:r w:rsidRPr="00A74CBF">
        <w:rPr>
          <w:rFonts w:ascii="Calibri" w:hAnsi="Calibri"/>
          <w:sz w:val="18"/>
        </w:rPr>
        <w:t>’s public sector equality and socio-economic duties; the latter is disappointingly weak.</w:t>
      </w:r>
    </w:p>
  </w:footnote>
  <w:footnote w:id="5">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http://www.telegraph.co.uk/news/newsvideo/uk-politics­video/8043713/Ken-Clarke-calls-for-prison-reform.html</w:t>
      </w:r>
    </w:p>
  </w:footnote>
  <w:footnote w:id="6">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Home Secretary Charles Clarke, </w:t>
      </w:r>
      <w:r w:rsidRPr="00E34E63">
        <w:rPr>
          <w:rFonts w:ascii="Calibri" w:hAnsi="Calibri"/>
          <w:i/>
          <w:sz w:val="18"/>
        </w:rPr>
        <w:t>New Public Protection Measures: Home Office press release following the murder of John Monckton in 2005 by a prisoner on licence</w:t>
      </w:r>
      <w:r w:rsidRPr="00A74CBF">
        <w:rPr>
          <w:rFonts w:ascii="Calibri" w:hAnsi="Calibri"/>
          <w:sz w:val="18"/>
        </w:rPr>
        <w:t xml:space="preserve">, (20 April 2006). http://press.homeoffice.gov.uk/press­releases/new-protection-measures. See also the </w:t>
      </w:r>
      <w:r w:rsidRPr="00E34E63">
        <w:rPr>
          <w:rFonts w:ascii="Calibri" w:hAnsi="Calibri"/>
          <w:i/>
          <w:sz w:val="18"/>
        </w:rPr>
        <w:t>White Paper on Sentencing, 2002</w:t>
      </w:r>
      <w:r w:rsidRPr="00A74CBF">
        <w:rPr>
          <w:rFonts w:ascii="Calibri" w:hAnsi="Calibri"/>
          <w:sz w:val="18"/>
        </w:rPr>
        <w:t xml:space="preserve">, quoted in the Bennett Report, </w:t>
      </w:r>
      <w:r w:rsidRPr="00E34E63">
        <w:rPr>
          <w:rFonts w:ascii="Calibri" w:hAnsi="Calibri"/>
          <w:i/>
          <w:sz w:val="18"/>
        </w:rPr>
        <w:t>The social costs of dangerousness: prison and the dangerous classes</w:t>
      </w:r>
      <w:r w:rsidRPr="00A74CBF">
        <w:rPr>
          <w:rFonts w:ascii="Calibri" w:hAnsi="Calibri"/>
          <w:sz w:val="18"/>
        </w:rPr>
        <w:t>, Centre for Crime and Justice Studies, (2008) p6.</w:t>
      </w:r>
    </w:p>
  </w:footnote>
  <w:footnote w:id="7">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For example ‘counter-terrorism’ legislation, the growth of administrative penalties and erosion of the jury system. The House of Lords has arguably shown more backbone, for example in its debates over mental health reform in this century.</w:t>
      </w:r>
    </w:p>
  </w:footnote>
  <w:footnote w:id="8">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However, the Appeal Court’s recent ruling in </w:t>
      </w:r>
      <w:r w:rsidRPr="00E34E63">
        <w:rPr>
          <w:rFonts w:ascii="Calibri" w:hAnsi="Calibri"/>
          <w:i/>
          <w:sz w:val="18"/>
        </w:rPr>
        <w:t xml:space="preserve">R (Mohamed) v </w:t>
      </w:r>
      <w:proofErr w:type="spellStart"/>
      <w:r w:rsidRPr="00E34E63">
        <w:rPr>
          <w:rFonts w:ascii="Calibri" w:hAnsi="Calibri"/>
          <w:i/>
          <w:sz w:val="18"/>
        </w:rPr>
        <w:t>SoS</w:t>
      </w:r>
      <w:proofErr w:type="spellEnd"/>
      <w:r w:rsidRPr="00E34E63">
        <w:rPr>
          <w:rFonts w:ascii="Calibri" w:hAnsi="Calibri"/>
          <w:i/>
          <w:sz w:val="18"/>
        </w:rPr>
        <w:t xml:space="preserve"> for Foreign &amp; Commonwealth Affairs [2010] WL 442342</w:t>
      </w:r>
      <w:r w:rsidRPr="00A74CBF">
        <w:rPr>
          <w:rFonts w:ascii="Calibri" w:hAnsi="Calibri"/>
          <w:sz w:val="18"/>
        </w:rPr>
        <w:t xml:space="preserve"> importantly affirms open justice as one of the central factors to be considered in balancing public interest concerns.</w:t>
      </w:r>
    </w:p>
  </w:footnote>
  <w:footnote w:id="9">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Though some sceptics suggest that these were effectively unavoidable inheritances from the John Smith years.</w:t>
      </w:r>
    </w:p>
  </w:footnote>
  <w:footnote w:id="10">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See H. Southey, ‘A personal ov</w:t>
      </w:r>
      <w:r>
        <w:rPr>
          <w:rFonts w:ascii="Calibri" w:hAnsi="Calibri"/>
          <w:sz w:val="18"/>
        </w:rPr>
        <w:t xml:space="preserve">erview’, in N. </w:t>
      </w:r>
      <w:proofErr w:type="spellStart"/>
      <w:r>
        <w:rPr>
          <w:rFonts w:ascii="Calibri" w:hAnsi="Calibri"/>
          <w:sz w:val="18"/>
        </w:rPr>
        <w:t>Padfield</w:t>
      </w:r>
      <w:proofErr w:type="spellEnd"/>
      <w:r>
        <w:rPr>
          <w:rFonts w:ascii="Calibri" w:hAnsi="Calibri"/>
          <w:sz w:val="18"/>
        </w:rPr>
        <w:t xml:space="preserve"> (ed.), </w:t>
      </w:r>
      <w:r w:rsidRPr="00E34E63">
        <w:rPr>
          <w:rFonts w:ascii="Calibri" w:hAnsi="Calibri"/>
          <w:i/>
          <w:sz w:val="18"/>
        </w:rPr>
        <w:t>Who to Release: Parole, fairness and criminal justice</w:t>
      </w:r>
      <w:r w:rsidRPr="00A74CBF">
        <w:rPr>
          <w:rFonts w:ascii="Calibri" w:hAnsi="Calibri"/>
          <w:sz w:val="18"/>
        </w:rPr>
        <w:t xml:space="preserve">, </w:t>
      </w:r>
      <w:proofErr w:type="spellStart"/>
      <w:r w:rsidRPr="00A74CBF">
        <w:rPr>
          <w:rFonts w:ascii="Calibri" w:hAnsi="Calibri"/>
          <w:sz w:val="18"/>
        </w:rPr>
        <w:t>Willan</w:t>
      </w:r>
      <w:proofErr w:type="spellEnd"/>
      <w:r w:rsidRPr="00A74CBF">
        <w:rPr>
          <w:rFonts w:ascii="Calibri" w:hAnsi="Calibri"/>
          <w:sz w:val="18"/>
        </w:rPr>
        <w:t xml:space="preserve"> Publish</w:t>
      </w:r>
      <w:r>
        <w:rPr>
          <w:rFonts w:ascii="Calibri" w:hAnsi="Calibri"/>
          <w:sz w:val="18"/>
        </w:rPr>
        <w:t xml:space="preserve">ing, (2007) p239; J. Thompson, </w:t>
      </w:r>
      <w:r w:rsidRPr="00E34E63">
        <w:rPr>
          <w:rFonts w:ascii="Calibri" w:hAnsi="Calibri"/>
          <w:i/>
          <w:sz w:val="18"/>
        </w:rPr>
        <w:t>The recall and re-release of determinate sentence prisoners</w:t>
      </w:r>
      <w:r w:rsidRPr="00A74CBF">
        <w:rPr>
          <w:rFonts w:ascii="Calibri" w:hAnsi="Calibri"/>
          <w:sz w:val="18"/>
        </w:rPr>
        <w:t>, in the same volume, p157.</w:t>
      </w:r>
    </w:p>
  </w:footnote>
  <w:footnote w:id="11">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Bennett Report (2008) pp14-16, quoting the Home Office, 2006. In particular, he singles out Home Secretary John Reid’s ‘high profile review’ of 2006 which while highlighting concerns about ‘serious, violent and dangerous offenders’, ‘made no attempt at all to define dangerousness, although did specifically mention a range of offences from serious organised crime to domestic violence to the carrying of knives. This again indicates that, for politicians, dangerousness is an imprecise, flexible and broad concept.’ See Home Office (2006), </w:t>
      </w:r>
      <w:r w:rsidRPr="00E34E63">
        <w:rPr>
          <w:rFonts w:ascii="Calibri" w:hAnsi="Calibri"/>
          <w:i/>
          <w:sz w:val="18"/>
        </w:rPr>
        <w:t>Rebalancing the Criminal Justice System in Favour of the Law-Abiding Majority: Cutting Crime, Reducing Reoffending and Protecting the Public</w:t>
      </w:r>
      <w:r w:rsidRPr="00A74CBF">
        <w:rPr>
          <w:rFonts w:ascii="Calibri" w:hAnsi="Calibri"/>
          <w:sz w:val="18"/>
        </w:rPr>
        <w:t xml:space="preserve">, Home Office. See also N. </w:t>
      </w:r>
      <w:proofErr w:type="spellStart"/>
      <w:r w:rsidRPr="00A74CBF">
        <w:rPr>
          <w:rFonts w:ascii="Calibri" w:hAnsi="Calibri"/>
          <w:sz w:val="18"/>
        </w:rPr>
        <w:t>Padfield</w:t>
      </w:r>
      <w:proofErr w:type="spellEnd"/>
      <w:r w:rsidRPr="00A74CBF">
        <w:rPr>
          <w:rFonts w:ascii="Calibri" w:hAnsi="Calibri"/>
          <w:sz w:val="18"/>
        </w:rPr>
        <w:t xml:space="preserve"> and S. </w:t>
      </w:r>
      <w:proofErr w:type="spellStart"/>
      <w:r w:rsidRPr="00A74CBF">
        <w:rPr>
          <w:rFonts w:ascii="Calibri" w:hAnsi="Calibri"/>
          <w:sz w:val="18"/>
        </w:rPr>
        <w:t>Maruna</w:t>
      </w:r>
      <w:proofErr w:type="spellEnd"/>
      <w:r w:rsidRPr="00A74CBF">
        <w:rPr>
          <w:rFonts w:ascii="Calibri" w:hAnsi="Calibri"/>
          <w:sz w:val="18"/>
        </w:rPr>
        <w:t xml:space="preserve">, </w:t>
      </w:r>
      <w:r w:rsidRPr="00FC4332">
        <w:rPr>
          <w:rFonts w:ascii="Calibri" w:hAnsi="Calibri"/>
          <w:i/>
          <w:sz w:val="18"/>
        </w:rPr>
        <w:t>The revolving door at the prison gate: Exploring the dramatic increase in recalls to prison</w:t>
      </w:r>
      <w:r w:rsidRPr="00A74CBF">
        <w:rPr>
          <w:rFonts w:ascii="Calibri" w:hAnsi="Calibri"/>
          <w:sz w:val="18"/>
        </w:rPr>
        <w:t xml:space="preserve"> (2006) 6 Criminology &amp; Criminal Justice 329-352.</w:t>
      </w:r>
    </w:p>
  </w:footnote>
  <w:footnote w:id="12">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Bennett Report (2008) p7.</w:t>
      </w:r>
    </w:p>
  </w:footnote>
  <w:footnote w:id="13">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‘a sex attacker who killed a mother-of-one while on licence from a life sentence’: BBC News Channel, 10 May 2006 http://news.bbc.co.uk/1/hi/uk/4756435.stm</w:t>
      </w:r>
    </w:p>
  </w:footnote>
  <w:footnote w:id="14">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Prime Minister Tony Blair, Letter to Home Secretary John Reid. Number10.gov.uk, 14 May 2006.</w:t>
      </w:r>
      <w:r>
        <w:rPr>
          <w:rFonts w:ascii="Calibri" w:hAnsi="Calibri"/>
          <w:sz w:val="18"/>
        </w:rPr>
        <w:t xml:space="preserve"> See also R. Morgan, Review of </w:t>
      </w:r>
      <w:r w:rsidRPr="00FC4332">
        <w:rPr>
          <w:rFonts w:ascii="Calibri" w:hAnsi="Calibri"/>
          <w:i/>
          <w:sz w:val="18"/>
        </w:rPr>
        <w:t>Who to Release? Parole, Fairness and Criminal Justice</w:t>
      </w:r>
      <w:r w:rsidRPr="00A74CBF">
        <w:rPr>
          <w:rFonts w:ascii="Calibri" w:hAnsi="Calibri"/>
          <w:sz w:val="18"/>
        </w:rPr>
        <w:t xml:space="preserve"> N. </w:t>
      </w:r>
      <w:proofErr w:type="spellStart"/>
      <w:r w:rsidRPr="00A74CBF">
        <w:rPr>
          <w:rFonts w:ascii="Calibri" w:hAnsi="Calibri"/>
          <w:sz w:val="18"/>
        </w:rPr>
        <w:t>Padfield</w:t>
      </w:r>
      <w:proofErr w:type="spellEnd"/>
      <w:r w:rsidRPr="00A74CBF">
        <w:rPr>
          <w:rFonts w:ascii="Calibri" w:hAnsi="Calibri"/>
          <w:sz w:val="18"/>
        </w:rPr>
        <w:t xml:space="preserve"> (Ed.). </w:t>
      </w:r>
      <w:proofErr w:type="spellStart"/>
      <w:r w:rsidRPr="00A74CBF">
        <w:rPr>
          <w:rFonts w:ascii="Calibri" w:hAnsi="Calibri"/>
          <w:sz w:val="18"/>
        </w:rPr>
        <w:t>Willan</w:t>
      </w:r>
      <w:proofErr w:type="spellEnd"/>
      <w:r w:rsidRPr="00A74CBF">
        <w:rPr>
          <w:rFonts w:ascii="Calibri" w:hAnsi="Calibri"/>
          <w:sz w:val="18"/>
        </w:rPr>
        <w:t xml:space="preserve"> (2007). (July 2008) 47 The Howard Journal, pp332-333.</w:t>
      </w:r>
    </w:p>
  </w:footnote>
  <w:footnote w:id="15">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For example in 1992, Jonathan </w:t>
      </w:r>
      <w:proofErr w:type="spellStart"/>
      <w:r w:rsidRPr="00A74CBF">
        <w:rPr>
          <w:rFonts w:ascii="Calibri" w:hAnsi="Calibri"/>
          <w:sz w:val="18"/>
        </w:rPr>
        <w:t>Zito</w:t>
      </w:r>
      <w:proofErr w:type="spellEnd"/>
      <w:r w:rsidRPr="00A74CBF">
        <w:rPr>
          <w:rFonts w:ascii="Calibri" w:hAnsi="Calibri"/>
          <w:sz w:val="18"/>
        </w:rPr>
        <w:t xml:space="preserve"> was killed by Christopher </w:t>
      </w:r>
      <w:proofErr w:type="spellStart"/>
      <w:r w:rsidRPr="00A74CBF">
        <w:rPr>
          <w:rFonts w:ascii="Calibri" w:hAnsi="Calibri"/>
          <w:sz w:val="18"/>
        </w:rPr>
        <w:t>Clunis</w:t>
      </w:r>
      <w:proofErr w:type="spellEnd"/>
      <w:r w:rsidRPr="00A74CBF">
        <w:rPr>
          <w:rFonts w:ascii="Calibri" w:hAnsi="Calibri"/>
          <w:sz w:val="18"/>
        </w:rPr>
        <w:t xml:space="preserve">, diagnosed with paranoid schizophrenia, and Ben </w:t>
      </w:r>
      <w:proofErr w:type="spellStart"/>
      <w:r w:rsidRPr="00A74CBF">
        <w:rPr>
          <w:rFonts w:ascii="Calibri" w:hAnsi="Calibri"/>
          <w:sz w:val="18"/>
        </w:rPr>
        <w:t>Silcock</w:t>
      </w:r>
      <w:proofErr w:type="spellEnd"/>
      <w:r w:rsidRPr="00A74CBF">
        <w:rPr>
          <w:rFonts w:ascii="Calibri" w:hAnsi="Calibri"/>
          <w:sz w:val="18"/>
        </w:rPr>
        <w:t>, also suffering from schizophrenia, was badly mauled after climbing into a lion’s den at London Zoo. Michael Stone, diagnosed with a personality disorder and drug-induced psychosis, killed Lin and Megan Russell in 1996.</w:t>
      </w:r>
    </w:p>
  </w:footnote>
  <w:footnote w:id="16">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A. Hallam, </w:t>
      </w:r>
      <w:r w:rsidRPr="00FC4332">
        <w:rPr>
          <w:rFonts w:ascii="Calibri" w:hAnsi="Calibri"/>
          <w:i/>
          <w:sz w:val="18"/>
        </w:rPr>
        <w:t xml:space="preserve">Media influences on mental health policy: long-term effects of the </w:t>
      </w:r>
      <w:proofErr w:type="spellStart"/>
      <w:r w:rsidRPr="00FC4332">
        <w:rPr>
          <w:rFonts w:ascii="Calibri" w:hAnsi="Calibri"/>
          <w:i/>
          <w:sz w:val="18"/>
        </w:rPr>
        <w:t>Clunis</w:t>
      </w:r>
      <w:proofErr w:type="spellEnd"/>
      <w:r w:rsidRPr="00FC4332">
        <w:rPr>
          <w:rFonts w:ascii="Calibri" w:hAnsi="Calibri"/>
          <w:i/>
          <w:sz w:val="18"/>
        </w:rPr>
        <w:t xml:space="preserve"> and </w:t>
      </w:r>
      <w:proofErr w:type="spellStart"/>
      <w:r w:rsidRPr="00FC4332">
        <w:rPr>
          <w:rFonts w:ascii="Calibri" w:hAnsi="Calibri"/>
          <w:i/>
          <w:sz w:val="18"/>
        </w:rPr>
        <w:t>Silcock</w:t>
      </w:r>
      <w:proofErr w:type="spellEnd"/>
      <w:r w:rsidRPr="00FC4332">
        <w:rPr>
          <w:rFonts w:ascii="Calibri" w:hAnsi="Calibri"/>
          <w:i/>
          <w:sz w:val="18"/>
        </w:rPr>
        <w:t xml:space="preserve"> cases</w:t>
      </w:r>
      <w:r w:rsidRPr="00A74CBF">
        <w:rPr>
          <w:rFonts w:ascii="Calibri" w:hAnsi="Calibri"/>
          <w:sz w:val="18"/>
        </w:rPr>
        <w:t xml:space="preserve"> (2002) 14 International Review of Psychiatry 26-33.</w:t>
      </w:r>
    </w:p>
  </w:footnote>
  <w:footnote w:id="17">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See </w:t>
      </w:r>
      <w:r w:rsidRPr="000266E9">
        <w:rPr>
          <w:rFonts w:ascii="Calibri" w:hAnsi="Calibri"/>
          <w:i/>
          <w:sz w:val="18"/>
        </w:rPr>
        <w:t xml:space="preserve">R (AN) v Mental Health Review Tribunal (Northern Region) [2006] EWCA </w:t>
      </w:r>
      <w:proofErr w:type="spellStart"/>
      <w:r w:rsidRPr="000266E9">
        <w:rPr>
          <w:rFonts w:ascii="Calibri" w:hAnsi="Calibri"/>
          <w:i/>
          <w:sz w:val="18"/>
        </w:rPr>
        <w:t>Civ</w:t>
      </w:r>
      <w:proofErr w:type="spellEnd"/>
      <w:r w:rsidRPr="000266E9">
        <w:rPr>
          <w:rFonts w:ascii="Calibri" w:hAnsi="Calibri"/>
          <w:i/>
          <w:sz w:val="18"/>
        </w:rPr>
        <w:t xml:space="preserve"> 1605</w:t>
      </w:r>
      <w:r w:rsidRPr="00A74CBF">
        <w:rPr>
          <w:rFonts w:ascii="Calibri" w:hAnsi="Calibri"/>
          <w:sz w:val="18"/>
        </w:rPr>
        <w:t xml:space="preserve"> at [74].</w:t>
      </w:r>
    </w:p>
  </w:footnote>
  <w:footnote w:id="18">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w:t>
      </w:r>
      <w:r w:rsidRPr="000266E9">
        <w:rPr>
          <w:rFonts w:ascii="Calibri" w:hAnsi="Calibri"/>
          <w:i/>
          <w:sz w:val="18"/>
        </w:rPr>
        <w:t>Anderson v Scottish Ministers [2003] 2 AC 602</w:t>
      </w:r>
      <w:r w:rsidRPr="00A74CBF">
        <w:rPr>
          <w:rFonts w:ascii="Calibri" w:hAnsi="Calibri"/>
          <w:sz w:val="18"/>
        </w:rPr>
        <w:t xml:space="preserve"> at [63].</w:t>
      </w:r>
    </w:p>
  </w:footnote>
  <w:footnote w:id="19">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w:t>
      </w:r>
      <w:r w:rsidRPr="000266E9">
        <w:rPr>
          <w:rFonts w:ascii="Calibri" w:hAnsi="Calibri"/>
          <w:i/>
          <w:sz w:val="18"/>
        </w:rPr>
        <w:t>Anderson</w:t>
      </w:r>
      <w:r w:rsidRPr="00A74CBF">
        <w:rPr>
          <w:rFonts w:ascii="Calibri" w:hAnsi="Calibri"/>
          <w:sz w:val="18"/>
        </w:rPr>
        <w:t xml:space="preserve"> at [60].</w:t>
      </w:r>
    </w:p>
  </w:footnote>
  <w:footnote w:id="20">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S. Creighton, </w:t>
      </w:r>
      <w:r>
        <w:rPr>
          <w:rFonts w:ascii="Calibri" w:hAnsi="Calibri"/>
          <w:sz w:val="18"/>
        </w:rPr>
        <w:t>‘</w:t>
      </w:r>
      <w:r w:rsidRPr="00A74CBF">
        <w:rPr>
          <w:rFonts w:ascii="Calibri" w:hAnsi="Calibri"/>
          <w:sz w:val="18"/>
        </w:rPr>
        <w:t>The Parole Board as a court</w:t>
      </w:r>
      <w:r>
        <w:rPr>
          <w:rFonts w:ascii="Calibri" w:hAnsi="Calibri"/>
          <w:sz w:val="18"/>
        </w:rPr>
        <w:t>’</w:t>
      </w:r>
      <w:r w:rsidRPr="00A74CBF">
        <w:rPr>
          <w:rFonts w:ascii="Calibri" w:hAnsi="Calibri"/>
          <w:sz w:val="18"/>
        </w:rPr>
        <w:t xml:space="preserve">, In N. </w:t>
      </w:r>
      <w:proofErr w:type="spellStart"/>
      <w:r w:rsidRPr="00A74CBF">
        <w:rPr>
          <w:rFonts w:ascii="Calibri" w:hAnsi="Calibri"/>
          <w:sz w:val="18"/>
        </w:rPr>
        <w:t>Padfield</w:t>
      </w:r>
      <w:proofErr w:type="spellEnd"/>
      <w:r w:rsidRPr="00A74CBF">
        <w:rPr>
          <w:rFonts w:ascii="Calibri" w:hAnsi="Calibri"/>
          <w:sz w:val="18"/>
        </w:rPr>
        <w:t xml:space="preserve"> (ed.), </w:t>
      </w:r>
      <w:r w:rsidRPr="000266E9">
        <w:rPr>
          <w:rFonts w:ascii="Calibri" w:hAnsi="Calibri"/>
          <w:i/>
          <w:sz w:val="18"/>
        </w:rPr>
        <w:t>Who to Release? Parole, fairness and criminal justice</w:t>
      </w:r>
      <w:r w:rsidRPr="00A74CBF">
        <w:rPr>
          <w:rFonts w:ascii="Calibri" w:hAnsi="Calibri"/>
          <w:sz w:val="18"/>
        </w:rPr>
        <w:t>, (</w:t>
      </w:r>
      <w:proofErr w:type="spellStart"/>
      <w:r w:rsidRPr="00A74CBF">
        <w:rPr>
          <w:rFonts w:ascii="Calibri" w:hAnsi="Calibri"/>
          <w:sz w:val="18"/>
        </w:rPr>
        <w:t>Willan</w:t>
      </w:r>
      <w:proofErr w:type="spellEnd"/>
      <w:r w:rsidRPr="00A74CBF">
        <w:rPr>
          <w:rFonts w:ascii="Calibri" w:hAnsi="Calibri"/>
          <w:sz w:val="18"/>
        </w:rPr>
        <w:t xml:space="preserve"> Publishing 2006) p110.</w:t>
      </w:r>
    </w:p>
  </w:footnote>
  <w:footnote w:id="21">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w:t>
      </w:r>
      <w:r w:rsidRPr="000266E9">
        <w:rPr>
          <w:rFonts w:ascii="Calibri" w:hAnsi="Calibri"/>
          <w:i/>
          <w:sz w:val="18"/>
        </w:rPr>
        <w:t>R (</w:t>
      </w:r>
      <w:proofErr w:type="spellStart"/>
      <w:r w:rsidRPr="000266E9">
        <w:rPr>
          <w:rFonts w:ascii="Calibri" w:hAnsi="Calibri"/>
          <w:i/>
          <w:sz w:val="18"/>
        </w:rPr>
        <w:t>Venables</w:t>
      </w:r>
      <w:proofErr w:type="spellEnd"/>
      <w:r w:rsidRPr="000266E9">
        <w:rPr>
          <w:rFonts w:ascii="Calibri" w:hAnsi="Calibri"/>
          <w:i/>
          <w:sz w:val="18"/>
        </w:rPr>
        <w:t xml:space="preserve">) v </w:t>
      </w:r>
      <w:proofErr w:type="spellStart"/>
      <w:r w:rsidRPr="000266E9">
        <w:rPr>
          <w:rFonts w:ascii="Calibri" w:hAnsi="Calibri"/>
          <w:i/>
          <w:sz w:val="18"/>
        </w:rPr>
        <w:t>SoS</w:t>
      </w:r>
      <w:proofErr w:type="spellEnd"/>
      <w:r w:rsidRPr="000266E9">
        <w:rPr>
          <w:rFonts w:ascii="Calibri" w:hAnsi="Calibri"/>
          <w:i/>
          <w:sz w:val="18"/>
        </w:rPr>
        <w:t xml:space="preserve"> for the Home Department; R (Thompson) v the same [1998] AC 407</w:t>
      </w:r>
      <w:r w:rsidRPr="00A74CBF">
        <w:rPr>
          <w:rFonts w:ascii="Calibri" w:hAnsi="Calibri"/>
          <w:sz w:val="18"/>
        </w:rPr>
        <w:t xml:space="preserve"> at [491].</w:t>
      </w:r>
    </w:p>
  </w:footnote>
  <w:footnote w:id="22">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For a passionate (and evidenced) indictment of the current administration’s record on responding to public opinion rather than evidence see P. Toynbee, </w:t>
      </w:r>
      <w:r>
        <w:rPr>
          <w:rFonts w:ascii="Calibri" w:hAnsi="Calibri"/>
          <w:sz w:val="18"/>
        </w:rPr>
        <w:t>‘</w:t>
      </w:r>
      <w:r w:rsidRPr="00A74CBF">
        <w:rPr>
          <w:rFonts w:ascii="Calibri" w:hAnsi="Calibri"/>
          <w:sz w:val="18"/>
        </w:rPr>
        <w:t>Bad politicians are slave to public opinion. Good ones try to change it</w:t>
      </w:r>
      <w:r>
        <w:rPr>
          <w:rFonts w:ascii="Calibri" w:hAnsi="Calibri"/>
          <w:sz w:val="18"/>
        </w:rPr>
        <w:t>’</w:t>
      </w:r>
      <w:r w:rsidRPr="00A74CBF">
        <w:rPr>
          <w:rFonts w:ascii="Calibri" w:hAnsi="Calibri"/>
          <w:sz w:val="18"/>
        </w:rPr>
        <w:t xml:space="preserve">, </w:t>
      </w:r>
      <w:r w:rsidRPr="000266E9">
        <w:rPr>
          <w:rFonts w:ascii="Calibri" w:hAnsi="Calibri"/>
          <w:i/>
          <w:sz w:val="18"/>
        </w:rPr>
        <w:t>The Guardian</w:t>
      </w:r>
      <w:r w:rsidRPr="00A74CBF">
        <w:rPr>
          <w:rFonts w:ascii="Calibri" w:hAnsi="Calibri"/>
          <w:sz w:val="18"/>
        </w:rPr>
        <w:t>, (27 November 2009).</w:t>
      </w:r>
    </w:p>
  </w:footnote>
  <w:footnote w:id="23">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P. </w:t>
      </w:r>
      <w:proofErr w:type="spellStart"/>
      <w:r w:rsidRPr="00A74CBF">
        <w:rPr>
          <w:rFonts w:ascii="Calibri" w:hAnsi="Calibri"/>
          <w:sz w:val="18"/>
        </w:rPr>
        <w:t>Pillay</w:t>
      </w:r>
      <w:proofErr w:type="spellEnd"/>
      <w:r w:rsidRPr="00A74CBF">
        <w:rPr>
          <w:rFonts w:ascii="Calibri" w:hAnsi="Calibri"/>
          <w:sz w:val="18"/>
        </w:rPr>
        <w:t xml:space="preserve"> and J. Moncrieff, ‘The Contribution of psychiatric disorders to occupation of NHS beds: Analysis of Hospital Episode Statistics’, Presented at the Royal College of Psychiatrists Annual Meeting (2009): http://www.rcpsych.ac.uk/press/pressreleases2009/nhsbedd ays.aspx. Their research also shows that psychiatric disorders remain among the top ten users of NHS hospital beds in 2007-08. Falling numbers of psychiatric beds and their implications have been under discussion since the 1950s at least: see G.</w:t>
      </w:r>
      <w:r>
        <w:rPr>
          <w:rFonts w:ascii="Calibri" w:hAnsi="Calibri"/>
          <w:sz w:val="18"/>
        </w:rPr>
        <w:t xml:space="preserve"> </w:t>
      </w:r>
      <w:proofErr w:type="spellStart"/>
      <w:r>
        <w:rPr>
          <w:rFonts w:ascii="Calibri" w:hAnsi="Calibri"/>
          <w:sz w:val="18"/>
        </w:rPr>
        <w:t>Thornicroft</w:t>
      </w:r>
      <w:proofErr w:type="spellEnd"/>
      <w:r>
        <w:rPr>
          <w:rFonts w:ascii="Calibri" w:hAnsi="Calibri"/>
          <w:sz w:val="18"/>
        </w:rPr>
        <w:t xml:space="preserve"> and G. </w:t>
      </w:r>
      <w:proofErr w:type="spellStart"/>
      <w:r>
        <w:rPr>
          <w:rFonts w:ascii="Calibri" w:hAnsi="Calibri"/>
          <w:sz w:val="18"/>
        </w:rPr>
        <w:t>Strathdee</w:t>
      </w:r>
      <w:proofErr w:type="spellEnd"/>
      <w:r>
        <w:rPr>
          <w:rFonts w:ascii="Calibri" w:hAnsi="Calibri"/>
          <w:sz w:val="18"/>
        </w:rPr>
        <w:t xml:space="preserve">, </w:t>
      </w:r>
      <w:r w:rsidRPr="00D819B6">
        <w:rPr>
          <w:rFonts w:ascii="Calibri" w:hAnsi="Calibri"/>
          <w:i/>
          <w:sz w:val="18"/>
        </w:rPr>
        <w:t>How Many Psychiatric Beds? The Debate Shouldn't Be Swayed By Moral And Political Considerations</w:t>
      </w:r>
      <w:r w:rsidRPr="00A74CBF">
        <w:rPr>
          <w:rFonts w:ascii="Calibri" w:hAnsi="Calibri"/>
          <w:sz w:val="18"/>
        </w:rPr>
        <w:t xml:space="preserve"> (1994) 309 BMJ 970-971.</w:t>
      </w:r>
    </w:p>
  </w:footnote>
  <w:footnote w:id="24">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An email from Mark Quinlan of the Department of Health Customer Service Centre dated 2 October 2009 evidenced this rise in medium secure units and lack of data on independent sector beds. He adds that ‘the NHS provision represents approximately 60 per cent, the rest being provided by the independent sector providing NHS funded services (at the latest count there were 41 NHS medium secure units and 25 independent medium secure units).’</w:t>
      </w:r>
    </w:p>
  </w:footnote>
  <w:footnote w:id="25">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Introduced by a joint Department of Health/Home Office initiative in 2004 (contemporaneously with the introduction of IPP sentences). See http://www.dspdprogramme.gov.uk/</w:t>
      </w:r>
    </w:p>
  </w:footnote>
  <w:footnote w:id="26">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See </w:t>
      </w:r>
      <w:proofErr w:type="spellStart"/>
      <w:r w:rsidRPr="00A74CBF">
        <w:rPr>
          <w:rFonts w:ascii="Calibri" w:hAnsi="Calibri"/>
          <w:sz w:val="18"/>
        </w:rPr>
        <w:t>Hansard</w:t>
      </w:r>
      <w:proofErr w:type="spellEnd"/>
      <w:r w:rsidRPr="00A74CBF">
        <w:rPr>
          <w:rFonts w:ascii="Calibri" w:hAnsi="Calibri"/>
          <w:sz w:val="18"/>
        </w:rPr>
        <w:t>: House of Commons Written Answers, (15 June 2009), for secure unit bed numbers; see also Bennett Report (2008) p13 on numbers and role of DSPD units.</w:t>
      </w:r>
    </w:p>
  </w:footnote>
  <w:footnote w:id="27">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Mental Health Act Commission, Thirteenth biennial report: </w:t>
      </w:r>
      <w:r w:rsidRPr="00D819B6">
        <w:rPr>
          <w:rFonts w:ascii="Calibri" w:hAnsi="Calibri"/>
          <w:i/>
          <w:sz w:val="18"/>
        </w:rPr>
        <w:t>Coercion and consent: monitoring the Mental Health Act 2007-2009</w:t>
      </w:r>
      <w:r w:rsidRPr="00A74CBF">
        <w:rPr>
          <w:rFonts w:ascii="Calibri" w:hAnsi="Calibri"/>
          <w:sz w:val="18"/>
        </w:rPr>
        <w:t xml:space="preserve">, (2009) para 4.12. On the same caveat, see also K. Edgar and D. </w:t>
      </w:r>
      <w:proofErr w:type="spellStart"/>
      <w:r w:rsidRPr="00A74CBF">
        <w:rPr>
          <w:rFonts w:ascii="Calibri" w:hAnsi="Calibri"/>
          <w:sz w:val="18"/>
        </w:rPr>
        <w:t>Rickford</w:t>
      </w:r>
      <w:proofErr w:type="spellEnd"/>
      <w:r w:rsidRPr="00A74CBF">
        <w:rPr>
          <w:rFonts w:ascii="Calibri" w:hAnsi="Calibri"/>
          <w:sz w:val="18"/>
        </w:rPr>
        <w:t xml:space="preserve">, </w:t>
      </w:r>
      <w:r w:rsidRPr="00D819B6">
        <w:rPr>
          <w:rFonts w:ascii="Calibri" w:hAnsi="Calibri"/>
          <w:i/>
          <w:sz w:val="18"/>
        </w:rPr>
        <w:t>Too Little Too Late: an independent review of unmet mental health need in prison</w:t>
      </w:r>
      <w:r w:rsidRPr="00A74CBF">
        <w:rPr>
          <w:rFonts w:ascii="Calibri" w:hAnsi="Calibri"/>
          <w:sz w:val="18"/>
        </w:rPr>
        <w:t>, (2009) p6.</w:t>
      </w:r>
    </w:p>
  </w:footnote>
  <w:footnote w:id="28">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MHAC 2007-09 para 4.13.</w:t>
      </w:r>
    </w:p>
  </w:footnote>
  <w:footnote w:id="29">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w:t>
      </w:r>
      <w:r>
        <w:rPr>
          <w:rFonts w:ascii="Calibri" w:hAnsi="Calibri"/>
          <w:sz w:val="18"/>
        </w:rPr>
        <w:t xml:space="preserve">See D. Singh and J. Moncrieff, </w:t>
      </w:r>
      <w:r w:rsidRPr="00D819B6">
        <w:rPr>
          <w:rFonts w:ascii="Calibri" w:hAnsi="Calibri"/>
          <w:i/>
          <w:sz w:val="18"/>
        </w:rPr>
        <w:t>Trends in mental health review tribunal and hospital managers’ hearings in north­east London 1997-2007</w:t>
      </w:r>
      <w:r w:rsidRPr="00A74CBF">
        <w:rPr>
          <w:rFonts w:ascii="Calibri" w:hAnsi="Calibri"/>
          <w:sz w:val="18"/>
        </w:rPr>
        <w:t xml:space="preserve"> (2009) 33 Psychiatric Bulletin p16.</w:t>
      </w:r>
    </w:p>
  </w:footnote>
  <w:footnote w:id="30">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NHS Information Centre (October 2010), table 2.</w:t>
      </w:r>
    </w:p>
  </w:footnote>
  <w:footnote w:id="31">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See NHS Information Centre, </w:t>
      </w:r>
      <w:r w:rsidRPr="00D819B6">
        <w:rPr>
          <w:rFonts w:ascii="Calibri" w:hAnsi="Calibri"/>
          <w:i/>
          <w:sz w:val="18"/>
        </w:rPr>
        <w:t>In-patients formally detained in hospitals under the Mental Health Act 1983 and patients subject to supervised community treatment, Annual figures, England 2009/2010</w:t>
      </w:r>
      <w:r w:rsidRPr="00A74CBF">
        <w:rPr>
          <w:rFonts w:ascii="Calibri" w:hAnsi="Calibri"/>
          <w:sz w:val="18"/>
        </w:rPr>
        <w:t xml:space="preserve"> (October 2010), pp 8-9. See also NHS Information Centre, </w:t>
      </w:r>
      <w:r w:rsidRPr="00D819B6">
        <w:rPr>
          <w:rFonts w:ascii="Calibri" w:hAnsi="Calibri"/>
          <w:i/>
          <w:sz w:val="18"/>
        </w:rPr>
        <w:t>In-patients formally detained in hospitals under the Mental Health Act 1983 and other legislation, England: 1997-98 to 2007-08</w:t>
      </w:r>
      <w:r w:rsidRPr="00A74CBF">
        <w:rPr>
          <w:rFonts w:ascii="Calibri" w:hAnsi="Calibri"/>
          <w:sz w:val="18"/>
        </w:rPr>
        <w:t>, (2008).</w:t>
      </w:r>
    </w:p>
  </w:footnote>
  <w:footnote w:id="32">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w:t>
      </w:r>
      <w:proofErr w:type="spellStart"/>
      <w:r w:rsidRPr="00A74CBF">
        <w:rPr>
          <w:rFonts w:ascii="Calibri" w:hAnsi="Calibri"/>
          <w:sz w:val="18"/>
        </w:rPr>
        <w:t>Hansard</w:t>
      </w:r>
      <w:proofErr w:type="spellEnd"/>
      <w:r w:rsidRPr="00A74CBF">
        <w:rPr>
          <w:rFonts w:ascii="Calibri" w:hAnsi="Calibri"/>
          <w:sz w:val="18"/>
        </w:rPr>
        <w:t>: House of Commons Written Answers, (15 June 2009): Tom Brake MP.</w:t>
      </w:r>
    </w:p>
  </w:footnote>
  <w:footnote w:id="33">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All health providers providing publicly funded services are subject to inspection by the Care Quality Commission; however, see www.cqc.org.uk/guidanceforprofessionals/healthcare/guida nceforindependentstaff/ourroleasregulator/risk­basedinspection.cfm for its policy in relation to private providers.</w:t>
      </w:r>
    </w:p>
  </w:footnote>
  <w:footnote w:id="34">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w:t>
      </w:r>
      <w:proofErr w:type="spellStart"/>
      <w:r w:rsidRPr="00D819B6">
        <w:rPr>
          <w:rFonts w:ascii="Calibri" w:hAnsi="Calibri"/>
          <w:i/>
          <w:sz w:val="18"/>
        </w:rPr>
        <w:t>Herczegfalvy</w:t>
      </w:r>
      <w:proofErr w:type="spellEnd"/>
      <w:r w:rsidRPr="00D819B6">
        <w:rPr>
          <w:rFonts w:ascii="Calibri" w:hAnsi="Calibri"/>
          <w:i/>
          <w:sz w:val="18"/>
        </w:rPr>
        <w:t xml:space="preserve"> v Austria [1993] 15 E.H.R.R. 437</w:t>
      </w:r>
      <w:r w:rsidRPr="00A74CBF">
        <w:rPr>
          <w:rFonts w:ascii="Calibri" w:hAnsi="Calibri"/>
          <w:sz w:val="18"/>
        </w:rPr>
        <w:t xml:space="preserve"> at [82].</w:t>
      </w:r>
    </w:p>
  </w:footnote>
  <w:footnote w:id="35">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See Bradley Report, </w:t>
      </w:r>
      <w:r w:rsidRPr="00D819B6">
        <w:rPr>
          <w:rFonts w:ascii="Calibri" w:hAnsi="Calibri"/>
          <w:i/>
          <w:sz w:val="18"/>
        </w:rPr>
        <w:t>Lord Bradley’s review of people with mental health problems or learning disabilities in the criminal justice system</w:t>
      </w:r>
      <w:r w:rsidRPr="00A74CBF">
        <w:rPr>
          <w:rFonts w:ascii="Calibri" w:hAnsi="Calibri"/>
          <w:sz w:val="18"/>
        </w:rPr>
        <w:t xml:space="preserve">, Department of Health, (2009) pp97 et seq.. However, numbers transferred and diverted have fallen proportionate to those imprisoned. See also House of Commons Justice Select Committee: </w:t>
      </w:r>
      <w:r w:rsidRPr="00D819B6">
        <w:rPr>
          <w:rFonts w:ascii="Calibri" w:hAnsi="Calibri"/>
          <w:i/>
          <w:sz w:val="18"/>
        </w:rPr>
        <w:t>Sentencing (2008)</w:t>
      </w:r>
      <w:r w:rsidRPr="00A74CBF">
        <w:rPr>
          <w:rFonts w:ascii="Calibri" w:hAnsi="Calibri"/>
          <w:sz w:val="18"/>
        </w:rPr>
        <w:t xml:space="preserve"> para 201.</w:t>
      </w:r>
    </w:p>
  </w:footnote>
  <w:footnote w:id="36">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Prison Reform Trust, </w:t>
      </w:r>
      <w:r w:rsidRPr="00D819B6">
        <w:rPr>
          <w:rFonts w:ascii="Calibri" w:hAnsi="Calibri"/>
          <w:i/>
          <w:sz w:val="18"/>
        </w:rPr>
        <w:t>Bromley Briefings Prison Fact File</w:t>
      </w:r>
      <w:r w:rsidRPr="00A74CBF">
        <w:rPr>
          <w:rFonts w:ascii="Calibri" w:hAnsi="Calibri"/>
          <w:sz w:val="18"/>
        </w:rPr>
        <w:t xml:space="preserve">, (July 2010); also </w:t>
      </w:r>
      <w:proofErr w:type="spellStart"/>
      <w:r w:rsidRPr="00A74CBF">
        <w:rPr>
          <w:rFonts w:ascii="Calibri" w:hAnsi="Calibri"/>
          <w:sz w:val="18"/>
        </w:rPr>
        <w:t>FactFile</w:t>
      </w:r>
      <w:proofErr w:type="spellEnd"/>
      <w:r w:rsidRPr="00A74CBF">
        <w:rPr>
          <w:rFonts w:ascii="Calibri" w:hAnsi="Calibri"/>
          <w:sz w:val="18"/>
        </w:rPr>
        <w:t xml:space="preserve"> (2009). Ministry of Justice, </w:t>
      </w:r>
      <w:r w:rsidRPr="00D819B6">
        <w:rPr>
          <w:rFonts w:ascii="Calibri" w:hAnsi="Calibri"/>
          <w:i/>
          <w:sz w:val="18"/>
        </w:rPr>
        <w:t>Prison Population Projections 2010-2016, England and Wales: Ministry of Justice Statistics bulletin</w:t>
      </w:r>
      <w:r w:rsidRPr="00A74CBF">
        <w:rPr>
          <w:rFonts w:ascii="Calibri" w:hAnsi="Calibri"/>
          <w:sz w:val="18"/>
        </w:rPr>
        <w:t>, (30 September 2010).</w:t>
      </w:r>
    </w:p>
  </w:footnote>
  <w:footnote w:id="37">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The range of offences for which the IPP can or must be used contrasts with the outlook of Stuart Smith LJ in 1990: ‘The imposition of the life sentence itself can only be justified by a very high degree of perceived public danger: there would otherwise be the temptation to impose it altogether too often simply in the interests of long-term public safety.’ In </w:t>
      </w:r>
      <w:r w:rsidRPr="00D819B6">
        <w:rPr>
          <w:rFonts w:ascii="Calibri" w:hAnsi="Calibri"/>
          <w:i/>
          <w:sz w:val="18"/>
        </w:rPr>
        <w:t>R (Bradley) v Parole Board [1990] 3 All ER 828</w:t>
      </w:r>
      <w:r w:rsidRPr="00A74CBF">
        <w:rPr>
          <w:rFonts w:ascii="Calibri" w:hAnsi="Calibri"/>
          <w:sz w:val="18"/>
        </w:rPr>
        <w:t xml:space="preserve"> at [146].</w:t>
      </w:r>
    </w:p>
  </w:footnote>
  <w:footnote w:id="38">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w:t>
      </w:r>
      <w:r>
        <w:rPr>
          <w:rFonts w:ascii="Calibri" w:hAnsi="Calibri"/>
          <w:sz w:val="18"/>
        </w:rPr>
        <w:t xml:space="preserve">N. </w:t>
      </w:r>
      <w:proofErr w:type="spellStart"/>
      <w:r>
        <w:rPr>
          <w:rFonts w:ascii="Calibri" w:hAnsi="Calibri"/>
          <w:sz w:val="18"/>
        </w:rPr>
        <w:t>Padfield</w:t>
      </w:r>
      <w:proofErr w:type="spellEnd"/>
      <w:r>
        <w:rPr>
          <w:rFonts w:ascii="Calibri" w:hAnsi="Calibri"/>
          <w:sz w:val="18"/>
        </w:rPr>
        <w:t xml:space="preserve">, </w:t>
      </w:r>
      <w:r w:rsidRPr="00CD5A29">
        <w:rPr>
          <w:rFonts w:ascii="Calibri" w:hAnsi="Calibri"/>
          <w:i/>
          <w:sz w:val="18"/>
        </w:rPr>
        <w:t>The Parole Board in Transition</w:t>
      </w:r>
      <w:r w:rsidRPr="00A74CBF">
        <w:rPr>
          <w:rFonts w:ascii="Calibri" w:hAnsi="Calibri"/>
          <w:sz w:val="18"/>
        </w:rPr>
        <w:t xml:space="preserve"> (2006) 3 </w:t>
      </w:r>
      <w:proofErr w:type="spellStart"/>
      <w:r w:rsidRPr="00A74CBF">
        <w:rPr>
          <w:rFonts w:ascii="Calibri" w:hAnsi="Calibri"/>
          <w:sz w:val="18"/>
        </w:rPr>
        <w:t>Crim.L.R</w:t>
      </w:r>
      <w:proofErr w:type="spellEnd"/>
      <w:r w:rsidRPr="00A74CBF">
        <w:rPr>
          <w:rFonts w:ascii="Calibri" w:hAnsi="Calibri"/>
          <w:sz w:val="18"/>
        </w:rPr>
        <w:t>. 3-23 p8. See a</w:t>
      </w:r>
      <w:r>
        <w:rPr>
          <w:rFonts w:ascii="Calibri" w:hAnsi="Calibri"/>
          <w:sz w:val="18"/>
        </w:rPr>
        <w:t xml:space="preserve">lso N. </w:t>
      </w:r>
      <w:proofErr w:type="spellStart"/>
      <w:r>
        <w:rPr>
          <w:rFonts w:ascii="Calibri" w:hAnsi="Calibri"/>
          <w:sz w:val="18"/>
        </w:rPr>
        <w:t>Padfield</w:t>
      </w:r>
      <w:proofErr w:type="spellEnd"/>
      <w:r>
        <w:rPr>
          <w:rFonts w:ascii="Calibri" w:hAnsi="Calibri"/>
          <w:sz w:val="18"/>
        </w:rPr>
        <w:t xml:space="preserve"> and S. </w:t>
      </w:r>
      <w:proofErr w:type="spellStart"/>
      <w:r>
        <w:rPr>
          <w:rFonts w:ascii="Calibri" w:hAnsi="Calibri"/>
          <w:sz w:val="18"/>
        </w:rPr>
        <w:t>Maruna</w:t>
      </w:r>
      <w:proofErr w:type="spellEnd"/>
      <w:r>
        <w:rPr>
          <w:rFonts w:ascii="Calibri" w:hAnsi="Calibri"/>
          <w:sz w:val="18"/>
        </w:rPr>
        <w:t xml:space="preserve">, </w:t>
      </w:r>
      <w:r w:rsidRPr="00CD5A29">
        <w:rPr>
          <w:rFonts w:ascii="Calibri" w:hAnsi="Calibri"/>
          <w:i/>
          <w:sz w:val="18"/>
        </w:rPr>
        <w:t>The revolving door at the prison gate: Exploring the dramatic increase in recalls to prison</w:t>
      </w:r>
      <w:r w:rsidRPr="00A74CBF">
        <w:rPr>
          <w:rFonts w:ascii="Calibri" w:hAnsi="Calibri"/>
          <w:sz w:val="18"/>
        </w:rPr>
        <w:t xml:space="preserve"> (2006) 6 Criminology &amp; Criminal Justice 329-352.</w:t>
      </w:r>
    </w:p>
  </w:footnote>
  <w:footnote w:id="39">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w:t>
      </w:r>
      <w:proofErr w:type="spellStart"/>
      <w:r w:rsidRPr="00A74CBF">
        <w:rPr>
          <w:rFonts w:ascii="Calibri" w:hAnsi="Calibri"/>
          <w:sz w:val="18"/>
        </w:rPr>
        <w:t>MoJ</w:t>
      </w:r>
      <w:proofErr w:type="spellEnd"/>
      <w:r w:rsidRPr="00A74CBF">
        <w:rPr>
          <w:rFonts w:ascii="Calibri" w:hAnsi="Calibri"/>
          <w:sz w:val="18"/>
        </w:rPr>
        <w:t xml:space="preserve"> statistics bulletin (2009) p16.</w:t>
      </w:r>
    </w:p>
  </w:footnote>
  <w:footnote w:id="40">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Under CJA 2003 ss224-36 and </w:t>
      </w:r>
      <w:proofErr w:type="spellStart"/>
      <w:r w:rsidRPr="00A74CBF">
        <w:rPr>
          <w:rFonts w:ascii="Calibri" w:hAnsi="Calibri"/>
          <w:sz w:val="18"/>
        </w:rPr>
        <w:t>Sch</w:t>
      </w:r>
      <w:proofErr w:type="spellEnd"/>
      <w:r w:rsidRPr="00A74CBF">
        <w:rPr>
          <w:rFonts w:ascii="Calibri" w:hAnsi="Calibri"/>
          <w:sz w:val="18"/>
        </w:rPr>
        <w:t xml:space="preserve"> 15, subsequently amended by </w:t>
      </w:r>
      <w:proofErr w:type="spellStart"/>
      <w:r w:rsidRPr="00A74CBF">
        <w:rPr>
          <w:rFonts w:ascii="Calibri" w:hAnsi="Calibri"/>
          <w:sz w:val="18"/>
        </w:rPr>
        <w:t>Sch</w:t>
      </w:r>
      <w:proofErr w:type="spellEnd"/>
      <w:r w:rsidRPr="00A74CBF">
        <w:rPr>
          <w:rFonts w:ascii="Calibri" w:hAnsi="Calibri"/>
          <w:sz w:val="18"/>
        </w:rPr>
        <w:t xml:space="preserve"> 15A under the CJIA 2008.</w:t>
      </w:r>
    </w:p>
  </w:footnote>
  <w:footnote w:id="41">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For some trenchant commentary, see Lord Judge in </w:t>
      </w:r>
      <w:r w:rsidRPr="00CD5A29">
        <w:rPr>
          <w:rFonts w:ascii="Calibri" w:hAnsi="Calibri"/>
          <w:i/>
          <w:sz w:val="18"/>
        </w:rPr>
        <w:t xml:space="preserve">R v C; Attorney General's Reference No. 55 of 2008 (C and Others) [2008] EWCA </w:t>
      </w:r>
      <w:proofErr w:type="spellStart"/>
      <w:r w:rsidRPr="00CD5A29">
        <w:rPr>
          <w:rFonts w:ascii="Calibri" w:hAnsi="Calibri"/>
          <w:i/>
          <w:sz w:val="18"/>
        </w:rPr>
        <w:t>Crim</w:t>
      </w:r>
      <w:proofErr w:type="spellEnd"/>
      <w:r w:rsidRPr="00CD5A29">
        <w:rPr>
          <w:rFonts w:ascii="Calibri" w:hAnsi="Calibri"/>
          <w:i/>
          <w:sz w:val="18"/>
        </w:rPr>
        <w:t xml:space="preserve"> 2790</w:t>
      </w:r>
      <w:r w:rsidRPr="00A74CBF">
        <w:rPr>
          <w:rFonts w:ascii="Calibri" w:hAnsi="Calibri"/>
          <w:sz w:val="18"/>
        </w:rPr>
        <w:t>.</w:t>
      </w:r>
    </w:p>
  </w:footnote>
  <w:footnote w:id="42">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See Ministry of Justice, </w:t>
      </w:r>
      <w:r w:rsidRPr="00CD5A29">
        <w:rPr>
          <w:rFonts w:ascii="Calibri" w:hAnsi="Calibri"/>
          <w:i/>
          <w:sz w:val="18"/>
        </w:rPr>
        <w:t>The Future of the Parole Board: consultation paper 14/09</w:t>
      </w:r>
      <w:r w:rsidRPr="00A74CBF">
        <w:rPr>
          <w:rFonts w:ascii="Calibri" w:hAnsi="Calibri"/>
          <w:sz w:val="18"/>
        </w:rPr>
        <w:t xml:space="preserve">, (2009) para 29, and Secretary of State’s Directions to the Parole Board under Section 32(6) of the </w:t>
      </w:r>
      <w:r w:rsidRPr="00CD5A29">
        <w:rPr>
          <w:rFonts w:ascii="Calibri" w:hAnsi="Calibri"/>
          <w:i/>
          <w:sz w:val="18"/>
        </w:rPr>
        <w:t>Criminal Justice Act</w:t>
      </w:r>
      <w:r w:rsidRPr="00A74CBF">
        <w:rPr>
          <w:rFonts w:ascii="Calibri" w:hAnsi="Calibri"/>
          <w:sz w:val="18"/>
        </w:rPr>
        <w:t xml:space="preserve"> (August 2004) para 4.</w:t>
      </w:r>
    </w:p>
  </w:footnote>
  <w:footnote w:id="43">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In Bradley at [146]: ‘it seems inevitable that one can say really no more than this: first, that the risk must indeed be “substantial” ..., but this can mean no more than that it is not merely perceptible or minimal. Second, that it must be sufficient to be unacceptable in the subjective judgment of the Parole Board...’</w:t>
      </w:r>
    </w:p>
  </w:footnote>
  <w:footnote w:id="44">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See A. Thornton, ‘Current practice and future changes: a judicial member's perspective’, in N. </w:t>
      </w:r>
      <w:proofErr w:type="spellStart"/>
      <w:r w:rsidRPr="00A74CBF">
        <w:rPr>
          <w:rFonts w:ascii="Calibri" w:hAnsi="Calibri"/>
          <w:sz w:val="18"/>
        </w:rPr>
        <w:t>Padfield</w:t>
      </w:r>
      <w:proofErr w:type="spellEnd"/>
      <w:r w:rsidRPr="00A74CBF">
        <w:rPr>
          <w:rFonts w:ascii="Calibri" w:hAnsi="Calibri"/>
          <w:sz w:val="18"/>
        </w:rPr>
        <w:t xml:space="preserve"> (ed.), </w:t>
      </w:r>
      <w:r w:rsidRPr="00CD5A29">
        <w:rPr>
          <w:rFonts w:ascii="Calibri" w:hAnsi="Calibri"/>
          <w:i/>
          <w:sz w:val="18"/>
        </w:rPr>
        <w:t>Who to Release? Parole, fairness and criminal justice</w:t>
      </w:r>
      <w:r w:rsidRPr="00A74CBF">
        <w:rPr>
          <w:rFonts w:ascii="Calibri" w:hAnsi="Calibri"/>
          <w:sz w:val="18"/>
        </w:rPr>
        <w:t xml:space="preserve">, </w:t>
      </w:r>
      <w:proofErr w:type="spellStart"/>
      <w:r w:rsidRPr="00A74CBF">
        <w:rPr>
          <w:rFonts w:ascii="Calibri" w:hAnsi="Calibri"/>
          <w:sz w:val="18"/>
        </w:rPr>
        <w:t>Willan</w:t>
      </w:r>
      <w:proofErr w:type="spellEnd"/>
      <w:r w:rsidRPr="00A74CBF">
        <w:rPr>
          <w:rFonts w:ascii="Calibri" w:hAnsi="Calibri"/>
          <w:sz w:val="18"/>
        </w:rPr>
        <w:t xml:space="preserve"> Publishing (2007) p130 on the difference between case-law and (then) Home Secretary directions.</w:t>
      </w:r>
    </w:p>
  </w:footnote>
  <w:footnote w:id="45">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Keene LJ in </w:t>
      </w:r>
      <w:r w:rsidRPr="00CD5A29">
        <w:rPr>
          <w:rFonts w:ascii="Calibri" w:hAnsi="Calibri"/>
          <w:i/>
          <w:sz w:val="18"/>
        </w:rPr>
        <w:t>R (</w:t>
      </w:r>
      <w:proofErr w:type="spellStart"/>
      <w:r w:rsidRPr="00CD5A29">
        <w:rPr>
          <w:rFonts w:ascii="Calibri" w:hAnsi="Calibri"/>
          <w:i/>
          <w:sz w:val="18"/>
        </w:rPr>
        <w:t>Sim</w:t>
      </w:r>
      <w:proofErr w:type="spellEnd"/>
      <w:r w:rsidRPr="00CD5A29">
        <w:rPr>
          <w:rFonts w:ascii="Calibri" w:hAnsi="Calibri"/>
          <w:i/>
          <w:sz w:val="18"/>
        </w:rPr>
        <w:t>) v Parole Board [2004] QB 1288</w:t>
      </w:r>
      <w:r w:rsidRPr="00A74CBF">
        <w:rPr>
          <w:rFonts w:ascii="Calibri" w:hAnsi="Calibri"/>
          <w:sz w:val="18"/>
        </w:rPr>
        <w:t xml:space="preserve"> at [42].</w:t>
      </w:r>
    </w:p>
  </w:footnote>
  <w:footnote w:id="46">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See Brown LJ in </w:t>
      </w:r>
      <w:r w:rsidRPr="00CD5A29">
        <w:rPr>
          <w:rFonts w:ascii="Calibri" w:hAnsi="Calibri"/>
          <w:i/>
          <w:sz w:val="18"/>
        </w:rPr>
        <w:t>R (Wells) v Parole Board [2009] UKHL 22</w:t>
      </w:r>
      <w:r w:rsidRPr="00A74CBF">
        <w:rPr>
          <w:rFonts w:ascii="Calibri" w:hAnsi="Calibri"/>
          <w:sz w:val="18"/>
        </w:rPr>
        <w:t xml:space="preserve"> at [48] for the situation pertaining until July 2008 and the amendments then made.</w:t>
      </w:r>
    </w:p>
  </w:footnote>
  <w:footnote w:id="47">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See Hope LJ in </w:t>
      </w:r>
      <w:r w:rsidRPr="00CD5A29">
        <w:rPr>
          <w:rFonts w:ascii="Calibri" w:hAnsi="Calibri"/>
          <w:i/>
          <w:sz w:val="18"/>
        </w:rPr>
        <w:t>Wells</w:t>
      </w:r>
      <w:r w:rsidRPr="00A74CBF">
        <w:rPr>
          <w:rFonts w:ascii="Calibri" w:hAnsi="Calibri"/>
          <w:sz w:val="18"/>
        </w:rPr>
        <w:t xml:space="preserve"> at [3]; see also Collins J in </w:t>
      </w:r>
      <w:r w:rsidRPr="00CD5A29">
        <w:rPr>
          <w:rFonts w:ascii="Calibri" w:hAnsi="Calibri"/>
          <w:i/>
          <w:sz w:val="18"/>
        </w:rPr>
        <w:t>R (B) v The Parole Board [2009] EWHC 1638 (Admin)</w:t>
      </w:r>
      <w:r w:rsidRPr="00A74CBF">
        <w:rPr>
          <w:rFonts w:ascii="Calibri" w:hAnsi="Calibri"/>
          <w:sz w:val="18"/>
        </w:rPr>
        <w:t xml:space="preserve"> at [23].</w:t>
      </w:r>
    </w:p>
  </w:footnote>
  <w:footnote w:id="48">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In </w:t>
      </w:r>
      <w:r w:rsidRPr="00CD5A29">
        <w:rPr>
          <w:rFonts w:ascii="Calibri" w:hAnsi="Calibri"/>
          <w:i/>
          <w:sz w:val="18"/>
        </w:rPr>
        <w:t>Mental Health Act Manual</w:t>
      </w:r>
      <w:r w:rsidRPr="00A74CBF">
        <w:rPr>
          <w:rFonts w:ascii="Calibri" w:hAnsi="Calibri"/>
          <w:sz w:val="18"/>
        </w:rPr>
        <w:t>, 13th ed., Sweet &amp; Maxwell, (2010) para 1-055, Richard Jones remarks tersely that ‘there is no requirement for the two recommending doctors to agree on the nature of the risk which justifies detention under this section’. Neither does the Tribunal have any criteria by which to assess it.</w:t>
      </w:r>
    </w:p>
  </w:footnote>
  <w:footnote w:id="49">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See for example </w:t>
      </w:r>
      <w:r w:rsidRPr="00CD5A29">
        <w:rPr>
          <w:rFonts w:ascii="Calibri" w:hAnsi="Calibri"/>
          <w:i/>
          <w:sz w:val="18"/>
        </w:rPr>
        <w:t>R (A) v Canons Park Mental Health Review Tribunal [1995] QB 60</w:t>
      </w:r>
      <w:r w:rsidRPr="00A74CBF">
        <w:rPr>
          <w:rFonts w:ascii="Calibri" w:hAnsi="Calibri"/>
          <w:sz w:val="18"/>
        </w:rPr>
        <w:t xml:space="preserve">; </w:t>
      </w:r>
      <w:r w:rsidRPr="00CD5A29">
        <w:rPr>
          <w:rFonts w:ascii="Calibri" w:hAnsi="Calibri"/>
          <w:i/>
          <w:sz w:val="18"/>
        </w:rPr>
        <w:t>H [2001]</w:t>
      </w:r>
      <w:r w:rsidRPr="00A74CBF">
        <w:rPr>
          <w:rFonts w:ascii="Calibri" w:hAnsi="Calibri"/>
          <w:sz w:val="18"/>
        </w:rPr>
        <w:t xml:space="preserve">; </w:t>
      </w:r>
      <w:r w:rsidRPr="00CD5A29">
        <w:rPr>
          <w:rFonts w:ascii="Calibri" w:hAnsi="Calibri"/>
          <w:i/>
          <w:sz w:val="18"/>
        </w:rPr>
        <w:t>R (P) v Mental Health Review Tribunal [2002] MHLR 253 CA</w:t>
      </w:r>
      <w:r w:rsidRPr="00A74CBF">
        <w:rPr>
          <w:rFonts w:ascii="Calibri" w:hAnsi="Calibri"/>
          <w:sz w:val="18"/>
        </w:rPr>
        <w:t>.</w:t>
      </w:r>
    </w:p>
  </w:footnote>
  <w:footnote w:id="50">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Notably in legitimating hospitalisation for control and supervision: see </w:t>
      </w:r>
      <w:r w:rsidRPr="00CD5A29">
        <w:rPr>
          <w:rFonts w:ascii="Calibri" w:hAnsi="Calibri"/>
          <w:i/>
          <w:sz w:val="18"/>
        </w:rPr>
        <w:t>Hutchison Reid v United Kingdom [2003] 37 E.H.R.R. 9</w:t>
      </w:r>
      <w:r w:rsidRPr="00A74CBF">
        <w:rPr>
          <w:rFonts w:ascii="Calibri" w:hAnsi="Calibri"/>
          <w:sz w:val="18"/>
        </w:rPr>
        <w:t xml:space="preserve"> and </w:t>
      </w:r>
      <w:r w:rsidRPr="00CD5A29">
        <w:rPr>
          <w:rFonts w:ascii="Calibri" w:hAnsi="Calibri"/>
          <w:i/>
          <w:sz w:val="18"/>
        </w:rPr>
        <w:t>D (1987)</w:t>
      </w:r>
      <w:r w:rsidRPr="00A74CBF">
        <w:rPr>
          <w:rFonts w:ascii="Calibri" w:hAnsi="Calibri"/>
          <w:sz w:val="18"/>
        </w:rPr>
        <w:t>.</w:t>
      </w:r>
    </w:p>
  </w:footnote>
  <w:footnote w:id="51">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w:t>
      </w:r>
      <w:proofErr w:type="spellStart"/>
      <w:r w:rsidRPr="00A74CBF">
        <w:rPr>
          <w:rFonts w:ascii="Calibri" w:hAnsi="Calibri"/>
          <w:sz w:val="18"/>
        </w:rPr>
        <w:t>Hansard</w:t>
      </w:r>
      <w:proofErr w:type="spellEnd"/>
      <w:r w:rsidRPr="00A74CBF">
        <w:rPr>
          <w:rFonts w:ascii="Calibri" w:hAnsi="Calibri"/>
          <w:sz w:val="18"/>
        </w:rPr>
        <w:t xml:space="preserve">, Joint Committee on the Draft Mental Health Bill </w:t>
      </w:r>
      <w:r w:rsidRPr="00CD5A29">
        <w:rPr>
          <w:rFonts w:ascii="Calibri" w:hAnsi="Calibri"/>
          <w:i/>
          <w:sz w:val="18"/>
        </w:rPr>
        <w:t>Minutes of Evidence: Memorandum from the Mental Health Alliance</w:t>
      </w:r>
      <w:r w:rsidRPr="00A74CBF">
        <w:rPr>
          <w:rFonts w:ascii="Calibri" w:hAnsi="Calibri"/>
          <w:sz w:val="18"/>
        </w:rPr>
        <w:t xml:space="preserve"> (DMH 105) (9 March 2005) at para 1.8. See also </w:t>
      </w:r>
      <w:proofErr w:type="spellStart"/>
      <w:r w:rsidRPr="00A74CBF">
        <w:rPr>
          <w:rFonts w:ascii="Calibri" w:hAnsi="Calibri"/>
          <w:sz w:val="18"/>
        </w:rPr>
        <w:t>Hansard</w:t>
      </w:r>
      <w:proofErr w:type="spellEnd"/>
      <w:r w:rsidRPr="00A74CBF">
        <w:rPr>
          <w:rFonts w:ascii="Calibri" w:hAnsi="Calibri"/>
          <w:sz w:val="18"/>
        </w:rPr>
        <w:t xml:space="preserve">, </w:t>
      </w:r>
      <w:r w:rsidRPr="007A6BDC">
        <w:rPr>
          <w:rFonts w:ascii="Calibri" w:hAnsi="Calibri"/>
          <w:i/>
          <w:sz w:val="18"/>
        </w:rPr>
        <w:t>Minutes of Evidence taken before Joint Committee on the Draft Mental Health Bill: Uncorrected Transcript of oral evidence</w:t>
      </w:r>
      <w:r w:rsidRPr="00A74CBF">
        <w:rPr>
          <w:rFonts w:ascii="Calibri" w:hAnsi="Calibri"/>
          <w:sz w:val="18"/>
        </w:rPr>
        <w:t xml:space="preserve"> to be published as HC 95-xii, (Wednesday 26 January 2005) and </w:t>
      </w:r>
      <w:r w:rsidRPr="007A6BDC">
        <w:rPr>
          <w:rFonts w:ascii="Calibri" w:hAnsi="Calibri"/>
          <w:i/>
          <w:sz w:val="18"/>
        </w:rPr>
        <w:t>Uncorrected transcript of oral evidence</w:t>
      </w:r>
      <w:r w:rsidRPr="00A74CBF">
        <w:rPr>
          <w:rFonts w:ascii="Calibri" w:hAnsi="Calibri"/>
          <w:sz w:val="18"/>
        </w:rPr>
        <w:t xml:space="preserve"> to be published as HC95v, (Wednesday 15 December 2004).</w:t>
      </w:r>
    </w:p>
  </w:footnote>
  <w:footnote w:id="52">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For guidance on treatment of personality disordered patients under the MHA, see Code of Practice (2008) paras 3.18 and 3.19, and Chapter 35.</w:t>
      </w:r>
    </w:p>
  </w:footnote>
  <w:footnote w:id="53">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MHA s145(4).</w:t>
      </w:r>
    </w:p>
  </w:footnote>
  <w:footnote w:id="54">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See for example Auld LJ in </w:t>
      </w:r>
      <w:r w:rsidRPr="007A6BDC">
        <w:rPr>
          <w:rFonts w:ascii="Calibri" w:hAnsi="Calibri"/>
          <w:i/>
          <w:sz w:val="18"/>
        </w:rPr>
        <w:t>R (JB) v Haddock (Responsible Medical Officer) [2006]</w:t>
      </w:r>
      <w:r w:rsidRPr="00A74CBF">
        <w:rPr>
          <w:rFonts w:ascii="Calibri" w:hAnsi="Calibri"/>
          <w:sz w:val="18"/>
        </w:rPr>
        <w:t xml:space="preserve"> on the role of ‘value judgments’ in ‘often difficult and complex questions of diagnosis and prognosis on which there may be some difference of medical opinion.’ See also </w:t>
      </w:r>
      <w:r w:rsidRPr="007A6BDC">
        <w:rPr>
          <w:rFonts w:ascii="Calibri" w:hAnsi="Calibri"/>
          <w:i/>
          <w:sz w:val="18"/>
        </w:rPr>
        <w:t>Hutchison Reid [2003]</w:t>
      </w:r>
      <w:r w:rsidRPr="00A74CBF">
        <w:rPr>
          <w:rFonts w:ascii="Calibri" w:hAnsi="Calibri"/>
          <w:sz w:val="18"/>
        </w:rPr>
        <w:t>.</w:t>
      </w:r>
    </w:p>
  </w:footnote>
  <w:footnote w:id="55">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Mental Health Act Commission, </w:t>
      </w:r>
      <w:r w:rsidRPr="007A6BDC">
        <w:rPr>
          <w:rFonts w:ascii="Calibri" w:hAnsi="Calibri"/>
          <w:i/>
          <w:sz w:val="18"/>
        </w:rPr>
        <w:t>Policy Briefing for Commissioners</w:t>
      </w:r>
      <w:r w:rsidRPr="00A74CBF">
        <w:rPr>
          <w:rFonts w:ascii="Calibri" w:hAnsi="Calibri"/>
          <w:sz w:val="18"/>
        </w:rPr>
        <w:t xml:space="preserve">, (July 2007) p2. The Briefing also comments wryly on the effectively meaningless circularity of definition of ‘appropriate’. In mental health law, as in penal law in relation to ‘dangerousness’, lack of definition is a useful tool for those wanting to reduce possibilities for appeal against detention. The reference is to R. Jones, </w:t>
      </w:r>
      <w:r w:rsidRPr="007A6BDC">
        <w:rPr>
          <w:rFonts w:ascii="Calibri" w:hAnsi="Calibri"/>
          <w:i/>
          <w:sz w:val="18"/>
        </w:rPr>
        <w:t>Mental Health Act Manual</w:t>
      </w:r>
      <w:r w:rsidRPr="00A74CBF">
        <w:rPr>
          <w:rFonts w:ascii="Calibri" w:hAnsi="Calibri"/>
          <w:sz w:val="18"/>
        </w:rPr>
        <w:t>, 10th ed., Thomson: Sweet &amp; Maxwell, (2006).</w:t>
      </w:r>
    </w:p>
  </w:footnote>
  <w:footnote w:id="56">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Code of Practice (2008) paras 6.16-6.17.</w:t>
      </w:r>
    </w:p>
  </w:footnote>
  <w:footnote w:id="57">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Phillips LJ commented obiter on the common law ‘best interest’ requirement for medical treatment, citing the relevance of such ‘wider considerations’ as the possibility of less intrusive treatments to ‘achieve the same result’. Since that ‘same result’ has to include the considerations not only of health but of others’ safety, it is unlikely that ‘best interests’ can go far in limiting the scope of the law. See </w:t>
      </w:r>
      <w:r w:rsidRPr="007A6BDC">
        <w:rPr>
          <w:rFonts w:ascii="Calibri" w:hAnsi="Calibri"/>
          <w:i/>
          <w:sz w:val="18"/>
        </w:rPr>
        <w:t xml:space="preserve">R (B) v (1) Dr S; (2) Dr G; (3) </w:t>
      </w:r>
      <w:proofErr w:type="spellStart"/>
      <w:r w:rsidRPr="007A6BDC">
        <w:rPr>
          <w:rFonts w:ascii="Calibri" w:hAnsi="Calibri"/>
          <w:i/>
          <w:sz w:val="18"/>
        </w:rPr>
        <w:t>SoS</w:t>
      </w:r>
      <w:proofErr w:type="spellEnd"/>
      <w:r w:rsidRPr="007A6BDC">
        <w:rPr>
          <w:rFonts w:ascii="Calibri" w:hAnsi="Calibri"/>
          <w:i/>
          <w:sz w:val="18"/>
        </w:rPr>
        <w:t xml:space="preserve"> for Health [2006] EWCA </w:t>
      </w:r>
      <w:proofErr w:type="spellStart"/>
      <w:r w:rsidRPr="007A6BDC">
        <w:rPr>
          <w:rFonts w:ascii="Calibri" w:hAnsi="Calibri"/>
          <w:i/>
          <w:sz w:val="18"/>
        </w:rPr>
        <w:t>Civ</w:t>
      </w:r>
      <w:proofErr w:type="spellEnd"/>
      <w:r w:rsidRPr="007A6BDC">
        <w:rPr>
          <w:rFonts w:ascii="Calibri" w:hAnsi="Calibri"/>
          <w:i/>
          <w:sz w:val="18"/>
        </w:rPr>
        <w:t xml:space="preserve"> 28</w:t>
      </w:r>
      <w:r w:rsidRPr="00A74CBF">
        <w:rPr>
          <w:rFonts w:ascii="Calibri" w:hAnsi="Calibri"/>
          <w:sz w:val="18"/>
        </w:rPr>
        <w:t xml:space="preserve"> at [62].</w:t>
      </w:r>
    </w:p>
  </w:footnote>
  <w:footnote w:id="58">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w:t>
      </w:r>
      <w:proofErr w:type="spellStart"/>
      <w:r w:rsidRPr="007A6BDC">
        <w:rPr>
          <w:rFonts w:ascii="Calibri" w:hAnsi="Calibri"/>
          <w:i/>
          <w:sz w:val="18"/>
        </w:rPr>
        <w:t>Ashingdane</w:t>
      </w:r>
      <w:proofErr w:type="spellEnd"/>
      <w:r w:rsidRPr="007A6BDC">
        <w:rPr>
          <w:rFonts w:ascii="Calibri" w:hAnsi="Calibri"/>
          <w:i/>
          <w:sz w:val="18"/>
        </w:rPr>
        <w:t xml:space="preserve"> v UK [1985] 7 EHRR 528</w:t>
      </w:r>
      <w:r w:rsidRPr="00A74CBF">
        <w:rPr>
          <w:rFonts w:ascii="Calibri" w:hAnsi="Calibri"/>
          <w:sz w:val="18"/>
        </w:rPr>
        <w:t xml:space="preserve"> at [551]. </w:t>
      </w:r>
      <w:proofErr w:type="spellStart"/>
      <w:r w:rsidRPr="007A6BDC">
        <w:rPr>
          <w:rFonts w:ascii="Calibri" w:hAnsi="Calibri"/>
          <w:i/>
          <w:sz w:val="18"/>
        </w:rPr>
        <w:t>Ashingdane</w:t>
      </w:r>
      <w:proofErr w:type="spellEnd"/>
      <w:r w:rsidRPr="00A74CBF">
        <w:rPr>
          <w:rFonts w:ascii="Calibri" w:hAnsi="Calibri"/>
          <w:sz w:val="18"/>
        </w:rPr>
        <w:t xml:space="preserve"> also ruled that psychiatric detention must be in an appropriate institution.</w:t>
      </w:r>
    </w:p>
  </w:footnote>
  <w:footnote w:id="59">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w:t>
      </w:r>
      <w:proofErr w:type="spellStart"/>
      <w:r w:rsidRPr="007A6BDC">
        <w:rPr>
          <w:rFonts w:ascii="Calibri" w:hAnsi="Calibri"/>
          <w:i/>
          <w:sz w:val="18"/>
        </w:rPr>
        <w:t>Winterwerp</w:t>
      </w:r>
      <w:proofErr w:type="spellEnd"/>
      <w:r w:rsidRPr="007A6BDC">
        <w:rPr>
          <w:rFonts w:ascii="Calibri" w:hAnsi="Calibri"/>
          <w:i/>
          <w:sz w:val="18"/>
        </w:rPr>
        <w:t xml:space="preserve"> v The Netherlands [1979-80] 2 E.H.R.R. 387</w:t>
      </w:r>
      <w:r w:rsidRPr="00A74CBF">
        <w:rPr>
          <w:rFonts w:ascii="Calibri" w:hAnsi="Calibri"/>
          <w:sz w:val="18"/>
        </w:rPr>
        <w:t xml:space="preserve">. See also </w:t>
      </w:r>
      <w:proofErr w:type="spellStart"/>
      <w:r w:rsidRPr="007A6BDC">
        <w:rPr>
          <w:rFonts w:ascii="Calibri" w:hAnsi="Calibri"/>
          <w:i/>
          <w:sz w:val="18"/>
        </w:rPr>
        <w:t>Ashingdane</w:t>
      </w:r>
      <w:proofErr w:type="spellEnd"/>
      <w:r w:rsidRPr="00A74CBF">
        <w:rPr>
          <w:rFonts w:ascii="Calibri" w:hAnsi="Calibri"/>
          <w:sz w:val="18"/>
        </w:rPr>
        <w:t xml:space="preserve"> at [44] for a ruling that there must be ‘some relationship between the ground of permitted deprivation of liberty relied on and the place and conditions of detention’.</w:t>
      </w:r>
    </w:p>
  </w:footnote>
  <w:footnote w:id="60">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w:t>
      </w:r>
      <w:r>
        <w:rPr>
          <w:rFonts w:ascii="Calibri" w:hAnsi="Calibri"/>
          <w:sz w:val="18"/>
        </w:rPr>
        <w:t xml:space="preserve">B. Hale, </w:t>
      </w:r>
      <w:r w:rsidRPr="007A6BDC">
        <w:rPr>
          <w:rFonts w:ascii="Calibri" w:hAnsi="Calibri"/>
          <w:i/>
          <w:sz w:val="18"/>
        </w:rPr>
        <w:t>Justice and equality in mental health law: The European</w:t>
      </w:r>
      <w:r>
        <w:rPr>
          <w:rFonts w:ascii="Calibri" w:hAnsi="Calibri"/>
          <w:sz w:val="18"/>
        </w:rPr>
        <w:t xml:space="preserve"> experience</w:t>
      </w:r>
      <w:r w:rsidRPr="00A74CBF">
        <w:rPr>
          <w:rFonts w:ascii="Calibri" w:hAnsi="Calibri"/>
          <w:sz w:val="18"/>
        </w:rPr>
        <w:t xml:space="preserve"> (2007) 30 International Journal of Law and Psychiatry 18-28 p27. The case is closely similar with the non-definition of ‘appropriate’ treatment and indeed of its ‘availability’; which will also no doubt exercise the judiciary.</w:t>
      </w:r>
    </w:p>
  </w:footnote>
  <w:footnote w:id="61">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w:t>
      </w:r>
      <w:proofErr w:type="spellStart"/>
      <w:r w:rsidRPr="00A74CBF">
        <w:rPr>
          <w:rFonts w:ascii="Calibri" w:hAnsi="Calibri"/>
          <w:sz w:val="18"/>
        </w:rPr>
        <w:t>Hansard</w:t>
      </w:r>
      <w:proofErr w:type="spellEnd"/>
      <w:r w:rsidRPr="00A74CBF">
        <w:rPr>
          <w:rFonts w:ascii="Calibri" w:hAnsi="Calibri"/>
          <w:sz w:val="18"/>
        </w:rPr>
        <w:t>, Joint Committee on the Draft Mental Health Bill Minutes of Evidence: Memorandum from the Mental Health Alliance (DMH 105) (9 March 2005), in particular Part 4.</w:t>
      </w:r>
    </w:p>
  </w:footnote>
  <w:footnote w:id="62">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w:t>
      </w:r>
      <w:r w:rsidRPr="00AB3766">
        <w:rPr>
          <w:rFonts w:ascii="Calibri" w:hAnsi="Calibri"/>
          <w:i/>
          <w:sz w:val="18"/>
        </w:rPr>
        <w:t>DH-L v Devon Partnership NHS Trust [2010] UKUT 102 (AAC)</w:t>
      </w:r>
      <w:r w:rsidRPr="00A74CBF">
        <w:rPr>
          <w:rFonts w:ascii="Calibri" w:hAnsi="Calibri"/>
          <w:sz w:val="18"/>
        </w:rPr>
        <w:t xml:space="preserve"> at [33] and [24]; </w:t>
      </w:r>
      <w:r w:rsidRPr="00AB3766">
        <w:rPr>
          <w:rFonts w:ascii="Calibri" w:hAnsi="Calibri"/>
          <w:i/>
          <w:sz w:val="18"/>
        </w:rPr>
        <w:t>MD v Nottinghamshire Healthcare NHS Trust [2010] UKUT 59 (AAC)</w:t>
      </w:r>
      <w:r w:rsidRPr="00A74CBF">
        <w:rPr>
          <w:rFonts w:ascii="Calibri" w:hAnsi="Calibri"/>
          <w:sz w:val="18"/>
        </w:rPr>
        <w:t xml:space="preserve"> at [48].</w:t>
      </w:r>
    </w:p>
  </w:footnote>
  <w:footnote w:id="63">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B. </w:t>
      </w:r>
      <w:proofErr w:type="spellStart"/>
      <w:r w:rsidRPr="00A74CBF">
        <w:rPr>
          <w:rFonts w:ascii="Calibri" w:hAnsi="Calibri"/>
          <w:sz w:val="18"/>
        </w:rPr>
        <w:t>Hoggett</w:t>
      </w:r>
      <w:proofErr w:type="spellEnd"/>
      <w:r w:rsidRPr="00A74CBF">
        <w:rPr>
          <w:rFonts w:ascii="Calibri" w:hAnsi="Calibri"/>
          <w:sz w:val="18"/>
        </w:rPr>
        <w:t xml:space="preserve">, </w:t>
      </w:r>
      <w:r w:rsidRPr="00AB3766">
        <w:rPr>
          <w:rFonts w:ascii="Calibri" w:hAnsi="Calibri"/>
          <w:i/>
          <w:sz w:val="18"/>
        </w:rPr>
        <w:t>Mental Health Law</w:t>
      </w:r>
      <w:r w:rsidRPr="00A74CBF">
        <w:rPr>
          <w:rFonts w:ascii="Calibri" w:hAnsi="Calibri"/>
          <w:sz w:val="18"/>
        </w:rPr>
        <w:t xml:space="preserve">, 3rd ed., London: Sweet &amp; Maxwell, (1990) p289. The reference to ‘the gulf’ is repeated on page 273 of B. Hale, </w:t>
      </w:r>
      <w:r w:rsidRPr="00AB3766">
        <w:rPr>
          <w:rFonts w:ascii="Calibri" w:hAnsi="Calibri"/>
          <w:i/>
          <w:sz w:val="18"/>
        </w:rPr>
        <w:t>Mental Health Law</w:t>
      </w:r>
      <w:r w:rsidRPr="00A74CBF">
        <w:rPr>
          <w:rFonts w:ascii="Calibri" w:hAnsi="Calibri"/>
          <w:sz w:val="18"/>
        </w:rPr>
        <w:t>, 5th ed., London: Sweet &amp; Maxwell (2010).</w:t>
      </w:r>
    </w:p>
  </w:footnote>
  <w:footnote w:id="64">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w:t>
      </w:r>
      <w:r w:rsidRPr="00B6087F">
        <w:rPr>
          <w:rFonts w:ascii="Calibri" w:hAnsi="Calibri"/>
          <w:i/>
          <w:sz w:val="18"/>
        </w:rPr>
        <w:t xml:space="preserve">R v Staines [2006] EWCA </w:t>
      </w:r>
      <w:proofErr w:type="spellStart"/>
      <w:r w:rsidRPr="00B6087F">
        <w:rPr>
          <w:rFonts w:ascii="Calibri" w:hAnsi="Calibri"/>
          <w:i/>
          <w:sz w:val="18"/>
        </w:rPr>
        <w:t>Crim</w:t>
      </w:r>
      <w:proofErr w:type="spellEnd"/>
      <w:r w:rsidRPr="00B6087F">
        <w:rPr>
          <w:rFonts w:ascii="Calibri" w:hAnsi="Calibri"/>
          <w:i/>
          <w:sz w:val="18"/>
        </w:rPr>
        <w:t xml:space="preserve"> 15</w:t>
      </w:r>
      <w:r w:rsidRPr="00A74CBF">
        <w:rPr>
          <w:rFonts w:ascii="Calibri" w:hAnsi="Calibri"/>
          <w:sz w:val="18"/>
        </w:rPr>
        <w:t xml:space="preserve"> at [22], quoting a ‘conspicuously impressive’ consultant psychiatrist witness.</w:t>
      </w:r>
    </w:p>
  </w:footnote>
  <w:footnote w:id="65">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w:t>
      </w:r>
      <w:r w:rsidRPr="00B6087F">
        <w:rPr>
          <w:rFonts w:ascii="Calibri" w:hAnsi="Calibri"/>
          <w:i/>
          <w:sz w:val="18"/>
        </w:rPr>
        <w:t xml:space="preserve">R v Rajesh Kumar </w:t>
      </w:r>
      <w:proofErr w:type="spellStart"/>
      <w:r w:rsidRPr="00B6087F">
        <w:rPr>
          <w:rFonts w:ascii="Calibri" w:hAnsi="Calibri"/>
          <w:i/>
          <w:sz w:val="18"/>
        </w:rPr>
        <w:t>Dass</w:t>
      </w:r>
      <w:proofErr w:type="spellEnd"/>
      <w:r w:rsidRPr="00B6087F">
        <w:rPr>
          <w:rFonts w:ascii="Calibri" w:hAnsi="Calibri"/>
          <w:i/>
          <w:sz w:val="18"/>
        </w:rPr>
        <w:t xml:space="preserve"> [2009] EWCA </w:t>
      </w:r>
      <w:proofErr w:type="spellStart"/>
      <w:r w:rsidRPr="00B6087F">
        <w:rPr>
          <w:rFonts w:ascii="Calibri" w:hAnsi="Calibri"/>
          <w:i/>
          <w:sz w:val="18"/>
        </w:rPr>
        <w:t>Crim</w:t>
      </w:r>
      <w:proofErr w:type="spellEnd"/>
      <w:r w:rsidRPr="00B6087F">
        <w:rPr>
          <w:rFonts w:ascii="Calibri" w:hAnsi="Calibri"/>
          <w:i/>
          <w:sz w:val="18"/>
        </w:rPr>
        <w:t xml:space="preserve"> 1208</w:t>
      </w:r>
      <w:r w:rsidRPr="00A74CBF">
        <w:rPr>
          <w:rFonts w:ascii="Calibri" w:hAnsi="Calibri"/>
          <w:sz w:val="18"/>
        </w:rPr>
        <w:t xml:space="preserve"> at [46].</w:t>
      </w:r>
    </w:p>
  </w:footnote>
  <w:footnote w:id="66">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See Stanley </w:t>
      </w:r>
      <w:proofErr w:type="spellStart"/>
      <w:r w:rsidRPr="00A74CBF">
        <w:rPr>
          <w:rFonts w:ascii="Calibri" w:hAnsi="Calibri"/>
          <w:sz w:val="18"/>
        </w:rPr>
        <w:t>Burnton</w:t>
      </w:r>
      <w:proofErr w:type="spellEnd"/>
      <w:r w:rsidRPr="00A74CBF">
        <w:rPr>
          <w:rFonts w:ascii="Calibri" w:hAnsi="Calibri"/>
          <w:sz w:val="18"/>
        </w:rPr>
        <w:t xml:space="preserve"> J in </w:t>
      </w:r>
      <w:r w:rsidRPr="00B6087F">
        <w:rPr>
          <w:rFonts w:ascii="Calibri" w:hAnsi="Calibri"/>
          <w:i/>
          <w:sz w:val="18"/>
        </w:rPr>
        <w:t xml:space="preserve">R (D) v </w:t>
      </w:r>
      <w:proofErr w:type="spellStart"/>
      <w:r w:rsidRPr="00B6087F">
        <w:rPr>
          <w:rFonts w:ascii="Calibri" w:hAnsi="Calibri"/>
          <w:i/>
          <w:sz w:val="18"/>
        </w:rPr>
        <w:t>SoS</w:t>
      </w:r>
      <w:proofErr w:type="spellEnd"/>
      <w:r w:rsidRPr="00B6087F">
        <w:rPr>
          <w:rFonts w:ascii="Calibri" w:hAnsi="Calibri"/>
          <w:i/>
          <w:sz w:val="18"/>
        </w:rPr>
        <w:t xml:space="preserve"> for the Home Office, </w:t>
      </w:r>
      <w:proofErr w:type="spellStart"/>
      <w:r w:rsidRPr="00B6087F">
        <w:rPr>
          <w:rFonts w:ascii="Calibri" w:hAnsi="Calibri"/>
          <w:i/>
          <w:sz w:val="18"/>
        </w:rPr>
        <w:t>SoS</w:t>
      </w:r>
      <w:proofErr w:type="spellEnd"/>
      <w:r w:rsidRPr="00B6087F">
        <w:rPr>
          <w:rFonts w:ascii="Calibri" w:hAnsi="Calibri"/>
          <w:i/>
          <w:sz w:val="18"/>
        </w:rPr>
        <w:t xml:space="preserve"> for Wales [2004] EWHC 2857 (Admin)</w:t>
      </w:r>
      <w:r w:rsidRPr="00A74CBF">
        <w:rPr>
          <w:rFonts w:ascii="Calibri" w:hAnsi="Calibri"/>
          <w:sz w:val="18"/>
        </w:rPr>
        <w:t xml:space="preserve"> at [20].</w:t>
      </w:r>
    </w:p>
  </w:footnote>
  <w:footnote w:id="67">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w:t>
      </w:r>
      <w:r>
        <w:rPr>
          <w:rFonts w:ascii="Calibri" w:hAnsi="Calibri"/>
          <w:sz w:val="18"/>
        </w:rPr>
        <w:t xml:space="preserve">B. Hale, </w:t>
      </w:r>
      <w:r w:rsidRPr="00A10F38">
        <w:rPr>
          <w:rFonts w:ascii="Calibri" w:hAnsi="Calibri"/>
          <w:i/>
          <w:sz w:val="18"/>
        </w:rPr>
        <w:t>What can the Human Rights Act do for my mental health?</w:t>
      </w:r>
      <w:r w:rsidRPr="00A74CBF">
        <w:rPr>
          <w:rFonts w:ascii="Calibri" w:hAnsi="Calibri"/>
          <w:sz w:val="18"/>
        </w:rPr>
        <w:t xml:space="preserve"> (May 2005) J. Mental Health L., p10. </w:t>
      </w:r>
      <w:r w:rsidRPr="00A10F38">
        <w:rPr>
          <w:rFonts w:ascii="Calibri" w:hAnsi="Calibri"/>
          <w:i/>
          <w:sz w:val="18"/>
        </w:rPr>
        <w:t>R (</w:t>
      </w:r>
      <w:proofErr w:type="spellStart"/>
      <w:r w:rsidRPr="00A10F38">
        <w:rPr>
          <w:rFonts w:ascii="Calibri" w:hAnsi="Calibri"/>
          <w:i/>
          <w:sz w:val="18"/>
        </w:rPr>
        <w:t>Munjaz</w:t>
      </w:r>
      <w:proofErr w:type="spellEnd"/>
      <w:r w:rsidRPr="00A10F38">
        <w:rPr>
          <w:rFonts w:ascii="Calibri" w:hAnsi="Calibri"/>
          <w:i/>
          <w:sz w:val="18"/>
        </w:rPr>
        <w:t xml:space="preserve">) v Mersey Care NHS Trust and Others [2003] EWCA </w:t>
      </w:r>
      <w:proofErr w:type="spellStart"/>
      <w:r w:rsidRPr="00A10F38">
        <w:rPr>
          <w:rFonts w:ascii="Calibri" w:hAnsi="Calibri"/>
          <w:i/>
          <w:sz w:val="18"/>
        </w:rPr>
        <w:t>Civ</w:t>
      </w:r>
      <w:proofErr w:type="spellEnd"/>
      <w:r w:rsidRPr="00A10F38">
        <w:rPr>
          <w:rFonts w:ascii="Calibri" w:hAnsi="Calibri"/>
          <w:i/>
          <w:sz w:val="18"/>
        </w:rPr>
        <w:t xml:space="preserve"> 1036</w:t>
      </w:r>
      <w:r w:rsidRPr="00A74CBF">
        <w:rPr>
          <w:rFonts w:ascii="Calibri" w:hAnsi="Calibri"/>
          <w:sz w:val="18"/>
        </w:rPr>
        <w:t xml:space="preserve"> at [55].</w:t>
      </w:r>
    </w:p>
  </w:footnote>
  <w:footnote w:id="68">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w:t>
      </w:r>
      <w:r>
        <w:rPr>
          <w:rFonts w:ascii="Calibri" w:hAnsi="Calibri"/>
          <w:sz w:val="18"/>
        </w:rPr>
        <w:t xml:space="preserve">See J. Shaw et al, </w:t>
      </w:r>
      <w:r w:rsidRPr="00A10F38">
        <w:rPr>
          <w:rFonts w:ascii="Calibri" w:hAnsi="Calibri"/>
          <w:i/>
          <w:sz w:val="18"/>
        </w:rPr>
        <w:t xml:space="preserve">Rates of mental disorder in people convicted of homicide: National clinical </w:t>
      </w:r>
      <w:r w:rsidRPr="00A74CBF">
        <w:rPr>
          <w:rFonts w:ascii="Calibri" w:hAnsi="Calibri"/>
          <w:sz w:val="18"/>
        </w:rPr>
        <w:t>survey (2006) 188 British Journal of Psychiatry 143-147, for an analysis of the mental health diagnoses most and least frequently associated with a hospital order, and of the incidence of those convicted of manslaughter on the grounds of diminished responsibility nevertheless receiving a prison disposal.</w:t>
      </w:r>
    </w:p>
  </w:footnote>
  <w:footnote w:id="69">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See </w:t>
      </w:r>
      <w:proofErr w:type="spellStart"/>
      <w:r w:rsidRPr="00A74CBF">
        <w:rPr>
          <w:rFonts w:ascii="Calibri" w:hAnsi="Calibri"/>
          <w:sz w:val="18"/>
        </w:rPr>
        <w:t>Mustill</w:t>
      </w:r>
      <w:proofErr w:type="spellEnd"/>
      <w:r w:rsidRPr="00A74CBF">
        <w:rPr>
          <w:rFonts w:ascii="Calibri" w:hAnsi="Calibri"/>
          <w:sz w:val="18"/>
        </w:rPr>
        <w:t xml:space="preserve"> LJ in </w:t>
      </w:r>
      <w:r w:rsidRPr="00A10F38">
        <w:rPr>
          <w:rFonts w:ascii="Calibri" w:hAnsi="Calibri"/>
          <w:i/>
          <w:sz w:val="18"/>
        </w:rPr>
        <w:t>R v Birch [1989] 90 Cr. App. R. 78</w:t>
      </w:r>
      <w:r w:rsidRPr="00A74CBF">
        <w:rPr>
          <w:rFonts w:ascii="Calibri" w:hAnsi="Calibri"/>
          <w:sz w:val="18"/>
        </w:rPr>
        <w:t xml:space="preserve"> at [89]. For a more recent discussion of the ‘balancing act’ necessary in deciding between hospital and prison disposal, see </w:t>
      </w:r>
      <w:proofErr w:type="spellStart"/>
      <w:r w:rsidRPr="00A74CBF">
        <w:rPr>
          <w:rFonts w:ascii="Calibri" w:hAnsi="Calibri"/>
          <w:sz w:val="18"/>
        </w:rPr>
        <w:t>Hallett</w:t>
      </w:r>
      <w:proofErr w:type="spellEnd"/>
      <w:r w:rsidRPr="00A74CBF">
        <w:rPr>
          <w:rFonts w:ascii="Calibri" w:hAnsi="Calibri"/>
          <w:sz w:val="18"/>
        </w:rPr>
        <w:t xml:space="preserve"> LJ in </w:t>
      </w:r>
      <w:proofErr w:type="spellStart"/>
      <w:r w:rsidRPr="00A10F38">
        <w:rPr>
          <w:rFonts w:ascii="Calibri" w:hAnsi="Calibri"/>
          <w:i/>
          <w:sz w:val="18"/>
        </w:rPr>
        <w:t>Dass</w:t>
      </w:r>
      <w:proofErr w:type="spellEnd"/>
      <w:r w:rsidRPr="00A74CBF">
        <w:rPr>
          <w:rFonts w:ascii="Calibri" w:hAnsi="Calibri"/>
          <w:sz w:val="18"/>
        </w:rPr>
        <w:t xml:space="preserve"> at [46] et seq.</w:t>
      </w:r>
    </w:p>
  </w:footnote>
  <w:footnote w:id="70">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MHA s37/41. See </w:t>
      </w:r>
      <w:r w:rsidRPr="00A10F38">
        <w:rPr>
          <w:rFonts w:ascii="Calibri" w:hAnsi="Calibri"/>
          <w:i/>
          <w:sz w:val="18"/>
        </w:rPr>
        <w:t>Birch</w:t>
      </w:r>
      <w:r w:rsidRPr="00A74CBF">
        <w:rPr>
          <w:rFonts w:ascii="Calibri" w:hAnsi="Calibri"/>
          <w:sz w:val="18"/>
        </w:rPr>
        <w:t xml:space="preserve"> at [87] for discussion of the difficulty facing the sentencing judge in assessing whether a s41 restriction order is required. The House of Commons Justice Select Committee considered that ‘</w:t>
      </w:r>
      <w:proofErr w:type="spellStart"/>
      <w:r w:rsidRPr="00A74CBF">
        <w:rPr>
          <w:rFonts w:ascii="Calibri" w:hAnsi="Calibri"/>
          <w:sz w:val="18"/>
        </w:rPr>
        <w:t>sentencers</w:t>
      </w:r>
      <w:proofErr w:type="spellEnd"/>
      <w:r w:rsidRPr="00A74CBF">
        <w:rPr>
          <w:rFonts w:ascii="Calibri" w:hAnsi="Calibri"/>
          <w:sz w:val="18"/>
        </w:rPr>
        <w:t xml:space="preserve"> would benefit from better guidance on their options with regard to persons requiring different levels of mental health support’: see its </w:t>
      </w:r>
      <w:r w:rsidRPr="00A10F38">
        <w:rPr>
          <w:rFonts w:ascii="Calibri" w:hAnsi="Calibri"/>
          <w:i/>
          <w:sz w:val="18"/>
        </w:rPr>
        <w:t>Fifth Report of Session 2007/08: Sentencing</w:t>
      </w:r>
      <w:r w:rsidRPr="00A74CBF">
        <w:rPr>
          <w:rFonts w:ascii="Calibri" w:hAnsi="Calibri"/>
          <w:sz w:val="18"/>
        </w:rPr>
        <w:t>, (8 July 2008) para 210.</w:t>
      </w:r>
    </w:p>
  </w:footnote>
  <w:footnote w:id="71">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MHA ss47/49.</w:t>
      </w:r>
    </w:p>
  </w:footnote>
  <w:footnote w:id="72">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MHA s45A, inserted by the </w:t>
      </w:r>
      <w:r w:rsidRPr="00A10F38">
        <w:rPr>
          <w:rFonts w:ascii="Calibri" w:hAnsi="Calibri"/>
          <w:i/>
          <w:sz w:val="18"/>
        </w:rPr>
        <w:t>Crime (Sentences) Act 1997</w:t>
      </w:r>
      <w:r w:rsidRPr="00A74CBF">
        <w:rPr>
          <w:rFonts w:ascii="Calibri" w:hAnsi="Calibri"/>
          <w:sz w:val="18"/>
        </w:rPr>
        <w:t>, s46. There is no provision for voluntary psychiatric hospitalisation of prisoners; in-patient mental health care must be compulsory, however compliant – or eager for it – prisoners may be.</w:t>
      </w:r>
    </w:p>
  </w:footnote>
  <w:footnote w:id="73">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Se</w:t>
      </w:r>
      <w:r>
        <w:rPr>
          <w:rFonts w:ascii="Calibri" w:hAnsi="Calibri"/>
          <w:sz w:val="18"/>
        </w:rPr>
        <w:t xml:space="preserve">e G. Richardson and D. Machin, </w:t>
      </w:r>
      <w:r w:rsidRPr="00A10F38">
        <w:rPr>
          <w:rFonts w:ascii="Calibri" w:hAnsi="Calibri"/>
          <w:i/>
          <w:sz w:val="18"/>
        </w:rPr>
        <w:t>Judicial Review and Tribunal Decision Making: A Study of the Mental Health Review Tribunal</w:t>
      </w:r>
      <w:r w:rsidRPr="00A74CBF">
        <w:rPr>
          <w:rFonts w:ascii="Calibri" w:hAnsi="Calibri"/>
          <w:sz w:val="18"/>
        </w:rPr>
        <w:t xml:space="preserve"> (2000) Public Law p501 for discussion of the inability of JR processes to define the legal meaning of the criteria under the MHA, definable only on a </w:t>
      </w:r>
      <w:proofErr w:type="spellStart"/>
      <w:r w:rsidRPr="00A74CBF">
        <w:rPr>
          <w:rFonts w:ascii="Calibri" w:hAnsi="Calibri"/>
          <w:sz w:val="18"/>
        </w:rPr>
        <w:t>case­by-case</w:t>
      </w:r>
      <w:proofErr w:type="spellEnd"/>
      <w:r w:rsidRPr="00A74CBF">
        <w:rPr>
          <w:rFonts w:ascii="Calibri" w:hAnsi="Calibri"/>
          <w:sz w:val="18"/>
        </w:rPr>
        <w:t xml:space="preserve"> basis.</w:t>
      </w:r>
    </w:p>
  </w:footnote>
  <w:footnote w:id="74">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w:t>
      </w:r>
      <w:r w:rsidRPr="00A10F38">
        <w:rPr>
          <w:rFonts w:ascii="Calibri" w:hAnsi="Calibri"/>
          <w:i/>
          <w:sz w:val="18"/>
        </w:rPr>
        <w:t xml:space="preserve">R v Murray [2008] EWCA </w:t>
      </w:r>
      <w:proofErr w:type="spellStart"/>
      <w:r w:rsidRPr="00A10F38">
        <w:rPr>
          <w:rFonts w:ascii="Calibri" w:hAnsi="Calibri"/>
          <w:i/>
          <w:sz w:val="18"/>
        </w:rPr>
        <w:t>Crim</w:t>
      </w:r>
      <w:proofErr w:type="spellEnd"/>
      <w:r w:rsidRPr="00A10F38">
        <w:rPr>
          <w:rFonts w:ascii="Calibri" w:hAnsi="Calibri"/>
          <w:i/>
          <w:sz w:val="18"/>
        </w:rPr>
        <w:t xml:space="preserve"> 1792</w:t>
      </w:r>
      <w:r w:rsidRPr="00A74CBF">
        <w:rPr>
          <w:rFonts w:ascii="Calibri" w:hAnsi="Calibri"/>
          <w:sz w:val="18"/>
        </w:rPr>
        <w:t>.</w:t>
      </w:r>
    </w:p>
  </w:footnote>
  <w:footnote w:id="75">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MHAC 2007-2009 para 4.7.</w:t>
      </w:r>
    </w:p>
  </w:footnote>
  <w:footnote w:id="76">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w:t>
      </w:r>
      <w:r w:rsidRPr="005B3F6A">
        <w:rPr>
          <w:rFonts w:ascii="Calibri" w:hAnsi="Calibri"/>
          <w:i/>
          <w:sz w:val="18"/>
        </w:rPr>
        <w:t xml:space="preserve">R v Jonathan Paul Simpson [2007] EWCA </w:t>
      </w:r>
      <w:proofErr w:type="spellStart"/>
      <w:r w:rsidRPr="005B3F6A">
        <w:rPr>
          <w:rFonts w:ascii="Calibri" w:hAnsi="Calibri"/>
          <w:i/>
          <w:sz w:val="18"/>
        </w:rPr>
        <w:t>Crim</w:t>
      </w:r>
      <w:proofErr w:type="spellEnd"/>
      <w:r w:rsidRPr="005B3F6A">
        <w:rPr>
          <w:rFonts w:ascii="Calibri" w:hAnsi="Calibri"/>
          <w:i/>
          <w:sz w:val="18"/>
        </w:rPr>
        <w:t xml:space="preserve"> 2666</w:t>
      </w:r>
      <w:r w:rsidRPr="00A74CBF">
        <w:rPr>
          <w:rFonts w:ascii="Calibri" w:hAnsi="Calibri"/>
          <w:sz w:val="18"/>
        </w:rPr>
        <w:t xml:space="preserve"> at [28-30].</w:t>
      </w:r>
    </w:p>
  </w:footnote>
  <w:footnote w:id="77">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w:t>
      </w:r>
      <w:r w:rsidRPr="005B3F6A">
        <w:rPr>
          <w:rFonts w:ascii="Calibri" w:hAnsi="Calibri"/>
          <w:i/>
          <w:sz w:val="18"/>
        </w:rPr>
        <w:t>R v IA [2005] WL 1801234</w:t>
      </w:r>
      <w:r w:rsidRPr="00A74CBF">
        <w:rPr>
          <w:rFonts w:ascii="Calibri" w:hAnsi="Calibri"/>
          <w:sz w:val="18"/>
        </w:rPr>
        <w:t xml:space="preserve"> at [2] and [17].</w:t>
      </w:r>
    </w:p>
  </w:footnote>
  <w:footnote w:id="78">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See for example Prison Reform Trust, </w:t>
      </w:r>
      <w:r w:rsidRPr="005B3F6A">
        <w:rPr>
          <w:rFonts w:ascii="Calibri" w:hAnsi="Calibri"/>
          <w:i/>
          <w:sz w:val="18"/>
        </w:rPr>
        <w:t>Too Little Too Late</w:t>
      </w:r>
      <w:r w:rsidRPr="00A74CBF">
        <w:rPr>
          <w:rFonts w:ascii="Calibri" w:hAnsi="Calibri"/>
          <w:sz w:val="18"/>
        </w:rPr>
        <w:t xml:space="preserve"> (2009). In 2007 the Trust had reported continuing high numbers of severely mentally disordered prisoners and persistent serious delays in transfer to hospitals, despite some improvements since 2004: see Prison Reform Trust, </w:t>
      </w:r>
      <w:r w:rsidRPr="005B3F6A">
        <w:rPr>
          <w:rFonts w:ascii="Calibri" w:hAnsi="Calibri"/>
          <w:i/>
          <w:sz w:val="18"/>
        </w:rPr>
        <w:t>Indefinitely Maybe: how the indeterminate sentence for public protection is unjust and unsustainable</w:t>
      </w:r>
      <w:r w:rsidRPr="00A74CBF">
        <w:rPr>
          <w:rFonts w:ascii="Calibri" w:hAnsi="Calibri"/>
          <w:sz w:val="18"/>
        </w:rPr>
        <w:t>, (2007) pp19 et seq.</w:t>
      </w:r>
    </w:p>
  </w:footnote>
  <w:footnote w:id="79">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w:t>
      </w:r>
      <w:r w:rsidRPr="005B3F6A">
        <w:rPr>
          <w:rFonts w:ascii="Calibri" w:hAnsi="Calibri"/>
          <w:i/>
          <w:sz w:val="18"/>
        </w:rPr>
        <w:t xml:space="preserve">R. (IH) v </w:t>
      </w:r>
      <w:proofErr w:type="spellStart"/>
      <w:r w:rsidRPr="005B3F6A">
        <w:rPr>
          <w:rFonts w:ascii="Calibri" w:hAnsi="Calibri"/>
          <w:i/>
          <w:sz w:val="18"/>
        </w:rPr>
        <w:t>SoS</w:t>
      </w:r>
      <w:proofErr w:type="spellEnd"/>
      <w:r w:rsidRPr="005B3F6A">
        <w:rPr>
          <w:rFonts w:ascii="Calibri" w:hAnsi="Calibri"/>
          <w:i/>
          <w:sz w:val="18"/>
        </w:rPr>
        <w:t xml:space="preserve"> for the Home Department and another [2003] UKHL 59</w:t>
      </w:r>
      <w:r w:rsidRPr="00A74CBF">
        <w:rPr>
          <w:rFonts w:ascii="Calibri" w:hAnsi="Calibri"/>
          <w:sz w:val="18"/>
        </w:rPr>
        <w:t xml:space="preserve">. See also P. Bartlett and R. </w:t>
      </w:r>
      <w:proofErr w:type="spellStart"/>
      <w:r w:rsidRPr="00A74CBF">
        <w:rPr>
          <w:rFonts w:ascii="Calibri" w:hAnsi="Calibri"/>
          <w:sz w:val="18"/>
        </w:rPr>
        <w:t>Sandland</w:t>
      </w:r>
      <w:proofErr w:type="spellEnd"/>
      <w:r w:rsidRPr="00A74CBF">
        <w:rPr>
          <w:rFonts w:ascii="Calibri" w:hAnsi="Calibri"/>
          <w:sz w:val="18"/>
        </w:rPr>
        <w:t xml:space="preserve">, </w:t>
      </w:r>
      <w:r w:rsidRPr="005B3F6A">
        <w:rPr>
          <w:rFonts w:ascii="Calibri" w:hAnsi="Calibri"/>
          <w:i/>
          <w:sz w:val="18"/>
        </w:rPr>
        <w:t>Mental Health Law: Policy and practice</w:t>
      </w:r>
      <w:r w:rsidRPr="00A74CBF">
        <w:rPr>
          <w:rFonts w:ascii="Calibri" w:hAnsi="Calibri"/>
          <w:sz w:val="18"/>
        </w:rPr>
        <w:t>, 3rd ed., OUP, (2007) p108 for comments on lack of lower-security facilities.</w:t>
      </w:r>
    </w:p>
  </w:footnote>
  <w:footnote w:id="80">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See also Creighton 2006, p114 for discussion of </w:t>
      </w:r>
      <w:r w:rsidRPr="005B3F6A">
        <w:rPr>
          <w:rFonts w:ascii="Calibri" w:hAnsi="Calibri"/>
          <w:i/>
          <w:sz w:val="18"/>
        </w:rPr>
        <w:t>AT v UK [1995] 20 EHRR CD 59</w:t>
      </w:r>
      <w:r w:rsidRPr="00A74CBF">
        <w:rPr>
          <w:rFonts w:ascii="Calibri" w:hAnsi="Calibri"/>
          <w:sz w:val="18"/>
        </w:rPr>
        <w:t>. The possibility of a transfer direction depends upon availability of a hospital bed, and long delays are common.</w:t>
      </w:r>
    </w:p>
  </w:footnote>
  <w:footnote w:id="81">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See L. Moncrieff, ‘Discharge of Restricted Patients from Special Hospitals in England and Wales’, in K. </w:t>
      </w:r>
      <w:proofErr w:type="spellStart"/>
      <w:r w:rsidRPr="00A74CBF">
        <w:rPr>
          <w:rFonts w:ascii="Calibri" w:hAnsi="Calibri"/>
          <w:sz w:val="18"/>
        </w:rPr>
        <w:t>Diesfeld</w:t>
      </w:r>
      <w:proofErr w:type="spellEnd"/>
      <w:r w:rsidRPr="00A74CBF">
        <w:rPr>
          <w:rFonts w:ascii="Calibri" w:hAnsi="Calibri"/>
          <w:sz w:val="18"/>
        </w:rPr>
        <w:t xml:space="preserve"> and I. </w:t>
      </w:r>
      <w:proofErr w:type="spellStart"/>
      <w:r w:rsidRPr="00A74CBF">
        <w:rPr>
          <w:rFonts w:ascii="Calibri" w:hAnsi="Calibri"/>
          <w:sz w:val="18"/>
        </w:rPr>
        <w:t>Freckleton</w:t>
      </w:r>
      <w:proofErr w:type="spellEnd"/>
      <w:r w:rsidRPr="00A74CBF">
        <w:rPr>
          <w:rFonts w:ascii="Calibri" w:hAnsi="Calibri"/>
          <w:sz w:val="18"/>
        </w:rPr>
        <w:t xml:space="preserve"> (eds.), </w:t>
      </w:r>
      <w:r w:rsidRPr="005B3F6A">
        <w:rPr>
          <w:rFonts w:ascii="Calibri" w:hAnsi="Calibri"/>
          <w:i/>
          <w:sz w:val="18"/>
        </w:rPr>
        <w:t>Involuntary Detention and Therapeutic Jurisprudence: International Perspectives on Civil Commitment</w:t>
      </w:r>
      <w:r w:rsidRPr="00A74CBF">
        <w:rPr>
          <w:rFonts w:ascii="Calibri" w:hAnsi="Calibri"/>
          <w:sz w:val="18"/>
        </w:rPr>
        <w:t xml:space="preserve">, </w:t>
      </w:r>
      <w:proofErr w:type="spellStart"/>
      <w:r w:rsidRPr="00A74CBF">
        <w:rPr>
          <w:rFonts w:ascii="Calibri" w:hAnsi="Calibri"/>
          <w:sz w:val="18"/>
        </w:rPr>
        <w:t>Ashgate</w:t>
      </w:r>
      <w:proofErr w:type="spellEnd"/>
      <w:r w:rsidRPr="00A74CBF">
        <w:rPr>
          <w:rFonts w:ascii="Calibri" w:hAnsi="Calibri"/>
          <w:sz w:val="18"/>
        </w:rPr>
        <w:t xml:space="preserve">, (2003) p279 for discussion of the effective bed-blocking in high security hospitals by patients whom the </w:t>
      </w:r>
      <w:proofErr w:type="spellStart"/>
      <w:r w:rsidRPr="00A74CBF">
        <w:rPr>
          <w:rFonts w:ascii="Calibri" w:hAnsi="Calibri"/>
          <w:sz w:val="18"/>
        </w:rPr>
        <w:t>SoS</w:t>
      </w:r>
      <w:proofErr w:type="spellEnd"/>
      <w:r w:rsidRPr="00A74CBF">
        <w:rPr>
          <w:rFonts w:ascii="Calibri" w:hAnsi="Calibri"/>
          <w:sz w:val="18"/>
        </w:rPr>
        <w:t xml:space="preserve"> refused to </w:t>
      </w:r>
      <w:proofErr w:type="spellStart"/>
      <w:r w:rsidRPr="00A74CBF">
        <w:rPr>
          <w:rFonts w:ascii="Calibri" w:hAnsi="Calibri"/>
          <w:sz w:val="18"/>
        </w:rPr>
        <w:t>recategorise</w:t>
      </w:r>
      <w:proofErr w:type="spellEnd"/>
      <w:r w:rsidRPr="00A74CBF">
        <w:rPr>
          <w:rFonts w:ascii="Calibri" w:hAnsi="Calibri"/>
          <w:sz w:val="18"/>
        </w:rPr>
        <w:t xml:space="preserve"> to lower security levels; and p275 on the way in which indeterminate restricted patients early in their sentences can be confined in high security hospitals on grounds of procedural ineligibility not dangerousness. See also Bartlett and </w:t>
      </w:r>
      <w:proofErr w:type="spellStart"/>
      <w:r w:rsidRPr="00A74CBF">
        <w:rPr>
          <w:rFonts w:ascii="Calibri" w:hAnsi="Calibri"/>
          <w:sz w:val="18"/>
        </w:rPr>
        <w:t>Sandland</w:t>
      </w:r>
      <w:proofErr w:type="spellEnd"/>
      <w:r w:rsidRPr="00A74CBF">
        <w:rPr>
          <w:rFonts w:ascii="Calibri" w:hAnsi="Calibri"/>
          <w:sz w:val="18"/>
        </w:rPr>
        <w:t xml:space="preserve"> (2007) p108.</w:t>
      </w:r>
    </w:p>
  </w:footnote>
  <w:footnote w:id="82">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Professor Charlie </w:t>
      </w:r>
      <w:proofErr w:type="spellStart"/>
      <w:r w:rsidRPr="00A74CBF">
        <w:rPr>
          <w:rFonts w:ascii="Calibri" w:hAnsi="Calibri"/>
          <w:sz w:val="18"/>
        </w:rPr>
        <w:t>Brooker</w:t>
      </w:r>
      <w:proofErr w:type="spellEnd"/>
      <w:r w:rsidRPr="00A74CBF">
        <w:rPr>
          <w:rFonts w:ascii="Calibri" w:hAnsi="Calibri"/>
          <w:sz w:val="18"/>
        </w:rPr>
        <w:t xml:space="preserve"> of Lincoln University, </w:t>
      </w:r>
      <w:r>
        <w:rPr>
          <w:rFonts w:ascii="Calibri" w:hAnsi="Calibri"/>
          <w:sz w:val="18"/>
        </w:rPr>
        <w:t xml:space="preserve">cited in Prison Reform Trust, </w:t>
      </w:r>
      <w:r w:rsidRPr="005B3F6A">
        <w:rPr>
          <w:rFonts w:ascii="Calibri" w:hAnsi="Calibri"/>
          <w:i/>
          <w:sz w:val="18"/>
        </w:rPr>
        <w:t>Too Little Too Late</w:t>
      </w:r>
      <w:r w:rsidRPr="00A74CBF">
        <w:rPr>
          <w:rFonts w:ascii="Calibri" w:hAnsi="Calibri"/>
          <w:sz w:val="18"/>
        </w:rPr>
        <w:t xml:space="preserve"> (2009) p23.</w:t>
      </w:r>
    </w:p>
  </w:footnote>
  <w:footnote w:id="83">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As in Anderson supra f/n 18.</w:t>
      </w:r>
    </w:p>
  </w:footnote>
  <w:footnote w:id="84">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The arrival of such evidence after the transfer took place did not render the initial action retrospectively lawful.</w:t>
      </w:r>
    </w:p>
  </w:footnote>
  <w:footnote w:id="85">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w:t>
      </w:r>
      <w:r w:rsidRPr="005B3F6A">
        <w:rPr>
          <w:rFonts w:ascii="Calibri" w:hAnsi="Calibri"/>
          <w:i/>
          <w:sz w:val="18"/>
        </w:rPr>
        <w:t xml:space="preserve">R (TF) v </w:t>
      </w:r>
      <w:proofErr w:type="spellStart"/>
      <w:r w:rsidRPr="005B3F6A">
        <w:rPr>
          <w:rFonts w:ascii="Calibri" w:hAnsi="Calibri"/>
          <w:i/>
          <w:sz w:val="18"/>
        </w:rPr>
        <w:t>SoS</w:t>
      </w:r>
      <w:proofErr w:type="spellEnd"/>
      <w:r w:rsidRPr="005B3F6A">
        <w:rPr>
          <w:rFonts w:ascii="Calibri" w:hAnsi="Calibri"/>
          <w:i/>
          <w:sz w:val="18"/>
        </w:rPr>
        <w:t xml:space="preserve"> for Justice [2008] EWCA </w:t>
      </w:r>
      <w:proofErr w:type="spellStart"/>
      <w:r w:rsidRPr="005B3F6A">
        <w:rPr>
          <w:rFonts w:ascii="Calibri" w:hAnsi="Calibri"/>
          <w:i/>
          <w:sz w:val="18"/>
        </w:rPr>
        <w:t>Civ</w:t>
      </w:r>
      <w:proofErr w:type="spellEnd"/>
      <w:r w:rsidRPr="005B3F6A">
        <w:rPr>
          <w:rFonts w:ascii="Calibri" w:hAnsi="Calibri"/>
          <w:i/>
          <w:sz w:val="18"/>
        </w:rPr>
        <w:t xml:space="preserve"> 1457</w:t>
      </w:r>
      <w:r w:rsidRPr="00A74CBF">
        <w:rPr>
          <w:rFonts w:ascii="Calibri" w:hAnsi="Calibri"/>
          <w:sz w:val="18"/>
        </w:rPr>
        <w:t>.</w:t>
      </w:r>
    </w:p>
  </w:footnote>
  <w:footnote w:id="86">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Ministry of Justice, </w:t>
      </w:r>
      <w:r w:rsidRPr="005B3F6A">
        <w:rPr>
          <w:rFonts w:ascii="Calibri" w:hAnsi="Calibri"/>
          <w:i/>
          <w:sz w:val="18"/>
        </w:rPr>
        <w:t>Guidance for clinical supervisors</w:t>
      </w:r>
      <w:r w:rsidRPr="00A74CBF">
        <w:rPr>
          <w:rFonts w:ascii="Calibri" w:hAnsi="Calibri"/>
          <w:sz w:val="18"/>
        </w:rPr>
        <w:t>, (18 March 2009) para 63.</w:t>
      </w:r>
    </w:p>
  </w:footnote>
  <w:footnote w:id="87">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w:t>
      </w:r>
      <w:proofErr w:type="spellStart"/>
      <w:r w:rsidRPr="00A74CBF">
        <w:rPr>
          <w:rFonts w:ascii="Calibri" w:hAnsi="Calibri"/>
          <w:sz w:val="18"/>
        </w:rPr>
        <w:t>MoJ</w:t>
      </w:r>
      <w:proofErr w:type="spellEnd"/>
      <w:r w:rsidRPr="00A74CBF">
        <w:rPr>
          <w:rFonts w:ascii="Calibri" w:hAnsi="Calibri"/>
          <w:sz w:val="18"/>
        </w:rPr>
        <w:t xml:space="preserve"> Guidance (2009) para 62. This guidance closely follows </w:t>
      </w:r>
      <w:proofErr w:type="spellStart"/>
      <w:r w:rsidRPr="00A74CBF">
        <w:rPr>
          <w:rFonts w:ascii="Calibri" w:hAnsi="Calibri"/>
          <w:sz w:val="18"/>
        </w:rPr>
        <w:t>Toulson</w:t>
      </w:r>
      <w:proofErr w:type="spellEnd"/>
      <w:r w:rsidRPr="00A74CBF">
        <w:rPr>
          <w:rFonts w:ascii="Calibri" w:hAnsi="Calibri"/>
          <w:sz w:val="18"/>
        </w:rPr>
        <w:t xml:space="preserve"> LJ’s ruling in </w:t>
      </w:r>
      <w:r w:rsidRPr="005B3F6A">
        <w:rPr>
          <w:rFonts w:ascii="Calibri" w:hAnsi="Calibri"/>
          <w:i/>
          <w:sz w:val="18"/>
        </w:rPr>
        <w:t xml:space="preserve">R (MM) v </w:t>
      </w:r>
      <w:proofErr w:type="spellStart"/>
      <w:r w:rsidRPr="005B3F6A">
        <w:rPr>
          <w:rFonts w:ascii="Calibri" w:hAnsi="Calibri"/>
          <w:i/>
          <w:sz w:val="18"/>
        </w:rPr>
        <w:t>SoS</w:t>
      </w:r>
      <w:proofErr w:type="spellEnd"/>
      <w:r w:rsidRPr="005B3F6A">
        <w:rPr>
          <w:rFonts w:ascii="Calibri" w:hAnsi="Calibri"/>
          <w:i/>
          <w:sz w:val="18"/>
        </w:rPr>
        <w:t xml:space="preserve"> for the Home Department [2007] EWCA </w:t>
      </w:r>
      <w:proofErr w:type="spellStart"/>
      <w:r w:rsidRPr="005B3F6A">
        <w:rPr>
          <w:rFonts w:ascii="Calibri" w:hAnsi="Calibri"/>
          <w:i/>
          <w:sz w:val="18"/>
        </w:rPr>
        <w:t>Civ</w:t>
      </w:r>
      <w:proofErr w:type="spellEnd"/>
      <w:r w:rsidRPr="005B3F6A">
        <w:rPr>
          <w:rFonts w:ascii="Calibri" w:hAnsi="Calibri"/>
          <w:i/>
          <w:sz w:val="18"/>
        </w:rPr>
        <w:t xml:space="preserve"> 687</w:t>
      </w:r>
      <w:r w:rsidRPr="00A74CBF">
        <w:rPr>
          <w:rFonts w:ascii="Calibri" w:hAnsi="Calibri"/>
          <w:sz w:val="18"/>
        </w:rPr>
        <w:t>. The judgment emphasises at [48] the potential difficulty of assessing the moment at which recall is justified; the Guidance is simpler in its emphasis on the priority of public safety.</w:t>
      </w:r>
    </w:p>
  </w:footnote>
  <w:footnote w:id="88">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w:t>
      </w:r>
      <w:proofErr w:type="spellStart"/>
      <w:r w:rsidRPr="00A74CBF">
        <w:rPr>
          <w:rFonts w:ascii="Calibri" w:hAnsi="Calibri"/>
          <w:sz w:val="18"/>
        </w:rPr>
        <w:t>MoJ</w:t>
      </w:r>
      <w:proofErr w:type="spellEnd"/>
      <w:r w:rsidRPr="00A74CBF">
        <w:rPr>
          <w:rFonts w:ascii="Calibri" w:hAnsi="Calibri"/>
          <w:sz w:val="18"/>
        </w:rPr>
        <w:t xml:space="preserve"> Guidance (2009) para 70.</w:t>
      </w:r>
    </w:p>
  </w:footnote>
  <w:footnote w:id="89">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The </w:t>
      </w:r>
      <w:proofErr w:type="spellStart"/>
      <w:r w:rsidRPr="00A74CBF">
        <w:rPr>
          <w:rFonts w:ascii="Calibri" w:hAnsi="Calibri"/>
          <w:sz w:val="18"/>
        </w:rPr>
        <w:t>MoJ</w:t>
      </w:r>
      <w:proofErr w:type="spellEnd"/>
      <w:r w:rsidRPr="00A74CBF">
        <w:rPr>
          <w:rFonts w:ascii="Calibri" w:hAnsi="Calibri"/>
          <w:sz w:val="18"/>
        </w:rPr>
        <w:t xml:space="preserve"> Guidance (2009) must be seen in the light of its genesis as a response to ‘failures in supervision which contributed to homicides being committed by conditionally discharged patients: ’ ibid para 2.</w:t>
      </w:r>
    </w:p>
  </w:footnote>
  <w:footnote w:id="90">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See </w:t>
      </w:r>
      <w:r w:rsidRPr="005B3F6A">
        <w:rPr>
          <w:rFonts w:ascii="Calibri" w:hAnsi="Calibri"/>
          <w:i/>
          <w:sz w:val="18"/>
        </w:rPr>
        <w:t xml:space="preserve">Murray v Parole Board [2003] EWCA </w:t>
      </w:r>
      <w:proofErr w:type="spellStart"/>
      <w:r w:rsidRPr="005B3F6A">
        <w:rPr>
          <w:rFonts w:ascii="Calibri" w:hAnsi="Calibri"/>
          <w:i/>
          <w:sz w:val="18"/>
        </w:rPr>
        <w:t>Civ</w:t>
      </w:r>
      <w:proofErr w:type="spellEnd"/>
      <w:r w:rsidRPr="005B3F6A">
        <w:rPr>
          <w:rFonts w:ascii="Calibri" w:hAnsi="Calibri"/>
          <w:i/>
          <w:sz w:val="18"/>
        </w:rPr>
        <w:t xml:space="preserve"> 1561</w:t>
      </w:r>
      <w:r w:rsidRPr="00A74CBF">
        <w:rPr>
          <w:rFonts w:ascii="Calibri" w:hAnsi="Calibri"/>
          <w:sz w:val="18"/>
        </w:rPr>
        <w:t xml:space="preserve"> at [13] et seq., quoting </w:t>
      </w:r>
      <w:r w:rsidRPr="005B3F6A">
        <w:rPr>
          <w:rFonts w:ascii="Calibri" w:hAnsi="Calibri"/>
          <w:i/>
          <w:sz w:val="18"/>
        </w:rPr>
        <w:t>Oldham v UK (Application no 36273/97</w:t>
      </w:r>
      <w:r w:rsidRPr="00A74CBF">
        <w:rPr>
          <w:rFonts w:ascii="Calibri" w:hAnsi="Calibri"/>
          <w:sz w:val="18"/>
        </w:rPr>
        <w:t xml:space="preserve">, 26 September 2000. Despite strong positive evidence of a prisoner’s reduced </w:t>
      </w:r>
      <w:proofErr w:type="spellStart"/>
      <w:r w:rsidRPr="00A74CBF">
        <w:rPr>
          <w:rFonts w:ascii="Calibri" w:hAnsi="Calibri"/>
          <w:sz w:val="18"/>
        </w:rPr>
        <w:t>criminogenic</w:t>
      </w:r>
      <w:proofErr w:type="spellEnd"/>
      <w:r w:rsidRPr="00A74CBF">
        <w:rPr>
          <w:rFonts w:ascii="Calibri" w:hAnsi="Calibri"/>
          <w:sz w:val="18"/>
        </w:rPr>
        <w:t xml:space="preserve"> dangerousness, the </w:t>
      </w:r>
      <w:proofErr w:type="spellStart"/>
      <w:r w:rsidRPr="00A74CBF">
        <w:rPr>
          <w:rFonts w:ascii="Calibri" w:hAnsi="Calibri"/>
          <w:sz w:val="18"/>
        </w:rPr>
        <w:t>SoS</w:t>
      </w:r>
      <w:proofErr w:type="spellEnd"/>
      <w:r w:rsidRPr="00A74CBF">
        <w:rPr>
          <w:rFonts w:ascii="Calibri" w:hAnsi="Calibri"/>
          <w:sz w:val="18"/>
        </w:rPr>
        <w:t xml:space="preserve"> argued for continued imprisonment on the grounds that ‘mental instability posing risks of dangerousness’ is innately less amenable to change over time than ‘mental disorder in the context of mental illness’.</w:t>
      </w:r>
    </w:p>
  </w:footnote>
  <w:footnote w:id="91">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See J. </w:t>
      </w:r>
      <w:proofErr w:type="spellStart"/>
      <w:r w:rsidRPr="00A74CBF">
        <w:rPr>
          <w:rFonts w:ascii="Calibri" w:hAnsi="Calibri"/>
          <w:sz w:val="18"/>
        </w:rPr>
        <w:t>Craissati</w:t>
      </w:r>
      <w:proofErr w:type="spellEnd"/>
      <w:r w:rsidRPr="00A74CBF">
        <w:rPr>
          <w:rFonts w:ascii="Calibri" w:hAnsi="Calibri"/>
          <w:sz w:val="18"/>
        </w:rPr>
        <w:t>, ‘The paradoxical effects of stringent risk management: community failure and sex off</w:t>
      </w:r>
      <w:r>
        <w:rPr>
          <w:rFonts w:ascii="Calibri" w:hAnsi="Calibri"/>
          <w:sz w:val="18"/>
        </w:rPr>
        <w:t xml:space="preserve">enders’, in N. </w:t>
      </w:r>
      <w:proofErr w:type="spellStart"/>
      <w:r>
        <w:rPr>
          <w:rFonts w:ascii="Calibri" w:hAnsi="Calibri"/>
          <w:sz w:val="18"/>
        </w:rPr>
        <w:t>Padfield</w:t>
      </w:r>
      <w:proofErr w:type="spellEnd"/>
      <w:r>
        <w:rPr>
          <w:rFonts w:ascii="Calibri" w:hAnsi="Calibri"/>
          <w:sz w:val="18"/>
        </w:rPr>
        <w:t xml:space="preserve"> (ed.), </w:t>
      </w:r>
      <w:r w:rsidRPr="005B3F6A">
        <w:rPr>
          <w:rFonts w:ascii="Calibri" w:hAnsi="Calibri"/>
          <w:i/>
          <w:sz w:val="18"/>
        </w:rPr>
        <w:t>Who to Release? Parole, fairness and criminal justice</w:t>
      </w:r>
      <w:r w:rsidRPr="00A74CBF">
        <w:rPr>
          <w:rFonts w:ascii="Calibri" w:hAnsi="Calibri"/>
          <w:sz w:val="18"/>
        </w:rPr>
        <w:t xml:space="preserve">, </w:t>
      </w:r>
      <w:proofErr w:type="spellStart"/>
      <w:r w:rsidRPr="00A74CBF">
        <w:rPr>
          <w:rFonts w:ascii="Calibri" w:hAnsi="Calibri"/>
          <w:sz w:val="18"/>
        </w:rPr>
        <w:t>Willans</w:t>
      </w:r>
      <w:proofErr w:type="spellEnd"/>
      <w:r w:rsidRPr="00A74CBF">
        <w:rPr>
          <w:rFonts w:ascii="Calibri" w:hAnsi="Calibri"/>
          <w:sz w:val="18"/>
        </w:rPr>
        <w:t xml:space="preserve"> Publishing, (2007) p227.</w:t>
      </w:r>
    </w:p>
  </w:footnote>
  <w:footnote w:id="92">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Current conversations suggest that the current </w:t>
      </w:r>
      <w:proofErr w:type="spellStart"/>
      <w:r w:rsidRPr="00A74CBF">
        <w:rPr>
          <w:rFonts w:ascii="Calibri" w:hAnsi="Calibri"/>
          <w:sz w:val="18"/>
        </w:rPr>
        <w:t>MoJ</w:t>
      </w:r>
      <w:proofErr w:type="spellEnd"/>
      <w:r w:rsidRPr="00A74CBF">
        <w:rPr>
          <w:rFonts w:ascii="Calibri" w:hAnsi="Calibri"/>
          <w:sz w:val="18"/>
        </w:rPr>
        <w:t xml:space="preserve"> Consultation (2009) is likely to elicit many calls, from Board members amongst others, for the Board to give itself more flexibility about such requirements.</w:t>
      </w:r>
    </w:p>
  </w:footnote>
  <w:footnote w:id="93">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See </w:t>
      </w:r>
      <w:r w:rsidRPr="00F24B6F">
        <w:rPr>
          <w:rFonts w:ascii="Calibri" w:hAnsi="Calibri"/>
          <w:i/>
          <w:sz w:val="18"/>
        </w:rPr>
        <w:t>A and others v United Kingdom [2009] ECHR 3455/05</w:t>
      </w:r>
      <w:r w:rsidRPr="00A74CBF">
        <w:rPr>
          <w:rFonts w:ascii="Calibri" w:hAnsi="Calibri"/>
          <w:sz w:val="18"/>
        </w:rPr>
        <w:t xml:space="preserve"> at, for example, [76].</w:t>
      </w:r>
    </w:p>
  </w:footnote>
  <w:footnote w:id="94">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See </w:t>
      </w:r>
      <w:r w:rsidRPr="00F24B6F">
        <w:rPr>
          <w:rFonts w:ascii="Calibri" w:hAnsi="Calibri"/>
          <w:i/>
          <w:sz w:val="18"/>
        </w:rPr>
        <w:t>Anderson</w:t>
      </w:r>
      <w:r w:rsidRPr="00A74CBF">
        <w:rPr>
          <w:rFonts w:ascii="Calibri" w:hAnsi="Calibri"/>
          <w:sz w:val="18"/>
        </w:rPr>
        <w:t xml:space="preserve"> at [63-65], supra f/n 18.</w:t>
      </w:r>
    </w:p>
  </w:footnote>
  <w:footnote w:id="95">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See </w:t>
      </w:r>
      <w:proofErr w:type="spellStart"/>
      <w:r w:rsidRPr="00A74CBF">
        <w:rPr>
          <w:rFonts w:ascii="Calibri" w:hAnsi="Calibri"/>
          <w:sz w:val="18"/>
        </w:rPr>
        <w:t>Hoggett</w:t>
      </w:r>
      <w:proofErr w:type="spellEnd"/>
      <w:r w:rsidRPr="00A74CBF">
        <w:rPr>
          <w:rFonts w:ascii="Calibri" w:hAnsi="Calibri"/>
          <w:sz w:val="18"/>
        </w:rPr>
        <w:t xml:space="preserve"> (1990) p291, supra f/n 63. With reference to the ‘exalted membership’, it should be noted that those eligible to preside at restricted patient hearings have been extended beyond Circuit Judges and Recorders who are also Queen’s Counsel, to include a number of salaried Tribunal Judges.</w:t>
      </w:r>
    </w:p>
  </w:footnote>
  <w:footnote w:id="96">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See the anxieties on this subject expressed by the Mental Health Alliance: Memorandum (9 March 2005), para 6.5.</w:t>
      </w:r>
    </w:p>
  </w:footnote>
  <w:footnote w:id="97">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00F24B6F">
        <w:rPr>
          <w:rFonts w:ascii="Calibri" w:hAnsi="Calibri"/>
          <w:sz w:val="18"/>
        </w:rPr>
        <w:t xml:space="preserve"> P. Mullen, </w:t>
      </w:r>
      <w:r w:rsidRPr="00F24B6F">
        <w:rPr>
          <w:rFonts w:ascii="Calibri" w:hAnsi="Calibri"/>
          <w:i/>
          <w:sz w:val="18"/>
        </w:rPr>
        <w:t>Dangerous and severe personality disorder and in need of treatment</w:t>
      </w:r>
      <w:r w:rsidRPr="00A74CBF">
        <w:rPr>
          <w:rFonts w:ascii="Calibri" w:hAnsi="Calibri"/>
          <w:sz w:val="18"/>
        </w:rPr>
        <w:t xml:space="preserve"> (2007) 190 British Journal of Psychiatry s4.</w:t>
      </w:r>
    </w:p>
  </w:footnote>
  <w:footnote w:id="98">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Pill LJ in </w:t>
      </w:r>
      <w:r w:rsidRPr="00F24B6F">
        <w:rPr>
          <w:rFonts w:ascii="Calibri" w:hAnsi="Calibri"/>
          <w:i/>
          <w:sz w:val="18"/>
        </w:rPr>
        <w:t>R (P) v Mental Health Review Tribunal [2002] MHLR 253 CA</w:t>
      </w:r>
      <w:r w:rsidRPr="00A74CBF">
        <w:rPr>
          <w:rFonts w:ascii="Calibri" w:hAnsi="Calibri"/>
          <w:sz w:val="18"/>
        </w:rPr>
        <w:t xml:space="preserve"> at [23].</w:t>
      </w:r>
    </w:p>
  </w:footnote>
  <w:footnote w:id="99">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Bradley Report (2009) p109.</w:t>
      </w:r>
    </w:p>
  </w:footnote>
  <w:footnote w:id="100">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For a passionate response by a senior</w:t>
      </w:r>
      <w:r w:rsidR="00F24B6F">
        <w:rPr>
          <w:rFonts w:ascii="Calibri" w:hAnsi="Calibri"/>
          <w:sz w:val="18"/>
        </w:rPr>
        <w:t xml:space="preserve"> psychiatrist, see D. </w:t>
      </w:r>
      <w:proofErr w:type="spellStart"/>
      <w:r w:rsidR="00F24B6F">
        <w:rPr>
          <w:rFonts w:ascii="Calibri" w:hAnsi="Calibri"/>
          <w:sz w:val="18"/>
        </w:rPr>
        <w:t>Kingdon</w:t>
      </w:r>
      <w:proofErr w:type="spellEnd"/>
      <w:r w:rsidR="00F24B6F">
        <w:rPr>
          <w:rFonts w:ascii="Calibri" w:hAnsi="Calibri"/>
          <w:sz w:val="18"/>
        </w:rPr>
        <w:t xml:space="preserve">, </w:t>
      </w:r>
      <w:r w:rsidRPr="00F24B6F">
        <w:rPr>
          <w:rFonts w:ascii="Calibri" w:hAnsi="Calibri"/>
          <w:i/>
          <w:sz w:val="18"/>
        </w:rPr>
        <w:t>DSPD or ‘Don’t</w:t>
      </w:r>
      <w:r w:rsidR="00F24B6F" w:rsidRPr="00F24B6F">
        <w:rPr>
          <w:rFonts w:ascii="Calibri" w:hAnsi="Calibri"/>
          <w:i/>
          <w:sz w:val="18"/>
        </w:rPr>
        <w:t xml:space="preserve"> Stigmatise People in Distress’</w:t>
      </w:r>
      <w:r w:rsidRPr="00A74CBF">
        <w:rPr>
          <w:rFonts w:ascii="Calibri" w:hAnsi="Calibri"/>
          <w:sz w:val="18"/>
        </w:rPr>
        <w:t xml:space="preserve"> (2007) 13 Advances in Psychiatric Treatment 333-335.</w:t>
      </w:r>
    </w:p>
  </w:footnote>
  <w:footnote w:id="101">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See Mullen (2007) s3.</w:t>
      </w:r>
    </w:p>
  </w:footnote>
  <w:footnote w:id="102">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001B14E7">
        <w:rPr>
          <w:rFonts w:ascii="Calibri" w:hAnsi="Calibri"/>
          <w:sz w:val="18"/>
        </w:rPr>
        <w:t xml:space="preserve"> See P. S. </w:t>
      </w:r>
      <w:proofErr w:type="spellStart"/>
      <w:r w:rsidR="001B14E7">
        <w:rPr>
          <w:rFonts w:ascii="Calibri" w:hAnsi="Calibri"/>
          <w:sz w:val="18"/>
        </w:rPr>
        <w:t>Appelbaum</w:t>
      </w:r>
      <w:proofErr w:type="spellEnd"/>
      <w:r w:rsidR="001B14E7">
        <w:rPr>
          <w:rFonts w:ascii="Calibri" w:hAnsi="Calibri"/>
          <w:sz w:val="18"/>
        </w:rPr>
        <w:t xml:space="preserve">, </w:t>
      </w:r>
      <w:r w:rsidRPr="001B14E7">
        <w:rPr>
          <w:rFonts w:ascii="Calibri" w:hAnsi="Calibri"/>
          <w:i/>
          <w:sz w:val="18"/>
        </w:rPr>
        <w:t>Dangerous Severe Personality Disorders: England's Experiment in Using Psychiatry for Public Protection</w:t>
      </w:r>
      <w:r w:rsidRPr="00A74CBF">
        <w:rPr>
          <w:rFonts w:ascii="Calibri" w:hAnsi="Calibri"/>
          <w:sz w:val="18"/>
        </w:rPr>
        <w:t xml:space="preserve"> (2005) 56 Law &amp; Psychiatry, pp397-98. </w:t>
      </w:r>
      <w:proofErr w:type="spellStart"/>
      <w:r w:rsidRPr="00A74CBF">
        <w:rPr>
          <w:rFonts w:ascii="Calibri" w:hAnsi="Calibri"/>
          <w:sz w:val="18"/>
        </w:rPr>
        <w:t>Appelbaum</w:t>
      </w:r>
      <w:proofErr w:type="spellEnd"/>
      <w:r w:rsidRPr="00A74CBF">
        <w:rPr>
          <w:rFonts w:ascii="Calibri" w:hAnsi="Calibri"/>
          <w:sz w:val="18"/>
        </w:rPr>
        <w:t xml:space="preserve"> quotes the 2000 White Paper which cites public protection as a key priority in mental health legislation.</w:t>
      </w:r>
    </w:p>
  </w:footnote>
  <w:footnote w:id="103">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001B14E7">
        <w:rPr>
          <w:rFonts w:ascii="Calibri" w:hAnsi="Calibri"/>
          <w:sz w:val="18"/>
        </w:rPr>
        <w:t xml:space="preserve"> A. Buchanan and M. </w:t>
      </w:r>
      <w:proofErr w:type="spellStart"/>
      <w:r w:rsidR="001B14E7">
        <w:rPr>
          <w:rFonts w:ascii="Calibri" w:hAnsi="Calibri"/>
          <w:sz w:val="18"/>
        </w:rPr>
        <w:t>Leese</w:t>
      </w:r>
      <w:proofErr w:type="spellEnd"/>
      <w:r w:rsidR="001B14E7">
        <w:rPr>
          <w:rFonts w:ascii="Calibri" w:hAnsi="Calibri"/>
          <w:sz w:val="18"/>
        </w:rPr>
        <w:t xml:space="preserve">, </w:t>
      </w:r>
      <w:r w:rsidRPr="001B14E7">
        <w:rPr>
          <w:rFonts w:ascii="Calibri" w:hAnsi="Calibri"/>
          <w:i/>
          <w:sz w:val="18"/>
        </w:rPr>
        <w:t>Detention of people with dangerous severe personality</w:t>
      </w:r>
      <w:r w:rsidR="001B14E7" w:rsidRPr="001B14E7">
        <w:rPr>
          <w:rFonts w:ascii="Calibri" w:hAnsi="Calibri"/>
          <w:i/>
          <w:sz w:val="18"/>
        </w:rPr>
        <w:t xml:space="preserve"> disorders: a systematic review</w:t>
      </w:r>
      <w:r w:rsidRPr="00A74CBF">
        <w:rPr>
          <w:rFonts w:ascii="Calibri" w:hAnsi="Calibri"/>
          <w:sz w:val="18"/>
        </w:rPr>
        <w:t xml:space="preserve"> (2001) 358 The Lancet, p1955. See also Department of Health, </w:t>
      </w:r>
      <w:r w:rsidRPr="001B14E7">
        <w:rPr>
          <w:rFonts w:ascii="Calibri" w:hAnsi="Calibri"/>
          <w:i/>
          <w:sz w:val="18"/>
        </w:rPr>
        <w:t>Executive Summary of the Report of the Committee of Inquiry into the Personality Disorder Unit, Ashworth Special Hospital</w:t>
      </w:r>
      <w:r w:rsidRPr="00A74CBF">
        <w:rPr>
          <w:rFonts w:ascii="Calibri" w:hAnsi="Calibri"/>
          <w:sz w:val="18"/>
        </w:rPr>
        <w:t>, (1999), its criticisms inter alia of the ‘lottery’ by which severely personality disordered people, treatable or not, were consigned to prison or hospital, turning the latter into ‘quasi-prisons’. While Ashworth has undergone significant subsequent reform, the criticism retains a broader currency.</w:t>
      </w:r>
    </w:p>
  </w:footnote>
  <w:footnote w:id="104">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001B14E7">
        <w:rPr>
          <w:rFonts w:ascii="Calibri" w:hAnsi="Calibri"/>
          <w:sz w:val="18"/>
        </w:rPr>
        <w:t xml:space="preserve"> P. </w:t>
      </w:r>
      <w:proofErr w:type="spellStart"/>
      <w:r w:rsidR="001B14E7">
        <w:rPr>
          <w:rFonts w:ascii="Calibri" w:hAnsi="Calibri"/>
          <w:sz w:val="18"/>
        </w:rPr>
        <w:t>Tyrer</w:t>
      </w:r>
      <w:proofErr w:type="spellEnd"/>
      <w:r w:rsidR="001B14E7">
        <w:rPr>
          <w:rFonts w:ascii="Calibri" w:hAnsi="Calibri"/>
          <w:sz w:val="18"/>
        </w:rPr>
        <w:t xml:space="preserve">, </w:t>
      </w:r>
      <w:r w:rsidRPr="001B14E7">
        <w:rPr>
          <w:rFonts w:ascii="Calibri" w:hAnsi="Calibri"/>
          <w:i/>
          <w:sz w:val="18"/>
        </w:rPr>
        <w:t>An</w:t>
      </w:r>
      <w:r w:rsidR="001B14E7" w:rsidRPr="001B14E7">
        <w:rPr>
          <w:rFonts w:ascii="Calibri" w:hAnsi="Calibri"/>
          <w:i/>
          <w:sz w:val="18"/>
        </w:rPr>
        <w:t xml:space="preserve"> agitation of contrary opinions</w:t>
      </w:r>
      <w:r w:rsidRPr="00A74CBF">
        <w:rPr>
          <w:rFonts w:ascii="Calibri" w:hAnsi="Calibri"/>
          <w:sz w:val="18"/>
        </w:rPr>
        <w:t xml:space="preserve"> (2007) 190 British Journal of Psychiatry, s1.</w:t>
      </w:r>
    </w:p>
  </w:footnote>
  <w:footnote w:id="105">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Moncrieff (2003) p268. Lady Hale has commented on the tendency of Strasbourg to treat psychiatric hospital and prison together, pointing to the importance of her own ruling in </w:t>
      </w:r>
      <w:r w:rsidRPr="001B14E7">
        <w:rPr>
          <w:rFonts w:ascii="Calibri" w:hAnsi="Calibri"/>
          <w:i/>
          <w:sz w:val="18"/>
        </w:rPr>
        <w:t>R (</w:t>
      </w:r>
      <w:proofErr w:type="spellStart"/>
      <w:r w:rsidRPr="001B14E7">
        <w:rPr>
          <w:rFonts w:ascii="Calibri" w:hAnsi="Calibri"/>
          <w:i/>
          <w:sz w:val="18"/>
        </w:rPr>
        <w:t>Munjaz</w:t>
      </w:r>
      <w:proofErr w:type="spellEnd"/>
      <w:r w:rsidRPr="001B14E7">
        <w:rPr>
          <w:rFonts w:ascii="Calibri" w:hAnsi="Calibri"/>
          <w:i/>
          <w:sz w:val="18"/>
        </w:rPr>
        <w:t xml:space="preserve">) v Mersey Care NHS Trust and Others [2003] EWCA </w:t>
      </w:r>
      <w:proofErr w:type="spellStart"/>
      <w:r w:rsidRPr="001B14E7">
        <w:rPr>
          <w:rFonts w:ascii="Calibri" w:hAnsi="Calibri"/>
          <w:i/>
          <w:sz w:val="18"/>
        </w:rPr>
        <w:t>Civ</w:t>
      </w:r>
      <w:proofErr w:type="spellEnd"/>
      <w:r w:rsidRPr="001B14E7">
        <w:rPr>
          <w:rFonts w:ascii="Calibri" w:hAnsi="Calibri"/>
          <w:i/>
          <w:sz w:val="18"/>
        </w:rPr>
        <w:t xml:space="preserve"> 1036</w:t>
      </w:r>
      <w:r w:rsidRPr="00A74CBF">
        <w:rPr>
          <w:rFonts w:ascii="Calibri" w:hAnsi="Calibri"/>
          <w:sz w:val="18"/>
        </w:rPr>
        <w:t xml:space="preserve"> at [55] in defining the difference in their purposes. See Hale (2005) p10, supra f/n 67.</w:t>
      </w:r>
    </w:p>
  </w:footnote>
  <w:footnote w:id="106">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001B14E7">
        <w:rPr>
          <w:rFonts w:ascii="Calibri" w:hAnsi="Calibri"/>
          <w:sz w:val="18"/>
        </w:rPr>
        <w:t xml:space="preserve"> See D. </w:t>
      </w:r>
      <w:proofErr w:type="spellStart"/>
      <w:r w:rsidR="001B14E7">
        <w:rPr>
          <w:rFonts w:ascii="Calibri" w:hAnsi="Calibri"/>
          <w:sz w:val="18"/>
        </w:rPr>
        <w:t>Kingdon</w:t>
      </w:r>
      <w:proofErr w:type="spellEnd"/>
      <w:r w:rsidR="001B14E7">
        <w:rPr>
          <w:rFonts w:ascii="Calibri" w:hAnsi="Calibri"/>
          <w:sz w:val="18"/>
        </w:rPr>
        <w:t xml:space="preserve">, </w:t>
      </w:r>
      <w:r w:rsidRPr="001B14E7">
        <w:rPr>
          <w:rFonts w:ascii="Calibri" w:hAnsi="Calibri"/>
          <w:i/>
          <w:sz w:val="18"/>
        </w:rPr>
        <w:t>DSPD or ‘Don’t Stigmatise People in Distress’</w:t>
      </w:r>
      <w:r w:rsidRPr="00A74CBF">
        <w:rPr>
          <w:rFonts w:ascii="Calibri" w:hAnsi="Calibri"/>
          <w:sz w:val="18"/>
        </w:rPr>
        <w:t xml:space="preserve"> (2007) 13 Advances in Psychiatric Treatment p333.</w:t>
      </w:r>
    </w:p>
  </w:footnote>
  <w:footnote w:id="107">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British Association of Social Workers, </w:t>
      </w:r>
      <w:r w:rsidRPr="001B14E7">
        <w:rPr>
          <w:rFonts w:ascii="Calibri" w:hAnsi="Calibri"/>
          <w:i/>
          <w:sz w:val="18"/>
        </w:rPr>
        <w:t>Memorandum: evidence to the House of Commons Public Bill Committee on the Mental Health Bill</w:t>
      </w:r>
      <w:r w:rsidRPr="00A74CBF">
        <w:rPr>
          <w:rFonts w:ascii="Calibri" w:hAnsi="Calibri"/>
          <w:sz w:val="18"/>
        </w:rPr>
        <w:t>, MH 25, (2007), paras 10-14.</w:t>
      </w:r>
    </w:p>
  </w:footnote>
  <w:footnote w:id="108">
    <w:p w:rsidR="005B3F6A" w:rsidRPr="00A74CBF" w:rsidRDefault="005B3F6A" w:rsidP="00A74CBF">
      <w:pPr>
        <w:pStyle w:val="FootnoteText"/>
        <w:suppressAutoHyphens/>
        <w:spacing w:after="120"/>
        <w:rPr>
          <w:rFonts w:ascii="Calibri" w:hAnsi="Calibri"/>
          <w:sz w:val="18"/>
        </w:rPr>
      </w:pPr>
      <w:r w:rsidRPr="00A74CBF">
        <w:rPr>
          <w:rStyle w:val="FootnoteReference"/>
          <w:rFonts w:ascii="Calibri" w:hAnsi="Calibri"/>
          <w:sz w:val="18"/>
        </w:rPr>
        <w:footnoteRef/>
      </w:r>
      <w:r w:rsidRPr="00A74CBF">
        <w:rPr>
          <w:rFonts w:ascii="Calibri" w:hAnsi="Calibri"/>
          <w:sz w:val="18"/>
        </w:rPr>
        <w:t xml:space="preserve"> See for example concerns that the claimant’s previous high-profile escape was colouring the fairness of his consideration for </w:t>
      </w:r>
      <w:proofErr w:type="spellStart"/>
      <w:r w:rsidRPr="00A74CBF">
        <w:rPr>
          <w:rFonts w:ascii="Calibri" w:hAnsi="Calibri"/>
          <w:sz w:val="18"/>
        </w:rPr>
        <w:t>recategorisation</w:t>
      </w:r>
      <w:proofErr w:type="spellEnd"/>
      <w:r w:rsidRPr="00A74CBF">
        <w:rPr>
          <w:rFonts w:ascii="Calibri" w:hAnsi="Calibri"/>
          <w:sz w:val="18"/>
        </w:rPr>
        <w:t xml:space="preserve"> in </w:t>
      </w:r>
      <w:r w:rsidRPr="001B14E7">
        <w:rPr>
          <w:rFonts w:ascii="Calibri" w:hAnsi="Calibri"/>
          <w:i/>
          <w:sz w:val="18"/>
        </w:rPr>
        <w:t xml:space="preserve">R (Williams) v </w:t>
      </w:r>
      <w:proofErr w:type="spellStart"/>
      <w:r w:rsidRPr="001B14E7">
        <w:rPr>
          <w:rFonts w:ascii="Calibri" w:hAnsi="Calibri"/>
          <w:i/>
          <w:sz w:val="18"/>
        </w:rPr>
        <w:t>SoS</w:t>
      </w:r>
      <w:proofErr w:type="spellEnd"/>
      <w:r w:rsidRPr="001B14E7">
        <w:rPr>
          <w:rFonts w:ascii="Calibri" w:hAnsi="Calibri"/>
          <w:i/>
          <w:sz w:val="18"/>
        </w:rPr>
        <w:t xml:space="preserve"> for the Home Department [2002] 1 WLR 2264</w:t>
      </w:r>
      <w:r w:rsidRPr="00A74CBF">
        <w:rPr>
          <w:rFonts w:ascii="Calibri" w:hAnsi="Calibri"/>
          <w:sz w:val="18"/>
        </w:rPr>
        <w:t xml:space="preserve"> at [18]. For a view of how incarceration and frequent recall may feed recidivism, see </w:t>
      </w:r>
      <w:r w:rsidRPr="001B14E7">
        <w:rPr>
          <w:rFonts w:ascii="Calibri" w:hAnsi="Calibri"/>
          <w:i/>
          <w:sz w:val="18"/>
        </w:rPr>
        <w:t>Ralph Coleman et al v Arnold Schwarzenegger et al</w:t>
      </w:r>
      <w:r w:rsidRPr="00A74CBF">
        <w:rPr>
          <w:rFonts w:ascii="Calibri" w:hAnsi="Calibri"/>
          <w:sz w:val="18"/>
        </w:rPr>
        <w:t xml:space="preserve">; </w:t>
      </w:r>
      <w:r w:rsidRPr="001B14E7">
        <w:rPr>
          <w:rFonts w:ascii="Calibri" w:hAnsi="Calibri"/>
          <w:i/>
          <w:sz w:val="18"/>
        </w:rPr>
        <w:t>Marciano Plata et al v Arnold Schwarzenegger et al [2009] NO. CIV S-90-0520 LKK JFM P; NO. C01-1351 TEH</w:t>
      </w:r>
      <w:r w:rsidRPr="00A74CBF">
        <w:rPr>
          <w:rFonts w:ascii="Calibri" w:hAnsi="Calibri"/>
          <w:sz w:val="18"/>
        </w:rPr>
        <w:t xml:space="preserve"> at [169-70].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586"/>
    <w:rsid w:val="000266E9"/>
    <w:rsid w:val="00106E94"/>
    <w:rsid w:val="00183728"/>
    <w:rsid w:val="001B14E7"/>
    <w:rsid w:val="00240A0F"/>
    <w:rsid w:val="0034354C"/>
    <w:rsid w:val="00343FD2"/>
    <w:rsid w:val="004B6EE7"/>
    <w:rsid w:val="00504065"/>
    <w:rsid w:val="005B3F6A"/>
    <w:rsid w:val="006B0289"/>
    <w:rsid w:val="007071CF"/>
    <w:rsid w:val="007A6BDC"/>
    <w:rsid w:val="007C25E2"/>
    <w:rsid w:val="00812CAA"/>
    <w:rsid w:val="008A7A51"/>
    <w:rsid w:val="00A10F38"/>
    <w:rsid w:val="00A74CBF"/>
    <w:rsid w:val="00AB3766"/>
    <w:rsid w:val="00B23985"/>
    <w:rsid w:val="00B6087F"/>
    <w:rsid w:val="00C02C46"/>
    <w:rsid w:val="00C33586"/>
    <w:rsid w:val="00CD5A29"/>
    <w:rsid w:val="00CE7BB2"/>
    <w:rsid w:val="00D819B6"/>
    <w:rsid w:val="00D91556"/>
    <w:rsid w:val="00DC2857"/>
    <w:rsid w:val="00E34E63"/>
    <w:rsid w:val="00E4232A"/>
    <w:rsid w:val="00E6222C"/>
    <w:rsid w:val="00F24B6F"/>
    <w:rsid w:val="00F32B4D"/>
    <w:rsid w:val="00F935BD"/>
    <w:rsid w:val="00FC4332"/>
    <w:rsid w:val="00FE4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40A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0A0F"/>
    <w:rPr>
      <w:sz w:val="20"/>
      <w:szCs w:val="20"/>
    </w:rPr>
  </w:style>
  <w:style w:type="character" w:styleId="FootnoteReference">
    <w:name w:val="footnote reference"/>
    <w:basedOn w:val="DefaultParagraphFont"/>
    <w:uiPriority w:val="99"/>
    <w:semiHidden/>
    <w:unhideWhenUsed/>
    <w:rsid w:val="00240A0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40A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0A0F"/>
    <w:rPr>
      <w:sz w:val="20"/>
      <w:szCs w:val="20"/>
    </w:rPr>
  </w:style>
  <w:style w:type="character" w:styleId="FootnoteReference">
    <w:name w:val="footnote reference"/>
    <w:basedOn w:val="DefaultParagraphFont"/>
    <w:uiPriority w:val="99"/>
    <w:semiHidden/>
    <w:unhideWhenUsed/>
    <w:rsid w:val="00240A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7095C-9EFF-4A4E-9FF5-6B30AC979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15</Pages>
  <Words>4859</Words>
  <Characters>27700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32495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Paul Burns</cp:lastModifiedBy>
  <cp:revision>7</cp:revision>
  <dcterms:created xsi:type="dcterms:W3CDTF">2014-11-19T11:46:00Z</dcterms:created>
  <dcterms:modified xsi:type="dcterms:W3CDTF">2014-11-19T15:49:00Z</dcterms:modified>
</cp:coreProperties>
</file>