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8C" w:rsidRPr="00B2248C" w:rsidRDefault="00B2248C" w:rsidP="00B2248C">
      <w:pPr>
        <w:rPr>
          <w:sz w:val="56"/>
          <w:szCs w:val="56"/>
        </w:rPr>
      </w:pPr>
      <w:r w:rsidRPr="00B2248C">
        <w:rPr>
          <w:sz w:val="56"/>
          <w:szCs w:val="56"/>
        </w:rPr>
        <w:t>Preface</w:t>
      </w:r>
    </w:p>
    <w:p w:rsidR="00B2248C" w:rsidRDefault="00B2248C" w:rsidP="00B2248C"/>
    <w:p w:rsidR="00B2248C" w:rsidRPr="00B2248C" w:rsidRDefault="00B2248C" w:rsidP="00B2248C">
      <w:r w:rsidRPr="00B2248C">
        <w:t>The possibility of a single statue to replace our current dual approach must now be the most fundamental</w:t>
      </w:r>
      <w:r>
        <w:t xml:space="preserve"> </w:t>
      </w:r>
      <w:r w:rsidRPr="00B2248C">
        <w:t>issue confronting mental health and mental capacity law reform. I was therefore delighted to be offered</w:t>
      </w:r>
      <w:r>
        <w:t xml:space="preserve"> </w:t>
      </w:r>
      <w:r w:rsidRPr="00B2248C">
        <w:t>the opportunity to co-edit this Special Issue.</w:t>
      </w:r>
    </w:p>
    <w:p w:rsidR="00B2248C" w:rsidRPr="00B2248C" w:rsidRDefault="00B2248C" w:rsidP="00B2248C">
      <w:r w:rsidRPr="00B2248C">
        <w:t>The question of a single statute was already live when the Expert Committee started its work in 1998 and,</w:t>
      </w:r>
      <w:r>
        <w:t xml:space="preserve"> </w:t>
      </w:r>
      <w:r w:rsidRPr="00B2248C">
        <w:t>although it did not fall within our narrow brief, we were conscious both of its enormous potential and of</w:t>
      </w:r>
      <w:r>
        <w:t xml:space="preserve"> </w:t>
      </w:r>
      <w:r w:rsidRPr="00B2248C">
        <w:t xml:space="preserve">the practical difficulties involved in turning it into reality. George </w:t>
      </w:r>
      <w:proofErr w:type="spellStart"/>
      <w:r w:rsidRPr="00B2248C">
        <w:t>Szmukler</w:t>
      </w:r>
      <w:proofErr w:type="spellEnd"/>
      <w:r w:rsidRPr="00B2248C">
        <w:t>, Rowena Daw and John</w:t>
      </w:r>
      <w:r>
        <w:t xml:space="preserve"> </w:t>
      </w:r>
      <w:r w:rsidRPr="00B2248C">
        <w:t>Dawson by presenting both the arguments in principle and a model legislative framework have provided</w:t>
      </w:r>
      <w:r>
        <w:t xml:space="preserve"> </w:t>
      </w:r>
      <w:r w:rsidRPr="00B2248C">
        <w:t>an invaluable opportunity to explore this central issue in all its aspects. I am immensely grateful to them</w:t>
      </w:r>
      <w:r>
        <w:t xml:space="preserve"> </w:t>
      </w:r>
      <w:r w:rsidRPr="00B2248C">
        <w:t>and to the Journal for providing the ideal public and interdisciplinary forum for this vital debate. I am also</w:t>
      </w:r>
      <w:r>
        <w:t xml:space="preserve"> </w:t>
      </w:r>
      <w:r w:rsidRPr="00B2248C">
        <w:t>extremely grateful to the commentators for engaging so seriously with the issues raised. They represent</w:t>
      </w:r>
      <w:r>
        <w:t xml:space="preserve"> </w:t>
      </w:r>
      <w:r w:rsidRPr="00B2248C">
        <w:t>an outstanding body of expertise in both law and psychiatry from across the UK and beyond, and their</w:t>
      </w:r>
      <w:r>
        <w:t xml:space="preserve"> </w:t>
      </w:r>
      <w:r w:rsidRPr="00B2248C">
        <w:t>thoughtful comments have contributed vitally to the quality and breadth of the debate.</w:t>
      </w:r>
    </w:p>
    <w:p w:rsidR="00B2248C" w:rsidRPr="00B2248C" w:rsidRDefault="00B2248C" w:rsidP="00B2248C">
      <w:r w:rsidRPr="00B2248C">
        <w:t xml:space="preserve">This Special Issue opens with an introduction by </w:t>
      </w:r>
      <w:proofErr w:type="spellStart"/>
      <w:r w:rsidRPr="00B2248C">
        <w:rPr>
          <w:i/>
          <w:iCs/>
        </w:rPr>
        <w:t>Szmukler</w:t>
      </w:r>
      <w:proofErr w:type="spellEnd"/>
      <w:r w:rsidRPr="00B2248C">
        <w:t xml:space="preserve">, </w:t>
      </w:r>
      <w:r w:rsidRPr="00B2248C">
        <w:rPr>
          <w:i/>
          <w:iCs/>
        </w:rPr>
        <w:t xml:space="preserve">Daw </w:t>
      </w:r>
      <w:r w:rsidRPr="00B2248C">
        <w:t xml:space="preserve">and </w:t>
      </w:r>
      <w:r w:rsidRPr="00B2248C">
        <w:rPr>
          <w:i/>
          <w:iCs/>
        </w:rPr>
        <w:t xml:space="preserve">Dawson </w:t>
      </w:r>
      <w:r w:rsidRPr="00B2248C">
        <w:t>outlining the case for</w:t>
      </w:r>
      <w:r>
        <w:t xml:space="preserve"> </w:t>
      </w:r>
      <w:r w:rsidRPr="00B2248C">
        <w:t>“fusion” and describing the structure of a model statute designed to demonstrate the legislative feasibility</w:t>
      </w:r>
      <w:r>
        <w:t xml:space="preserve"> </w:t>
      </w:r>
      <w:r w:rsidRPr="00B2248C">
        <w:t>of the fusion project. The following section contains the commentaries engaging with the underlying</w:t>
      </w:r>
      <w:r>
        <w:t xml:space="preserve"> </w:t>
      </w:r>
      <w:r w:rsidRPr="00B2248C">
        <w:t>rationale (</w:t>
      </w:r>
      <w:proofErr w:type="spellStart"/>
      <w:r w:rsidRPr="00B2248C">
        <w:rPr>
          <w:i/>
          <w:iCs/>
        </w:rPr>
        <w:t>Appelbaum</w:t>
      </w:r>
      <w:proofErr w:type="spellEnd"/>
      <w:r w:rsidRPr="00B2248C">
        <w:rPr>
          <w:i/>
          <w:iCs/>
        </w:rPr>
        <w:t xml:space="preserve"> </w:t>
      </w:r>
      <w:r w:rsidRPr="00B2248C">
        <w:t xml:space="preserve">and </w:t>
      </w:r>
      <w:r w:rsidRPr="00B2248C">
        <w:rPr>
          <w:i/>
          <w:iCs/>
        </w:rPr>
        <w:t>Burns</w:t>
      </w:r>
      <w:r w:rsidRPr="00B2248C">
        <w:t>); the interface with the criminal justice system (</w:t>
      </w:r>
      <w:r w:rsidRPr="00B2248C">
        <w:rPr>
          <w:i/>
          <w:iCs/>
        </w:rPr>
        <w:t xml:space="preserve">Buchanan </w:t>
      </w:r>
      <w:r w:rsidRPr="00B2248C">
        <w:t xml:space="preserve">and </w:t>
      </w:r>
      <w:r w:rsidRPr="00B2248C">
        <w:rPr>
          <w:i/>
          <w:iCs/>
        </w:rPr>
        <w:t>Gledhill</w:t>
      </w:r>
      <w:r w:rsidRPr="00B2248C">
        <w:t>);</w:t>
      </w:r>
      <w:r>
        <w:t xml:space="preserve"> </w:t>
      </w:r>
      <w:r w:rsidRPr="00B2248C">
        <w:t>the role of the tribunal (</w:t>
      </w:r>
      <w:r w:rsidRPr="00B2248C">
        <w:rPr>
          <w:i/>
          <w:iCs/>
        </w:rPr>
        <w:t>Robinson</w:t>
      </w:r>
      <w:r w:rsidRPr="00B2248C">
        <w:t>); the safeguards for “informal” patients (</w:t>
      </w:r>
      <w:r w:rsidRPr="00B2248C">
        <w:rPr>
          <w:i/>
          <w:iCs/>
        </w:rPr>
        <w:t xml:space="preserve">Holland </w:t>
      </w:r>
      <w:r w:rsidRPr="00B2248C">
        <w:t xml:space="preserve">and </w:t>
      </w:r>
      <w:proofErr w:type="spellStart"/>
      <w:r w:rsidRPr="00B2248C">
        <w:rPr>
          <w:i/>
          <w:iCs/>
        </w:rPr>
        <w:t>Weereratne</w:t>
      </w:r>
      <w:proofErr w:type="spellEnd"/>
      <w:r w:rsidRPr="00B2248C">
        <w:t>); and</w:t>
      </w:r>
      <w:r>
        <w:t xml:space="preserve"> </w:t>
      </w:r>
      <w:r w:rsidRPr="00B2248C">
        <w:t>the experience in Scotland and Northern Ireland (</w:t>
      </w:r>
      <w:r w:rsidRPr="00B2248C">
        <w:rPr>
          <w:i/>
          <w:iCs/>
        </w:rPr>
        <w:t>Atkinson and Patrick</w:t>
      </w:r>
      <w:r w:rsidRPr="00B2248C">
        <w:t xml:space="preserve">, and </w:t>
      </w:r>
      <w:proofErr w:type="spellStart"/>
      <w:r w:rsidRPr="00B2248C">
        <w:rPr>
          <w:i/>
          <w:iCs/>
        </w:rPr>
        <w:t>McCallion</w:t>
      </w:r>
      <w:proofErr w:type="spellEnd"/>
      <w:r w:rsidRPr="00B2248C">
        <w:rPr>
          <w:i/>
          <w:iCs/>
        </w:rPr>
        <w:t xml:space="preserve"> and O’Hare</w:t>
      </w:r>
      <w:r w:rsidRPr="00B2248C">
        <w:t>).</w:t>
      </w:r>
    </w:p>
    <w:p w:rsidR="00B2248C" w:rsidRPr="00B2248C" w:rsidRDefault="00B2248C" w:rsidP="00B2248C">
      <w:r w:rsidRPr="00B2248C">
        <w:t xml:space="preserve">As editors we were keen to provide </w:t>
      </w:r>
      <w:proofErr w:type="spellStart"/>
      <w:r w:rsidRPr="00B2248C">
        <w:rPr>
          <w:i/>
          <w:iCs/>
        </w:rPr>
        <w:t>Smukler</w:t>
      </w:r>
      <w:proofErr w:type="spellEnd"/>
      <w:r w:rsidRPr="00B2248C">
        <w:t xml:space="preserve">, </w:t>
      </w:r>
      <w:r w:rsidRPr="00B2248C">
        <w:rPr>
          <w:i/>
          <w:iCs/>
        </w:rPr>
        <w:t xml:space="preserve">Daw </w:t>
      </w:r>
      <w:r w:rsidRPr="00B2248C">
        <w:t xml:space="preserve">and </w:t>
      </w:r>
      <w:r w:rsidRPr="00B2248C">
        <w:rPr>
          <w:i/>
          <w:iCs/>
        </w:rPr>
        <w:t xml:space="preserve">Dawson </w:t>
      </w:r>
      <w:r w:rsidRPr="00B2248C">
        <w:t>with the opportunity to respond to the</w:t>
      </w:r>
      <w:r>
        <w:t xml:space="preserve"> </w:t>
      </w:r>
      <w:r w:rsidRPr="00B2248C">
        <w:t>many important issues raised by the commentators, and the third section of the Issue contains their</w:t>
      </w:r>
      <w:r>
        <w:t xml:space="preserve"> </w:t>
      </w:r>
      <w:r w:rsidRPr="00B2248C">
        <w:t>response. This is then followed by the text of the draft model statute in the original form in which it was</w:t>
      </w:r>
      <w:r>
        <w:t xml:space="preserve"> </w:t>
      </w:r>
      <w:r w:rsidRPr="00B2248C">
        <w:t xml:space="preserve">sent for comment and an Addendum, subsequently drafted by </w:t>
      </w:r>
      <w:proofErr w:type="spellStart"/>
      <w:r w:rsidRPr="00B2248C">
        <w:rPr>
          <w:i/>
          <w:iCs/>
        </w:rPr>
        <w:t>Smukler</w:t>
      </w:r>
      <w:proofErr w:type="spellEnd"/>
      <w:r w:rsidRPr="00B2248C">
        <w:rPr>
          <w:i/>
          <w:iCs/>
        </w:rPr>
        <w:t xml:space="preserve"> et al </w:t>
      </w:r>
      <w:r w:rsidRPr="00B2248C">
        <w:t>to take account of some of</w:t>
      </w:r>
      <w:r>
        <w:t xml:space="preserve"> </w:t>
      </w:r>
      <w:r w:rsidRPr="00B2248C">
        <w:t xml:space="preserve">the points </w:t>
      </w:r>
      <w:proofErr w:type="gramStart"/>
      <w:r w:rsidRPr="00B2248C">
        <w:t>raised</w:t>
      </w:r>
      <w:proofErr w:type="gramEnd"/>
      <w:r w:rsidRPr="00B2248C">
        <w:t xml:space="preserve">. The final section contains an overview by </w:t>
      </w:r>
      <w:r w:rsidRPr="00B2248C">
        <w:rPr>
          <w:i/>
          <w:iCs/>
        </w:rPr>
        <w:t xml:space="preserve">Gledhill </w:t>
      </w:r>
      <w:r w:rsidRPr="00B2248C">
        <w:t>of the law reform debate to date.</w:t>
      </w:r>
    </w:p>
    <w:p w:rsidR="00B2248C" w:rsidRDefault="00B2248C" w:rsidP="00B2248C">
      <w:r w:rsidRPr="00B2248C">
        <w:t>Between them the contributors to this very Special Issue have provided us with an authoritative and</w:t>
      </w:r>
      <w:r>
        <w:t xml:space="preserve"> </w:t>
      </w:r>
      <w:r w:rsidRPr="00B2248C">
        <w:t>thought provoking analysis of a fundamental debate. It is also extremely timely. The implementation of the</w:t>
      </w:r>
      <w:r>
        <w:t xml:space="preserve"> </w:t>
      </w:r>
      <w:r w:rsidRPr="00B2248C">
        <w:t xml:space="preserve">2007 revisions to both the </w:t>
      </w:r>
      <w:r w:rsidRPr="00B2248C">
        <w:rPr>
          <w:i/>
          <w:iCs/>
        </w:rPr>
        <w:t xml:space="preserve">Mental Health Act 1983 </w:t>
      </w:r>
      <w:r w:rsidRPr="00B2248C">
        <w:t xml:space="preserve">and the </w:t>
      </w:r>
      <w:r w:rsidRPr="00B2248C">
        <w:rPr>
          <w:i/>
          <w:iCs/>
        </w:rPr>
        <w:t xml:space="preserve">Mental Capacity Act 2005 </w:t>
      </w:r>
      <w:r w:rsidRPr="00B2248C">
        <w:t>have illustrated all</w:t>
      </w:r>
      <w:r>
        <w:t xml:space="preserve"> </w:t>
      </w:r>
      <w:r w:rsidRPr="00B2248C">
        <w:t>too clearly the practical difficulties involved in managing the interface between the two parallel structures.</w:t>
      </w:r>
      <w:r>
        <w:t xml:space="preserve"> </w:t>
      </w:r>
      <w:r w:rsidRPr="00B2248C">
        <w:t>This Special Issue provides us with a valuable opportunity ask whether there is in fact another way.</w:t>
      </w:r>
      <w:bookmarkStart w:id="0" w:name="_GoBack"/>
      <w:bookmarkEnd w:id="0"/>
    </w:p>
    <w:p w:rsidR="00B2248C" w:rsidRPr="00B2248C" w:rsidRDefault="00B2248C" w:rsidP="00B2248C"/>
    <w:p w:rsidR="00B2248C" w:rsidRPr="00B2248C" w:rsidRDefault="00B2248C" w:rsidP="00B2248C">
      <w:pPr>
        <w:rPr>
          <w:b/>
          <w:bCs/>
          <w:i/>
          <w:iCs/>
          <w:sz w:val="28"/>
        </w:rPr>
      </w:pPr>
      <w:proofErr w:type="spellStart"/>
      <w:r w:rsidRPr="00B2248C">
        <w:rPr>
          <w:b/>
          <w:bCs/>
          <w:i/>
          <w:iCs/>
          <w:sz w:val="28"/>
        </w:rPr>
        <w:t>Genevra</w:t>
      </w:r>
      <w:proofErr w:type="spellEnd"/>
      <w:r w:rsidRPr="00B2248C">
        <w:rPr>
          <w:b/>
          <w:bCs/>
          <w:i/>
          <w:iCs/>
          <w:sz w:val="28"/>
        </w:rPr>
        <w:t xml:space="preserve"> Richardson</w:t>
      </w:r>
    </w:p>
    <w:p w:rsidR="00A86F3A" w:rsidRDefault="00B2248C" w:rsidP="00B2248C">
      <w:r w:rsidRPr="00B2248C">
        <w:t>Guest Editor</w:t>
      </w:r>
    </w:p>
    <w:sectPr w:rsidR="00A86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8C"/>
    <w:rsid w:val="00A86F3A"/>
    <w:rsid w:val="00B2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2442</Characters>
  <Application>Microsoft Office Word</Application>
  <DocSecurity>0</DocSecurity>
  <Lines>20</Lines>
  <Paragraphs>5</Paragraphs>
  <ScaleCrop>false</ScaleCrop>
  <Company>Northumbria University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1</cp:revision>
  <dcterms:created xsi:type="dcterms:W3CDTF">2014-11-11T14:27:00Z</dcterms:created>
  <dcterms:modified xsi:type="dcterms:W3CDTF">2014-11-11T14:29:00Z</dcterms:modified>
</cp:coreProperties>
</file>