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AB" w:rsidRPr="000320AB" w:rsidRDefault="000320AB" w:rsidP="000320AB">
      <w:pPr>
        <w:rPr>
          <w:b/>
          <w:bCs/>
          <w:i/>
          <w:iCs/>
          <w:sz w:val="40"/>
          <w:szCs w:val="40"/>
        </w:rPr>
      </w:pPr>
      <w:r w:rsidRPr="000320AB">
        <w:rPr>
          <w:b/>
          <w:bCs/>
          <w:i/>
          <w:iCs/>
          <w:sz w:val="40"/>
          <w:szCs w:val="40"/>
        </w:rPr>
        <w:t xml:space="preserve">Hello, </w:t>
      </w:r>
      <w:proofErr w:type="spellStart"/>
      <w:r w:rsidRPr="000320AB">
        <w:rPr>
          <w:b/>
          <w:bCs/>
          <w:i/>
          <w:iCs/>
          <w:sz w:val="40"/>
          <w:szCs w:val="40"/>
        </w:rPr>
        <w:t>Doli</w:t>
      </w:r>
      <w:proofErr w:type="spellEnd"/>
      <w:proofErr w:type="gramStart"/>
      <w:r w:rsidRPr="000320AB">
        <w:rPr>
          <w:b/>
          <w:bCs/>
          <w:i/>
          <w:iCs/>
          <w:sz w:val="40"/>
          <w:szCs w:val="40"/>
        </w:rPr>
        <w:t>?…</w:t>
      </w:r>
      <w:proofErr w:type="gramEnd"/>
      <w:r w:rsidRPr="000320AB">
        <w:rPr>
          <w:b/>
          <w:bCs/>
          <w:i/>
          <w:iCs/>
          <w:sz w:val="40"/>
          <w:szCs w:val="40"/>
        </w:rPr>
        <w:t xml:space="preserve"> or is it Goodbye?</w:t>
      </w:r>
    </w:p>
    <w:p w:rsidR="000320AB" w:rsidRPr="000320AB" w:rsidRDefault="000320AB" w:rsidP="000320AB">
      <w:pPr>
        <w:rPr>
          <w:b/>
          <w:bCs/>
          <w:i/>
          <w:iCs/>
          <w:sz w:val="28"/>
        </w:rPr>
      </w:pPr>
      <w:r w:rsidRPr="000320AB">
        <w:rPr>
          <w:b/>
          <w:bCs/>
          <w:i/>
          <w:iCs/>
          <w:sz w:val="28"/>
        </w:rPr>
        <w:t xml:space="preserve">Natalie </w:t>
      </w:r>
      <w:proofErr w:type="spellStart"/>
      <w:r w:rsidRPr="000320AB">
        <w:rPr>
          <w:b/>
          <w:bCs/>
          <w:i/>
          <w:iCs/>
          <w:sz w:val="28"/>
        </w:rPr>
        <w:t>Wortley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0320AB" w:rsidRPr="000320AB" w:rsidRDefault="000320AB" w:rsidP="000320AB">
      <w:pPr>
        <w:rPr>
          <w:b/>
          <w:bCs/>
        </w:rPr>
      </w:pPr>
      <w:r w:rsidRPr="000320AB">
        <w:rPr>
          <w:b/>
          <w:bCs/>
        </w:rPr>
        <w:t>Director of Public Prosecutions v P</w:t>
      </w:r>
      <w:r>
        <w:rPr>
          <w:b/>
          <w:bCs/>
        </w:rPr>
        <w:br/>
      </w:r>
      <w:r w:rsidRPr="000320AB">
        <w:rPr>
          <w:b/>
          <w:bCs/>
        </w:rPr>
        <w:t>Queen’s Bench Division (Administrative Court), 27 April 2007</w:t>
      </w:r>
      <w:r>
        <w:rPr>
          <w:b/>
          <w:bCs/>
        </w:rPr>
        <w:br/>
      </w:r>
      <w:r w:rsidRPr="000320AB">
        <w:rPr>
          <w:b/>
          <w:bCs/>
        </w:rPr>
        <w:t>[2007] EWHC 946 (Admin)</w:t>
      </w:r>
    </w:p>
    <w:p w:rsidR="000320AB" w:rsidRDefault="000320AB" w:rsidP="000320AB">
      <w:pPr>
        <w:rPr>
          <w:b/>
          <w:bCs/>
        </w:rPr>
      </w:pPr>
    </w:p>
    <w:p w:rsidR="000320AB" w:rsidRPr="000320AB" w:rsidRDefault="000320AB" w:rsidP="000320AB">
      <w:pPr>
        <w:rPr>
          <w:b/>
          <w:bCs/>
          <w:sz w:val="24"/>
        </w:rPr>
      </w:pPr>
      <w:r w:rsidRPr="000320AB">
        <w:rPr>
          <w:b/>
          <w:bCs/>
          <w:sz w:val="24"/>
        </w:rPr>
        <w:t>Introduction</w:t>
      </w:r>
    </w:p>
    <w:p w:rsidR="000320AB" w:rsidRDefault="000320AB" w:rsidP="000320AB">
      <w:r w:rsidRPr="000320AB">
        <w:t xml:space="preserve">Section 34 of the </w:t>
      </w:r>
      <w:r w:rsidRPr="000320AB">
        <w:rPr>
          <w:i/>
          <w:iCs/>
        </w:rPr>
        <w:t xml:space="preserve">Crime and Disorder Act 1998 </w:t>
      </w:r>
      <w:r w:rsidRPr="000320AB">
        <w:t>abolished the rebuttable presumption of criminal law that</w:t>
      </w:r>
      <w:r>
        <w:t xml:space="preserve"> </w:t>
      </w:r>
      <w:r w:rsidRPr="000320AB">
        <w:t>a child between the ages of 10 and 13 was incapable of committing a criminal offence. Most</w:t>
      </w:r>
      <w:r>
        <w:t xml:space="preserve"> </w:t>
      </w:r>
      <w:r w:rsidRPr="000320AB">
        <w:t xml:space="preserve">commentators assumed that Parliament had effectively consigned the doctrine of </w:t>
      </w:r>
      <w:proofErr w:type="spellStart"/>
      <w:r w:rsidRPr="000320AB">
        <w:t>doli</w:t>
      </w:r>
      <w:proofErr w:type="spellEnd"/>
      <w:r w:rsidRPr="000320AB">
        <w:t xml:space="preserve"> </w:t>
      </w:r>
      <w:proofErr w:type="spellStart"/>
      <w:r w:rsidRPr="000320AB">
        <w:t>incapax</w:t>
      </w:r>
      <w:proofErr w:type="spellEnd"/>
      <w:r w:rsidRPr="000320AB">
        <w:t xml:space="preserve"> to the</w:t>
      </w:r>
      <w:r>
        <w:t xml:space="preserve"> </w:t>
      </w:r>
      <w:r w:rsidRPr="000320AB">
        <w:t xml:space="preserve">history books. In a remarkable resurrection, the Divisional Court in </w:t>
      </w:r>
      <w:r w:rsidRPr="000320AB">
        <w:rPr>
          <w:i/>
          <w:iCs/>
        </w:rPr>
        <w:t>Director of Public Prosecutions v P</w:t>
      </w:r>
      <w:r>
        <w:rPr>
          <w:i/>
          <w:iCs/>
        </w:rPr>
        <w:t xml:space="preserve"> </w:t>
      </w:r>
      <w:r w:rsidRPr="000320AB">
        <w:rPr>
          <w:i/>
          <w:iCs/>
        </w:rPr>
        <w:t>(DPP v P)</w:t>
      </w:r>
      <w:r>
        <w:rPr>
          <w:rStyle w:val="FootnoteReference"/>
          <w:i/>
          <w:iCs/>
        </w:rPr>
        <w:footnoteReference w:id="2"/>
      </w:r>
      <w:r w:rsidRPr="000320AB">
        <w:t xml:space="preserve"> suggested that </w:t>
      </w:r>
      <w:proofErr w:type="spellStart"/>
      <w:r w:rsidRPr="000320AB">
        <w:t>doli</w:t>
      </w:r>
      <w:proofErr w:type="spellEnd"/>
      <w:r w:rsidRPr="000320AB">
        <w:t xml:space="preserve"> </w:t>
      </w:r>
      <w:proofErr w:type="spellStart"/>
      <w:r w:rsidRPr="000320AB">
        <w:t>incapax</w:t>
      </w:r>
      <w:proofErr w:type="spellEnd"/>
      <w:r w:rsidRPr="000320AB">
        <w:t xml:space="preserve"> may still be available as a defence where a child lacks the capacity</w:t>
      </w:r>
      <w:r>
        <w:t xml:space="preserve"> </w:t>
      </w:r>
      <w:r w:rsidRPr="000320AB">
        <w:t>to understand that his actions are seriously wrong.</w:t>
      </w:r>
    </w:p>
    <w:p w:rsidR="000320AB" w:rsidRPr="000320AB" w:rsidRDefault="000320AB" w:rsidP="000320AB"/>
    <w:p w:rsidR="000320AB" w:rsidRPr="000320AB" w:rsidRDefault="000320AB" w:rsidP="000320AB">
      <w:pPr>
        <w:rPr>
          <w:b/>
          <w:bCs/>
          <w:sz w:val="24"/>
        </w:rPr>
      </w:pPr>
      <w:r w:rsidRPr="000320AB">
        <w:rPr>
          <w:b/>
          <w:bCs/>
          <w:sz w:val="24"/>
        </w:rPr>
        <w:t>The Facts</w:t>
      </w:r>
    </w:p>
    <w:p w:rsidR="000320AB" w:rsidRPr="000320AB" w:rsidRDefault="000320AB" w:rsidP="000320AB">
      <w:r w:rsidRPr="000320AB">
        <w:t>P was aged 13 at the date of his appeal. Ever since he was 4, the authorities had had concerns about his</w:t>
      </w:r>
      <w:r>
        <w:t xml:space="preserve"> </w:t>
      </w:r>
      <w:r w:rsidRPr="000320AB">
        <w:t>development and behaviour. He was diagnosed with Attention Deficit Hyperactivity Disorder at the age</w:t>
      </w:r>
      <w:r>
        <w:t xml:space="preserve"> </w:t>
      </w:r>
      <w:r w:rsidRPr="000320AB">
        <w:t>of 7 and was prescribed Ritalin. In 2002 he was assessed as having special educational needs. In 2004, P</w:t>
      </w:r>
      <w:r>
        <w:t xml:space="preserve"> </w:t>
      </w:r>
      <w:r w:rsidRPr="000320AB">
        <w:t>was committed to Teesside Crown Court for trial for a number of serious offences, including kidnapping,</w:t>
      </w:r>
      <w:r>
        <w:t xml:space="preserve"> </w:t>
      </w:r>
      <w:r w:rsidRPr="000320AB">
        <w:t>false imprisonment and indecent assault. The defence instructed a psychologist, who concluded that P</w:t>
      </w:r>
      <w:r>
        <w:t xml:space="preserve"> </w:t>
      </w:r>
      <w:r w:rsidRPr="000320AB">
        <w:t>had a full scale IQ of 65 and a mental age of 7 years and 4 months. In his opinion, P would have great</w:t>
      </w:r>
      <w:r>
        <w:t xml:space="preserve"> </w:t>
      </w:r>
      <w:r w:rsidRPr="000320AB">
        <w:t>difficulty differentiating between conduct that was “seriously wrong” and conduct that was “merely</w:t>
      </w:r>
      <w:r>
        <w:t xml:space="preserve"> </w:t>
      </w:r>
      <w:r w:rsidRPr="000320AB">
        <w:t>naughty”. Further experts were commissioned and all accepted the IQ assessment and agreed that P</w:t>
      </w:r>
      <w:r>
        <w:t xml:space="preserve"> </w:t>
      </w:r>
      <w:r w:rsidRPr="000320AB">
        <w:t>would be unable to participate effectively in a criminal trial. The prosecution ultimately accepted that P</w:t>
      </w:r>
      <w:r>
        <w:t xml:space="preserve"> </w:t>
      </w:r>
      <w:r w:rsidRPr="000320AB">
        <w:t>was not fit to plead and proceedings were stayed in June 2005 with no further order.</w:t>
      </w:r>
    </w:p>
    <w:p w:rsidR="000320AB" w:rsidRDefault="000320AB" w:rsidP="000320AB">
      <w:r w:rsidRPr="000320AB">
        <w:t>Five months later, P appeared before the youth court for offences of assault and theft of a car. He denied</w:t>
      </w:r>
      <w:r>
        <w:t xml:space="preserve"> </w:t>
      </w:r>
      <w:r w:rsidRPr="000320AB">
        <w:t>both matters, accepting by implication that he was fit to plead. P’s legal representatives then applied to</w:t>
      </w:r>
      <w:r>
        <w:t xml:space="preserve"> </w:t>
      </w:r>
      <w:r w:rsidRPr="000320AB">
        <w:t>stay the proceedings as an abuse of process. The original psychologist prepared a new report confirming</w:t>
      </w:r>
      <w:r>
        <w:t xml:space="preserve"> </w:t>
      </w:r>
      <w:r w:rsidRPr="000320AB">
        <w:t>that little had changed in the intervening months. He concluded that P remained incapable of</w:t>
      </w:r>
      <w:r>
        <w:t xml:space="preserve"> </w:t>
      </w:r>
      <w:r w:rsidRPr="000320AB">
        <w:t>understanding the nature of the proceedings; he would not be able to concentrate on, or remember,</w:t>
      </w:r>
      <w:r>
        <w:t xml:space="preserve"> </w:t>
      </w:r>
      <w:r w:rsidRPr="000320AB">
        <w:t>evidence and argument in the courtroom; he had very little understanding of the significance of his</w:t>
      </w:r>
      <w:r>
        <w:t xml:space="preserve"> </w:t>
      </w:r>
      <w:r w:rsidRPr="000320AB">
        <w:t>behaviour; and he would not have been capable of forming the necessary intent for the alleged offences.</w:t>
      </w:r>
      <w:r>
        <w:t xml:space="preserve"> </w:t>
      </w:r>
    </w:p>
    <w:p w:rsidR="00B96993" w:rsidRDefault="000320AB" w:rsidP="000320AB">
      <w:r w:rsidRPr="000320AB">
        <w:lastRenderedPageBreak/>
        <w:t xml:space="preserve">The defence argued that since the rebuttable presumption of </w:t>
      </w:r>
      <w:proofErr w:type="spellStart"/>
      <w:r w:rsidRPr="000320AB">
        <w:t>doli</w:t>
      </w:r>
      <w:proofErr w:type="spellEnd"/>
      <w:r w:rsidRPr="000320AB">
        <w:t xml:space="preserve"> </w:t>
      </w:r>
      <w:proofErr w:type="spellStart"/>
      <w:r w:rsidRPr="000320AB">
        <w:t>incapax</w:t>
      </w:r>
      <w:proofErr w:type="spellEnd"/>
      <w:r w:rsidRPr="000320AB">
        <w:t xml:space="preserve"> had been abolished, the only</w:t>
      </w:r>
      <w:r>
        <w:t xml:space="preserve"> </w:t>
      </w:r>
      <w:r w:rsidRPr="000320AB">
        <w:t>way to protect a child such as P was through the doctrine of abuse of process. The District Judge reviewed</w:t>
      </w:r>
      <w:r>
        <w:t xml:space="preserve"> </w:t>
      </w:r>
      <w:r w:rsidRPr="000320AB">
        <w:t>the law and the medical reports and concluded that P would be unable to participate effectively in his</w:t>
      </w:r>
      <w:r>
        <w:t xml:space="preserve"> </w:t>
      </w:r>
      <w:r w:rsidRPr="000320AB">
        <w:t>trial and that the proceedings should therefore be stayed. The prosecution appealed by way of case stated.</w:t>
      </w:r>
    </w:p>
    <w:p w:rsidR="000320AB" w:rsidRDefault="000320AB" w:rsidP="000320AB"/>
    <w:p w:rsidR="000320AB" w:rsidRPr="000320AB" w:rsidRDefault="000320AB" w:rsidP="000320AB">
      <w:pPr>
        <w:rPr>
          <w:b/>
          <w:bCs/>
          <w:sz w:val="24"/>
        </w:rPr>
      </w:pPr>
      <w:r w:rsidRPr="000320AB">
        <w:rPr>
          <w:b/>
          <w:bCs/>
          <w:sz w:val="24"/>
        </w:rPr>
        <w:t>The Law</w:t>
      </w:r>
    </w:p>
    <w:p w:rsidR="000320AB" w:rsidRPr="000320AB" w:rsidRDefault="000320AB" w:rsidP="000320AB">
      <w:pPr>
        <w:rPr>
          <w:b/>
          <w:bCs/>
        </w:rPr>
      </w:pPr>
      <w:r w:rsidRPr="000320AB">
        <w:rPr>
          <w:b/>
          <w:bCs/>
        </w:rPr>
        <w:t>Fitness to Plead</w:t>
      </w:r>
    </w:p>
    <w:p w:rsidR="000320AB" w:rsidRPr="000320AB" w:rsidRDefault="000320AB" w:rsidP="000320AB">
      <w:r w:rsidRPr="000320AB">
        <w:t>Issues of capacity and fitness to plead often overlap and both issues arose in P’s case. It is not clear why the</w:t>
      </w:r>
      <w:r>
        <w:t xml:space="preserve"> </w:t>
      </w:r>
      <w:r w:rsidRPr="000320AB">
        <w:t>Crown Court stayed the first set of proceedings without invoking the fitness to plead process set out in the</w:t>
      </w:r>
      <w:r>
        <w:t xml:space="preserve"> </w:t>
      </w:r>
      <w:r w:rsidRPr="000320AB">
        <w:rPr>
          <w:i/>
          <w:iCs/>
        </w:rPr>
        <w:t>Criminal Procedure (Insanity) Act 1964</w:t>
      </w:r>
      <w:r>
        <w:rPr>
          <w:rStyle w:val="FootnoteReference"/>
          <w:i/>
          <w:iCs/>
        </w:rPr>
        <w:footnoteReference w:id="3"/>
      </w:r>
      <w:r w:rsidRPr="000320AB">
        <w:t>. It may be that the Crown Court Judge considered that P’s difficulties</w:t>
      </w:r>
      <w:r>
        <w:t xml:space="preserve"> </w:t>
      </w:r>
      <w:r w:rsidRPr="000320AB">
        <w:t>were so severe that it would be an abuse of the process of the court to subject him to any proceedings akin</w:t>
      </w:r>
      <w:r>
        <w:t xml:space="preserve"> </w:t>
      </w:r>
      <w:r w:rsidRPr="000320AB">
        <w:t>to a trial, even if those proceedings amounted simply to a fact finding exercise and could not result in a</w:t>
      </w:r>
      <w:r>
        <w:t xml:space="preserve"> </w:t>
      </w:r>
      <w:r w:rsidRPr="000320AB">
        <w:t>criminal conviction. The psychologist’s comments that P would have difficulty distinguishing conduct that</w:t>
      </w:r>
      <w:r>
        <w:t xml:space="preserve"> </w:t>
      </w:r>
      <w:r w:rsidRPr="000320AB">
        <w:t xml:space="preserve">was seriously wrong from that which was merely naughty also suggested that P might be </w:t>
      </w:r>
      <w:proofErr w:type="spellStart"/>
      <w:r w:rsidRPr="000320AB">
        <w:t>doli</w:t>
      </w:r>
      <w:proofErr w:type="spellEnd"/>
      <w:r w:rsidRPr="000320AB">
        <w:t xml:space="preserve"> </w:t>
      </w:r>
      <w:proofErr w:type="spellStart"/>
      <w:r w:rsidRPr="000320AB">
        <w:t>incapax</w:t>
      </w:r>
      <w:proofErr w:type="spellEnd"/>
      <w:r w:rsidRPr="000320AB">
        <w:t>. We</w:t>
      </w:r>
      <w:r>
        <w:t xml:space="preserve"> </w:t>
      </w:r>
      <w:r w:rsidRPr="000320AB">
        <w:t>do not know whether this issue played any part in the decision to stay the proceedings.</w:t>
      </w:r>
    </w:p>
    <w:p w:rsidR="000320AB" w:rsidRPr="000320AB" w:rsidRDefault="000320AB" w:rsidP="000320AB">
      <w:r w:rsidRPr="000320AB">
        <w:t xml:space="preserve">The 1964 Act does not apply to summary proceedings. In </w:t>
      </w:r>
      <w:r w:rsidRPr="000320AB">
        <w:rPr>
          <w:i/>
          <w:iCs/>
        </w:rPr>
        <w:t>R(P) v Barking Youth Court</w:t>
      </w:r>
      <w:r>
        <w:rPr>
          <w:rStyle w:val="FootnoteReference"/>
          <w:i/>
          <w:iCs/>
        </w:rPr>
        <w:footnoteReference w:id="4"/>
      </w:r>
      <w:r w:rsidRPr="000320AB">
        <w:t>, the Divisional</w:t>
      </w:r>
      <w:r>
        <w:t xml:space="preserve"> </w:t>
      </w:r>
      <w:r w:rsidRPr="000320AB">
        <w:t xml:space="preserve">Court confirmed that section 11(1) </w:t>
      </w:r>
      <w:r w:rsidRPr="000320AB">
        <w:rPr>
          <w:i/>
          <w:iCs/>
        </w:rPr>
        <w:t xml:space="preserve">Powers of Criminal Courts (Sentencing) Act 2000 </w:t>
      </w:r>
      <w:r w:rsidRPr="000320AB">
        <w:t>and section 37(3)</w:t>
      </w:r>
      <w:r>
        <w:t xml:space="preserve"> </w:t>
      </w:r>
      <w:r w:rsidRPr="000320AB">
        <w:rPr>
          <w:i/>
          <w:iCs/>
        </w:rPr>
        <w:t xml:space="preserve">Mental Health Act 1983 </w:t>
      </w:r>
      <w:r w:rsidRPr="000320AB">
        <w:t>provide a complete statutory framework for dealing with the question of fitness</w:t>
      </w:r>
      <w:r>
        <w:t xml:space="preserve"> </w:t>
      </w:r>
      <w:r w:rsidRPr="000320AB">
        <w:t>to plead in both the magistrates’ court and the youth court. Under these provisions, the court should</w:t>
      </w:r>
      <w:r>
        <w:t xml:space="preserve"> </w:t>
      </w:r>
      <w:r w:rsidRPr="000320AB">
        <w:t>determine whether the defendant did the act or made the omission charged against him. If satisfied that</w:t>
      </w:r>
      <w:r>
        <w:t xml:space="preserve"> </w:t>
      </w:r>
      <w:r w:rsidRPr="000320AB">
        <w:t>he did, the court may act under either of the above sections and adjourn the proceedings for a medical</w:t>
      </w:r>
      <w:r>
        <w:t xml:space="preserve"> </w:t>
      </w:r>
      <w:r w:rsidRPr="000320AB">
        <w:t>report or make a hospital order or guardianship order.</w:t>
      </w:r>
    </w:p>
    <w:p w:rsidR="000320AB" w:rsidRPr="000320AB" w:rsidRDefault="000320AB" w:rsidP="000320AB">
      <w:r w:rsidRPr="000320AB">
        <w:t>It appears that a youth court also has to consider whether the accused is able to participate effectively in</w:t>
      </w:r>
      <w:r>
        <w:t xml:space="preserve"> </w:t>
      </w:r>
      <w:r w:rsidRPr="000320AB">
        <w:t xml:space="preserve">his trial. If he cannot, it appears that a trial would be in breach of Article 6. In </w:t>
      </w:r>
      <w:r w:rsidRPr="000320AB">
        <w:rPr>
          <w:i/>
          <w:iCs/>
        </w:rPr>
        <w:t>SC v UK</w:t>
      </w:r>
      <w:r w:rsidRPr="000320AB">
        <w:t>,</w:t>
      </w:r>
      <w:r>
        <w:rPr>
          <w:rStyle w:val="FootnoteReference"/>
        </w:rPr>
        <w:footnoteReference w:id="5"/>
      </w:r>
      <w:r w:rsidRPr="000320AB">
        <w:t xml:space="preserve"> the European</w:t>
      </w:r>
      <w:r>
        <w:t xml:space="preserve"> </w:t>
      </w:r>
      <w:r w:rsidRPr="000320AB">
        <w:t>Court of Human Rights held that effective participation presupposes that the accused has a broad</w:t>
      </w:r>
      <w:r>
        <w:t xml:space="preserve"> </w:t>
      </w:r>
      <w:r w:rsidRPr="000320AB">
        <w:t>understanding of the nature of the trial process; an understanding of what is at stake including the</w:t>
      </w:r>
      <w:r>
        <w:t xml:space="preserve"> </w:t>
      </w:r>
      <w:r w:rsidRPr="000320AB">
        <w:t>significance of any punishment; an understanding of the general thrust of the evidence with assistance if</w:t>
      </w:r>
      <w:r>
        <w:t xml:space="preserve"> </w:t>
      </w:r>
      <w:r w:rsidRPr="000320AB">
        <w:t>necessary; the ability to follow what is said by witnesses; the ability to explain his version of events</w:t>
      </w:r>
      <w:r>
        <w:t xml:space="preserve"> </w:t>
      </w:r>
      <w:r w:rsidRPr="000320AB">
        <w:t>pointing out anything he disagrees with; and the ability to make his lawyers aware of facts to be put</w:t>
      </w:r>
      <w:r>
        <w:t xml:space="preserve"> </w:t>
      </w:r>
      <w:r w:rsidRPr="000320AB">
        <w:t>forward in his defence.</w:t>
      </w:r>
    </w:p>
    <w:p w:rsidR="000320AB" w:rsidRPr="000320AB" w:rsidRDefault="000320AB" w:rsidP="000320AB">
      <w:r w:rsidRPr="000320AB">
        <w:t xml:space="preserve">In </w:t>
      </w:r>
      <w:r w:rsidRPr="000320AB">
        <w:rPr>
          <w:i/>
          <w:iCs/>
        </w:rPr>
        <w:t>R (TP) v West London Youth Court</w:t>
      </w:r>
      <w:r w:rsidRPr="000320AB">
        <w:t>,</w:t>
      </w:r>
      <w:r>
        <w:rPr>
          <w:rStyle w:val="FootnoteReference"/>
        </w:rPr>
        <w:footnoteReference w:id="6"/>
      </w:r>
      <w:r w:rsidRPr="000320AB">
        <w:t xml:space="preserve"> the Divisional Court upheld a district judge’s decision to proceed</w:t>
      </w:r>
      <w:r>
        <w:t xml:space="preserve"> </w:t>
      </w:r>
      <w:r w:rsidRPr="000320AB">
        <w:t>to trial in the case of a 15-year-old defendant who had the intellectual capacity of an 8-year-old. However,</w:t>
      </w:r>
      <w:r>
        <w:t xml:space="preserve"> </w:t>
      </w:r>
      <w:r w:rsidRPr="000320AB">
        <w:t>the Court accepted that in order to have a fair trial, the accused had to have an understanding of what</w:t>
      </w:r>
      <w:r>
        <w:t xml:space="preserve"> </w:t>
      </w:r>
      <w:r w:rsidRPr="000320AB">
        <w:t>he was said to have done wrong; the means of knowing it was wrong; an understanding of the defences</w:t>
      </w:r>
      <w:r>
        <w:t xml:space="preserve"> </w:t>
      </w:r>
      <w:r w:rsidRPr="000320AB">
        <w:t xml:space="preserve">available; a reasonable opportunity to make representations; the </w:t>
      </w:r>
      <w:r w:rsidRPr="000320AB">
        <w:lastRenderedPageBreak/>
        <w:t>opportunity to consider representations</w:t>
      </w:r>
      <w:r>
        <w:t xml:space="preserve"> </w:t>
      </w:r>
      <w:r w:rsidRPr="000320AB">
        <w:t>once he understood the issues; and the ability to give proper instructions and participate by answering</w:t>
      </w:r>
      <w:r>
        <w:t xml:space="preserve"> </w:t>
      </w:r>
      <w:r w:rsidRPr="000320AB">
        <w:t>questions and suggesting questions to his lawyers. The district judge should keep matters under review</w:t>
      </w:r>
      <w:r>
        <w:t xml:space="preserve"> </w:t>
      </w:r>
      <w:r w:rsidRPr="000320AB">
        <w:t>and had a continuing jurisdiction to stay proceedings if satisfied that the accused could no longer</w:t>
      </w:r>
      <w:r>
        <w:t xml:space="preserve"> </w:t>
      </w:r>
      <w:r w:rsidRPr="000320AB">
        <w:t>participate effectively.</w:t>
      </w:r>
    </w:p>
    <w:p w:rsidR="000320AB" w:rsidRDefault="000320AB" w:rsidP="000320AB">
      <w:r w:rsidRPr="000320AB">
        <w:t>Thus, following TP, effective participation appears to incorporate a capacity test: the accused must have</w:t>
      </w:r>
      <w:r>
        <w:t xml:space="preserve"> </w:t>
      </w:r>
      <w:r w:rsidRPr="000320AB">
        <w:t>an understanding of what he has done wrong and “</w:t>
      </w:r>
      <w:r w:rsidRPr="000320AB">
        <w:rPr>
          <w:i/>
          <w:iCs/>
        </w:rPr>
        <w:t>the court had to be satisfied that the [accused] when he</w:t>
      </w:r>
      <w:r>
        <w:rPr>
          <w:i/>
          <w:iCs/>
        </w:rPr>
        <w:t xml:space="preserve"> </w:t>
      </w:r>
      <w:r w:rsidRPr="000320AB">
        <w:rPr>
          <w:i/>
          <w:iCs/>
        </w:rPr>
        <w:t>had done wrong by act or omission had the means of knowing that was wrong</w:t>
      </w:r>
      <w:r w:rsidRPr="000320AB">
        <w:t>”</w:t>
      </w:r>
      <w:r>
        <w:rPr>
          <w:rStyle w:val="FootnoteReference"/>
        </w:rPr>
        <w:footnoteReference w:id="7"/>
      </w:r>
      <w:r w:rsidRPr="000320AB">
        <w:t>. Where the accused lacks the</w:t>
      </w:r>
      <w:r>
        <w:t xml:space="preserve"> </w:t>
      </w:r>
      <w:r w:rsidRPr="000320AB">
        <w:t>capacity to distinguish right from wrong, it therefore appears that he cannot have a fair trial and</w:t>
      </w:r>
      <w:r>
        <w:t xml:space="preserve"> </w:t>
      </w:r>
      <w:r w:rsidRPr="000320AB">
        <w:t>proceedings should be stayed.</w:t>
      </w:r>
    </w:p>
    <w:p w:rsidR="00950D03" w:rsidRDefault="00950D03" w:rsidP="00950D03">
      <w:r w:rsidRPr="00950D03">
        <w:t>However, is a stay of proceedings the most satisfactory resolution to a case where this issue arises? The</w:t>
      </w:r>
      <w:r>
        <w:t xml:space="preserve"> </w:t>
      </w:r>
      <w:r w:rsidRPr="00950D03">
        <w:t xml:space="preserve">Divisional Court in </w:t>
      </w:r>
      <w:r w:rsidRPr="00950D03">
        <w:rPr>
          <w:i/>
          <w:iCs/>
        </w:rPr>
        <w:t xml:space="preserve">DPP v P </w:t>
      </w:r>
      <w:r w:rsidRPr="00950D03">
        <w:t>thought not. Although it lacked the benefit of considered submissions from</w:t>
      </w:r>
      <w:r>
        <w:t xml:space="preserve"> </w:t>
      </w:r>
      <w:r w:rsidRPr="00950D03">
        <w:t>the parties on the issue, the Court speculated that where a child aged between 10 and 13 did not</w:t>
      </w:r>
      <w:r>
        <w:t xml:space="preserve"> </w:t>
      </w:r>
      <w:r w:rsidRPr="00950D03">
        <w:t xml:space="preserve">recognise that his act was seriously </w:t>
      </w:r>
      <w:proofErr w:type="gramStart"/>
      <w:r w:rsidRPr="00950D03">
        <w:t>wrong,</w:t>
      </w:r>
      <w:proofErr w:type="gramEnd"/>
      <w:r w:rsidRPr="00950D03">
        <w:t xml:space="preserve"> he could rely on the defence of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>. The Court added</w:t>
      </w:r>
      <w:r>
        <w:t xml:space="preserve"> </w:t>
      </w:r>
      <w:r w:rsidRPr="00950D03">
        <w:t>that if the defence were available, it was preferable for a child to raise it and have the opportunity of an</w:t>
      </w:r>
      <w:r>
        <w:t xml:space="preserve"> </w:t>
      </w:r>
      <w:r w:rsidRPr="00950D03">
        <w:t>acquittal rather than merely a stay.</w:t>
      </w:r>
    </w:p>
    <w:p w:rsidR="00950D03" w:rsidRPr="00950D03" w:rsidRDefault="00950D03" w:rsidP="00950D03"/>
    <w:p w:rsidR="00950D03" w:rsidRPr="00950D03" w:rsidRDefault="00950D03" w:rsidP="00950D03">
      <w:pPr>
        <w:rPr>
          <w:b/>
          <w:bCs/>
          <w:sz w:val="24"/>
        </w:rPr>
      </w:pPr>
      <w:proofErr w:type="spellStart"/>
      <w:r w:rsidRPr="00950D03">
        <w:rPr>
          <w:b/>
          <w:bCs/>
          <w:sz w:val="24"/>
        </w:rPr>
        <w:t>Doli</w:t>
      </w:r>
      <w:proofErr w:type="spellEnd"/>
      <w:r w:rsidRPr="00950D03">
        <w:rPr>
          <w:b/>
          <w:bCs/>
          <w:sz w:val="24"/>
        </w:rPr>
        <w:t xml:space="preserve"> </w:t>
      </w:r>
      <w:proofErr w:type="spellStart"/>
      <w:r w:rsidRPr="00950D03">
        <w:rPr>
          <w:b/>
          <w:bCs/>
          <w:sz w:val="24"/>
        </w:rPr>
        <w:t>Incapax</w:t>
      </w:r>
      <w:proofErr w:type="spellEnd"/>
    </w:p>
    <w:p w:rsidR="00950D03" w:rsidRPr="00950D03" w:rsidRDefault="00950D03" w:rsidP="00950D03">
      <w:r w:rsidRPr="00950D03">
        <w:t>The idea that a person should not be held liable in criminal law if he is unable to distinguish between</w:t>
      </w:r>
      <w:r>
        <w:t xml:space="preserve"> </w:t>
      </w:r>
      <w:proofErr w:type="gramStart"/>
      <w:r w:rsidRPr="00950D03">
        <w:t>right</w:t>
      </w:r>
      <w:proofErr w:type="gramEnd"/>
      <w:r w:rsidRPr="00950D03">
        <w:t xml:space="preserve"> and wrong is a familiar one. Where an accused person can show that he was labouring under such</w:t>
      </w:r>
      <w:r>
        <w:t xml:space="preserve"> </w:t>
      </w:r>
      <w:r w:rsidRPr="00950D03">
        <w:t>a defect of reason, from disease of the mind, as not to know the nature and quality of the act he was doing,</w:t>
      </w:r>
      <w:r>
        <w:t xml:space="preserve"> </w:t>
      </w:r>
      <w:r w:rsidRPr="00950D03">
        <w:t>or, if he did know it, that he did not know that what he was doing was wrong, he has a defence of</w:t>
      </w:r>
      <w:r>
        <w:t xml:space="preserve"> </w:t>
      </w:r>
      <w:r w:rsidRPr="00950D03">
        <w:t>insanity</w:t>
      </w:r>
      <w:r w:rsidR="006A297C">
        <w:rPr>
          <w:rStyle w:val="FootnoteReference"/>
        </w:rPr>
        <w:footnoteReference w:id="8"/>
      </w:r>
      <w:r w:rsidRPr="00950D03">
        <w:t>. This defence is only available where the failure to appreciate the difference between right and</w:t>
      </w:r>
      <w:r>
        <w:t xml:space="preserve"> </w:t>
      </w:r>
      <w:r w:rsidRPr="00950D03">
        <w:t>wrong is attributable to a disease of the mind.</w:t>
      </w:r>
    </w:p>
    <w:p w:rsidR="00950D03" w:rsidRPr="00950D03" w:rsidRDefault="00950D03" w:rsidP="00950D03">
      <w:r w:rsidRPr="00950D03">
        <w:t>The law also recognises that an inability to distinguish between right and wrong may arise as a</w:t>
      </w:r>
      <w:r>
        <w:t xml:space="preserve"> </w:t>
      </w:r>
      <w:r w:rsidRPr="00950D03">
        <w:t xml:space="preserve">consequence of the youth of the offender. A child was said to be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 xml:space="preserve"> and therefore incapable of</w:t>
      </w:r>
      <w:r>
        <w:t xml:space="preserve"> </w:t>
      </w:r>
      <w:r w:rsidRPr="00950D03">
        <w:t>committing a criminal offence if he did not understand that what he had done was seriously wrong as</w:t>
      </w:r>
      <w:r>
        <w:t xml:space="preserve"> </w:t>
      </w:r>
      <w:r w:rsidRPr="00950D03">
        <w:t>opposed to merely naughty. There was significant debate during the twentieth century over the age at</w:t>
      </w:r>
      <w:r>
        <w:t xml:space="preserve"> </w:t>
      </w:r>
      <w:r w:rsidRPr="00950D03">
        <w:t xml:space="preserve">which children should no longer be able to rely on the doctrine of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 xml:space="preserve"> and should be deemed</w:t>
      </w:r>
      <w:r>
        <w:t xml:space="preserve"> </w:t>
      </w:r>
      <w:r w:rsidRPr="00950D03">
        <w:t>responsible for their actions.</w:t>
      </w:r>
    </w:p>
    <w:p w:rsidR="00950D03" w:rsidRPr="00950D03" w:rsidRDefault="00950D03" w:rsidP="00950D03"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 xml:space="preserve"> is an ancient doctrine and, as such, there is no clear record of its origins. In 1769, Sir</w:t>
      </w:r>
      <w:r>
        <w:t xml:space="preserve"> </w:t>
      </w:r>
      <w:r w:rsidRPr="00950D03">
        <w:t>William Blackstone wrote that a child under the age of 10 could not be punished for any crime and “</w:t>
      </w:r>
      <w:r w:rsidRPr="00950D03">
        <w:rPr>
          <w:i/>
          <w:iCs/>
        </w:rPr>
        <w:t>from</w:t>
      </w:r>
      <w:r>
        <w:rPr>
          <w:i/>
          <w:iCs/>
        </w:rPr>
        <w:t xml:space="preserve"> </w:t>
      </w:r>
      <w:r w:rsidRPr="00950D03">
        <w:rPr>
          <w:i/>
          <w:iCs/>
        </w:rPr>
        <w:t xml:space="preserve">ten and a half to fourteen, a child was punishable if found to be </w:t>
      </w:r>
      <w:proofErr w:type="spellStart"/>
      <w:r w:rsidRPr="00950D03">
        <w:rPr>
          <w:i/>
          <w:iCs/>
        </w:rPr>
        <w:t>doli</w:t>
      </w:r>
      <w:proofErr w:type="spellEnd"/>
      <w:r w:rsidRPr="00950D03">
        <w:rPr>
          <w:i/>
          <w:iCs/>
        </w:rPr>
        <w:t xml:space="preserve"> </w:t>
      </w:r>
      <w:proofErr w:type="spellStart"/>
      <w:r w:rsidRPr="00950D03">
        <w:rPr>
          <w:i/>
          <w:iCs/>
        </w:rPr>
        <w:t>capaces</w:t>
      </w:r>
      <w:proofErr w:type="spellEnd"/>
      <w:r w:rsidRPr="00950D03">
        <w:rPr>
          <w:i/>
          <w:iCs/>
        </w:rPr>
        <w:t>, or capable of mischief, but with</w:t>
      </w:r>
      <w:r>
        <w:rPr>
          <w:i/>
          <w:iCs/>
        </w:rPr>
        <w:t xml:space="preserve"> </w:t>
      </w:r>
      <w:r w:rsidRPr="00950D03">
        <w:rPr>
          <w:i/>
          <w:iCs/>
        </w:rPr>
        <w:t>many mitigations, and not with the utmost rigor of the law</w:t>
      </w:r>
      <w:r w:rsidRPr="00950D03">
        <w:t>”</w:t>
      </w:r>
      <w:r w:rsidR="006A297C">
        <w:rPr>
          <w:rStyle w:val="FootnoteReference"/>
        </w:rPr>
        <w:footnoteReference w:id="9"/>
      </w:r>
      <w:r w:rsidRPr="00950D03">
        <w:t>. In relation to capital offences, ancient Saxon</w:t>
      </w:r>
      <w:r>
        <w:t xml:space="preserve"> </w:t>
      </w:r>
      <w:r w:rsidRPr="00950D03">
        <w:t>law provided that a child under the age of 12 could not be guilty, whereas a child age 12–14 might be</w:t>
      </w:r>
      <w:r>
        <w:t xml:space="preserve"> </w:t>
      </w:r>
      <w:r w:rsidRPr="00950D03">
        <w:t>guilty, “</w:t>
      </w:r>
      <w:r w:rsidRPr="00950D03">
        <w:rPr>
          <w:i/>
          <w:iCs/>
        </w:rPr>
        <w:t>according to his natural capacity or incapacity</w:t>
      </w:r>
      <w:r w:rsidRPr="00950D03">
        <w:t>”</w:t>
      </w:r>
      <w:r w:rsidR="006A297C">
        <w:rPr>
          <w:rStyle w:val="FootnoteReference"/>
        </w:rPr>
        <w:footnoteReference w:id="10"/>
      </w:r>
      <w:r w:rsidRPr="00950D03">
        <w:t>. Since at least the reign of Edward III, an infant</w:t>
      </w:r>
      <w:r>
        <w:t xml:space="preserve"> </w:t>
      </w:r>
      <w:r w:rsidRPr="00950D03">
        <w:t>under the age of 7 could not be guilty of a capital offence and, “</w:t>
      </w:r>
      <w:r w:rsidRPr="00950D03">
        <w:rPr>
          <w:i/>
          <w:iCs/>
        </w:rPr>
        <w:t>under fourteen, though an infant shall be</w:t>
      </w:r>
      <w:r>
        <w:rPr>
          <w:i/>
          <w:iCs/>
        </w:rPr>
        <w:t xml:space="preserve"> </w:t>
      </w:r>
      <w:r w:rsidRPr="00950D03">
        <w:rPr>
          <w:i/>
          <w:iCs/>
        </w:rPr>
        <w:t xml:space="preserve">prima facie adjudged to be </w:t>
      </w:r>
      <w:proofErr w:type="spellStart"/>
      <w:r w:rsidRPr="00950D03">
        <w:rPr>
          <w:i/>
          <w:iCs/>
        </w:rPr>
        <w:t>doli</w:t>
      </w:r>
      <w:proofErr w:type="spellEnd"/>
      <w:r w:rsidRPr="00950D03">
        <w:rPr>
          <w:i/>
          <w:iCs/>
        </w:rPr>
        <w:t xml:space="preserve"> </w:t>
      </w:r>
      <w:proofErr w:type="spellStart"/>
      <w:r w:rsidRPr="00950D03">
        <w:rPr>
          <w:i/>
          <w:iCs/>
        </w:rPr>
        <w:t>incapax</w:t>
      </w:r>
      <w:proofErr w:type="spellEnd"/>
      <w:r w:rsidRPr="00950D03">
        <w:rPr>
          <w:i/>
          <w:iCs/>
        </w:rPr>
        <w:t xml:space="preserve">; yet if it appear to the </w:t>
      </w:r>
      <w:r w:rsidRPr="00950D03">
        <w:rPr>
          <w:i/>
          <w:iCs/>
        </w:rPr>
        <w:lastRenderedPageBreak/>
        <w:t xml:space="preserve">court and jury that he was </w:t>
      </w:r>
      <w:proofErr w:type="spellStart"/>
      <w:r w:rsidRPr="00950D03">
        <w:rPr>
          <w:i/>
          <w:iCs/>
        </w:rPr>
        <w:t>doli</w:t>
      </w:r>
      <w:proofErr w:type="spellEnd"/>
      <w:r w:rsidRPr="00950D03">
        <w:rPr>
          <w:i/>
          <w:iCs/>
        </w:rPr>
        <w:t xml:space="preserve"> </w:t>
      </w:r>
      <w:proofErr w:type="spellStart"/>
      <w:r w:rsidRPr="00950D03">
        <w:rPr>
          <w:i/>
          <w:iCs/>
        </w:rPr>
        <w:t>capax</w:t>
      </w:r>
      <w:proofErr w:type="spellEnd"/>
      <w:r w:rsidRPr="00950D03">
        <w:rPr>
          <w:i/>
          <w:iCs/>
        </w:rPr>
        <w:t>, and could</w:t>
      </w:r>
      <w:r>
        <w:rPr>
          <w:i/>
          <w:iCs/>
        </w:rPr>
        <w:t xml:space="preserve"> </w:t>
      </w:r>
      <w:r w:rsidRPr="00950D03">
        <w:rPr>
          <w:i/>
          <w:iCs/>
        </w:rPr>
        <w:t>discern between good and evil, he may be convicted</w:t>
      </w:r>
      <w:r w:rsidRPr="00950D03">
        <w:t>”</w:t>
      </w:r>
      <w:r w:rsidR="006A297C">
        <w:rPr>
          <w:rStyle w:val="FootnoteReference"/>
        </w:rPr>
        <w:footnoteReference w:id="11"/>
      </w:r>
      <w:r w:rsidRPr="00950D03">
        <w:t>. This rule was later extended to cover all offences.</w:t>
      </w:r>
    </w:p>
    <w:p w:rsidR="00950D03" w:rsidRPr="00950D03" w:rsidRDefault="00950D03" w:rsidP="00950D03">
      <w:r w:rsidRPr="00950D03">
        <w:t>There are thus two aspects to the doctrine. First, there is an age below which every child is conclusively</w:t>
      </w:r>
      <w:r w:rsidR="006A297C">
        <w:t xml:space="preserve"> </w:t>
      </w:r>
      <w:r w:rsidRPr="00950D03">
        <w:t xml:space="preserve">presumed to be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 xml:space="preserve"> regardless of whether or not he actually has the capacity to understand that</w:t>
      </w:r>
      <w:r w:rsidR="006A297C">
        <w:t xml:space="preserve"> </w:t>
      </w:r>
      <w:r w:rsidRPr="00950D03">
        <w:t>what he is doing is wrong. A child under this age cannot commit a criminal offence. This conclusive, or</w:t>
      </w:r>
      <w:r w:rsidR="006A297C">
        <w:t xml:space="preserve"> </w:t>
      </w:r>
      <w:proofErr w:type="spellStart"/>
      <w:r w:rsidRPr="00950D03">
        <w:t>irrebuttable</w:t>
      </w:r>
      <w:proofErr w:type="spellEnd"/>
      <w:r w:rsidRPr="00950D03">
        <w:t xml:space="preserve">, presumption of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 xml:space="preserve"> applied to those under the age of 7, until section 50 of the</w:t>
      </w:r>
      <w:r w:rsidR="006A297C">
        <w:t xml:space="preserve"> </w:t>
      </w:r>
      <w:r w:rsidRPr="00950D03">
        <w:rPr>
          <w:i/>
          <w:iCs/>
        </w:rPr>
        <w:t xml:space="preserve">Children and Young Persons Act 1933 </w:t>
      </w:r>
      <w:proofErr w:type="gramStart"/>
      <w:r w:rsidRPr="00950D03">
        <w:t>raised</w:t>
      </w:r>
      <w:proofErr w:type="gramEnd"/>
      <w:r w:rsidRPr="00950D03">
        <w:t xml:space="preserve"> the minimum age of criminal responsibility to 8. It was further</w:t>
      </w:r>
      <w:r w:rsidR="006A297C">
        <w:t xml:space="preserve"> </w:t>
      </w:r>
      <w:r w:rsidRPr="00950D03">
        <w:t xml:space="preserve">raised to 10 by the </w:t>
      </w:r>
      <w:r w:rsidRPr="00950D03">
        <w:rPr>
          <w:i/>
          <w:iCs/>
        </w:rPr>
        <w:t>Children and Young Persons Act 1963</w:t>
      </w:r>
      <w:r w:rsidR="006A297C">
        <w:rPr>
          <w:rStyle w:val="FootnoteReference"/>
          <w:i/>
          <w:iCs/>
        </w:rPr>
        <w:footnoteReference w:id="12"/>
      </w:r>
      <w:r w:rsidRPr="00950D03">
        <w:t>.</w:t>
      </w:r>
    </w:p>
    <w:p w:rsidR="006A297C" w:rsidRPr="006A297C" w:rsidRDefault="00950D03" w:rsidP="006A297C">
      <w:r w:rsidRPr="00950D03">
        <w:t xml:space="preserve">Prior to the </w:t>
      </w:r>
      <w:r w:rsidRPr="00950D03">
        <w:rPr>
          <w:i/>
          <w:iCs/>
        </w:rPr>
        <w:t>Crime and Disorder Act 1998</w:t>
      </w:r>
      <w:r w:rsidRPr="00950D03">
        <w:t>, the common law also presumed that a child between the ages</w:t>
      </w:r>
      <w:r w:rsidR="006A297C">
        <w:t xml:space="preserve"> </w:t>
      </w:r>
      <w:r w:rsidRPr="00950D03">
        <w:t xml:space="preserve">of 10 and 13 was </w:t>
      </w:r>
      <w:proofErr w:type="spellStart"/>
      <w:r w:rsidRPr="00950D03">
        <w:t>doli</w:t>
      </w:r>
      <w:proofErr w:type="spellEnd"/>
      <w:r w:rsidRPr="00950D03">
        <w:t xml:space="preserve"> </w:t>
      </w:r>
      <w:proofErr w:type="spellStart"/>
      <w:r w:rsidRPr="00950D03">
        <w:t>incapax</w:t>
      </w:r>
      <w:proofErr w:type="spellEnd"/>
      <w:r w:rsidRPr="00950D03">
        <w:t>. In order to displace this presumption, the prosecution had to adduce clear</w:t>
      </w:r>
      <w:r w:rsidR="006A297C">
        <w:t xml:space="preserve"> </w:t>
      </w:r>
      <w:r w:rsidRPr="00950D03">
        <w:t>and cogent evidence that the child knew that his act was seriously wrong as distinct from an act of</w:t>
      </w:r>
      <w:r w:rsidR="006A297C">
        <w:t xml:space="preserve"> </w:t>
      </w:r>
      <w:r w:rsidRPr="00950D03">
        <w:t>naughtiness or childish mischief</w:t>
      </w:r>
      <w:r w:rsidR="006A297C">
        <w:rPr>
          <w:rStyle w:val="FootnoteReference"/>
        </w:rPr>
        <w:footnoteReference w:id="13"/>
      </w:r>
      <w:r w:rsidRPr="00950D03">
        <w:t>. The prosecution could not rely solely on evidence of the act that</w:t>
      </w:r>
      <w:r w:rsidR="006A297C">
        <w:t xml:space="preserve"> </w:t>
      </w:r>
      <w:r w:rsidR="006A297C" w:rsidRPr="006A297C">
        <w:t>constituted the offence, however horrifying or obviously wrong that act might be</w:t>
      </w:r>
      <w:r w:rsidR="006A297C">
        <w:rPr>
          <w:rStyle w:val="FootnoteReference"/>
        </w:rPr>
        <w:footnoteReference w:id="14"/>
      </w:r>
      <w:r w:rsidR="006A297C" w:rsidRPr="006A297C">
        <w:t>. Evidence of things</w:t>
      </w:r>
      <w:r w:rsidR="006A297C">
        <w:t xml:space="preserve"> </w:t>
      </w:r>
      <w:r w:rsidR="006A297C" w:rsidRPr="006A297C">
        <w:t>said or done before or after the offence might be capable of rebutting the presumption but would not</w:t>
      </w:r>
      <w:r w:rsidR="006A297C">
        <w:t xml:space="preserve"> </w:t>
      </w:r>
      <w:r w:rsidR="006A297C" w:rsidRPr="006A297C">
        <w:t>always be relevant. For example, evidence of running away would usually be equivocal, because a naughty</w:t>
      </w:r>
      <w:r w:rsidR="006A297C">
        <w:t xml:space="preserve"> </w:t>
      </w:r>
      <w:r w:rsidR="006A297C" w:rsidRPr="006A297C">
        <w:t>child was just as likely to run away as a child who knew that his actions were seriously wrong</w:t>
      </w:r>
      <w:r w:rsidR="006A297C">
        <w:rPr>
          <w:rStyle w:val="FootnoteReference"/>
        </w:rPr>
        <w:footnoteReference w:id="15"/>
      </w:r>
      <w:r w:rsidR="006A297C" w:rsidRPr="006A297C">
        <w:t>.</w:t>
      </w:r>
    </w:p>
    <w:p w:rsidR="006A297C" w:rsidRPr="006A297C" w:rsidRDefault="006A297C" w:rsidP="006A297C">
      <w:r w:rsidRPr="006A297C">
        <w:t>The sort of evidence that might displace the presumption could include the child’s responses in interview;</w:t>
      </w:r>
      <w:r>
        <w:t xml:space="preserve"> </w:t>
      </w:r>
      <w:r w:rsidRPr="006A297C">
        <w:t>a psychological or psychiatric assessment; or evidence from a parent, teacher or social worker as to the</w:t>
      </w:r>
      <w:r>
        <w:t xml:space="preserve"> </w:t>
      </w:r>
      <w:r w:rsidRPr="006A297C">
        <w:t>child’s general ability to distinguish right from wrong. It was suggested that this caused practical</w:t>
      </w:r>
      <w:r>
        <w:t xml:space="preserve"> </w:t>
      </w:r>
      <w:r w:rsidRPr="006A297C">
        <w:t>difficulties for the prosecution</w:t>
      </w:r>
      <w:r>
        <w:rPr>
          <w:rStyle w:val="FootnoteReference"/>
        </w:rPr>
        <w:footnoteReference w:id="16"/>
      </w:r>
      <w:r w:rsidRPr="006A297C">
        <w:t>. Both police interviews and expert assessments depend upon the child’s</w:t>
      </w:r>
      <w:r>
        <w:t xml:space="preserve"> </w:t>
      </w:r>
      <w:r w:rsidRPr="006A297C">
        <w:t>co-operation, which might not be forthcoming, and parents, teachers or social workers would often be</w:t>
      </w:r>
      <w:r>
        <w:t xml:space="preserve"> </w:t>
      </w:r>
      <w:r w:rsidRPr="006A297C">
        <w:t>unwilling to jeopardise their relationship with the child by testifying against him.</w:t>
      </w:r>
    </w:p>
    <w:p w:rsidR="006A297C" w:rsidRPr="006A297C" w:rsidRDefault="006A297C" w:rsidP="006A297C">
      <w:r w:rsidRPr="006A297C">
        <w:t>There was thus a perception that the presumption placed an unfair burden on the prosecution and in</w:t>
      </w:r>
      <w:r>
        <w:t xml:space="preserve"> </w:t>
      </w:r>
      <w:r w:rsidRPr="006A297C">
        <w:t xml:space="preserve">1994, shortly after the high profile murder of toddler Jamie </w:t>
      </w:r>
      <w:proofErr w:type="spellStart"/>
      <w:r w:rsidRPr="006A297C">
        <w:t>Bulger</w:t>
      </w:r>
      <w:proofErr w:type="spellEnd"/>
      <w:r w:rsidRPr="006A297C">
        <w:t xml:space="preserve"> by two young boys, the Divisional</w:t>
      </w:r>
      <w:r>
        <w:t xml:space="preserve"> </w:t>
      </w:r>
      <w:r w:rsidRPr="006A297C">
        <w:t>Court decided in an unrelated case (</w:t>
      </w:r>
      <w:r w:rsidRPr="006A297C">
        <w:rPr>
          <w:i/>
          <w:iCs/>
        </w:rPr>
        <w:t>C v DPP</w:t>
      </w:r>
      <w:r w:rsidRPr="006A297C">
        <w:t>)</w:t>
      </w:r>
      <w:r>
        <w:rPr>
          <w:rStyle w:val="FootnoteReference"/>
        </w:rPr>
        <w:footnoteReference w:id="17"/>
      </w:r>
      <w:r w:rsidRPr="006A297C">
        <w:t xml:space="preserve"> that the presumption was “</w:t>
      </w:r>
      <w:r w:rsidRPr="006A297C">
        <w:rPr>
          <w:i/>
          <w:iCs/>
        </w:rPr>
        <w:t>unreal and contrary to common</w:t>
      </w:r>
      <w:r>
        <w:rPr>
          <w:i/>
          <w:iCs/>
        </w:rPr>
        <w:t xml:space="preserve"> </w:t>
      </w:r>
      <w:r w:rsidRPr="006A297C">
        <w:rPr>
          <w:i/>
          <w:iCs/>
        </w:rPr>
        <w:t>sense</w:t>
      </w:r>
      <w:r w:rsidRPr="006A297C">
        <w:t>”</w:t>
      </w:r>
      <w:r>
        <w:rPr>
          <w:rStyle w:val="FootnoteReference"/>
        </w:rPr>
        <w:footnoteReference w:id="18"/>
      </w:r>
      <w:r w:rsidRPr="006A297C">
        <w:t xml:space="preserve"> and held that it was “</w:t>
      </w:r>
      <w:r w:rsidRPr="006A297C">
        <w:rPr>
          <w:i/>
          <w:iCs/>
        </w:rPr>
        <w:t>no longer part of the law of England</w:t>
      </w:r>
      <w:r w:rsidRPr="006A297C">
        <w:t>”</w:t>
      </w:r>
      <w:r>
        <w:rPr>
          <w:rStyle w:val="FootnoteReference"/>
        </w:rPr>
        <w:footnoteReference w:id="19"/>
      </w:r>
      <w:r w:rsidRPr="006A297C">
        <w:t>. On appeal, the House of Lords held</w:t>
      </w:r>
      <w:r>
        <w:t xml:space="preserve"> </w:t>
      </w:r>
      <w:r w:rsidRPr="006A297C">
        <w:t>that it was inappropriate for the courts to change the law by judicial decision but urged Parliament to</w:t>
      </w:r>
      <w:r>
        <w:t xml:space="preserve"> </w:t>
      </w:r>
      <w:r w:rsidRPr="006A297C">
        <w:t>review the position again</w:t>
      </w:r>
      <w:r>
        <w:rPr>
          <w:rStyle w:val="FootnoteReference"/>
        </w:rPr>
        <w:footnoteReference w:id="20"/>
      </w:r>
      <w:r w:rsidRPr="006A297C">
        <w:t>.</w:t>
      </w:r>
    </w:p>
    <w:p w:rsidR="006A297C" w:rsidRPr="006A297C" w:rsidRDefault="006A297C" w:rsidP="006A297C">
      <w:r w:rsidRPr="006A297C">
        <w:t>The continuing existence of the presumption was debated in numerous reports, consultations and White</w:t>
      </w:r>
      <w:r>
        <w:t xml:space="preserve"> </w:t>
      </w:r>
      <w:r w:rsidRPr="006A297C">
        <w:t xml:space="preserve">Papers from 1927 onwards. In a White Paper published in 1990, the Government confirmed </w:t>
      </w:r>
      <w:r w:rsidRPr="006A297C">
        <w:lastRenderedPageBreak/>
        <w:t>that it did</w:t>
      </w:r>
      <w:r>
        <w:t xml:space="preserve"> </w:t>
      </w:r>
      <w:r w:rsidRPr="006A297C">
        <w:t>not intend to alter the presumption, “</w:t>
      </w:r>
      <w:r w:rsidRPr="006A297C">
        <w:rPr>
          <w:i/>
          <w:iCs/>
        </w:rPr>
        <w:t>which make[s] proper allowance for the fact that children’s</w:t>
      </w:r>
      <w:r>
        <w:rPr>
          <w:i/>
          <w:iCs/>
        </w:rPr>
        <w:t xml:space="preserve"> </w:t>
      </w:r>
      <w:r w:rsidRPr="006A297C">
        <w:rPr>
          <w:i/>
          <w:iCs/>
        </w:rPr>
        <w:t>understanding, knowledge and ability to reason are still developing</w:t>
      </w:r>
      <w:r w:rsidRPr="006A297C">
        <w:t>”</w:t>
      </w:r>
      <w:r>
        <w:rPr>
          <w:rStyle w:val="FootnoteReference"/>
        </w:rPr>
        <w:footnoteReference w:id="21"/>
      </w:r>
      <w:r w:rsidRPr="006A297C">
        <w:t>.</w:t>
      </w:r>
    </w:p>
    <w:p w:rsidR="006A297C" w:rsidRPr="006A297C" w:rsidRDefault="006A297C" w:rsidP="006A297C">
      <w:r w:rsidRPr="006A297C">
        <w:t xml:space="preserve">In 1997, the new Labour Government reviewed the law and concluded that the </w:t>
      </w:r>
      <w:proofErr w:type="spellStart"/>
      <w:r w:rsidRPr="006A297C">
        <w:t>irrebuttable</w:t>
      </w:r>
      <w:proofErr w:type="spellEnd"/>
      <w:r w:rsidRPr="006A297C">
        <w:t xml:space="preserve"> presumption</w:t>
      </w:r>
      <w:r>
        <w:t xml:space="preserve"> </w:t>
      </w:r>
      <w:r w:rsidRPr="006A297C">
        <w:t xml:space="preserve">that a child under the age of 10 was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should remain but that the rebuttable presumption</w:t>
      </w:r>
      <w:r>
        <w:t xml:space="preserve"> </w:t>
      </w:r>
      <w:r w:rsidRPr="006A297C">
        <w:t xml:space="preserve">applicable to children aged 10 to 13 should be abolished. Section 34 of the </w:t>
      </w:r>
      <w:r w:rsidRPr="006A297C">
        <w:rPr>
          <w:i/>
          <w:iCs/>
        </w:rPr>
        <w:t>Crime and Disorder Act 1998</w:t>
      </w:r>
      <w:r>
        <w:rPr>
          <w:i/>
          <w:iCs/>
        </w:rPr>
        <w:t xml:space="preserve"> </w:t>
      </w:r>
      <w:r w:rsidRPr="006A297C">
        <w:t>appeared to achieve this aim:</w:t>
      </w:r>
    </w:p>
    <w:p w:rsidR="006A297C" w:rsidRPr="006A297C" w:rsidRDefault="006A297C" w:rsidP="006A297C">
      <w:pPr>
        <w:ind w:left="567" w:right="521"/>
        <w:rPr>
          <w:i/>
          <w:iCs/>
        </w:rPr>
      </w:pPr>
      <w:r w:rsidRPr="006A297C">
        <w:rPr>
          <w:i/>
          <w:iCs/>
        </w:rPr>
        <w:t>The rebuttable presumption of criminal law that a child aged 10 or over is incapable of committing an</w:t>
      </w:r>
      <w:r>
        <w:rPr>
          <w:i/>
          <w:iCs/>
        </w:rPr>
        <w:t xml:space="preserve"> </w:t>
      </w:r>
      <w:r w:rsidRPr="006A297C">
        <w:rPr>
          <w:i/>
          <w:iCs/>
        </w:rPr>
        <w:t>offence is abolished.</w:t>
      </w:r>
    </w:p>
    <w:p w:rsidR="006A297C" w:rsidRDefault="006A297C" w:rsidP="006A297C">
      <w:r w:rsidRPr="006A297C">
        <w:t xml:space="preserve">In </w:t>
      </w:r>
      <w:r w:rsidRPr="006A297C">
        <w:rPr>
          <w:i/>
          <w:iCs/>
        </w:rPr>
        <w:t>DPP v P</w:t>
      </w:r>
      <w:r w:rsidRPr="006A297C">
        <w:t xml:space="preserve">, after considering the wording of section 34 and looking at passages from </w:t>
      </w:r>
      <w:proofErr w:type="spellStart"/>
      <w:r w:rsidRPr="006A297C">
        <w:t>Hansard</w:t>
      </w:r>
      <w:proofErr w:type="spellEnd"/>
      <w:r w:rsidRPr="006A297C">
        <w:t>, Smith LJ</w:t>
      </w:r>
      <w:r>
        <w:t xml:space="preserve"> </w:t>
      </w:r>
      <w:r w:rsidRPr="006A297C">
        <w:t>concluded that Parliament intended to abolish only the presumption and not the substantive defence of</w:t>
      </w:r>
      <w:r>
        <w:t xml:space="preserve">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>. The Court thought that if this was right, the accused would bear the evidential burden of</w:t>
      </w:r>
      <w:r>
        <w:t xml:space="preserve"> </w:t>
      </w:r>
      <w:r w:rsidRPr="006A297C">
        <w:t>raising the defence and the prosecution would have to prove beyond reasonable doubt that the child was</w:t>
      </w:r>
      <w:r>
        <w:t xml:space="preserve"> </w:t>
      </w:r>
      <w:r w:rsidRPr="006A297C">
        <w:t xml:space="preserve">not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>.</w:t>
      </w:r>
    </w:p>
    <w:p w:rsidR="006A297C" w:rsidRPr="006A297C" w:rsidRDefault="006A297C" w:rsidP="006A297C"/>
    <w:p w:rsidR="006A297C" w:rsidRPr="006A297C" w:rsidRDefault="006A297C" w:rsidP="006A297C">
      <w:pPr>
        <w:rPr>
          <w:b/>
          <w:bCs/>
          <w:i/>
          <w:iCs/>
          <w:sz w:val="24"/>
        </w:rPr>
      </w:pPr>
      <w:r w:rsidRPr="006A297C">
        <w:rPr>
          <w:b/>
          <w:bCs/>
          <w:sz w:val="24"/>
        </w:rPr>
        <w:t xml:space="preserve">The Decision in </w:t>
      </w:r>
      <w:r w:rsidRPr="006A297C">
        <w:rPr>
          <w:b/>
          <w:bCs/>
          <w:i/>
          <w:iCs/>
          <w:sz w:val="24"/>
        </w:rPr>
        <w:t>DPP v P</w:t>
      </w:r>
    </w:p>
    <w:p w:rsidR="006A297C" w:rsidRPr="006A297C" w:rsidRDefault="006A297C" w:rsidP="006A297C">
      <w:r w:rsidRPr="006A297C">
        <w:t>The Divisional Court allowed the prosecution’s appeal against the decision to stay the proceedings. The</w:t>
      </w:r>
      <w:r>
        <w:t xml:space="preserve"> </w:t>
      </w:r>
      <w:r w:rsidRPr="006A297C">
        <w:t>Court held that the district judge’s decision was premature and that he ought to have considered a</w:t>
      </w:r>
      <w:r>
        <w:t xml:space="preserve"> </w:t>
      </w:r>
      <w:r w:rsidRPr="006A297C">
        <w:t xml:space="preserve">number of important issues, including the possibility that P might have had a defence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>. The</w:t>
      </w:r>
      <w:r>
        <w:t xml:space="preserve"> </w:t>
      </w:r>
      <w:r w:rsidRPr="006A297C">
        <w:t>Court went on to explore the relationship between issues of capacity, fitness to plead and effective</w:t>
      </w:r>
      <w:r>
        <w:t xml:space="preserve"> </w:t>
      </w:r>
      <w:r w:rsidRPr="006A297C">
        <w:t>participation in court proceedings and set out the procedure to be followed where such issues arose.</w:t>
      </w:r>
    </w:p>
    <w:p w:rsidR="006A297C" w:rsidRPr="006A297C" w:rsidRDefault="006A297C" w:rsidP="006A297C">
      <w:r w:rsidRPr="006A297C">
        <w:t xml:space="preserve">The Court stressed that prosecutors should first consider whether civil proceedings under the </w:t>
      </w:r>
      <w:r w:rsidRPr="006A297C">
        <w:rPr>
          <w:i/>
          <w:iCs/>
        </w:rPr>
        <w:t>Children</w:t>
      </w:r>
      <w:r>
        <w:rPr>
          <w:i/>
          <w:iCs/>
        </w:rPr>
        <w:t xml:space="preserve"> </w:t>
      </w:r>
      <w:r w:rsidRPr="006A297C">
        <w:rPr>
          <w:i/>
          <w:iCs/>
        </w:rPr>
        <w:t xml:space="preserve">Act 1989 </w:t>
      </w:r>
      <w:r w:rsidRPr="006A297C">
        <w:t>might be more appropriate in cases where issues of capacity arose. However, once a decision to</w:t>
      </w:r>
      <w:r>
        <w:t xml:space="preserve"> </w:t>
      </w:r>
      <w:r w:rsidRPr="006A297C">
        <w:t>prosecute had been taken, a court would have to determine the child’s level of understanding. Medical</w:t>
      </w:r>
      <w:r>
        <w:t xml:space="preserve"> </w:t>
      </w:r>
      <w:r w:rsidRPr="006A297C">
        <w:t>reports were important but not decisive. A judge should consider all of the evidence in the case, including</w:t>
      </w:r>
      <w:r>
        <w:t xml:space="preserve"> </w:t>
      </w:r>
      <w:r w:rsidRPr="006A297C">
        <w:t>evidence about the offence itself, the child’s replies or behaviour upon arrest or in interview and the</w:t>
      </w:r>
      <w:r>
        <w:t xml:space="preserve"> </w:t>
      </w:r>
      <w:r w:rsidRPr="006A297C">
        <w:t>child’s responses in court. Direct exchanges between the judge and the child might be necessary. The</w:t>
      </w:r>
      <w:r>
        <w:t xml:space="preserve"> </w:t>
      </w:r>
      <w:r w:rsidRPr="006A297C">
        <w:t>court was responsible for ensuring that the child had a sufficient level of understanding and, in an</w:t>
      </w:r>
      <w:r>
        <w:t xml:space="preserve"> </w:t>
      </w:r>
      <w:r w:rsidRPr="006A297C">
        <w:t>appropriate case, would be entitled to disagree with expert opinion.</w:t>
      </w:r>
    </w:p>
    <w:p w:rsidR="006A297C" w:rsidRDefault="006A297C" w:rsidP="006A297C">
      <w:r w:rsidRPr="006A297C">
        <w:t>It would be rare that a stay should be granted at the start of proceedings. If a child could not take an</w:t>
      </w:r>
      <w:r>
        <w:t xml:space="preserve"> </w:t>
      </w:r>
      <w:r w:rsidRPr="006A297C">
        <w:t xml:space="preserve">effective part in the proceedings, either because he was unfit to plead or met the criteria set out in </w:t>
      </w:r>
      <w:r w:rsidRPr="006A297C">
        <w:rPr>
          <w:i/>
          <w:iCs/>
        </w:rPr>
        <w:t>SC v</w:t>
      </w:r>
      <w:r>
        <w:rPr>
          <w:i/>
          <w:iCs/>
        </w:rPr>
        <w:t xml:space="preserve"> </w:t>
      </w:r>
      <w:r w:rsidRPr="006A297C">
        <w:rPr>
          <w:i/>
          <w:iCs/>
        </w:rPr>
        <w:t xml:space="preserve">UK </w:t>
      </w:r>
      <w:r w:rsidRPr="006A297C">
        <w:t xml:space="preserve">and </w:t>
      </w:r>
      <w:r w:rsidRPr="006A297C">
        <w:rPr>
          <w:i/>
          <w:iCs/>
        </w:rPr>
        <w:t>TP</w:t>
      </w:r>
      <w:r w:rsidRPr="006A297C">
        <w:t>, the court should consider whether to switch to a fact finding exercise and decide whether</w:t>
      </w:r>
      <w:r>
        <w:t xml:space="preserve"> </w:t>
      </w:r>
      <w:r w:rsidRPr="006A297C">
        <w:t>the child did the act or made the omission charged. Article 6 would no longer be engaged as there would</w:t>
      </w:r>
      <w:r>
        <w:t xml:space="preserve"> </w:t>
      </w:r>
      <w:r w:rsidRPr="006A297C">
        <w:t>be no prospect of a criminal conviction. A stay should only be granted if no useful purpose could be served</w:t>
      </w:r>
      <w:r>
        <w:t xml:space="preserve"> </w:t>
      </w:r>
      <w:r w:rsidRPr="006A297C">
        <w:t>by finding the facts. In P’s case, the Court concluded that the district judge had erred in staying the</w:t>
      </w:r>
      <w:r>
        <w:t xml:space="preserve"> </w:t>
      </w:r>
      <w:r w:rsidRPr="006A297C">
        <w:t>proceedings on the basis of the medical evidence alone. He should have considered whether he could</w:t>
      </w:r>
      <w:r>
        <w:t xml:space="preserve"> </w:t>
      </w:r>
      <w:r w:rsidRPr="006A297C">
        <w:t xml:space="preserve">defer the decision to see how P coped during the trial. He should </w:t>
      </w:r>
      <w:r w:rsidRPr="006A297C">
        <w:lastRenderedPageBreak/>
        <w:t>further have considered the possibility</w:t>
      </w:r>
      <w:r>
        <w:t xml:space="preserve"> </w:t>
      </w:r>
      <w:r w:rsidRPr="006A297C">
        <w:t xml:space="preserve">of a finding of no case to answer or a finding that P was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>, either of which would have resulted</w:t>
      </w:r>
      <w:r>
        <w:t xml:space="preserve"> </w:t>
      </w:r>
      <w:r w:rsidRPr="006A297C">
        <w:t>in an acquittal. Although the appeal was allowed, in the circumstances, the Court declined to remit the</w:t>
      </w:r>
      <w:r>
        <w:t xml:space="preserve"> </w:t>
      </w:r>
      <w:r w:rsidRPr="006A297C">
        <w:t>matter to the youth court.</w:t>
      </w:r>
    </w:p>
    <w:p w:rsidR="006A297C" w:rsidRPr="006A297C" w:rsidRDefault="006A297C" w:rsidP="006A297C"/>
    <w:p w:rsidR="006A297C" w:rsidRPr="006A297C" w:rsidRDefault="006A297C" w:rsidP="006A297C">
      <w:pPr>
        <w:rPr>
          <w:b/>
          <w:bCs/>
          <w:sz w:val="24"/>
        </w:rPr>
      </w:pPr>
      <w:r w:rsidRPr="006A297C">
        <w:rPr>
          <w:b/>
          <w:bCs/>
          <w:sz w:val="24"/>
        </w:rPr>
        <w:t>Comment</w:t>
      </w:r>
    </w:p>
    <w:p w:rsidR="006A297C" w:rsidRPr="006A297C" w:rsidRDefault="006A297C" w:rsidP="006A297C">
      <w:r w:rsidRPr="006A297C">
        <w:t xml:space="preserve">The decision in </w:t>
      </w:r>
      <w:r w:rsidRPr="006A297C">
        <w:rPr>
          <w:i/>
          <w:iCs/>
        </w:rPr>
        <w:t xml:space="preserve">DPP v P </w:t>
      </w:r>
      <w:r w:rsidRPr="006A297C">
        <w:t>provides a valuable summary of existing powers and procedures for dealing with</w:t>
      </w:r>
      <w:r>
        <w:t xml:space="preserve"> </w:t>
      </w:r>
      <w:r w:rsidRPr="006A297C">
        <w:t>young defendants who may have difficulty participating in court proceedings. Nevertheless, the headline</w:t>
      </w:r>
      <w:r>
        <w:t>-</w:t>
      </w:r>
      <w:r w:rsidRPr="006A297C">
        <w:t>grabbing</w:t>
      </w:r>
      <w:r>
        <w:t xml:space="preserve"> </w:t>
      </w:r>
      <w:r w:rsidRPr="006A297C">
        <w:t xml:space="preserve">aspect is bound to be the apparent resurrection of the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defence for children over 10,</w:t>
      </w:r>
      <w:r>
        <w:t xml:space="preserve"> </w:t>
      </w:r>
      <w:r w:rsidRPr="006A297C">
        <w:t>which is much more controversial. But how likely is it that a court properly seized of the issue would</w:t>
      </w:r>
      <w:r>
        <w:t xml:space="preserve"> </w:t>
      </w:r>
      <w:r w:rsidRPr="006A297C">
        <w:t>conclude that such a defence still exists? Furthermore, given that issues of capacity, fitness to plead and</w:t>
      </w:r>
      <w:r>
        <w:t xml:space="preserve"> </w:t>
      </w:r>
      <w:r w:rsidRPr="006A297C">
        <w:t xml:space="preserve">effective participation tend to overlap, would the availability of a defence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make any</w:t>
      </w:r>
      <w:r>
        <w:t xml:space="preserve"> </w:t>
      </w:r>
      <w:r w:rsidRPr="006A297C">
        <w:t>difference in practice?</w:t>
      </w:r>
    </w:p>
    <w:p w:rsidR="006A297C" w:rsidRPr="006A297C" w:rsidRDefault="006A297C" w:rsidP="006A297C">
      <w:pPr>
        <w:rPr>
          <w:b/>
          <w:bCs/>
        </w:rPr>
      </w:pPr>
      <w:r w:rsidRPr="006A297C">
        <w:rPr>
          <w:b/>
          <w:bCs/>
        </w:rPr>
        <w:t>Statutory interpretation</w:t>
      </w:r>
    </w:p>
    <w:p w:rsidR="006A297C" w:rsidRDefault="006A297C" w:rsidP="006A297C">
      <w:r w:rsidRPr="006A297C">
        <w:t>The Divisional Court was of the view that a literal interpretation of section 34 was consistent with an</w:t>
      </w:r>
      <w:r>
        <w:t xml:space="preserve"> </w:t>
      </w:r>
      <w:r w:rsidRPr="006A297C">
        <w:t xml:space="preserve">attempt to abolish only the presumption and not the defence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>:</w:t>
      </w:r>
      <w:r>
        <w:t xml:space="preserve"> </w:t>
      </w:r>
    </w:p>
    <w:p w:rsidR="006A297C" w:rsidRPr="006A297C" w:rsidRDefault="006A297C" w:rsidP="006A297C">
      <w:pPr>
        <w:ind w:left="567" w:right="521"/>
        <w:rPr>
          <w:i/>
          <w:iCs/>
        </w:rPr>
      </w:pPr>
      <w:r w:rsidRPr="006A297C">
        <w:rPr>
          <w:i/>
          <w:iCs/>
        </w:rPr>
        <w:t>“The subject of the sentence in section 34 is ‘the rebuttable presumption of criminal law’ and the verb ‘is</w:t>
      </w:r>
      <w:r>
        <w:rPr>
          <w:i/>
          <w:iCs/>
        </w:rPr>
        <w:t xml:space="preserve"> </w:t>
      </w:r>
      <w:r w:rsidRPr="006A297C">
        <w:rPr>
          <w:i/>
          <w:iCs/>
        </w:rPr>
        <w:t xml:space="preserve">abolished’ can only apply to the subject. </w:t>
      </w:r>
      <w:proofErr w:type="gramStart"/>
      <w:r w:rsidRPr="006A297C">
        <w:rPr>
          <w:i/>
          <w:iCs/>
        </w:rPr>
        <w:t>If so, it must be the presumption that has been abolished.”</w:t>
      </w:r>
      <w:proofErr w:type="gramEnd"/>
      <w:r>
        <w:rPr>
          <w:rStyle w:val="FootnoteReference"/>
          <w:i/>
          <w:iCs/>
        </w:rPr>
        <w:footnoteReference w:id="22"/>
      </w:r>
    </w:p>
    <w:p w:rsidR="006A297C" w:rsidRPr="006A297C" w:rsidRDefault="006A297C" w:rsidP="006A297C">
      <w:r w:rsidRPr="006A297C">
        <w:t xml:space="preserve">However, given that the origins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are unclear, we do not know whether a defence of </w:t>
      </w:r>
      <w:proofErr w:type="spellStart"/>
      <w:r w:rsidRPr="006A297C">
        <w:t>doli</w:t>
      </w:r>
      <w:proofErr w:type="spellEnd"/>
      <w:r>
        <w:t xml:space="preserve"> </w:t>
      </w:r>
      <w:proofErr w:type="spellStart"/>
      <w:r w:rsidRPr="006A297C">
        <w:t>incapax</w:t>
      </w:r>
      <w:proofErr w:type="spellEnd"/>
      <w:r w:rsidRPr="006A297C">
        <w:t xml:space="preserve"> ever existed separately from the presumption. If not, then the removal of the presumption is</w:t>
      </w:r>
      <w:r>
        <w:t xml:space="preserve"> </w:t>
      </w:r>
      <w:r w:rsidRPr="006A297C">
        <w:t>effectively the end of the matter and there is no residual defence for the Court to recognise.</w:t>
      </w:r>
    </w:p>
    <w:p w:rsidR="006A297C" w:rsidRPr="006A297C" w:rsidRDefault="006A297C" w:rsidP="006A297C">
      <w:r w:rsidRPr="006A297C">
        <w:t xml:space="preserve">The Court then turned to </w:t>
      </w:r>
      <w:proofErr w:type="spellStart"/>
      <w:r w:rsidRPr="006A297C">
        <w:t>Hansard</w:t>
      </w:r>
      <w:proofErr w:type="spellEnd"/>
      <w:r w:rsidRPr="006A297C">
        <w:t xml:space="preserve"> for assistance. It is well established that where the meaning of an</w:t>
      </w:r>
      <w:r>
        <w:t xml:space="preserve"> </w:t>
      </w:r>
      <w:r w:rsidRPr="006A297C">
        <w:t xml:space="preserve">enactment is ambiguous or obscure, a court may have regard to any statement from </w:t>
      </w:r>
      <w:proofErr w:type="spellStart"/>
      <w:r w:rsidRPr="006A297C">
        <w:t>Hansard</w:t>
      </w:r>
      <w:proofErr w:type="spellEnd"/>
      <w:r w:rsidRPr="006A297C">
        <w:t xml:space="preserve"> made by, or</w:t>
      </w:r>
      <w:r>
        <w:t xml:space="preserve"> </w:t>
      </w:r>
      <w:r w:rsidRPr="006A297C">
        <w:t>on behalf of, the promoter of the Bill which clearly discloses the mischief aimed at or the legislative</w:t>
      </w:r>
      <w:r>
        <w:t xml:space="preserve"> </w:t>
      </w:r>
      <w:r w:rsidRPr="006A297C">
        <w:t>intention</w:t>
      </w:r>
      <w:r w:rsidR="007161DF">
        <w:rPr>
          <w:rStyle w:val="FootnoteReference"/>
        </w:rPr>
        <w:footnoteReference w:id="23"/>
      </w:r>
      <w:r w:rsidRPr="006A297C">
        <w:t>. The court may also have regard to other Parliamentary material insofar as it assists in</w:t>
      </w:r>
      <w:r>
        <w:t xml:space="preserve"> </w:t>
      </w:r>
      <w:r w:rsidRPr="006A297C">
        <w:t xml:space="preserve">understanding the statement. In </w:t>
      </w:r>
      <w:r w:rsidRPr="006A297C">
        <w:rPr>
          <w:i/>
          <w:iCs/>
        </w:rPr>
        <w:t>DPP v P</w:t>
      </w:r>
      <w:r w:rsidRPr="006A297C">
        <w:t>, the Court cited two relevant statements.</w:t>
      </w:r>
    </w:p>
    <w:p w:rsidR="006A297C" w:rsidRPr="006A297C" w:rsidRDefault="006A297C" w:rsidP="006A297C">
      <w:r w:rsidRPr="006A297C">
        <w:t xml:space="preserve">The </w:t>
      </w:r>
      <w:r w:rsidRPr="006A297C">
        <w:rPr>
          <w:i/>
          <w:iCs/>
        </w:rPr>
        <w:t xml:space="preserve">Crime and Disorder Bill </w:t>
      </w:r>
      <w:r w:rsidRPr="006A297C">
        <w:t>was introduced in the House of Lords. During its second reading, Lord</w:t>
      </w:r>
      <w:r>
        <w:t xml:space="preserve"> </w:t>
      </w:r>
      <w:r w:rsidRPr="006A297C">
        <w:t xml:space="preserve">Falconer of </w:t>
      </w:r>
      <w:proofErr w:type="spellStart"/>
      <w:r w:rsidRPr="006A297C">
        <w:t>Thoroton</w:t>
      </w:r>
      <w:proofErr w:type="spellEnd"/>
      <w:r w:rsidRPr="006A297C">
        <w:t xml:space="preserve">, then Solicitor-General, confirmed that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would still exist as a defence:</w:t>
      </w:r>
    </w:p>
    <w:p w:rsidR="006A297C" w:rsidRPr="006A297C" w:rsidRDefault="006A297C" w:rsidP="006A297C">
      <w:pPr>
        <w:ind w:left="567" w:right="521"/>
        <w:rPr>
          <w:i/>
          <w:iCs/>
        </w:rPr>
      </w:pPr>
      <w:r w:rsidRPr="006A297C">
        <w:rPr>
          <w:i/>
          <w:iCs/>
        </w:rPr>
        <w:t>“The possibility is not ruled out, where there is a child who has genuine learning difficulties and who is</w:t>
      </w:r>
      <w:r>
        <w:rPr>
          <w:i/>
          <w:iCs/>
        </w:rPr>
        <w:t xml:space="preserve"> </w:t>
      </w:r>
      <w:r w:rsidRPr="006A297C">
        <w:rPr>
          <w:i/>
          <w:iCs/>
        </w:rPr>
        <w:t>genuinely at sea on the question of right and wrong, of seeking to run that as a specific defence. All that</w:t>
      </w:r>
      <w:r>
        <w:rPr>
          <w:i/>
          <w:iCs/>
        </w:rPr>
        <w:t xml:space="preserve"> </w:t>
      </w:r>
      <w:r w:rsidRPr="006A297C">
        <w:rPr>
          <w:i/>
          <w:iCs/>
        </w:rPr>
        <w:t>the provision does is remove the presumption that the child is incapable of committing wrong.”</w:t>
      </w:r>
      <w:r w:rsidR="007161DF">
        <w:rPr>
          <w:rStyle w:val="FootnoteReference"/>
          <w:i/>
          <w:iCs/>
        </w:rPr>
        <w:footnoteReference w:id="24"/>
      </w:r>
    </w:p>
    <w:p w:rsidR="006A297C" w:rsidRPr="006A297C" w:rsidRDefault="006A297C" w:rsidP="006A297C">
      <w:r w:rsidRPr="006A297C">
        <w:lastRenderedPageBreak/>
        <w:t>The Court also quoted Jack Straw (the Home Secretary at the time) in the House of Commons but found</w:t>
      </w:r>
      <w:r>
        <w:t xml:space="preserve"> </w:t>
      </w:r>
      <w:r w:rsidRPr="006A297C">
        <w:t>that his statement was consistent with both the abolition of the presumption and the abolition of the</w:t>
      </w:r>
      <w:r>
        <w:t xml:space="preserve"> </w:t>
      </w:r>
      <w:r w:rsidRPr="006A297C">
        <w:t>defence</w:t>
      </w:r>
      <w:r w:rsidR="007161DF">
        <w:rPr>
          <w:rStyle w:val="FootnoteReference"/>
        </w:rPr>
        <w:footnoteReference w:id="25"/>
      </w:r>
      <w:r w:rsidRPr="006A297C">
        <w:t>.</w:t>
      </w:r>
    </w:p>
    <w:p w:rsidR="006A297C" w:rsidRPr="006A297C" w:rsidRDefault="006A297C" w:rsidP="006A297C">
      <w:r w:rsidRPr="006A297C">
        <w:t xml:space="preserve">Finally, the Court referred to a Home Office circular published after the </w:t>
      </w:r>
      <w:r w:rsidRPr="006A297C">
        <w:rPr>
          <w:i/>
          <w:iCs/>
        </w:rPr>
        <w:t>Crime and Disorder Act 1998</w:t>
      </w:r>
      <w:r>
        <w:rPr>
          <w:i/>
          <w:iCs/>
        </w:rPr>
        <w:t xml:space="preserve"> </w:t>
      </w:r>
      <w:r w:rsidRPr="006A297C">
        <w:t>came into force. The purpose of the circular was to set out a policy for CPS lawyers dealing with young</w:t>
      </w:r>
      <w:r>
        <w:t xml:space="preserve"> </w:t>
      </w:r>
      <w:r w:rsidRPr="006A297C">
        <w:t>offenders. According to the circular, children aged 10 to 13 were now to be treated in the same way as</w:t>
      </w:r>
      <w:r>
        <w:t xml:space="preserve"> </w:t>
      </w:r>
      <w:r w:rsidRPr="006A297C">
        <w:t>older children when deciding whether it was appropriate to prosecute. The Court accepted that the</w:t>
      </w:r>
      <w:r>
        <w:t xml:space="preserve"> </w:t>
      </w:r>
      <w:r w:rsidRPr="006A297C">
        <w:t xml:space="preserve">circular gave the impression that a defence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was not available to a child aged 10 or over</w:t>
      </w:r>
      <w:r>
        <w:t xml:space="preserve"> </w:t>
      </w:r>
      <w:r w:rsidRPr="006A297C">
        <w:t>but reminded itself that a Home Office circular was not an admissible aid to construction.</w:t>
      </w:r>
    </w:p>
    <w:p w:rsidR="006A297C" w:rsidRPr="006A297C" w:rsidRDefault="006A297C" w:rsidP="006A297C">
      <w:r w:rsidRPr="006A297C">
        <w:t xml:space="preserve">In concluding that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remains as a defence, the Court thus relied heavily upon Lord Falconer’s</w:t>
      </w:r>
      <w:r>
        <w:t xml:space="preserve"> </w:t>
      </w:r>
      <w:r w:rsidRPr="006A297C">
        <w:t>statement, which was made at an early stage of the Parliamentary procedure. It is submitted that having</w:t>
      </w:r>
      <w:r>
        <w:t xml:space="preserve"> </w:t>
      </w:r>
      <w:r w:rsidRPr="006A297C">
        <w:t>regard to subsequent statements and to the mischief that the Act was aimed at, future courts are likely</w:t>
      </w:r>
      <w:r>
        <w:t xml:space="preserve"> </w:t>
      </w:r>
      <w:r w:rsidRPr="006A297C">
        <w:t xml:space="preserve">to conclude that Parliament in fact intended to remove the rule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altogether insofar as it</w:t>
      </w:r>
      <w:r>
        <w:t xml:space="preserve"> </w:t>
      </w:r>
      <w:r w:rsidRPr="006A297C">
        <w:t>applied to children age 10 to 13.</w:t>
      </w:r>
    </w:p>
    <w:p w:rsidR="006A297C" w:rsidRPr="006A297C" w:rsidRDefault="006A297C" w:rsidP="006A297C">
      <w:pPr>
        <w:rPr>
          <w:b/>
          <w:bCs/>
        </w:rPr>
      </w:pPr>
      <w:r w:rsidRPr="006A297C">
        <w:rPr>
          <w:b/>
          <w:bCs/>
        </w:rPr>
        <w:t>The Parliamentary history of section 34</w:t>
      </w:r>
    </w:p>
    <w:p w:rsidR="006A297C" w:rsidRPr="006A297C" w:rsidRDefault="006A297C" w:rsidP="006A297C">
      <w:r w:rsidRPr="006A297C">
        <w:t xml:space="preserve">In 1997 the Home Office published a consultation paper entitled </w:t>
      </w:r>
      <w:r w:rsidRPr="006A297C">
        <w:rPr>
          <w:i/>
          <w:iCs/>
        </w:rPr>
        <w:t>Tackling Youth Crime, Reforming Youth</w:t>
      </w:r>
      <w:r>
        <w:rPr>
          <w:i/>
          <w:iCs/>
        </w:rPr>
        <w:t xml:space="preserve"> </w:t>
      </w:r>
      <w:r w:rsidRPr="006A297C">
        <w:rPr>
          <w:i/>
          <w:iCs/>
        </w:rPr>
        <w:t>Justice</w:t>
      </w:r>
      <w:r w:rsidR="007161DF">
        <w:rPr>
          <w:rStyle w:val="FootnoteReference"/>
          <w:i/>
          <w:iCs/>
        </w:rPr>
        <w:footnoteReference w:id="26"/>
      </w:r>
      <w:r w:rsidRPr="006A297C">
        <w:t xml:space="preserve"> in which it was argued that the rule of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was in need of reform for the following</w:t>
      </w:r>
      <w:r>
        <w:t xml:space="preserve"> </w:t>
      </w:r>
      <w:r w:rsidRPr="006A297C">
        <w:t>reasons:</w:t>
      </w:r>
    </w:p>
    <w:p w:rsidR="006A297C" w:rsidRDefault="006A297C" w:rsidP="006A297C">
      <w:pPr>
        <w:pStyle w:val="ListParagraph"/>
        <w:numPr>
          <w:ilvl w:val="0"/>
          <w:numId w:val="1"/>
        </w:numPr>
      </w:pPr>
      <w:r w:rsidRPr="006A297C">
        <w:t>We now have compulsory education from the age of 5 and children can differentiate right from</w:t>
      </w:r>
      <w:r>
        <w:t xml:space="preserve"> </w:t>
      </w:r>
      <w:r w:rsidRPr="006A297C">
        <w:t>wrong at an earlier age;</w:t>
      </w:r>
    </w:p>
    <w:p w:rsidR="007161DF" w:rsidRDefault="006A297C" w:rsidP="006A297C">
      <w:pPr>
        <w:pStyle w:val="ListParagraph"/>
        <w:numPr>
          <w:ilvl w:val="0"/>
          <w:numId w:val="1"/>
        </w:numPr>
      </w:pPr>
      <w:r w:rsidRPr="006A297C">
        <w:t xml:space="preserve">When </w:t>
      </w:r>
      <w:proofErr w:type="spellStart"/>
      <w:r w:rsidRPr="006A297C">
        <w:t>doli</w:t>
      </w:r>
      <w:proofErr w:type="spellEnd"/>
      <w:r w:rsidRPr="006A297C">
        <w:t xml:space="preserve"> </w:t>
      </w:r>
      <w:proofErr w:type="spellStart"/>
      <w:r w:rsidRPr="006A297C">
        <w:t>incapax</w:t>
      </w:r>
      <w:proofErr w:type="spellEnd"/>
      <w:r w:rsidRPr="006A297C">
        <w:t xml:space="preserve"> was introduced, children faced the death penalty for crimes less serious</w:t>
      </w:r>
      <w:r>
        <w:t xml:space="preserve"> </w:t>
      </w:r>
      <w:r w:rsidRPr="006A297C">
        <w:t>than murder. The modern system of sentencing, with its emphasis on preventing re-offending,</w:t>
      </w:r>
      <w:r>
        <w:t xml:space="preserve"> </w:t>
      </w:r>
      <w:r w:rsidRPr="006A297C">
        <w:t>means that a child who offends should be convicted so that he can be subject to proper</w:t>
      </w:r>
      <w:r>
        <w:t xml:space="preserve"> </w:t>
      </w:r>
      <w:r w:rsidRPr="006A297C">
        <w:t>control and appropriate intervention with the opportunity for rehabilitation at an early stage;</w:t>
      </w:r>
      <w:r w:rsidR="007161DF">
        <w:t xml:space="preserve"> </w:t>
      </w:r>
    </w:p>
    <w:p w:rsidR="006A297C" w:rsidRPr="006A297C" w:rsidRDefault="006A297C" w:rsidP="006A297C">
      <w:pPr>
        <w:pStyle w:val="ListParagraph"/>
        <w:numPr>
          <w:ilvl w:val="0"/>
          <w:numId w:val="1"/>
        </w:numPr>
      </w:pPr>
      <w:r w:rsidRPr="006A297C">
        <w:t>It is extremely difficult for the prosecution to prove that a child has the necessary capacity in</w:t>
      </w:r>
      <w:r w:rsidR="007161DF">
        <w:t xml:space="preserve"> </w:t>
      </w:r>
      <w:r w:rsidRPr="006A297C">
        <w:t>order to rebut the presumption.</w:t>
      </w:r>
    </w:p>
    <w:p w:rsidR="00950D03" w:rsidRDefault="006A297C" w:rsidP="006A297C">
      <w:r w:rsidRPr="006A297C">
        <w:t>The paper asked whether, in the circumstances, the presumption should be abolished, so as to put a child</w:t>
      </w:r>
      <w:r w:rsidR="007161DF">
        <w:t xml:space="preserve"> </w:t>
      </w:r>
      <w:r w:rsidRPr="006A297C">
        <w:t>between the ages of 10 and 13 in the same position as one aged between 14 and 17, or whether it should</w:t>
      </w:r>
      <w:r w:rsidR="007161DF">
        <w:t xml:space="preserve"> </w:t>
      </w:r>
      <w:r w:rsidRPr="006A297C">
        <w:t>be reversed. On this basis it appears that the use of the word “abolished” in section 34 is significant and</w:t>
      </w:r>
      <w:r w:rsidR="007161DF">
        <w:t xml:space="preserve"> </w:t>
      </w:r>
      <w:r w:rsidRPr="006A297C">
        <w:t>that it was intended to do more than simply alter the presumption.</w:t>
      </w:r>
    </w:p>
    <w:p w:rsidR="007161DF" w:rsidRPr="007161DF" w:rsidRDefault="007161DF" w:rsidP="007161DF">
      <w:r w:rsidRPr="007161DF">
        <w:t>The consultation paper was followed by a White Paper entitled ‘No More Excuses’</w:t>
      </w:r>
      <w:r>
        <w:rPr>
          <w:rStyle w:val="FootnoteReference"/>
        </w:rPr>
        <w:footnoteReference w:id="27"/>
      </w:r>
      <w:r w:rsidRPr="007161DF">
        <w:t>. Upon its</w:t>
      </w:r>
      <w:r>
        <w:t xml:space="preserve"> </w:t>
      </w:r>
      <w:r w:rsidRPr="007161DF">
        <w:t>publication, Jack Straw told the House of Commons that:</w:t>
      </w:r>
    </w:p>
    <w:p w:rsidR="007161DF" w:rsidRPr="007161DF" w:rsidRDefault="007161DF" w:rsidP="007161DF">
      <w:pPr>
        <w:ind w:left="567" w:right="521"/>
        <w:rPr>
          <w:i/>
          <w:iCs/>
        </w:rPr>
      </w:pPr>
      <w:r w:rsidRPr="007161DF">
        <w:rPr>
          <w:i/>
          <w:iCs/>
        </w:rPr>
        <w:t xml:space="preserve">“The present rule of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rPr>
          <w:i/>
          <w:iCs/>
        </w:rPr>
        <w:t xml:space="preserve"> – being incapable of evil – can stand in the way of holding properly to</w:t>
      </w:r>
      <w:r>
        <w:rPr>
          <w:i/>
          <w:iCs/>
        </w:rPr>
        <w:t xml:space="preserve"> </w:t>
      </w:r>
      <w:r w:rsidRPr="007161DF">
        <w:rPr>
          <w:i/>
          <w:iCs/>
        </w:rPr>
        <w:t xml:space="preserve">account </w:t>
      </w:r>
      <w:proofErr w:type="gramStart"/>
      <w:r w:rsidRPr="007161DF">
        <w:rPr>
          <w:i/>
          <w:iCs/>
        </w:rPr>
        <w:t>10- to 13-year-olds</w:t>
      </w:r>
      <w:proofErr w:type="gramEnd"/>
      <w:r w:rsidRPr="007161DF">
        <w:rPr>
          <w:i/>
          <w:iCs/>
        </w:rPr>
        <w:t xml:space="preserve"> who commit crimes, yet young people of </w:t>
      </w:r>
      <w:r w:rsidRPr="007161DF">
        <w:rPr>
          <w:i/>
          <w:iCs/>
        </w:rPr>
        <w:lastRenderedPageBreak/>
        <w:t>that age know that it is wrong to</w:t>
      </w:r>
      <w:r>
        <w:rPr>
          <w:i/>
          <w:iCs/>
        </w:rPr>
        <w:t xml:space="preserve"> </w:t>
      </w:r>
      <w:r w:rsidRPr="007161DF">
        <w:rPr>
          <w:i/>
          <w:iCs/>
        </w:rPr>
        <w:t>steal, vandalise or commit an assault. We intend to abolish that archaic rule to ensure that such young</w:t>
      </w:r>
      <w:r>
        <w:rPr>
          <w:i/>
          <w:iCs/>
        </w:rPr>
        <w:t xml:space="preserve"> </w:t>
      </w:r>
      <w:r w:rsidRPr="007161DF">
        <w:rPr>
          <w:i/>
          <w:iCs/>
        </w:rPr>
        <w:t>people are answerable for their offences.”</w:t>
      </w:r>
      <w:r>
        <w:rPr>
          <w:rStyle w:val="FootnoteReference"/>
          <w:i/>
          <w:iCs/>
        </w:rPr>
        <w:footnoteReference w:id="28"/>
      </w:r>
    </w:p>
    <w:p w:rsidR="007161DF" w:rsidRPr="007161DF" w:rsidRDefault="007161DF" w:rsidP="007161DF">
      <w:r w:rsidRPr="007161DF">
        <w:t>In answer to a question about whether these proposals might be contrary to European human rights law,</w:t>
      </w:r>
      <w:r>
        <w:t xml:space="preserve"> </w:t>
      </w:r>
      <w:r w:rsidRPr="007161DF">
        <w:t>he replied:</w:t>
      </w:r>
    </w:p>
    <w:p w:rsidR="007161DF" w:rsidRPr="007161DF" w:rsidRDefault="007161DF" w:rsidP="007161DF">
      <w:pPr>
        <w:ind w:left="567" w:right="521"/>
        <w:rPr>
          <w:i/>
          <w:iCs/>
        </w:rPr>
      </w:pPr>
      <w:r w:rsidRPr="007161DF">
        <w:rPr>
          <w:i/>
          <w:iCs/>
        </w:rPr>
        <w:t xml:space="preserve">“We are convinced that our proposal to remove the concept of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rPr>
          <w:i/>
          <w:iCs/>
        </w:rPr>
        <w:t xml:space="preserve"> is fully consistent with the</w:t>
      </w:r>
      <w:r>
        <w:rPr>
          <w:i/>
          <w:iCs/>
        </w:rPr>
        <w:t xml:space="preserve"> </w:t>
      </w:r>
      <w:r w:rsidRPr="007161DF">
        <w:rPr>
          <w:i/>
          <w:iCs/>
        </w:rPr>
        <w:t xml:space="preserve">European Convention on Human Rights. Interestingly, there was a period in the Divisional Court –when C v the Director of Public Prosecutions set the law – when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rPr>
          <w:i/>
          <w:iCs/>
        </w:rPr>
        <w:t xml:space="preserve"> was effectively abolished.</w:t>
      </w:r>
      <w:r>
        <w:rPr>
          <w:i/>
          <w:iCs/>
        </w:rPr>
        <w:t xml:space="preserve"> </w:t>
      </w:r>
      <w:r w:rsidRPr="007161DF">
        <w:rPr>
          <w:i/>
          <w:iCs/>
        </w:rPr>
        <w:t>That did not lead to injustice for young offenders, but made for a little more efficiency.”</w:t>
      </w:r>
      <w:r>
        <w:rPr>
          <w:rStyle w:val="FootnoteReference"/>
          <w:i/>
          <w:iCs/>
        </w:rPr>
        <w:footnoteReference w:id="29"/>
      </w:r>
    </w:p>
    <w:p w:rsidR="007161DF" w:rsidRPr="007161DF" w:rsidRDefault="007161DF" w:rsidP="007161DF">
      <w:r w:rsidRPr="007161DF">
        <w:t xml:space="preserve">The reference to abolition of the “rule”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and the “concept”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suggest that the</w:t>
      </w:r>
      <w:r>
        <w:t xml:space="preserve"> </w:t>
      </w:r>
      <w:r w:rsidRPr="007161DF">
        <w:t xml:space="preserve">Government intended to abolish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altogether. It is submitted that this interpretation is</w:t>
      </w:r>
      <w:r>
        <w:t xml:space="preserve"> </w:t>
      </w:r>
      <w:r w:rsidRPr="007161DF">
        <w:t>reinforced by the context in which these words are used and particularly the approval of the Divisional</w:t>
      </w:r>
      <w:r>
        <w:t xml:space="preserve"> </w:t>
      </w:r>
      <w:r w:rsidRPr="007161DF">
        <w:t xml:space="preserve">Court’s decision in </w:t>
      </w:r>
      <w:r w:rsidRPr="007161DF">
        <w:rPr>
          <w:i/>
          <w:iCs/>
        </w:rPr>
        <w:t>C v DPP</w:t>
      </w:r>
      <w:r w:rsidRPr="007161DF">
        <w:t>, which temporarily abolished both the presumption and the defence for</w:t>
      </w:r>
      <w:r>
        <w:t xml:space="preserve"> </w:t>
      </w:r>
      <w:r w:rsidRPr="007161DF">
        <w:t>children over the age of 10.</w:t>
      </w:r>
    </w:p>
    <w:p w:rsidR="007161DF" w:rsidRPr="007161DF" w:rsidRDefault="007161DF" w:rsidP="007161DF">
      <w:r w:rsidRPr="007161DF">
        <w:t xml:space="preserve">In December 1997, Lord Falconer made the statement referred to in </w:t>
      </w:r>
      <w:r w:rsidRPr="007161DF">
        <w:rPr>
          <w:i/>
          <w:iCs/>
        </w:rPr>
        <w:t>DPP v P</w:t>
      </w:r>
      <w:r w:rsidRPr="007161DF">
        <w:t>, which clearly indicates that</w:t>
      </w:r>
      <w:r>
        <w:t xml:space="preserve"> </w:t>
      </w:r>
      <w:r w:rsidRPr="007161DF">
        <w:t xml:space="preserve">a defence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would remain. However, following this, a number of references in </w:t>
      </w:r>
      <w:proofErr w:type="spellStart"/>
      <w:r w:rsidRPr="007161DF">
        <w:t>Hansard</w:t>
      </w:r>
      <w:proofErr w:type="spellEnd"/>
      <w:r>
        <w:t xml:space="preserve"> </w:t>
      </w:r>
      <w:r w:rsidRPr="007161DF">
        <w:t>suggest that Lord Falconer may have been out of step with the rest of the members of the Government,</w:t>
      </w:r>
      <w:r>
        <w:t xml:space="preserve"> </w:t>
      </w:r>
      <w:r w:rsidRPr="007161DF">
        <w:t>who intended something entirely different.</w:t>
      </w:r>
    </w:p>
    <w:p w:rsidR="007161DF" w:rsidRPr="007161DF" w:rsidRDefault="007161DF" w:rsidP="007161DF">
      <w:r w:rsidRPr="007161DF">
        <w:t xml:space="preserve">During both the committee stage and the report stage of the Bill, the Liberal Peer Lord </w:t>
      </w:r>
      <w:proofErr w:type="spellStart"/>
      <w:r w:rsidRPr="007161DF">
        <w:t>Goodhart</w:t>
      </w:r>
      <w:proofErr w:type="spellEnd"/>
      <w:r>
        <w:t xml:space="preserve"> </w:t>
      </w:r>
      <w:r w:rsidRPr="007161DF">
        <w:t>proposed the following amendment to the relevant clause</w:t>
      </w:r>
      <w:r>
        <w:rPr>
          <w:rStyle w:val="FootnoteReference"/>
        </w:rPr>
        <w:footnoteReference w:id="30"/>
      </w:r>
      <w:r w:rsidRPr="007161DF">
        <w:t>:</w:t>
      </w:r>
    </w:p>
    <w:p w:rsidR="007161DF" w:rsidRPr="007161DF" w:rsidRDefault="007161DF" w:rsidP="007161DF">
      <w:pPr>
        <w:ind w:left="567" w:right="521"/>
        <w:rPr>
          <w:i/>
          <w:iCs/>
        </w:rPr>
      </w:pPr>
      <w:r w:rsidRPr="007161DF">
        <w:rPr>
          <w:i/>
          <w:iCs/>
        </w:rPr>
        <w:t>“Where a child aged 10 or over is accused of an offence, it shall be a defence for him to show on the</w:t>
      </w:r>
      <w:r>
        <w:rPr>
          <w:i/>
          <w:iCs/>
        </w:rPr>
        <w:t xml:space="preserve"> </w:t>
      </w:r>
      <w:r w:rsidRPr="007161DF">
        <w:rPr>
          <w:i/>
          <w:iCs/>
        </w:rPr>
        <w:t>balance of probabilities that he did not know that his action was seriously wrong.”</w:t>
      </w:r>
    </w:p>
    <w:p w:rsidR="007161DF" w:rsidRPr="007161DF" w:rsidRDefault="007161DF" w:rsidP="007161DF">
      <w:r w:rsidRPr="007161DF">
        <w:t>In response, the Government did not suggest that the amendment was unnecessary because the wording</w:t>
      </w:r>
      <w:r>
        <w:t xml:space="preserve"> </w:t>
      </w:r>
      <w:r w:rsidRPr="007161DF">
        <w:t xml:space="preserve">of the clause already left a defence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available in an appropriate case. Rather, during the</w:t>
      </w:r>
      <w:r>
        <w:t xml:space="preserve"> </w:t>
      </w:r>
      <w:r w:rsidRPr="007161DF">
        <w:t xml:space="preserve">committee stage, Lord Williams of </w:t>
      </w:r>
      <w:proofErr w:type="spellStart"/>
      <w:r w:rsidRPr="007161DF">
        <w:t>Mostyn</w:t>
      </w:r>
      <w:proofErr w:type="spellEnd"/>
      <w:r w:rsidRPr="007161DF">
        <w:t xml:space="preserve"> argued against the amendment on the grounds that where the</w:t>
      </w:r>
      <w:r>
        <w:t xml:space="preserve"> </w:t>
      </w:r>
      <w:proofErr w:type="spellStart"/>
      <w:r w:rsidRPr="007161DF">
        <w:t>actus</w:t>
      </w:r>
      <w:proofErr w:type="spellEnd"/>
      <w:r w:rsidRPr="007161DF">
        <w:t xml:space="preserve"> </w:t>
      </w:r>
      <w:proofErr w:type="spellStart"/>
      <w:proofErr w:type="gramStart"/>
      <w:r w:rsidRPr="007161DF">
        <w:t>reus</w:t>
      </w:r>
      <w:proofErr w:type="spellEnd"/>
      <w:proofErr w:type="gramEnd"/>
      <w:r w:rsidRPr="007161DF">
        <w:t xml:space="preserve"> and </w:t>
      </w:r>
      <w:proofErr w:type="spellStart"/>
      <w:r w:rsidRPr="007161DF">
        <w:t>mens</w:t>
      </w:r>
      <w:proofErr w:type="spellEnd"/>
      <w:r w:rsidRPr="007161DF">
        <w:t xml:space="preserve"> rea of an offence are present, age should be no defence:</w:t>
      </w:r>
    </w:p>
    <w:p w:rsidR="007161DF" w:rsidRDefault="007161DF" w:rsidP="007161DF">
      <w:pPr>
        <w:ind w:left="567" w:right="521"/>
        <w:rPr>
          <w:i/>
          <w:iCs/>
        </w:rPr>
      </w:pPr>
      <w:r w:rsidRPr="007161DF">
        <w:rPr>
          <w:i/>
          <w:iCs/>
        </w:rPr>
        <w:t xml:space="preserve">“If [the sanction of the criminal law] needs to be invoked, the presumption of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rPr>
          <w:i/>
          <w:iCs/>
        </w:rPr>
        <w:t xml:space="preserve"> has gone.</w:t>
      </w:r>
      <w:r>
        <w:rPr>
          <w:i/>
          <w:iCs/>
        </w:rPr>
        <w:t xml:space="preserve"> </w:t>
      </w:r>
      <w:r w:rsidRPr="007161DF">
        <w:rPr>
          <w:i/>
          <w:iCs/>
        </w:rPr>
        <w:t xml:space="preserve">We then need to demonstrate that the child has the appropriate </w:t>
      </w:r>
      <w:proofErr w:type="spellStart"/>
      <w:r w:rsidRPr="007161DF">
        <w:rPr>
          <w:i/>
          <w:iCs/>
        </w:rPr>
        <w:t>mens</w:t>
      </w:r>
      <w:proofErr w:type="spellEnd"/>
      <w:r w:rsidRPr="007161DF">
        <w:rPr>
          <w:i/>
          <w:iCs/>
        </w:rPr>
        <w:t xml:space="preserve"> rea and that the act itself was</w:t>
      </w:r>
      <w:r>
        <w:rPr>
          <w:i/>
          <w:iCs/>
        </w:rPr>
        <w:t xml:space="preserve"> </w:t>
      </w:r>
      <w:r w:rsidRPr="007161DF">
        <w:rPr>
          <w:i/>
          <w:iCs/>
        </w:rPr>
        <w:t>committed. However regrettably, and no one regrets it more than me, if that act has been done, the child</w:t>
      </w:r>
      <w:r>
        <w:rPr>
          <w:i/>
          <w:iCs/>
        </w:rPr>
        <w:t xml:space="preserve"> </w:t>
      </w:r>
      <w:r w:rsidRPr="007161DF">
        <w:rPr>
          <w:i/>
          <w:iCs/>
        </w:rPr>
        <w:t>is guilty of a criminal offence… [Some] children do wicked acts. No one rejoices in that. No one is happy</w:t>
      </w:r>
      <w:r>
        <w:rPr>
          <w:i/>
          <w:iCs/>
        </w:rPr>
        <w:t xml:space="preserve"> </w:t>
      </w:r>
      <w:r w:rsidRPr="007161DF">
        <w:rPr>
          <w:i/>
          <w:iCs/>
        </w:rPr>
        <w:t>that at the age of 10, which is very young indeed, those children have done evil things. Very often it is not</w:t>
      </w:r>
      <w:r>
        <w:rPr>
          <w:i/>
          <w:iCs/>
        </w:rPr>
        <w:t xml:space="preserve"> </w:t>
      </w:r>
      <w:r w:rsidRPr="007161DF">
        <w:rPr>
          <w:i/>
          <w:iCs/>
        </w:rPr>
        <w:t xml:space="preserve">really their fault because they have been formed by others who have failed to care for </w:t>
      </w:r>
      <w:r w:rsidRPr="007161DF">
        <w:rPr>
          <w:i/>
          <w:iCs/>
        </w:rPr>
        <w:lastRenderedPageBreak/>
        <w:t>them. But the fact</w:t>
      </w:r>
      <w:r>
        <w:rPr>
          <w:i/>
          <w:iCs/>
        </w:rPr>
        <w:t xml:space="preserve"> </w:t>
      </w:r>
      <w:r w:rsidRPr="007161DF">
        <w:rPr>
          <w:i/>
          <w:iCs/>
        </w:rPr>
        <w:t>is that the act has been committed and the intent demonstrated; otherwise no conviction is possible.”</w:t>
      </w:r>
      <w:r>
        <w:rPr>
          <w:rStyle w:val="FootnoteReference"/>
          <w:i/>
          <w:iCs/>
        </w:rPr>
        <w:footnoteReference w:id="31"/>
      </w:r>
    </w:p>
    <w:p w:rsidR="007161DF" w:rsidRPr="007161DF" w:rsidRDefault="007161DF" w:rsidP="007161DF">
      <w:r w:rsidRPr="007161DF">
        <w:t>Lord Williams further argued that the Government’s proposals would benefit children because the</w:t>
      </w:r>
      <w:r>
        <w:t xml:space="preserve"> </w:t>
      </w:r>
      <w:r w:rsidRPr="007161DF">
        <w:t xml:space="preserve">abolition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would enable them to receive “</w:t>
      </w:r>
      <w:r w:rsidRPr="007161DF">
        <w:rPr>
          <w:i/>
          <w:iCs/>
        </w:rPr>
        <w:t>appropriate intervention and the decent opportunity</w:t>
      </w:r>
      <w:r>
        <w:rPr>
          <w:i/>
          <w:iCs/>
        </w:rPr>
        <w:t xml:space="preserve"> </w:t>
      </w:r>
      <w:r w:rsidRPr="007161DF">
        <w:rPr>
          <w:i/>
          <w:iCs/>
        </w:rPr>
        <w:t>for rehabilitation with care, help and support</w:t>
      </w:r>
      <w:r w:rsidRPr="007161DF">
        <w:t>”</w:t>
      </w:r>
      <w:r>
        <w:rPr>
          <w:rStyle w:val="FootnoteReference"/>
        </w:rPr>
        <w:footnoteReference w:id="32"/>
      </w:r>
      <w:r w:rsidRPr="007161DF">
        <w:t>.</w:t>
      </w:r>
    </w:p>
    <w:p w:rsidR="007161DF" w:rsidRPr="007161DF" w:rsidRDefault="007161DF" w:rsidP="007161DF">
      <w:r w:rsidRPr="007161DF">
        <w:t xml:space="preserve">Lord </w:t>
      </w:r>
      <w:proofErr w:type="spellStart"/>
      <w:r w:rsidRPr="007161DF">
        <w:t>Goodhart</w:t>
      </w:r>
      <w:proofErr w:type="spellEnd"/>
      <w:r w:rsidRPr="007161DF">
        <w:t xml:space="preserve"> withdrew his amendment during the committee stage but proposed it again during the</w:t>
      </w:r>
      <w:r>
        <w:t xml:space="preserve"> </w:t>
      </w:r>
      <w:r w:rsidRPr="007161DF">
        <w:t>report stage, when it was rejected by a significant majority</w:t>
      </w:r>
      <w:r>
        <w:rPr>
          <w:rStyle w:val="FootnoteReference"/>
        </w:rPr>
        <w:footnoteReference w:id="33"/>
      </w:r>
      <w:r w:rsidRPr="007161DF">
        <w:t>. It is submitted that this clearly indicates a</w:t>
      </w:r>
      <w:r>
        <w:t xml:space="preserve"> </w:t>
      </w:r>
      <w:r w:rsidRPr="007161DF">
        <w:t>Parliamentary intent to remove the defence entirely.</w:t>
      </w:r>
    </w:p>
    <w:p w:rsidR="007161DF" w:rsidRPr="007161DF" w:rsidRDefault="007161DF" w:rsidP="007161DF">
      <w:r w:rsidRPr="007161DF">
        <w:t>The progress of the clause was more straightforward in the House of Commons, where there was virtually</w:t>
      </w:r>
      <w:r>
        <w:t xml:space="preserve"> </w:t>
      </w:r>
      <w:r w:rsidRPr="007161DF">
        <w:t>no debate about the distinction between reversal of the presumption and its abolition. However, in</w:t>
      </w:r>
      <w:r>
        <w:t xml:space="preserve"> </w:t>
      </w:r>
      <w:r w:rsidRPr="007161DF">
        <w:t xml:space="preserve">addition to the passage cited by the Court in </w:t>
      </w:r>
      <w:r w:rsidRPr="007161DF">
        <w:rPr>
          <w:i/>
          <w:iCs/>
        </w:rPr>
        <w:t xml:space="preserve">DPP v P, </w:t>
      </w:r>
      <w:r w:rsidRPr="007161DF">
        <w:t xml:space="preserve">Jack Straw referred to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as a “</w:t>
      </w:r>
      <w:r w:rsidRPr="007161DF">
        <w:rPr>
          <w:i/>
          <w:iCs/>
        </w:rPr>
        <w:t>legal fiction</w:t>
      </w:r>
      <w:r w:rsidRPr="007161DF">
        <w:t>”</w:t>
      </w:r>
      <w:r>
        <w:t xml:space="preserve"> </w:t>
      </w:r>
      <w:r w:rsidRPr="007161DF">
        <w:t>which was to be abolished</w:t>
      </w:r>
      <w:r>
        <w:rPr>
          <w:rStyle w:val="FootnoteReference"/>
        </w:rPr>
        <w:footnoteReference w:id="34"/>
      </w:r>
      <w:r w:rsidRPr="007161DF">
        <w:t xml:space="preserve"> and, later, confirmed “</w:t>
      </w:r>
      <w:r w:rsidRPr="007161DF">
        <w:rPr>
          <w:i/>
          <w:iCs/>
        </w:rPr>
        <w:t xml:space="preserve">we are abolishing the concept of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t>”</w:t>
      </w:r>
      <w:r>
        <w:rPr>
          <w:rStyle w:val="FootnoteReference"/>
        </w:rPr>
        <w:footnoteReference w:id="35"/>
      </w:r>
      <w:r w:rsidRPr="007161DF">
        <w:t>. Thus</w:t>
      </w:r>
      <w:r>
        <w:t xml:space="preserve"> </w:t>
      </w:r>
      <w:r w:rsidRPr="007161DF">
        <w:t xml:space="preserve">when the totality of ministerial pronouncements is considered, there is strong evidence of </w:t>
      </w:r>
      <w:proofErr w:type="gramStart"/>
      <w:r w:rsidRPr="007161DF">
        <w:t>an intent</w:t>
      </w:r>
      <w:proofErr w:type="gramEnd"/>
      <w:r w:rsidRPr="007161DF">
        <w:t xml:space="preserve"> to</w:t>
      </w:r>
      <w:r>
        <w:t xml:space="preserve"> </w:t>
      </w:r>
      <w:r w:rsidRPr="007161DF">
        <w:t xml:space="preserve">remove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completely from the relevant age group.</w:t>
      </w:r>
    </w:p>
    <w:p w:rsidR="007161DF" w:rsidRPr="007161DF" w:rsidRDefault="007161DF" w:rsidP="007161DF">
      <w:r w:rsidRPr="007161DF">
        <w:t xml:space="preserve">Further, it is submitted that the complete abolition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addresses the mischief that the</w:t>
      </w:r>
      <w:r>
        <w:t xml:space="preserve"> </w:t>
      </w:r>
      <w:r w:rsidRPr="007161DF">
        <w:t>enactment was aimed at, whereas reversal of the presumption does not. One of the main problems that</w:t>
      </w:r>
      <w:r>
        <w:t xml:space="preserve"> </w:t>
      </w:r>
      <w:r w:rsidRPr="007161DF">
        <w:t>the Government sought to address was the perceived difficulty for the prosecution in rebutting the</w:t>
      </w:r>
      <w:r>
        <w:t xml:space="preserve"> </w:t>
      </w:r>
      <w:r w:rsidRPr="007161DF">
        <w:t>presumption. Parliament was told that:</w:t>
      </w:r>
    </w:p>
    <w:p w:rsidR="007161DF" w:rsidRPr="007161DF" w:rsidRDefault="007161DF" w:rsidP="007161DF">
      <w:pPr>
        <w:ind w:left="567" w:right="521"/>
        <w:rPr>
          <w:i/>
          <w:iCs/>
        </w:rPr>
      </w:pPr>
      <w:r w:rsidRPr="007161DF">
        <w:rPr>
          <w:i/>
          <w:iCs/>
        </w:rPr>
        <w:t xml:space="preserve">“Lawyers acting for offenders between the ages of 10 and 13 use the presumption of </w:t>
      </w:r>
      <w:proofErr w:type="spellStart"/>
      <w:r w:rsidRPr="007161DF">
        <w:rPr>
          <w:i/>
          <w:iCs/>
        </w:rPr>
        <w:t>doli</w:t>
      </w:r>
      <w:proofErr w:type="spellEnd"/>
      <w:r w:rsidRPr="007161DF">
        <w:rPr>
          <w:i/>
          <w:iCs/>
        </w:rPr>
        <w:t xml:space="preserve"> </w:t>
      </w:r>
      <w:proofErr w:type="spellStart"/>
      <w:r w:rsidRPr="007161DF">
        <w:rPr>
          <w:i/>
          <w:iCs/>
        </w:rPr>
        <w:t>incapax</w:t>
      </w:r>
      <w:proofErr w:type="spellEnd"/>
      <w:r w:rsidRPr="007161DF">
        <w:rPr>
          <w:i/>
          <w:iCs/>
        </w:rPr>
        <w:t>—</w:t>
      </w:r>
      <w:r>
        <w:rPr>
          <w:i/>
          <w:iCs/>
        </w:rPr>
        <w:t xml:space="preserve"> </w:t>
      </w:r>
      <w:r w:rsidRPr="007161DF">
        <w:rPr>
          <w:i/>
          <w:iCs/>
        </w:rPr>
        <w:t>incapacity to commit evil—to run rings around the court system, and to avoid proper sanctions for young</w:t>
      </w:r>
      <w:r>
        <w:rPr>
          <w:i/>
          <w:iCs/>
        </w:rPr>
        <w:t xml:space="preserve"> </w:t>
      </w:r>
      <w:r w:rsidRPr="007161DF">
        <w:rPr>
          <w:i/>
          <w:iCs/>
        </w:rPr>
        <w:t>offenders.”</w:t>
      </w:r>
      <w:r>
        <w:rPr>
          <w:rStyle w:val="FootnoteReference"/>
          <w:i/>
          <w:iCs/>
        </w:rPr>
        <w:footnoteReference w:id="36"/>
      </w:r>
    </w:p>
    <w:p w:rsidR="007161DF" w:rsidRPr="007161DF" w:rsidRDefault="007161DF" w:rsidP="007161DF">
      <w:r w:rsidRPr="007161DF">
        <w:t xml:space="preserve">The obvious remedy to this perceived imbalance was to abolish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altogether. If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>
        <w:t xml:space="preserve"> </w:t>
      </w:r>
      <w:r w:rsidRPr="007161DF">
        <w:t>were to continue to exist as a defence, it would place an evidential burden upon the defendant, forcing</w:t>
      </w:r>
      <w:r>
        <w:t xml:space="preserve"> </w:t>
      </w:r>
      <w:r w:rsidRPr="007161DF">
        <w:t>the prosecution to adduce evidence to rebut the defence to the usual criminal standard. It is submitted</w:t>
      </w:r>
      <w:r>
        <w:t xml:space="preserve"> </w:t>
      </w:r>
      <w:r w:rsidRPr="007161DF">
        <w:t xml:space="preserve">that it would be relatively easy for the defence to adduce some evidence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>, such as the</w:t>
      </w:r>
      <w:r>
        <w:t xml:space="preserve"> </w:t>
      </w:r>
      <w:r w:rsidRPr="007161DF">
        <w:t>testimony of a parent or the child himself. The prosecution would then face exactly the same difficulties</w:t>
      </w:r>
      <w:r>
        <w:t xml:space="preserve"> </w:t>
      </w:r>
      <w:r w:rsidRPr="007161DF">
        <w:t>as were apparent prior to section 34.</w:t>
      </w:r>
    </w:p>
    <w:p w:rsidR="007161DF" w:rsidRPr="007161DF" w:rsidRDefault="007161DF" w:rsidP="007161DF">
      <w:r w:rsidRPr="007161DF">
        <w:t>Thus, having regard to both the full extent of the debates in Parliament, the specific rejection of an</w:t>
      </w:r>
      <w:r>
        <w:t xml:space="preserve"> </w:t>
      </w:r>
      <w:r w:rsidRPr="007161DF">
        <w:t>amendment which would have reversed the presumption and to the mischief that the statute was</w:t>
      </w:r>
      <w:r>
        <w:t xml:space="preserve"> </w:t>
      </w:r>
      <w:r w:rsidRPr="007161DF">
        <w:t>designed to remedy, it is submitted that there is little prospect that a court properly seized of the issue</w:t>
      </w:r>
      <w:r>
        <w:t xml:space="preserve"> </w:t>
      </w:r>
      <w:r w:rsidRPr="007161DF">
        <w:t xml:space="preserve">would conclude that section 34 permits a defence of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>.</w:t>
      </w:r>
    </w:p>
    <w:p w:rsidR="007161DF" w:rsidRPr="007161DF" w:rsidRDefault="007161DF" w:rsidP="007161DF">
      <w:pPr>
        <w:rPr>
          <w:b/>
          <w:bCs/>
        </w:rPr>
      </w:pPr>
      <w:r w:rsidRPr="007161DF">
        <w:rPr>
          <w:b/>
          <w:bCs/>
        </w:rPr>
        <w:t xml:space="preserve">Is </w:t>
      </w:r>
      <w:proofErr w:type="spellStart"/>
      <w:r w:rsidRPr="007161DF">
        <w:rPr>
          <w:b/>
          <w:bCs/>
        </w:rPr>
        <w:t>Doli</w:t>
      </w:r>
      <w:proofErr w:type="spellEnd"/>
      <w:r w:rsidRPr="007161DF">
        <w:rPr>
          <w:b/>
          <w:bCs/>
        </w:rPr>
        <w:t xml:space="preserve"> necessary?</w:t>
      </w:r>
    </w:p>
    <w:p w:rsidR="007161DF" w:rsidRPr="007161DF" w:rsidRDefault="007161DF" w:rsidP="007161DF">
      <w:r w:rsidRPr="007161DF">
        <w:t xml:space="preserve">In any event, it is clear from </w:t>
      </w:r>
      <w:r w:rsidRPr="007161DF">
        <w:rPr>
          <w:i/>
          <w:iCs/>
        </w:rPr>
        <w:t xml:space="preserve">DPP v P </w:t>
      </w:r>
      <w:r w:rsidRPr="007161DF">
        <w:t>that issues of fitness to plead, the ability to participate effectively</w:t>
      </w:r>
      <w:r>
        <w:t xml:space="preserve"> </w:t>
      </w:r>
      <w:r w:rsidRPr="007161DF">
        <w:t xml:space="preserve">in a trial, the ability to distinguish right from wrong, and even the capacity to form the </w:t>
      </w:r>
      <w:r w:rsidRPr="007161DF">
        <w:lastRenderedPageBreak/>
        <w:t xml:space="preserve">requisite </w:t>
      </w:r>
      <w:proofErr w:type="spellStart"/>
      <w:r w:rsidRPr="007161DF">
        <w:t>mens</w:t>
      </w:r>
      <w:proofErr w:type="spellEnd"/>
      <w:r w:rsidRPr="007161DF">
        <w:t xml:space="preserve"> rea</w:t>
      </w:r>
      <w:r>
        <w:t xml:space="preserve"> </w:t>
      </w:r>
      <w:r w:rsidRPr="007161DF">
        <w:t>will often overlap. It would probably be unusual if a child did not appreciate that his acts were seriously</w:t>
      </w:r>
      <w:r>
        <w:t xml:space="preserve"> </w:t>
      </w:r>
      <w:r w:rsidRPr="007161DF">
        <w:t>wrong but was capable of understanding court proceedings sufficiently to be considered fit to plead. It is,</w:t>
      </w:r>
      <w:r>
        <w:t xml:space="preserve"> </w:t>
      </w:r>
      <w:r w:rsidRPr="007161DF">
        <w:t>of course, possible that a child may be fit to plead but lack capacity due to immaturity or to issues</w:t>
      </w:r>
      <w:r>
        <w:t xml:space="preserve"> </w:t>
      </w:r>
      <w:r w:rsidRPr="007161DF">
        <w:t>concerning his upbringing and development, in which case the question of whether he was able to</w:t>
      </w:r>
      <w:r>
        <w:t xml:space="preserve"> </w:t>
      </w:r>
      <w:r w:rsidRPr="007161DF">
        <w:t>participate effectively in the proceedings would arise. It appears that having the means to know that an</w:t>
      </w:r>
      <w:r>
        <w:t xml:space="preserve"> </w:t>
      </w:r>
      <w:r w:rsidRPr="007161DF">
        <w:t>act was wrong is a prerequisite for being able to participate effectively in a trial and an inability to</w:t>
      </w:r>
      <w:r>
        <w:t xml:space="preserve"> </w:t>
      </w:r>
      <w:r w:rsidRPr="007161DF">
        <w:t>participate effectively will result in a stay. Thus a child defendant who cannot distinguish right from</w:t>
      </w:r>
      <w:r>
        <w:t xml:space="preserve"> </w:t>
      </w:r>
      <w:r w:rsidRPr="007161DF">
        <w:t>wrong retains some measure of protection under the criminal law, even though this protection exists in</w:t>
      </w:r>
      <w:r>
        <w:t xml:space="preserve"> </w:t>
      </w:r>
      <w:r w:rsidRPr="007161DF">
        <w:t>the form of a stay rather than a defence.</w:t>
      </w:r>
    </w:p>
    <w:p w:rsidR="007161DF" w:rsidRPr="007161DF" w:rsidRDefault="007161DF" w:rsidP="007161DF">
      <w:r w:rsidRPr="007161DF">
        <w:rPr>
          <w:i/>
          <w:iCs/>
        </w:rPr>
        <w:t xml:space="preserve">DPP v P </w:t>
      </w:r>
      <w:r w:rsidRPr="007161DF">
        <w:t>makes it clear, however, that a decision to stay proceedings at the outset on the basis of medical</w:t>
      </w:r>
      <w:r>
        <w:t xml:space="preserve"> </w:t>
      </w:r>
      <w:r w:rsidRPr="007161DF">
        <w:t>evidence alone is unlikely to be upheld save in exceptional circumstances. The Court gave little guidance</w:t>
      </w:r>
      <w:r>
        <w:t xml:space="preserve"> </w:t>
      </w:r>
      <w:r w:rsidRPr="007161DF">
        <w:t>as to what this might mean but it may be that if the trial process itself would potentially harm the child,</w:t>
      </w:r>
      <w:r>
        <w:t xml:space="preserve"> </w:t>
      </w:r>
      <w:r w:rsidRPr="007161DF">
        <w:t>this would constitute an exceptional circumstance justifying an early stay. Experts should therefore give</w:t>
      </w:r>
      <w:r>
        <w:t xml:space="preserve"> </w:t>
      </w:r>
      <w:r w:rsidRPr="007161DF">
        <w:t>consideration to the likely impact of a trial process, or fact-finding process, on a young defendant.</w:t>
      </w:r>
    </w:p>
    <w:p w:rsidR="007161DF" w:rsidRDefault="007161DF" w:rsidP="007161DF">
      <w:r w:rsidRPr="007161DF">
        <w:t>The Court confirmed that a stay could also be granted if no useful purpose could be served by finding the</w:t>
      </w:r>
      <w:r>
        <w:t xml:space="preserve"> </w:t>
      </w:r>
      <w:r w:rsidRPr="007161DF">
        <w:t>facts. It appears that even if a defendant would not receive a hospital order or a guardianship order, a</w:t>
      </w:r>
      <w:r>
        <w:t xml:space="preserve"> </w:t>
      </w:r>
      <w:r w:rsidRPr="007161DF">
        <w:t>useful purpose may still be served by going through the fact finding process. Proceedings in a civil</w:t>
      </w:r>
      <w:r>
        <w:t xml:space="preserve"> </w:t>
      </w:r>
      <w:r w:rsidRPr="007161DF">
        <w:t>jurisdiction may follow, as they did in P’s case, and a youth court’s findings may simplify these proceedings.</w:t>
      </w:r>
      <w:r>
        <w:t xml:space="preserve"> </w:t>
      </w:r>
      <w:r w:rsidRPr="007161DF">
        <w:t xml:space="preserve">It would seem that if proceedings under the </w:t>
      </w:r>
      <w:r w:rsidRPr="007161DF">
        <w:rPr>
          <w:i/>
          <w:iCs/>
        </w:rPr>
        <w:t xml:space="preserve">Children Act 1989 </w:t>
      </w:r>
      <w:r w:rsidRPr="007161DF">
        <w:t>are not available or have already been</w:t>
      </w:r>
      <w:r>
        <w:t xml:space="preserve"> </w:t>
      </w:r>
      <w:r w:rsidRPr="007161DF">
        <w:t>carried out and a hospital order is not appropriate, there would be no point in switching to fact-finding</w:t>
      </w:r>
      <w:r>
        <w:t xml:space="preserve"> </w:t>
      </w:r>
      <w:r w:rsidRPr="007161DF">
        <w:t>and, again, this might justify a stay.</w:t>
      </w:r>
    </w:p>
    <w:p w:rsidR="000E5F37" w:rsidRPr="007161DF" w:rsidRDefault="000E5F37" w:rsidP="007161DF"/>
    <w:p w:rsidR="007161DF" w:rsidRPr="000E5F37" w:rsidRDefault="007161DF" w:rsidP="007161DF">
      <w:pPr>
        <w:rPr>
          <w:b/>
          <w:bCs/>
          <w:sz w:val="24"/>
        </w:rPr>
      </w:pPr>
      <w:r w:rsidRPr="000E5F37">
        <w:rPr>
          <w:b/>
          <w:bCs/>
          <w:sz w:val="24"/>
        </w:rPr>
        <w:t xml:space="preserve">Conclusion: Will </w:t>
      </w:r>
      <w:proofErr w:type="spellStart"/>
      <w:r w:rsidRPr="000E5F37">
        <w:rPr>
          <w:b/>
          <w:bCs/>
          <w:sz w:val="24"/>
        </w:rPr>
        <w:t>doli</w:t>
      </w:r>
      <w:proofErr w:type="spellEnd"/>
      <w:r w:rsidRPr="000E5F37">
        <w:rPr>
          <w:b/>
          <w:bCs/>
          <w:sz w:val="24"/>
        </w:rPr>
        <w:t xml:space="preserve"> go away again?</w:t>
      </w:r>
    </w:p>
    <w:p w:rsidR="007161DF" w:rsidRPr="007161DF" w:rsidRDefault="007161DF" w:rsidP="007161DF">
      <w:r w:rsidRPr="007161DF">
        <w:t xml:space="preserve">Defence lawyers and expert witnesses are right to take seriously the possibility of utilising the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>
        <w:t xml:space="preserve"> </w:t>
      </w:r>
      <w:r w:rsidRPr="007161DF">
        <w:t xml:space="preserve">defence in light of </w:t>
      </w:r>
      <w:r w:rsidRPr="007161DF">
        <w:rPr>
          <w:i/>
          <w:iCs/>
        </w:rPr>
        <w:t>DPP v P</w:t>
      </w:r>
      <w:r w:rsidRPr="007161DF">
        <w:t xml:space="preserve">. Ultimately </w:t>
      </w:r>
      <w:proofErr w:type="gramStart"/>
      <w:r w:rsidRPr="007161DF">
        <w:t>though,</w:t>
      </w:r>
      <w:proofErr w:type="gramEnd"/>
      <w:r w:rsidRPr="007161DF">
        <w:t xml:space="preserve"> it is likely that the courts will recognise that the true effect</w:t>
      </w:r>
      <w:r>
        <w:t xml:space="preserve"> </w:t>
      </w:r>
      <w:r w:rsidRPr="007161DF">
        <w:t xml:space="preserve">of section 34 was to remove both the presumption and the defence. The real value of </w:t>
      </w:r>
      <w:r w:rsidRPr="007161DF">
        <w:rPr>
          <w:i/>
          <w:iCs/>
        </w:rPr>
        <w:t xml:space="preserve">DPP v P </w:t>
      </w:r>
      <w:r w:rsidRPr="007161DF">
        <w:t>lies not in</w:t>
      </w:r>
      <w:r>
        <w:t xml:space="preserve"> </w:t>
      </w:r>
      <w:r w:rsidRPr="007161DF">
        <w:t xml:space="preserve">its attempt to resurrect </w:t>
      </w:r>
      <w:proofErr w:type="spellStart"/>
      <w:r w:rsidRPr="007161DF">
        <w:t>doli</w:t>
      </w:r>
      <w:proofErr w:type="spellEnd"/>
      <w:r w:rsidRPr="007161DF">
        <w:t xml:space="preserve"> </w:t>
      </w:r>
      <w:proofErr w:type="spellStart"/>
      <w:r w:rsidRPr="007161DF">
        <w:t>incapax</w:t>
      </w:r>
      <w:proofErr w:type="spellEnd"/>
      <w:r w:rsidRPr="007161DF">
        <w:t xml:space="preserve"> as a defence but in its recognition that capacity and understanding</w:t>
      </w:r>
      <w:r>
        <w:t xml:space="preserve"> </w:t>
      </w:r>
      <w:r w:rsidRPr="007161DF">
        <w:t>of right and wrong are highly relevant to the young defendant’s ability to participate effectively in his trial.</w:t>
      </w:r>
      <w:bookmarkStart w:id="0" w:name="_GoBack"/>
      <w:bookmarkEnd w:id="0"/>
    </w:p>
    <w:sectPr w:rsidR="007161DF" w:rsidRPr="00716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AB" w:rsidRDefault="000320AB" w:rsidP="000320AB">
      <w:pPr>
        <w:spacing w:after="0" w:line="240" w:lineRule="auto"/>
      </w:pPr>
      <w:r>
        <w:separator/>
      </w:r>
    </w:p>
  </w:endnote>
  <w:endnote w:type="continuationSeparator" w:id="0">
    <w:p w:rsidR="000320AB" w:rsidRDefault="000320AB" w:rsidP="0003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AB" w:rsidRDefault="000320AB" w:rsidP="000320AB">
      <w:pPr>
        <w:spacing w:after="0" w:line="240" w:lineRule="auto"/>
      </w:pPr>
      <w:r>
        <w:separator/>
      </w:r>
    </w:p>
  </w:footnote>
  <w:footnote w:type="continuationSeparator" w:id="0">
    <w:p w:rsidR="000320AB" w:rsidRDefault="000320AB" w:rsidP="000320AB">
      <w:pPr>
        <w:spacing w:after="0" w:line="240" w:lineRule="auto"/>
      </w:pPr>
      <w:r>
        <w:continuationSeparator/>
      </w:r>
    </w:p>
  </w:footnote>
  <w:footnote w:id="1">
    <w:p w:rsidR="000320AB" w:rsidRPr="000320AB" w:rsidRDefault="000320AB" w:rsidP="000320AB">
      <w:pPr>
        <w:pStyle w:val="FootnoteText"/>
        <w:rPr>
          <w:sz w:val="16"/>
        </w:rPr>
      </w:pPr>
      <w:r w:rsidRPr="000320AB">
        <w:rPr>
          <w:rStyle w:val="FootnoteReference"/>
          <w:sz w:val="16"/>
        </w:rPr>
        <w:footnoteRef/>
      </w:r>
      <w:r w:rsidRPr="000320AB">
        <w:rPr>
          <w:sz w:val="16"/>
        </w:rPr>
        <w:t xml:space="preserve"> </w:t>
      </w:r>
      <w:proofErr w:type="gramStart"/>
      <w:r w:rsidRPr="000320AB">
        <w:rPr>
          <w:sz w:val="16"/>
        </w:rPr>
        <w:t>Barrister; Senior Lecturer, School of Law, Northumbria</w:t>
      </w:r>
      <w:r w:rsidRPr="000320AB">
        <w:rPr>
          <w:sz w:val="16"/>
        </w:rPr>
        <w:t xml:space="preserve"> </w:t>
      </w:r>
      <w:r w:rsidRPr="000320AB">
        <w:rPr>
          <w:sz w:val="16"/>
        </w:rPr>
        <w:t>University.</w:t>
      </w:r>
      <w:proofErr w:type="gramEnd"/>
      <w:r w:rsidRPr="000320AB">
        <w:rPr>
          <w:sz w:val="16"/>
        </w:rPr>
        <w:t xml:space="preserve"> The author is grateful to Kevin </w:t>
      </w:r>
      <w:proofErr w:type="gramStart"/>
      <w:r w:rsidRPr="000320AB">
        <w:rPr>
          <w:sz w:val="16"/>
        </w:rPr>
        <w:t>Kerrigan ,</w:t>
      </w:r>
      <w:proofErr w:type="gramEnd"/>
      <w:r w:rsidRPr="000320AB">
        <w:rPr>
          <w:sz w:val="16"/>
        </w:rPr>
        <w:t xml:space="preserve"> </w:t>
      </w:r>
      <w:r w:rsidRPr="000320AB">
        <w:rPr>
          <w:sz w:val="16"/>
        </w:rPr>
        <w:t>Reader, School of Law, Northumbria University, for his</w:t>
      </w:r>
      <w:r w:rsidRPr="000320AB">
        <w:rPr>
          <w:sz w:val="16"/>
        </w:rPr>
        <w:t xml:space="preserve"> </w:t>
      </w:r>
      <w:r w:rsidRPr="000320AB">
        <w:rPr>
          <w:sz w:val="16"/>
        </w:rPr>
        <w:t>helpful comments on an earlier draft of the article.</w:t>
      </w:r>
    </w:p>
  </w:footnote>
  <w:footnote w:id="2">
    <w:p w:rsidR="000320AB" w:rsidRPr="000320AB" w:rsidRDefault="000320AB">
      <w:pPr>
        <w:pStyle w:val="FootnoteText"/>
        <w:rPr>
          <w:sz w:val="16"/>
        </w:rPr>
      </w:pPr>
      <w:r w:rsidRPr="000320AB">
        <w:rPr>
          <w:rStyle w:val="FootnoteReference"/>
          <w:sz w:val="16"/>
        </w:rPr>
        <w:footnoteRef/>
      </w:r>
      <w:r w:rsidRPr="000320AB">
        <w:rPr>
          <w:sz w:val="16"/>
        </w:rPr>
        <w:t xml:space="preserve"> </w:t>
      </w:r>
      <w:proofErr w:type="gramStart"/>
      <w:r w:rsidRPr="000320AB">
        <w:rPr>
          <w:sz w:val="16"/>
        </w:rPr>
        <w:t>[2007] EWHC 946 (Admin).</w:t>
      </w:r>
      <w:proofErr w:type="gramEnd"/>
    </w:p>
  </w:footnote>
  <w:footnote w:id="3">
    <w:p w:rsidR="000320AB" w:rsidRPr="006A297C" w:rsidRDefault="000320AB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Sections 4, 4A and 5.</w:t>
      </w:r>
      <w:proofErr w:type="gramEnd"/>
    </w:p>
  </w:footnote>
  <w:footnote w:id="4">
    <w:p w:rsidR="000320AB" w:rsidRPr="006A297C" w:rsidRDefault="000320AB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[2002] EWHC 734 (Admin).</w:t>
      </w:r>
      <w:proofErr w:type="gramEnd"/>
    </w:p>
  </w:footnote>
  <w:footnote w:id="5">
    <w:p w:rsidR="000320AB" w:rsidRPr="006A297C" w:rsidRDefault="000320AB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[2004] 40 EHRR 10.</w:t>
      </w:r>
      <w:proofErr w:type="gramEnd"/>
    </w:p>
  </w:footnote>
  <w:footnote w:id="6">
    <w:p w:rsidR="000320AB" w:rsidRPr="006A297C" w:rsidRDefault="000320AB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[2005] EWHC 2583 (Admin).</w:t>
      </w:r>
      <w:proofErr w:type="gramEnd"/>
    </w:p>
  </w:footnote>
  <w:footnote w:id="7">
    <w:p w:rsidR="000320AB" w:rsidRPr="006A297C" w:rsidRDefault="000320AB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Ibid. para 7(ii).</w:t>
      </w:r>
      <w:proofErr w:type="gramEnd"/>
    </w:p>
  </w:footnote>
  <w:footnote w:id="8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spellStart"/>
      <w:r w:rsidRPr="006A297C">
        <w:rPr>
          <w:sz w:val="16"/>
        </w:rPr>
        <w:t>M’Naghten’s</w:t>
      </w:r>
      <w:proofErr w:type="spellEnd"/>
      <w:r w:rsidRPr="006A297C">
        <w:rPr>
          <w:sz w:val="16"/>
        </w:rPr>
        <w:t xml:space="preserve"> Case (1843) 10 CL. &amp; F. 200</w:t>
      </w:r>
    </w:p>
  </w:footnote>
  <w:footnote w:id="9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 xml:space="preserve">4 </w:t>
      </w:r>
      <w:proofErr w:type="spellStart"/>
      <w:r w:rsidRPr="006A297C">
        <w:rPr>
          <w:sz w:val="16"/>
        </w:rPr>
        <w:t>Bl</w:t>
      </w:r>
      <w:proofErr w:type="spellEnd"/>
      <w:r w:rsidRPr="006A297C">
        <w:rPr>
          <w:sz w:val="16"/>
        </w:rPr>
        <w:t xml:space="preserve"> Com (1st Ed) 22.</w:t>
      </w:r>
      <w:proofErr w:type="gramEnd"/>
    </w:p>
  </w:footnote>
  <w:footnote w:id="10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Ibid. 23.</w:t>
      </w:r>
      <w:proofErr w:type="gramEnd"/>
    </w:p>
  </w:footnote>
  <w:footnote w:id="11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Ibid. 23.</w:t>
      </w:r>
      <w:proofErr w:type="gramEnd"/>
    </w:p>
  </w:footnote>
  <w:footnote w:id="12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Section 16(1).</w:t>
      </w:r>
      <w:proofErr w:type="gramEnd"/>
    </w:p>
  </w:footnote>
  <w:footnote w:id="13">
    <w:p w:rsidR="006A297C" w:rsidRPr="006A297C" w:rsidRDefault="006A297C" w:rsidP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 xml:space="preserve">R v </w:t>
      </w:r>
      <w:proofErr w:type="spellStart"/>
      <w:r w:rsidRPr="006A297C">
        <w:rPr>
          <w:sz w:val="16"/>
        </w:rPr>
        <w:t>Gorrie</w:t>
      </w:r>
      <w:proofErr w:type="spellEnd"/>
      <w:r w:rsidRPr="006A297C">
        <w:rPr>
          <w:sz w:val="16"/>
        </w:rPr>
        <w:t xml:space="preserve"> (1919) 83 JP 136; B v R (1958) 44 Cr App</w:t>
      </w:r>
      <w:r w:rsidRPr="006A297C">
        <w:rPr>
          <w:sz w:val="16"/>
        </w:rPr>
        <w:t xml:space="preserve"> </w:t>
      </w:r>
      <w:r w:rsidRPr="006A297C">
        <w:rPr>
          <w:sz w:val="16"/>
        </w:rPr>
        <w:t>R 1; C v DPP [1996] AC 1.</w:t>
      </w:r>
      <w:proofErr w:type="gramEnd"/>
    </w:p>
  </w:footnote>
  <w:footnote w:id="14">
    <w:p w:rsidR="006A297C" w:rsidRPr="006A297C" w:rsidRDefault="006A297C" w:rsidP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R v Smith (1845) 1 Cox C.C. 260; C v DPP [1996]</w:t>
      </w:r>
      <w:r w:rsidRPr="006A297C">
        <w:rPr>
          <w:sz w:val="16"/>
        </w:rPr>
        <w:t xml:space="preserve"> </w:t>
      </w:r>
      <w:r w:rsidRPr="006A297C">
        <w:rPr>
          <w:sz w:val="16"/>
        </w:rPr>
        <w:t>AC 1 at 38.</w:t>
      </w:r>
      <w:proofErr w:type="gramEnd"/>
    </w:p>
  </w:footnote>
  <w:footnote w:id="15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C v DPP [1996] AC 1 at 39.</w:t>
      </w:r>
      <w:proofErr w:type="gramEnd"/>
    </w:p>
  </w:footnote>
  <w:footnote w:id="16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C v DPP [1994] 3 WLR 888 at 894.</w:t>
      </w:r>
      <w:proofErr w:type="gramEnd"/>
    </w:p>
  </w:footnote>
  <w:footnote w:id="17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Ibid.</w:t>
      </w:r>
    </w:p>
  </w:footnote>
  <w:footnote w:id="18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Ibid. at 890.</w:t>
      </w:r>
      <w:proofErr w:type="gramEnd"/>
    </w:p>
  </w:footnote>
  <w:footnote w:id="19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Ibid. at 898.</w:t>
      </w:r>
      <w:proofErr w:type="gramEnd"/>
    </w:p>
  </w:footnote>
  <w:footnote w:id="20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C v DPP [1996] AC 1.</w:t>
      </w:r>
      <w:proofErr w:type="gramEnd"/>
    </w:p>
  </w:footnote>
  <w:footnote w:id="21">
    <w:p w:rsidR="006A297C" w:rsidRPr="006A297C" w:rsidRDefault="006A297C" w:rsidP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r w:rsidRPr="006A297C">
        <w:rPr>
          <w:sz w:val="16"/>
        </w:rPr>
        <w:t xml:space="preserve">Great Britain. </w:t>
      </w:r>
      <w:proofErr w:type="gramStart"/>
      <w:r w:rsidRPr="006A297C">
        <w:rPr>
          <w:sz w:val="16"/>
        </w:rPr>
        <w:t>Home Office.</w:t>
      </w:r>
      <w:proofErr w:type="gramEnd"/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(1990) Crime Justice and</w:t>
      </w:r>
      <w:r w:rsidRPr="006A297C">
        <w:rPr>
          <w:sz w:val="16"/>
        </w:rPr>
        <w:t xml:space="preserve"> </w:t>
      </w:r>
      <w:r w:rsidRPr="006A297C">
        <w:rPr>
          <w:sz w:val="16"/>
        </w:rPr>
        <w:t>Protecting the Public.</w:t>
      </w:r>
      <w:proofErr w:type="gramEnd"/>
      <w:r w:rsidRPr="006A297C">
        <w:rPr>
          <w:sz w:val="16"/>
        </w:rPr>
        <w:t xml:space="preserve"> London: The Stationary Office.</w:t>
      </w:r>
      <w:r w:rsidRPr="006A297C">
        <w:rPr>
          <w:sz w:val="16"/>
        </w:rPr>
        <w:t xml:space="preserve"> </w:t>
      </w:r>
      <w:proofErr w:type="gramStart"/>
      <w:r w:rsidRPr="006A297C">
        <w:rPr>
          <w:sz w:val="16"/>
        </w:rPr>
        <w:t>(Cm. 965) at para 8.4.</w:t>
      </w:r>
      <w:proofErr w:type="gramEnd"/>
    </w:p>
  </w:footnote>
  <w:footnote w:id="22">
    <w:p w:rsidR="006A297C" w:rsidRPr="006A297C" w:rsidRDefault="006A297C">
      <w:pPr>
        <w:pStyle w:val="FootnoteText"/>
        <w:rPr>
          <w:sz w:val="16"/>
        </w:rPr>
      </w:pPr>
      <w:r w:rsidRPr="006A297C">
        <w:rPr>
          <w:rStyle w:val="FootnoteReference"/>
          <w:sz w:val="16"/>
        </w:rPr>
        <w:footnoteRef/>
      </w:r>
      <w:r w:rsidRPr="006A297C">
        <w:rPr>
          <w:sz w:val="16"/>
        </w:rPr>
        <w:t xml:space="preserve"> </w:t>
      </w:r>
      <w:proofErr w:type="spellStart"/>
      <w:proofErr w:type="gramStart"/>
      <w:r w:rsidRPr="006A297C">
        <w:rPr>
          <w:sz w:val="16"/>
        </w:rPr>
        <w:t>Op.cit</w:t>
      </w:r>
      <w:proofErr w:type="spellEnd"/>
      <w:r w:rsidRPr="006A297C">
        <w:rPr>
          <w:sz w:val="16"/>
        </w:rPr>
        <w:t>. para 40.</w:t>
      </w:r>
      <w:proofErr w:type="gramEnd"/>
    </w:p>
  </w:footnote>
  <w:footnote w:id="23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Pepper v Hart [1993] 1 AC 593.</w:t>
      </w:r>
      <w:proofErr w:type="gramEnd"/>
    </w:p>
  </w:footnote>
  <w:footnote w:id="24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HL Deb 16 December 1997 c596.</w:t>
      </w:r>
    </w:p>
  </w:footnote>
  <w:footnote w:id="25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HC Deb 8 Apr 1998 c372.</w:t>
      </w:r>
      <w:proofErr w:type="gramEnd"/>
    </w:p>
  </w:footnote>
  <w:footnote w:id="26">
    <w:p w:rsidR="007161DF" w:rsidRPr="007161DF" w:rsidRDefault="007161DF" w:rsidP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r w:rsidRPr="007161DF">
        <w:rPr>
          <w:sz w:val="16"/>
        </w:rPr>
        <w:t xml:space="preserve">Great Britain. </w:t>
      </w:r>
      <w:proofErr w:type="gramStart"/>
      <w:r w:rsidRPr="007161DF">
        <w:rPr>
          <w:sz w:val="16"/>
        </w:rPr>
        <w:t>Home Office.</w:t>
      </w:r>
      <w:proofErr w:type="gramEnd"/>
      <w:r w:rsidRPr="007161DF">
        <w:rPr>
          <w:sz w:val="16"/>
        </w:rPr>
        <w:t xml:space="preserve"> (1997) Tackling Youth</w:t>
      </w:r>
      <w:r w:rsidRPr="007161DF">
        <w:rPr>
          <w:sz w:val="16"/>
        </w:rPr>
        <w:t xml:space="preserve"> </w:t>
      </w:r>
      <w:r w:rsidRPr="007161DF">
        <w:rPr>
          <w:sz w:val="16"/>
        </w:rPr>
        <w:t>Crime, Reforming Youth Justice: A Consultation Paper.</w:t>
      </w:r>
    </w:p>
  </w:footnote>
  <w:footnote w:id="27">
    <w:p w:rsidR="007161DF" w:rsidRPr="007161DF" w:rsidRDefault="007161DF" w:rsidP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r w:rsidRPr="007161DF">
        <w:rPr>
          <w:sz w:val="16"/>
        </w:rPr>
        <w:t xml:space="preserve">Great Britain. </w:t>
      </w:r>
      <w:proofErr w:type="gramStart"/>
      <w:r w:rsidRPr="007161DF">
        <w:rPr>
          <w:sz w:val="16"/>
        </w:rPr>
        <w:t>Home Office.</w:t>
      </w:r>
      <w:proofErr w:type="gramEnd"/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(1997) No More Excuses –</w:t>
      </w:r>
      <w:r w:rsidRPr="007161DF">
        <w:rPr>
          <w:sz w:val="16"/>
        </w:rPr>
        <w:t xml:space="preserve"> </w:t>
      </w:r>
      <w:r w:rsidRPr="007161DF">
        <w:rPr>
          <w:sz w:val="16"/>
        </w:rPr>
        <w:t>A New Approach to Tackling Youth Crime in England</w:t>
      </w:r>
      <w:r w:rsidRPr="007161DF">
        <w:rPr>
          <w:sz w:val="16"/>
        </w:rPr>
        <w:t xml:space="preserve"> </w:t>
      </w:r>
      <w:r w:rsidRPr="007161DF">
        <w:rPr>
          <w:sz w:val="16"/>
        </w:rPr>
        <w:t>and Wales.</w:t>
      </w:r>
      <w:proofErr w:type="gramEnd"/>
      <w:r w:rsidRPr="007161DF">
        <w:rPr>
          <w:sz w:val="16"/>
        </w:rPr>
        <w:t xml:space="preserve"> London: The Stationary Office. </w:t>
      </w:r>
      <w:proofErr w:type="gramStart"/>
      <w:r w:rsidRPr="007161DF">
        <w:rPr>
          <w:sz w:val="16"/>
        </w:rPr>
        <w:t>(Cm. 3809).</w:t>
      </w:r>
      <w:proofErr w:type="gramEnd"/>
    </w:p>
  </w:footnote>
  <w:footnote w:id="28">
    <w:p w:rsidR="007161DF" w:rsidRDefault="007161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7161DF">
        <w:t>HC Deb 27 November 1997 c1090.</w:t>
      </w:r>
      <w:proofErr w:type="gramEnd"/>
    </w:p>
  </w:footnote>
  <w:footnote w:id="29">
    <w:p w:rsidR="007161DF" w:rsidRDefault="007161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7161DF">
        <w:t>HC Deb 27 November 1997 c1100.</w:t>
      </w:r>
      <w:proofErr w:type="gramEnd"/>
    </w:p>
  </w:footnote>
  <w:footnote w:id="30">
    <w:p w:rsidR="007161DF" w:rsidRDefault="007161DF" w:rsidP="007161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HL Deb 12 February 1998 c1316; HL Deb 19 March</w:t>
      </w:r>
      <w:r>
        <w:t xml:space="preserve"> </w:t>
      </w:r>
      <w:r>
        <w:t>1998 c829.</w:t>
      </w:r>
      <w:proofErr w:type="gramEnd"/>
    </w:p>
  </w:footnote>
  <w:footnote w:id="31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HL Deb 12 February 1998 c1323.</w:t>
      </w:r>
    </w:p>
  </w:footnote>
  <w:footnote w:id="32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HL Deb 12 February 1998 c1324.</w:t>
      </w:r>
    </w:p>
  </w:footnote>
  <w:footnote w:id="33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HL Deb 19 March 1998 c838.</w:t>
      </w:r>
    </w:p>
  </w:footnote>
  <w:footnote w:id="34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HC Deb 8 April 1998 c376.</w:t>
      </w:r>
      <w:proofErr w:type="gramEnd"/>
    </w:p>
  </w:footnote>
  <w:footnote w:id="35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HC Deb 3 June 1998 c423.</w:t>
      </w:r>
      <w:proofErr w:type="gramEnd"/>
    </w:p>
  </w:footnote>
  <w:footnote w:id="36">
    <w:p w:rsidR="007161DF" w:rsidRPr="007161DF" w:rsidRDefault="007161DF">
      <w:pPr>
        <w:pStyle w:val="FootnoteText"/>
        <w:rPr>
          <w:sz w:val="16"/>
        </w:rPr>
      </w:pPr>
      <w:r w:rsidRPr="007161DF">
        <w:rPr>
          <w:rStyle w:val="FootnoteReference"/>
          <w:sz w:val="16"/>
        </w:rPr>
        <w:footnoteRef/>
      </w:r>
      <w:r w:rsidRPr="007161DF">
        <w:rPr>
          <w:sz w:val="16"/>
        </w:rPr>
        <w:t xml:space="preserve"> </w:t>
      </w:r>
      <w:proofErr w:type="gramStart"/>
      <w:r w:rsidRPr="007161DF">
        <w:rPr>
          <w:sz w:val="16"/>
        </w:rPr>
        <w:t>HC Deb 8 Apr 1998 c372.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1246E"/>
    <w:multiLevelType w:val="hybridMultilevel"/>
    <w:tmpl w:val="9B04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AB"/>
    <w:rsid w:val="000320AB"/>
    <w:rsid w:val="000E5F37"/>
    <w:rsid w:val="006A297C"/>
    <w:rsid w:val="007161DF"/>
    <w:rsid w:val="00950D03"/>
    <w:rsid w:val="00B9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2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0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20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2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20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20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2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5A73-C0BB-4D45-AFC2-4433E08AA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4320</Words>
  <Characters>24629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</cp:revision>
  <dcterms:created xsi:type="dcterms:W3CDTF">2014-11-10T15:23:00Z</dcterms:created>
  <dcterms:modified xsi:type="dcterms:W3CDTF">2014-11-10T16:05:00Z</dcterms:modified>
</cp:coreProperties>
</file>