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ABE" w:rsidRPr="00BA0ABE" w:rsidRDefault="00BA0ABE" w:rsidP="00BA0ABE">
      <w:pPr>
        <w:rPr>
          <w:sz w:val="56"/>
          <w:szCs w:val="56"/>
        </w:rPr>
      </w:pPr>
      <w:r w:rsidRPr="00BA0ABE">
        <w:rPr>
          <w:sz w:val="56"/>
          <w:szCs w:val="56"/>
        </w:rPr>
        <w:t>Book Reviews</w:t>
      </w:r>
    </w:p>
    <w:p w:rsidR="00BA0ABE" w:rsidRPr="00BA0ABE" w:rsidRDefault="00BA0ABE" w:rsidP="00BA0ABE">
      <w:pPr>
        <w:rPr>
          <w:b/>
          <w:bCs/>
          <w:sz w:val="40"/>
          <w:szCs w:val="40"/>
        </w:rPr>
      </w:pPr>
      <w:r w:rsidRPr="00BA0ABE">
        <w:rPr>
          <w:b/>
          <w:bCs/>
          <w:i/>
          <w:iCs/>
          <w:sz w:val="40"/>
          <w:szCs w:val="40"/>
        </w:rPr>
        <w:t>The Nearest Relative Handbook by David Hewitt</w:t>
      </w:r>
      <w:r w:rsidRPr="00BA0ABE">
        <w:rPr>
          <w:b/>
          <w:bCs/>
          <w:i/>
          <w:iCs/>
          <w:sz w:val="40"/>
          <w:szCs w:val="40"/>
        </w:rPr>
        <w:br/>
        <w:t>Published by Jessica Kingsley (2007), £17.99</w:t>
      </w:r>
      <w:r w:rsidRPr="00BA0ABE">
        <w:rPr>
          <w:b/>
          <w:bCs/>
          <w:i/>
          <w:iCs/>
          <w:sz w:val="40"/>
          <w:szCs w:val="40"/>
        </w:rPr>
        <w:br/>
      </w:r>
      <w:r w:rsidRPr="00BA0ABE">
        <w:rPr>
          <w:b/>
          <w:bCs/>
          <w:sz w:val="40"/>
          <w:szCs w:val="40"/>
        </w:rPr>
        <w:t>ISBN 13: 978-1-84310-522-0</w:t>
      </w:r>
    </w:p>
    <w:p w:rsidR="00BA0ABE" w:rsidRDefault="00BA0ABE" w:rsidP="00BA0ABE"/>
    <w:p w:rsidR="00BA0ABE" w:rsidRPr="00BA0ABE" w:rsidRDefault="00BA0ABE" w:rsidP="00BA0ABE">
      <w:r w:rsidRPr="00BA0ABE">
        <w:t>Deciding on a publication date is always a risky business. This text could have become the dinosaur of</w:t>
      </w:r>
      <w:r>
        <w:t xml:space="preserve"> </w:t>
      </w:r>
      <w:r w:rsidRPr="00BA0ABE">
        <w:t>mental health law books if Parliament had reverted to the Government’s original proposals for the</w:t>
      </w:r>
      <w:r>
        <w:t xml:space="preserve"> </w:t>
      </w:r>
      <w:r w:rsidRPr="00BA0ABE">
        <w:t xml:space="preserve">“nominated person” to replace the nearest relative. The book went to press before the </w:t>
      </w:r>
      <w:r w:rsidRPr="00BA0ABE">
        <w:rPr>
          <w:i/>
          <w:iCs/>
        </w:rPr>
        <w:t>Mental Health Act</w:t>
      </w:r>
      <w:r>
        <w:rPr>
          <w:i/>
          <w:iCs/>
        </w:rPr>
        <w:t xml:space="preserve"> </w:t>
      </w:r>
      <w:r w:rsidRPr="00BA0ABE">
        <w:rPr>
          <w:i/>
          <w:iCs/>
        </w:rPr>
        <w:t xml:space="preserve">2007 </w:t>
      </w:r>
      <w:r w:rsidRPr="00BA0ABE">
        <w:t>received Royal Assent, and the author and publishers must be mighty relieved that the changes to</w:t>
      </w:r>
      <w:r>
        <w:t xml:space="preserve"> </w:t>
      </w:r>
      <w:r w:rsidRPr="00BA0ABE">
        <w:t>the current law on the nearest relative have turned out to be minimal. If anything, too much attention</w:t>
      </w:r>
      <w:r>
        <w:t xml:space="preserve"> </w:t>
      </w:r>
      <w:r w:rsidRPr="00BA0ABE">
        <w:t>has been paid to the various proposals and to speculation about changes in the nearest relative role,</w:t>
      </w:r>
      <w:r>
        <w:t xml:space="preserve"> </w:t>
      </w:r>
      <w:r w:rsidRPr="00BA0ABE">
        <w:t>rather than concentrating on the actual position.</w:t>
      </w:r>
    </w:p>
    <w:p w:rsidR="00BA0ABE" w:rsidRPr="00BA0ABE" w:rsidRDefault="00BA0ABE" w:rsidP="00BA0ABE">
      <w:r w:rsidRPr="00BA0ABE">
        <w:t>Overall this book will be of benefit to mental health professionals working in England or Wales, but I am</w:t>
      </w:r>
      <w:r>
        <w:t xml:space="preserve"> </w:t>
      </w:r>
      <w:r w:rsidRPr="00BA0ABE">
        <w:t>not sure how useful it will be for one of its target groups, nearest relatives themselves. Despite the range</w:t>
      </w:r>
      <w:r>
        <w:t xml:space="preserve"> </w:t>
      </w:r>
      <w:r w:rsidRPr="00BA0ABE">
        <w:t>of examples it remains a rather complex text with no basic summaries of key points to make it more</w:t>
      </w:r>
      <w:r>
        <w:t xml:space="preserve"> </w:t>
      </w:r>
      <w:r w:rsidRPr="00BA0ABE">
        <w:t>accessible. However, anything that prevents professionals from muddling up the nearest relative with the</w:t>
      </w:r>
      <w:r>
        <w:t xml:space="preserve"> </w:t>
      </w:r>
      <w:r w:rsidRPr="00BA0ABE">
        <w:t>next of kin, and which may enhance their understanding of this crucial role, is welcome. For an actual</w:t>
      </w:r>
      <w:r>
        <w:t xml:space="preserve"> </w:t>
      </w:r>
      <w:r w:rsidRPr="00BA0ABE">
        <w:t>nearest relative’s view of the role, readers might wish to look at the 2005 Journal of Mental Health Law</w:t>
      </w:r>
      <w:r>
        <w:t xml:space="preserve"> </w:t>
      </w:r>
      <w:r w:rsidRPr="00BA0ABE">
        <w:t xml:space="preserve">article by Victoria </w:t>
      </w:r>
      <w:proofErr w:type="spellStart"/>
      <w:r w:rsidRPr="00BA0ABE">
        <w:t>Yeates</w:t>
      </w:r>
      <w:proofErr w:type="spellEnd"/>
      <w:r>
        <w:rPr>
          <w:rStyle w:val="FootnoteReference"/>
        </w:rPr>
        <w:footnoteReference w:id="1"/>
      </w:r>
      <w:r w:rsidRPr="00BA0ABE">
        <w:t>.</w:t>
      </w:r>
    </w:p>
    <w:p w:rsidR="00BA0ABE" w:rsidRPr="00BA0ABE" w:rsidRDefault="00BA0ABE" w:rsidP="00BA0ABE">
      <w:r w:rsidRPr="00BA0ABE">
        <w:t>David Hewitt is a solicitor who specialises in mental health law and is Assistant Editor of this Journal. He</w:t>
      </w:r>
      <w:r>
        <w:t xml:space="preserve"> </w:t>
      </w:r>
      <w:r w:rsidRPr="00BA0ABE">
        <w:t>was also a Mental Health Act Commissioner for nine years. His practical grasp of how the law operates</w:t>
      </w:r>
      <w:r>
        <w:t xml:space="preserve"> </w:t>
      </w:r>
      <w:r w:rsidRPr="00BA0ABE">
        <w:t>in this field is excellent, and he has illustrated the text with a broad range of case examples.</w:t>
      </w:r>
    </w:p>
    <w:p w:rsidR="00BA0ABE" w:rsidRPr="00BA0ABE" w:rsidRDefault="00BA0ABE" w:rsidP="00BA0ABE">
      <w:r w:rsidRPr="00BA0ABE">
        <w:t xml:space="preserve">The book starts with a brief history of the nearest relative. Hewitt wisely draws on </w:t>
      </w:r>
      <w:proofErr w:type="spellStart"/>
      <w:r w:rsidRPr="00BA0ABE">
        <w:t>Rapaport</w:t>
      </w:r>
      <w:proofErr w:type="spellEnd"/>
      <w:r>
        <w:rPr>
          <w:rStyle w:val="FootnoteReference"/>
        </w:rPr>
        <w:footnoteReference w:id="2"/>
      </w:r>
      <w:r w:rsidRPr="00BA0ABE">
        <w:t xml:space="preserve"> for his</w:t>
      </w:r>
      <w:r>
        <w:t xml:space="preserve"> </w:t>
      </w:r>
      <w:r w:rsidRPr="00BA0ABE">
        <w:t>analysis of the development of the nearest relative’s role in relation to a number of areas including:</w:t>
      </w:r>
      <w:r>
        <w:t xml:space="preserve"> </w:t>
      </w:r>
      <w:r w:rsidRPr="00BA0ABE">
        <w:t>applications for detention, objections to detention, receiving information about the patient and, finally,</w:t>
      </w:r>
      <w:r>
        <w:t xml:space="preserve"> </w:t>
      </w:r>
      <w:r w:rsidRPr="00BA0ABE">
        <w:t>in the discharge process. These functions then provide the framework for an analysis of problems and</w:t>
      </w:r>
      <w:r>
        <w:t xml:space="preserve"> </w:t>
      </w:r>
      <w:r w:rsidRPr="00BA0ABE">
        <w:t xml:space="preserve">proposals for change in the nearest relative’s role. There is a very helpful discussion of </w:t>
      </w:r>
      <w:r w:rsidRPr="00BA0ABE">
        <w:rPr>
          <w:i/>
          <w:iCs/>
        </w:rPr>
        <w:t>JT v UK</w:t>
      </w:r>
      <w:r>
        <w:rPr>
          <w:rStyle w:val="FootnoteReference"/>
          <w:i/>
          <w:iCs/>
        </w:rPr>
        <w:footnoteReference w:id="3"/>
      </w:r>
      <w:r w:rsidRPr="00BA0ABE">
        <w:t>. I would</w:t>
      </w:r>
      <w:r>
        <w:t xml:space="preserve"> </w:t>
      </w:r>
      <w:r w:rsidRPr="00BA0ABE">
        <w:t>have preferred more analysis of the issues raised by the author, and much less on the various proposals</w:t>
      </w:r>
      <w:r>
        <w:t xml:space="preserve"> </w:t>
      </w:r>
      <w:r w:rsidRPr="00BA0ABE">
        <w:t>which were discussed during the draft stages of mental health law reform. Hardly any of these proposals</w:t>
      </w:r>
      <w:r>
        <w:t xml:space="preserve"> </w:t>
      </w:r>
      <w:r w:rsidRPr="00BA0ABE">
        <w:t>have seen the light of day, and I would suggest that this part of the book will now be of limited interest.</w:t>
      </w:r>
      <w:r>
        <w:t xml:space="preserve"> </w:t>
      </w:r>
      <w:r w:rsidRPr="00BA0ABE">
        <w:t>There is a brief summary of what emerged as the final changes at the end of the chapter and this would</w:t>
      </w:r>
      <w:r>
        <w:t xml:space="preserve"> </w:t>
      </w:r>
      <w:r w:rsidRPr="00BA0ABE">
        <w:t xml:space="preserve">probably have sufficed. In contrast, the passages on </w:t>
      </w:r>
      <w:r w:rsidRPr="00BA0ABE">
        <w:rPr>
          <w:i/>
          <w:iCs/>
        </w:rPr>
        <w:t xml:space="preserve">R (E) v </w:t>
      </w:r>
      <w:r w:rsidRPr="00BA0ABE">
        <w:rPr>
          <w:i/>
          <w:iCs/>
        </w:rPr>
        <w:lastRenderedPageBreak/>
        <w:t>Bristol City Council</w:t>
      </w:r>
      <w:r>
        <w:rPr>
          <w:rStyle w:val="FootnoteReference"/>
          <w:i/>
          <w:iCs/>
        </w:rPr>
        <w:footnoteReference w:id="4"/>
      </w:r>
      <w:r w:rsidRPr="00BA0ABE">
        <w:t xml:space="preserve"> and other recent </w:t>
      </w:r>
      <w:proofErr w:type="spellStart"/>
      <w:r w:rsidRPr="00BA0ABE">
        <w:t>caselaw</w:t>
      </w:r>
      <w:proofErr w:type="spellEnd"/>
      <w:r>
        <w:t xml:space="preserve"> </w:t>
      </w:r>
      <w:r w:rsidRPr="00BA0ABE">
        <w:t xml:space="preserve">are very welcome and will retain their relevance despite the changes made by the </w:t>
      </w:r>
      <w:r w:rsidRPr="00BA0ABE">
        <w:rPr>
          <w:i/>
          <w:iCs/>
        </w:rPr>
        <w:t>Mental Health Act 2007</w:t>
      </w:r>
      <w:r w:rsidRPr="00BA0ABE">
        <w:t>.</w:t>
      </w:r>
      <w:r>
        <w:t xml:space="preserve"> </w:t>
      </w:r>
      <w:r w:rsidRPr="00BA0ABE">
        <w:t>For a fuller analysis of the Bristol case I would recommend readers to look at the article by Helen</w:t>
      </w:r>
      <w:r>
        <w:t xml:space="preserve"> </w:t>
      </w:r>
      <w:r w:rsidRPr="00BA0ABE">
        <w:t>Kingston</w:t>
      </w:r>
      <w:r>
        <w:rPr>
          <w:rStyle w:val="FootnoteReference"/>
        </w:rPr>
        <w:footnoteReference w:id="5"/>
      </w:r>
      <w:r w:rsidRPr="00BA0ABE">
        <w:t xml:space="preserve"> in an earlier edition of this Journal.</w:t>
      </w:r>
    </w:p>
    <w:p w:rsidR="00BA0ABE" w:rsidRPr="00BA0ABE" w:rsidRDefault="00BA0ABE" w:rsidP="00BA0ABE">
      <w:r w:rsidRPr="00BA0ABE">
        <w:t>The second chapter tackles the difficult task of identifying the nearest relative of an adult patient. When</w:t>
      </w:r>
      <w:r>
        <w:t xml:space="preserve"> </w:t>
      </w:r>
      <w:r w:rsidRPr="00BA0ABE">
        <w:t xml:space="preserve">I started my career as a Mental Welfare Officer under the </w:t>
      </w:r>
      <w:r w:rsidRPr="00BA0ABE">
        <w:rPr>
          <w:i/>
          <w:iCs/>
        </w:rPr>
        <w:t xml:space="preserve">Mental Health Act 1959 </w:t>
      </w:r>
      <w:r w:rsidRPr="00BA0ABE">
        <w:t>we used to have the</w:t>
      </w:r>
      <w:r>
        <w:t xml:space="preserve"> </w:t>
      </w:r>
      <w:r w:rsidRPr="00BA0ABE">
        <w:t>relevant section (on identifying the nearest relative) printed on the back of the application form for</w:t>
      </w:r>
      <w:r>
        <w:t xml:space="preserve"> </w:t>
      </w:r>
      <w:r w:rsidRPr="00BA0ABE">
        <w:t xml:space="preserve">detention for treatment (section 26). This helpful aid disappeared with the introduction of the </w:t>
      </w:r>
      <w:r w:rsidRPr="00BA0ABE">
        <w:rPr>
          <w:i/>
          <w:iCs/>
        </w:rPr>
        <w:t>Mental</w:t>
      </w:r>
      <w:r>
        <w:rPr>
          <w:i/>
          <w:iCs/>
        </w:rPr>
        <w:t xml:space="preserve"> </w:t>
      </w:r>
      <w:r w:rsidRPr="00BA0ABE">
        <w:rPr>
          <w:i/>
          <w:iCs/>
        </w:rPr>
        <w:t xml:space="preserve">Health Act 1983 </w:t>
      </w:r>
      <w:r w:rsidRPr="00BA0ABE">
        <w:t>(MHA) (probably because the equivalent form had less space!), and the various statutory</w:t>
      </w:r>
      <w:r>
        <w:t xml:space="preserve"> </w:t>
      </w:r>
      <w:r w:rsidRPr="00BA0ABE">
        <w:t>and case law changes have made this one of the most difficult and contentious areas of law for Approved</w:t>
      </w:r>
      <w:r>
        <w:t xml:space="preserve"> </w:t>
      </w:r>
      <w:r w:rsidRPr="00BA0ABE">
        <w:t>Social Workers. As I live and breathe this area of law my criticisms of this essentially sound chapter may</w:t>
      </w:r>
      <w:r>
        <w:t xml:space="preserve"> </w:t>
      </w:r>
      <w:r w:rsidRPr="00BA0ABE">
        <w:t>appear a little over zealous. People who should be treated as if they are relatives because they have lived</w:t>
      </w:r>
      <w:r>
        <w:t xml:space="preserve"> </w:t>
      </w:r>
      <w:r w:rsidRPr="00BA0ABE">
        <w:t>with the patient for five years or more are (in my opinion) incorrectly excluded by Hewitt from taking</w:t>
      </w:r>
      <w:r>
        <w:t xml:space="preserve"> </w:t>
      </w:r>
      <w:r w:rsidRPr="00BA0ABE">
        <w:t>precedence over others within his own version of the hierarchy. For other relatives his stress on the</w:t>
      </w:r>
      <w:r>
        <w:t xml:space="preserve"> </w:t>
      </w:r>
      <w:r w:rsidRPr="00BA0ABE">
        <w:t>importance of the phrase “ordinarily resides with or cared for by” is more helpful and there are some useful</w:t>
      </w:r>
      <w:r>
        <w:t xml:space="preserve"> </w:t>
      </w:r>
      <w:r w:rsidRPr="00BA0ABE">
        <w:t>illustrations. This is an area where mistakes are frequently made and I am not sure that this part of the</w:t>
      </w:r>
      <w:r>
        <w:t xml:space="preserve"> </w:t>
      </w:r>
      <w:r w:rsidRPr="00BA0ABE">
        <w:t>book is as clear as it might have been. Some of the examples are not helpful. One identifies a brother</w:t>
      </w:r>
      <w:r>
        <w:t xml:space="preserve"> </w:t>
      </w:r>
      <w:r w:rsidRPr="00BA0ABE">
        <w:t>living with the patient as taking priority over a wife, with no mention of the fact that this would only apply</w:t>
      </w:r>
      <w:r>
        <w:t xml:space="preserve"> </w:t>
      </w:r>
      <w:r w:rsidRPr="00BA0ABE">
        <w:t>if the wife herself were not living with the patient. Readers will need to be stoical, and occasionally to</w:t>
      </w:r>
      <w:r>
        <w:t xml:space="preserve"> </w:t>
      </w:r>
      <w:r w:rsidRPr="00BA0ABE">
        <w:t>suspend disbelief, as they work through this chapter. These thirty pages of “how to spot the nearest</w:t>
      </w:r>
      <w:r>
        <w:t xml:space="preserve"> </w:t>
      </w:r>
      <w:r w:rsidRPr="00BA0ABE">
        <w:t>relative” could provide a new cure for insomnia or, more hopefully, lead to a new respect for those who</w:t>
      </w:r>
      <w:r>
        <w:t xml:space="preserve"> </w:t>
      </w:r>
      <w:r w:rsidRPr="00BA0ABE">
        <w:t>have worked hard to understand and operate this part of the MHA. They successfully integrate the</w:t>
      </w:r>
      <w:r>
        <w:t xml:space="preserve"> </w:t>
      </w:r>
      <w:r w:rsidRPr="00BA0ABE">
        <w:t>statute with the plethora of case law that has developed over the last few years. It has always been a relief</w:t>
      </w:r>
      <w:r>
        <w:t xml:space="preserve"> </w:t>
      </w:r>
      <w:r w:rsidRPr="00BA0ABE">
        <w:t>for ASWs that the relevant expression in the MHA is, as Hewitt cites on page 40, the person “appearing</w:t>
      </w:r>
      <w:r>
        <w:t xml:space="preserve"> </w:t>
      </w:r>
      <w:r w:rsidRPr="00BA0ABE">
        <w:t>to be the nearest relative”. It would have been helpful to have included some further discussion and</w:t>
      </w:r>
      <w:r>
        <w:t xml:space="preserve"> </w:t>
      </w:r>
      <w:r w:rsidRPr="00BA0ABE">
        <w:t>opinion on what should happen if others (such as the hospital managers) consider that the ASW has</w:t>
      </w:r>
      <w:r>
        <w:t xml:space="preserve"> </w:t>
      </w:r>
      <w:r w:rsidRPr="00BA0ABE">
        <w:t>identified the wrong person as nearest relative. This has caused some real difficulties in practice. Another</w:t>
      </w:r>
      <w:r>
        <w:t xml:space="preserve"> </w:t>
      </w:r>
      <w:r w:rsidRPr="00BA0ABE">
        <w:t>related dilemma is: what should happen if the ASW themselves decides with hindsight that they have</w:t>
      </w:r>
      <w:r>
        <w:t xml:space="preserve"> </w:t>
      </w:r>
      <w:r w:rsidRPr="00BA0ABE">
        <w:t>identified the wrong person as nearest relative on an application form? How can this be rectified?</w:t>
      </w:r>
    </w:p>
    <w:p w:rsidR="00BA0ABE" w:rsidRPr="00BA0ABE" w:rsidRDefault="00BA0ABE" w:rsidP="00BA0ABE">
      <w:r w:rsidRPr="00BA0ABE">
        <w:t>Chapter 3 sets out the rules that apply when identifying the nearest relatives of children (i.e. any person</w:t>
      </w:r>
      <w:r>
        <w:t xml:space="preserve"> </w:t>
      </w:r>
      <w:r w:rsidRPr="00BA0ABE">
        <w:t>under the age of 18). This short chapter should be invaluable for those faced with this issue as it is not</w:t>
      </w:r>
      <w:r>
        <w:t xml:space="preserve"> </w:t>
      </w:r>
      <w:r w:rsidRPr="00BA0ABE">
        <w:t>easy material to carry in one’s head. Chapter 4 then addresses circumstances in which a person will cease</w:t>
      </w:r>
      <w:r>
        <w:t xml:space="preserve"> </w:t>
      </w:r>
      <w:r w:rsidRPr="00BA0ABE">
        <w:t>to be the nearest relative. This includes the use of Regulation 14 to delegate authority, as well as the</w:t>
      </w:r>
      <w:r>
        <w:t xml:space="preserve"> </w:t>
      </w:r>
      <w:r w:rsidRPr="00BA0ABE">
        <w:t>county court’s role in displacement or appointment of nearest relatives. The material on court procedure</w:t>
      </w:r>
      <w:r>
        <w:t xml:space="preserve"> </w:t>
      </w:r>
      <w:r w:rsidRPr="00BA0ABE">
        <w:t>is very helpful and presented more clearly than in many other texts. A comment on what to do if a nearest</w:t>
      </w:r>
      <w:r>
        <w:t xml:space="preserve"> </w:t>
      </w:r>
      <w:r w:rsidRPr="00BA0ABE">
        <w:t>relative simply refuses to have any involvement at all would have been useful, as the above routes to</w:t>
      </w:r>
      <w:r>
        <w:t xml:space="preserve"> </w:t>
      </w:r>
      <w:r w:rsidRPr="00BA0ABE">
        <w:t>delegation or appointment are unlikely to be applicable in these circumstances.</w:t>
      </w:r>
    </w:p>
    <w:p w:rsidR="00BA0ABE" w:rsidRPr="00BA0ABE" w:rsidRDefault="00BA0ABE" w:rsidP="00BA0ABE">
      <w:r w:rsidRPr="00BA0ABE">
        <w:lastRenderedPageBreak/>
        <w:t>Chapter 5 outlines the nearest relative’s powers when admission to hospital occurs or is being considered.</w:t>
      </w:r>
      <w:r>
        <w:t xml:space="preserve"> </w:t>
      </w:r>
      <w:r w:rsidRPr="00BA0ABE">
        <w:t>It also looks at guardianship, although unfortunately this is not mentioned in the introduction.</w:t>
      </w:r>
      <w:r>
        <w:t xml:space="preserve"> </w:t>
      </w:r>
      <w:r w:rsidRPr="00BA0ABE">
        <w:t>Guardianship is an area that often involves difficulties concerning the nearest relative. See for example</w:t>
      </w:r>
      <w:r>
        <w:t xml:space="preserve"> </w:t>
      </w:r>
      <w:r w:rsidRPr="00BA0ABE">
        <w:t xml:space="preserve">the recent </w:t>
      </w:r>
      <w:r w:rsidRPr="00BA0ABE">
        <w:rPr>
          <w:i/>
          <w:iCs/>
        </w:rPr>
        <w:t xml:space="preserve">JE </w:t>
      </w:r>
      <w:r w:rsidRPr="00BA0ABE">
        <w:t>case in Surrey</w:t>
      </w:r>
      <w:r>
        <w:rPr>
          <w:rStyle w:val="FootnoteReference"/>
        </w:rPr>
        <w:footnoteReference w:id="6"/>
      </w:r>
      <w:r w:rsidRPr="00BA0ABE">
        <w:t xml:space="preserve"> where the Approved Social Worker did not pursue guardianship by taking</w:t>
      </w:r>
      <w:r>
        <w:t xml:space="preserve"> </w:t>
      </w:r>
      <w:r w:rsidRPr="00BA0ABE">
        <w:t>the case to county court when the nearest relative objected to a guardianship application. This case and</w:t>
      </w:r>
      <w:r>
        <w:t xml:space="preserve"> </w:t>
      </w:r>
      <w:r w:rsidRPr="00BA0ABE">
        <w:t>a further Northern Ireland case (</w:t>
      </w:r>
      <w:r w:rsidRPr="00BA0ABE">
        <w:rPr>
          <w:i/>
          <w:iCs/>
        </w:rPr>
        <w:t>Connor</w:t>
      </w:r>
      <w:r w:rsidRPr="00BA0ABE">
        <w:t>, 2004)</w:t>
      </w:r>
      <w:r>
        <w:rPr>
          <w:rStyle w:val="FootnoteReference"/>
        </w:rPr>
        <w:footnoteReference w:id="7"/>
      </w:r>
      <w:r w:rsidRPr="00BA0ABE">
        <w:t xml:space="preserve"> have led to renewed interest in the relationship between</w:t>
      </w:r>
      <w:r>
        <w:t xml:space="preserve"> </w:t>
      </w:r>
      <w:r w:rsidRPr="00BA0ABE">
        <w:t>guardianship and deprivation of liberty. The role of the nearest relative in this area is central and a more</w:t>
      </w:r>
      <w:r>
        <w:t xml:space="preserve"> </w:t>
      </w:r>
      <w:r w:rsidRPr="00BA0ABE">
        <w:t>detailed discussion in any further editions of this book would be welcome.</w:t>
      </w:r>
    </w:p>
    <w:p w:rsidR="00BA0ABE" w:rsidRPr="00BA0ABE" w:rsidRDefault="00BA0ABE" w:rsidP="00BA0ABE">
      <w:r w:rsidRPr="00BA0ABE">
        <w:t>Returning to admissions to hospital, chapter 5 considers the Code of Practice recommendation that the</w:t>
      </w:r>
      <w:r>
        <w:t xml:space="preserve"> </w:t>
      </w:r>
      <w:r w:rsidRPr="00BA0ABE">
        <w:t>applicant should usually be the ASW. Given the tiny number of applications made by nearest relatives</w:t>
      </w:r>
      <w:r>
        <w:t xml:space="preserve"> </w:t>
      </w:r>
      <w:r w:rsidRPr="00BA0ABE">
        <w:t>each year (the Department of Health stopped publishing the details in England when they dropped to</w:t>
      </w:r>
      <w:r>
        <w:t xml:space="preserve"> </w:t>
      </w:r>
      <w:r w:rsidRPr="00BA0ABE">
        <w:t xml:space="preserve">single figures) it is interesting that the </w:t>
      </w:r>
      <w:r w:rsidRPr="00BA0ABE">
        <w:rPr>
          <w:i/>
          <w:iCs/>
        </w:rPr>
        <w:t xml:space="preserve">Mental Health Act 2007 </w:t>
      </w:r>
      <w:r w:rsidRPr="00BA0ABE">
        <w:t>preserves the nearest relative as potential</w:t>
      </w:r>
      <w:r>
        <w:t xml:space="preserve"> </w:t>
      </w:r>
      <w:r w:rsidRPr="00BA0ABE">
        <w:t>applicant. One reason suggested for this was a concern that there might be insufficient Approved Mental</w:t>
      </w:r>
      <w:r>
        <w:t xml:space="preserve"> </w:t>
      </w:r>
      <w:r w:rsidRPr="00BA0ABE">
        <w:t xml:space="preserve">Health Practitioners to cope with the number of assessments. </w:t>
      </w:r>
      <w:proofErr w:type="spellStart"/>
      <w:r w:rsidRPr="00BA0ABE">
        <w:t>Yeates</w:t>
      </w:r>
      <w:proofErr w:type="spellEnd"/>
      <w:r w:rsidRPr="00BA0ABE">
        <w:t xml:space="preserve"> argued that the nearest relative</w:t>
      </w:r>
      <w:r>
        <w:t xml:space="preserve"> </w:t>
      </w:r>
      <w:r w:rsidRPr="00BA0ABE">
        <w:t>should not be the applicant but she stressed the importance of section 13(4) and Hewitt gives good</w:t>
      </w:r>
      <w:r>
        <w:t xml:space="preserve"> </w:t>
      </w:r>
      <w:r w:rsidRPr="00BA0ABE">
        <w:t>coverage to this area where the nearest relative has a right to an ASW assessment.</w:t>
      </w:r>
    </w:p>
    <w:p w:rsidR="00BA0ABE" w:rsidRPr="00BA0ABE" w:rsidRDefault="00BA0ABE" w:rsidP="00BA0ABE">
      <w:r w:rsidRPr="00BA0ABE">
        <w:t>There is also some very helpful material in chapters 5 and 7 on the nearest relative’s powers to discharge</w:t>
      </w:r>
      <w:r>
        <w:t xml:space="preserve"> </w:t>
      </w:r>
      <w:r w:rsidRPr="00BA0ABE">
        <w:t>a patient. There is a discussion in chapter 5 of the nearest relative’s rights to information. This passage</w:t>
      </w:r>
      <w:r>
        <w:t xml:space="preserve"> </w:t>
      </w:r>
      <w:r w:rsidRPr="00BA0ABE">
        <w:t>would have been strengthened with a more detailed account of sections 132 and the much neglected 133</w:t>
      </w:r>
      <w:r>
        <w:t xml:space="preserve"> </w:t>
      </w:r>
      <w:r w:rsidRPr="00BA0ABE">
        <w:t>(notice by hospital managers of the intention to discharge the patient). There is also some further</w:t>
      </w:r>
      <w:r>
        <w:t xml:space="preserve"> </w:t>
      </w:r>
      <w:r w:rsidRPr="00BA0ABE">
        <w:t xml:space="preserve">material on the </w:t>
      </w:r>
      <w:r w:rsidRPr="00BA0ABE">
        <w:rPr>
          <w:i/>
          <w:iCs/>
        </w:rPr>
        <w:t xml:space="preserve">Bristol </w:t>
      </w:r>
      <w:r w:rsidRPr="00BA0ABE">
        <w:t>case. The advice given at paragraph 5.52 that there should be no consultation with</w:t>
      </w:r>
      <w:r>
        <w:t xml:space="preserve"> </w:t>
      </w:r>
      <w:r w:rsidRPr="00BA0ABE">
        <w:t>the nearest relative in any case where this would cause the patient emotional distress, would seem to</w:t>
      </w:r>
      <w:r>
        <w:t xml:space="preserve"> </w:t>
      </w:r>
      <w:r w:rsidRPr="00BA0ABE">
        <w:t xml:space="preserve">rather overstate the implications of the </w:t>
      </w:r>
      <w:r w:rsidRPr="00BA0ABE">
        <w:rPr>
          <w:i/>
          <w:iCs/>
        </w:rPr>
        <w:t xml:space="preserve">Bristol </w:t>
      </w:r>
      <w:r w:rsidRPr="00BA0ABE">
        <w:t>judgement and is in contrast with Kingston’s approach of</w:t>
      </w:r>
      <w:r>
        <w:t xml:space="preserve"> </w:t>
      </w:r>
      <w:r w:rsidRPr="00BA0ABE">
        <w:t>balancing the competing Article 8 rights.</w:t>
      </w:r>
    </w:p>
    <w:p w:rsidR="00BA0ABE" w:rsidRPr="00BA0ABE" w:rsidRDefault="00BA0ABE" w:rsidP="00BA0ABE">
      <w:r w:rsidRPr="00BA0ABE">
        <w:t>Chapter 6 considers supervised aftercare and considerable attention is paid to this area. This chapter will</w:t>
      </w:r>
      <w:r>
        <w:t xml:space="preserve"> </w:t>
      </w:r>
      <w:r w:rsidRPr="00BA0ABE">
        <w:t>become redundant when supervised aftercare is replaced by the Community Treatment Order. In the</w:t>
      </w:r>
      <w:r>
        <w:t xml:space="preserve"> </w:t>
      </w:r>
      <w:r w:rsidRPr="00BA0ABE">
        <w:t>meantime it is useful to have all of the relevant material in just one place. Supervised aftercare is an</w:t>
      </w:r>
      <w:r>
        <w:t xml:space="preserve"> </w:t>
      </w:r>
      <w:r w:rsidRPr="00BA0ABE">
        <w:t>oddity in that it is the only area in the MHA where the ASW’s power to make an application (or in this</w:t>
      </w:r>
      <w:r>
        <w:t xml:space="preserve"> </w:t>
      </w:r>
      <w:r w:rsidRPr="00BA0ABE">
        <w:t>case, recommendation) is not mirrored by a similar right for the nearest relative. This is balanced by a</w:t>
      </w:r>
      <w:r>
        <w:t xml:space="preserve"> </w:t>
      </w:r>
      <w:r w:rsidRPr="00BA0ABE">
        <w:t>number of provisions related to supervised after-care where the nearest relative is granted specific rights</w:t>
      </w:r>
      <w:r>
        <w:t xml:space="preserve"> </w:t>
      </w:r>
      <w:r w:rsidRPr="00BA0ABE">
        <w:t>regarding consultation and appeal. Community Treatment Orders will replicate the ASW’s role to the</w:t>
      </w:r>
      <w:r>
        <w:t xml:space="preserve"> </w:t>
      </w:r>
      <w:r w:rsidRPr="00BA0ABE">
        <w:t>exclusion of the nearest relative and Hewitt observes that the nearest relative loses all of the rights that</w:t>
      </w:r>
      <w:r>
        <w:t xml:space="preserve"> </w:t>
      </w:r>
      <w:r w:rsidRPr="00BA0ABE">
        <w:t>are currently available to them for supervised aftercare.</w:t>
      </w:r>
    </w:p>
    <w:p w:rsidR="00BA0ABE" w:rsidRPr="00BA0ABE" w:rsidRDefault="00BA0ABE" w:rsidP="00BA0ABE">
      <w:r w:rsidRPr="00BA0ABE">
        <w:t>There is an error at paragraph 7.4 where it is stated that a nearest relative can order the discharge of a</w:t>
      </w:r>
      <w:r>
        <w:t xml:space="preserve"> </w:t>
      </w:r>
      <w:r w:rsidRPr="00BA0ABE">
        <w:t>patient subject to a hospital order or guardianship order under section 37. In fact the nearest relative’s</w:t>
      </w:r>
      <w:r>
        <w:t xml:space="preserve"> </w:t>
      </w:r>
      <w:r w:rsidRPr="00BA0ABE">
        <w:t xml:space="preserve">rights here are limited to being able to make an application to the Mental Health Review </w:t>
      </w:r>
      <w:r w:rsidRPr="00BA0ABE">
        <w:lastRenderedPageBreak/>
        <w:t>Tribunal.</w:t>
      </w:r>
      <w:r>
        <w:t xml:space="preserve"> </w:t>
      </w:r>
      <w:r w:rsidRPr="00BA0ABE">
        <w:t>Paragraphs 7.7 and 7.22 are also inaccurate in that the 72 hour period does not apply to orders to</w:t>
      </w:r>
      <w:r>
        <w:t xml:space="preserve"> </w:t>
      </w:r>
      <w:r w:rsidRPr="00BA0ABE">
        <w:t>discharge from guardianship.</w:t>
      </w:r>
    </w:p>
    <w:p w:rsidR="002B45A9" w:rsidRDefault="00BA0ABE" w:rsidP="00BA0ABE">
      <w:r w:rsidRPr="00BA0ABE">
        <w:t xml:space="preserve">Chapter 8 seemed an oddity to me. It concerns the </w:t>
      </w:r>
      <w:r w:rsidRPr="00BA0ABE">
        <w:rPr>
          <w:i/>
          <w:iCs/>
        </w:rPr>
        <w:t xml:space="preserve">Mental Capacity Act 2005 </w:t>
      </w:r>
      <w:r w:rsidRPr="00BA0ABE">
        <w:t>and it attempts to draw</w:t>
      </w:r>
      <w:r>
        <w:t xml:space="preserve"> </w:t>
      </w:r>
      <w:r w:rsidRPr="00BA0ABE">
        <w:t>parallels between the role of the Independent Mental Capacity Advocate (IMCA) and that of the nearest</w:t>
      </w:r>
      <w:r>
        <w:t xml:space="preserve"> </w:t>
      </w:r>
      <w:r w:rsidRPr="00BA0ABE">
        <w:t>relative. There are areas where the two Acts will overlap and the role of the nearest relative under the</w:t>
      </w:r>
      <w:r>
        <w:t xml:space="preserve"> </w:t>
      </w:r>
      <w:r w:rsidRPr="00BA0ABE">
        <w:t>MHA may well be relevant where someone has made a Lasting Power of Attorney or where a deputy is</w:t>
      </w:r>
      <w:r>
        <w:t xml:space="preserve"> </w:t>
      </w:r>
      <w:r w:rsidRPr="00BA0ABE">
        <w:t>appointed. Providing an analysis of these areas of overlap rather than focusing on the role of the IMCA</w:t>
      </w:r>
      <w:r>
        <w:t xml:space="preserve"> </w:t>
      </w:r>
      <w:r w:rsidRPr="00BA0ABE">
        <w:t>would have been more helpful.</w:t>
      </w:r>
    </w:p>
    <w:p w:rsidR="00BA0ABE" w:rsidRPr="00BA0ABE" w:rsidRDefault="00BA0ABE" w:rsidP="00BA0ABE">
      <w:r w:rsidRPr="00BA0ABE">
        <w:t>The appendix of statutory extracts is very helpful but there are some notable omissions: section 13(4)</w:t>
      </w:r>
      <w:r w:rsidR="003C7787">
        <w:t xml:space="preserve"> </w:t>
      </w:r>
      <w:r w:rsidRPr="00BA0ABE">
        <w:t>covering nearest relative’s rights to an assessment; section 23 and the power of discharge; section 25 and</w:t>
      </w:r>
      <w:r w:rsidR="003C7787">
        <w:t xml:space="preserve"> </w:t>
      </w:r>
      <w:r w:rsidRPr="00BA0ABE">
        <w:t>the grounds for the RMO’s blocking order; and sections 132 and 133 covering information. For those staff</w:t>
      </w:r>
      <w:r w:rsidR="003C7787">
        <w:t xml:space="preserve"> </w:t>
      </w:r>
      <w:r w:rsidRPr="00BA0ABE">
        <w:t>and relatives who do not have a copy of the MHA, a more detailed appendix would have been helpful.</w:t>
      </w:r>
    </w:p>
    <w:p w:rsidR="00BA0ABE" w:rsidRDefault="00BA0ABE" w:rsidP="00BA0ABE">
      <w:r w:rsidRPr="00BA0ABE">
        <w:t>Some might think that the subject matter of this book would be worthy of one of the more obscure entries</w:t>
      </w:r>
      <w:r w:rsidR="003C7787">
        <w:t xml:space="preserve"> </w:t>
      </w:r>
      <w:r w:rsidRPr="00BA0ABE">
        <w:t>to Mastermind (“Specialist Subject: the full range of powers of the Nearest Relative as defined by the</w:t>
      </w:r>
      <w:r w:rsidR="003C7787">
        <w:t xml:space="preserve"> </w:t>
      </w:r>
      <w:r w:rsidRPr="00BA0ABE">
        <w:t>Mental Health Act 1983”). However, I would argue that this is one of the most important areas of the</w:t>
      </w:r>
      <w:r w:rsidR="003C7787">
        <w:t xml:space="preserve"> </w:t>
      </w:r>
      <w:r w:rsidRPr="00BA0ABE">
        <w:rPr>
          <w:i/>
          <w:iCs/>
        </w:rPr>
        <w:t xml:space="preserve">Mental Health Act 1983 </w:t>
      </w:r>
      <w:r w:rsidRPr="00BA0ABE">
        <w:t>where, in practice, the state meets the family head on. This intelligent and</w:t>
      </w:r>
      <w:r w:rsidR="003C7787">
        <w:t xml:space="preserve"> </w:t>
      </w:r>
      <w:r w:rsidRPr="00BA0ABE">
        <w:t>comprehensive analysis is a welcome addition to the currently scant literature in this area.</w:t>
      </w:r>
    </w:p>
    <w:p w:rsidR="003C7787" w:rsidRPr="00BA0ABE" w:rsidRDefault="003C7787" w:rsidP="00BA0ABE"/>
    <w:p w:rsidR="00BA0ABE" w:rsidRPr="003C7787" w:rsidRDefault="00BA0ABE" w:rsidP="00BA0ABE">
      <w:pPr>
        <w:rPr>
          <w:sz w:val="28"/>
          <w:szCs w:val="28"/>
        </w:rPr>
      </w:pPr>
      <w:r w:rsidRPr="003C7787">
        <w:rPr>
          <w:sz w:val="28"/>
          <w:szCs w:val="28"/>
        </w:rPr>
        <w:t>Robert Brown</w:t>
      </w:r>
    </w:p>
    <w:p w:rsidR="00BA0ABE" w:rsidRDefault="00BA0ABE" w:rsidP="00BA0ABE">
      <w:r w:rsidRPr="00BA0ABE">
        <w:t>Head of the Approved Social Work Training Programme in South West</w:t>
      </w:r>
      <w:proofErr w:type="gramStart"/>
      <w:r w:rsidRPr="00BA0ABE">
        <w:t>;</w:t>
      </w:r>
      <w:proofErr w:type="gramEnd"/>
      <w:r w:rsidR="003C7787">
        <w:br/>
      </w:r>
      <w:r w:rsidRPr="00BA0ABE">
        <w:t>Mental Health Act Commissioner.</w:t>
      </w:r>
      <w:bookmarkStart w:id="0" w:name="_GoBack"/>
      <w:bookmarkEnd w:id="0"/>
    </w:p>
    <w:sectPr w:rsidR="00BA0A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ABE" w:rsidRDefault="00BA0ABE" w:rsidP="00BA0ABE">
      <w:pPr>
        <w:spacing w:after="0" w:line="240" w:lineRule="auto"/>
      </w:pPr>
      <w:r>
        <w:separator/>
      </w:r>
    </w:p>
  </w:endnote>
  <w:endnote w:type="continuationSeparator" w:id="0">
    <w:p w:rsidR="00BA0ABE" w:rsidRDefault="00BA0ABE" w:rsidP="00BA0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ABE" w:rsidRDefault="00BA0ABE" w:rsidP="00BA0ABE">
      <w:pPr>
        <w:spacing w:after="0" w:line="240" w:lineRule="auto"/>
      </w:pPr>
      <w:r>
        <w:separator/>
      </w:r>
    </w:p>
  </w:footnote>
  <w:footnote w:type="continuationSeparator" w:id="0">
    <w:p w:rsidR="00BA0ABE" w:rsidRDefault="00BA0ABE" w:rsidP="00BA0ABE">
      <w:pPr>
        <w:spacing w:after="0" w:line="240" w:lineRule="auto"/>
      </w:pPr>
      <w:r>
        <w:continuationSeparator/>
      </w:r>
    </w:p>
  </w:footnote>
  <w:footnote w:id="1">
    <w:p w:rsidR="00BA0ABE" w:rsidRPr="00BA0ABE" w:rsidRDefault="00BA0ABE" w:rsidP="00BA0ABE">
      <w:pPr>
        <w:pStyle w:val="FootnoteText"/>
        <w:rPr>
          <w:sz w:val="16"/>
        </w:rPr>
      </w:pPr>
      <w:r w:rsidRPr="00BA0ABE">
        <w:rPr>
          <w:rStyle w:val="FootnoteReference"/>
          <w:sz w:val="16"/>
        </w:rPr>
        <w:footnoteRef/>
      </w:r>
      <w:r w:rsidRPr="00BA0ABE">
        <w:rPr>
          <w:sz w:val="16"/>
        </w:rPr>
        <w:t xml:space="preserve"> </w:t>
      </w:r>
      <w:proofErr w:type="spellStart"/>
      <w:r w:rsidRPr="00BA0ABE">
        <w:rPr>
          <w:sz w:val="16"/>
        </w:rPr>
        <w:t>Yeates</w:t>
      </w:r>
      <w:proofErr w:type="spellEnd"/>
      <w:r w:rsidRPr="00BA0ABE">
        <w:rPr>
          <w:sz w:val="16"/>
        </w:rPr>
        <w:t xml:space="preserve">, V. (2005) Death of the nearest relative? </w:t>
      </w:r>
      <w:proofErr w:type="gramStart"/>
      <w:r w:rsidRPr="00BA0ABE">
        <w:rPr>
          <w:sz w:val="16"/>
        </w:rPr>
        <w:t>Carers’</w:t>
      </w:r>
      <w:r w:rsidRPr="00BA0ABE">
        <w:rPr>
          <w:sz w:val="16"/>
        </w:rPr>
        <w:t xml:space="preserve"> </w:t>
      </w:r>
      <w:r w:rsidRPr="00BA0ABE">
        <w:rPr>
          <w:sz w:val="16"/>
        </w:rPr>
        <w:t>and families’ rights to challenge compulsion under current</w:t>
      </w:r>
      <w:r w:rsidRPr="00BA0ABE">
        <w:rPr>
          <w:sz w:val="16"/>
        </w:rPr>
        <w:t xml:space="preserve"> </w:t>
      </w:r>
      <w:r w:rsidRPr="00BA0ABE">
        <w:rPr>
          <w:sz w:val="16"/>
        </w:rPr>
        <w:t>and proposed mental health legislation.</w:t>
      </w:r>
      <w:proofErr w:type="gramEnd"/>
      <w:r w:rsidRPr="00BA0ABE">
        <w:rPr>
          <w:sz w:val="16"/>
        </w:rPr>
        <w:t xml:space="preserve"> </w:t>
      </w:r>
      <w:proofErr w:type="gramStart"/>
      <w:r w:rsidRPr="00BA0ABE">
        <w:rPr>
          <w:sz w:val="16"/>
        </w:rPr>
        <w:t>Journal of Mental</w:t>
      </w:r>
      <w:r w:rsidRPr="00BA0ABE">
        <w:rPr>
          <w:sz w:val="16"/>
        </w:rPr>
        <w:t xml:space="preserve"> </w:t>
      </w:r>
      <w:r w:rsidRPr="00BA0ABE">
        <w:rPr>
          <w:sz w:val="16"/>
        </w:rPr>
        <w:t>Health Law, November 2005, pp123–137.</w:t>
      </w:r>
      <w:proofErr w:type="gramEnd"/>
    </w:p>
  </w:footnote>
  <w:footnote w:id="2">
    <w:p w:rsidR="00BA0ABE" w:rsidRPr="00BA0ABE" w:rsidRDefault="00BA0ABE" w:rsidP="00BA0ABE">
      <w:pPr>
        <w:pStyle w:val="FootnoteText"/>
        <w:rPr>
          <w:sz w:val="16"/>
        </w:rPr>
      </w:pPr>
      <w:r w:rsidRPr="00BA0ABE">
        <w:rPr>
          <w:rStyle w:val="FootnoteReference"/>
          <w:sz w:val="16"/>
        </w:rPr>
        <w:footnoteRef/>
      </w:r>
      <w:r w:rsidRPr="00BA0ABE">
        <w:rPr>
          <w:sz w:val="16"/>
        </w:rPr>
        <w:t xml:space="preserve"> </w:t>
      </w:r>
      <w:proofErr w:type="spellStart"/>
      <w:r w:rsidRPr="00BA0ABE">
        <w:rPr>
          <w:sz w:val="16"/>
        </w:rPr>
        <w:t>Rapaport</w:t>
      </w:r>
      <w:proofErr w:type="spellEnd"/>
      <w:r w:rsidRPr="00BA0ABE">
        <w:rPr>
          <w:sz w:val="16"/>
        </w:rPr>
        <w:t xml:space="preserve">, J. (2003) </w:t>
      </w:r>
      <w:proofErr w:type="gramStart"/>
      <w:r w:rsidRPr="00BA0ABE">
        <w:rPr>
          <w:sz w:val="16"/>
        </w:rPr>
        <w:t>The</w:t>
      </w:r>
      <w:proofErr w:type="gramEnd"/>
      <w:r w:rsidRPr="00BA0ABE">
        <w:rPr>
          <w:sz w:val="16"/>
        </w:rPr>
        <w:t xml:space="preserve"> ghost of the nearest relative</w:t>
      </w:r>
      <w:r w:rsidRPr="00BA0ABE">
        <w:rPr>
          <w:sz w:val="16"/>
        </w:rPr>
        <w:t xml:space="preserve"> </w:t>
      </w:r>
      <w:r w:rsidRPr="00BA0ABE">
        <w:rPr>
          <w:sz w:val="16"/>
        </w:rPr>
        <w:t>under the Mental Health Act 1983 – past, present and</w:t>
      </w:r>
      <w:r w:rsidRPr="00BA0ABE">
        <w:rPr>
          <w:sz w:val="16"/>
        </w:rPr>
        <w:t xml:space="preserve"> </w:t>
      </w:r>
      <w:r w:rsidRPr="00BA0ABE">
        <w:rPr>
          <w:sz w:val="16"/>
        </w:rPr>
        <w:t xml:space="preserve">future. </w:t>
      </w:r>
      <w:proofErr w:type="gramStart"/>
      <w:r w:rsidRPr="00BA0ABE">
        <w:rPr>
          <w:sz w:val="16"/>
        </w:rPr>
        <w:t>Journal of Mental Health Law, July 2003, pp51-</w:t>
      </w:r>
      <w:r w:rsidRPr="00BA0ABE">
        <w:rPr>
          <w:sz w:val="16"/>
        </w:rPr>
        <w:t xml:space="preserve"> </w:t>
      </w:r>
      <w:r w:rsidRPr="00BA0ABE">
        <w:rPr>
          <w:sz w:val="16"/>
        </w:rPr>
        <w:t>65.</w:t>
      </w:r>
      <w:proofErr w:type="gramEnd"/>
    </w:p>
  </w:footnote>
  <w:footnote w:id="3">
    <w:p w:rsidR="00BA0ABE" w:rsidRPr="00BA0ABE" w:rsidRDefault="00BA0ABE" w:rsidP="00BA0ABE">
      <w:pPr>
        <w:pStyle w:val="FootnoteText"/>
        <w:rPr>
          <w:sz w:val="16"/>
        </w:rPr>
      </w:pPr>
      <w:r w:rsidRPr="00BA0ABE">
        <w:rPr>
          <w:rStyle w:val="FootnoteReference"/>
          <w:sz w:val="16"/>
        </w:rPr>
        <w:footnoteRef/>
      </w:r>
      <w:r w:rsidRPr="00BA0ABE">
        <w:rPr>
          <w:sz w:val="16"/>
        </w:rPr>
        <w:t xml:space="preserve"> </w:t>
      </w:r>
      <w:proofErr w:type="gramStart"/>
      <w:r w:rsidRPr="00BA0ABE">
        <w:rPr>
          <w:sz w:val="16"/>
        </w:rPr>
        <w:t>JT v UK Application No 26494/95 European Court of</w:t>
      </w:r>
      <w:r w:rsidRPr="00BA0ABE">
        <w:rPr>
          <w:sz w:val="16"/>
        </w:rPr>
        <w:t xml:space="preserve"> </w:t>
      </w:r>
      <w:r w:rsidRPr="00BA0ABE">
        <w:rPr>
          <w:sz w:val="16"/>
        </w:rPr>
        <w:t>Human Rights (2000) 1FLR 909.</w:t>
      </w:r>
      <w:proofErr w:type="gramEnd"/>
    </w:p>
  </w:footnote>
  <w:footnote w:id="4">
    <w:p w:rsidR="00BA0ABE" w:rsidRPr="00BA0ABE" w:rsidRDefault="00BA0ABE" w:rsidP="00BA0ABE">
      <w:pPr>
        <w:pStyle w:val="FootnoteText"/>
        <w:rPr>
          <w:sz w:val="16"/>
        </w:rPr>
      </w:pPr>
      <w:r w:rsidRPr="00BA0ABE">
        <w:rPr>
          <w:rStyle w:val="FootnoteReference"/>
          <w:sz w:val="16"/>
        </w:rPr>
        <w:footnoteRef/>
      </w:r>
      <w:r w:rsidRPr="00BA0ABE">
        <w:rPr>
          <w:sz w:val="16"/>
        </w:rPr>
        <w:t xml:space="preserve"> </w:t>
      </w:r>
      <w:proofErr w:type="gramStart"/>
      <w:r w:rsidRPr="00BA0ABE">
        <w:rPr>
          <w:sz w:val="16"/>
        </w:rPr>
        <w:t>R(</w:t>
      </w:r>
      <w:proofErr w:type="gramEnd"/>
      <w:r w:rsidRPr="00BA0ABE">
        <w:rPr>
          <w:sz w:val="16"/>
        </w:rPr>
        <w:t>E) v Bristol City Council (2005) EWHC 74</w:t>
      </w:r>
      <w:r w:rsidRPr="00BA0ABE">
        <w:rPr>
          <w:sz w:val="16"/>
        </w:rPr>
        <w:t xml:space="preserve"> </w:t>
      </w:r>
      <w:r w:rsidRPr="00BA0ABE">
        <w:rPr>
          <w:sz w:val="16"/>
        </w:rPr>
        <w:t>(Admin).</w:t>
      </w:r>
    </w:p>
  </w:footnote>
  <w:footnote w:id="5">
    <w:p w:rsidR="00BA0ABE" w:rsidRPr="00BA0ABE" w:rsidRDefault="00BA0ABE" w:rsidP="00BA0ABE">
      <w:pPr>
        <w:pStyle w:val="FootnoteText"/>
        <w:rPr>
          <w:sz w:val="16"/>
        </w:rPr>
      </w:pPr>
      <w:r w:rsidRPr="00BA0ABE">
        <w:rPr>
          <w:rStyle w:val="FootnoteReference"/>
          <w:sz w:val="16"/>
        </w:rPr>
        <w:footnoteRef/>
      </w:r>
      <w:r w:rsidRPr="00BA0ABE">
        <w:rPr>
          <w:sz w:val="16"/>
        </w:rPr>
        <w:t xml:space="preserve"> </w:t>
      </w:r>
      <w:r w:rsidRPr="00BA0ABE">
        <w:rPr>
          <w:sz w:val="16"/>
        </w:rPr>
        <w:t xml:space="preserve">Kingston, H. (2005) </w:t>
      </w:r>
      <w:proofErr w:type="gramStart"/>
      <w:r w:rsidRPr="00BA0ABE">
        <w:rPr>
          <w:sz w:val="16"/>
        </w:rPr>
        <w:t>The</w:t>
      </w:r>
      <w:proofErr w:type="gramEnd"/>
      <w:r w:rsidRPr="00BA0ABE">
        <w:rPr>
          <w:sz w:val="16"/>
        </w:rPr>
        <w:t xml:space="preserve"> balancing act. </w:t>
      </w:r>
      <w:proofErr w:type="gramStart"/>
      <w:r w:rsidRPr="00BA0ABE">
        <w:rPr>
          <w:sz w:val="16"/>
        </w:rPr>
        <w:t>Journal of</w:t>
      </w:r>
      <w:r w:rsidRPr="00BA0ABE">
        <w:rPr>
          <w:sz w:val="16"/>
        </w:rPr>
        <w:t xml:space="preserve"> </w:t>
      </w:r>
      <w:r w:rsidRPr="00BA0ABE">
        <w:rPr>
          <w:sz w:val="16"/>
        </w:rPr>
        <w:t>Mental Health Law, November 2005, pp186–190.</w:t>
      </w:r>
      <w:proofErr w:type="gramEnd"/>
    </w:p>
  </w:footnote>
  <w:footnote w:id="6">
    <w:p w:rsidR="00BA0ABE" w:rsidRPr="00BA0ABE" w:rsidRDefault="00BA0ABE" w:rsidP="00BA0ABE">
      <w:pPr>
        <w:pStyle w:val="FootnoteText"/>
        <w:rPr>
          <w:sz w:val="16"/>
          <w:lang w:val="fr-FR"/>
        </w:rPr>
      </w:pPr>
      <w:r w:rsidRPr="00BA0ABE">
        <w:rPr>
          <w:rStyle w:val="FootnoteReference"/>
          <w:sz w:val="16"/>
        </w:rPr>
        <w:footnoteRef/>
      </w:r>
      <w:r w:rsidRPr="00BA0ABE">
        <w:rPr>
          <w:sz w:val="16"/>
          <w:lang w:val="fr-FR"/>
        </w:rPr>
        <w:t xml:space="preserve"> </w:t>
      </w:r>
      <w:r w:rsidRPr="00BA0ABE">
        <w:rPr>
          <w:sz w:val="16"/>
          <w:lang w:val="fr-FR"/>
        </w:rPr>
        <w:t>JE v DE (1) Surrey CC (2) EW (3) EWHC 3549</w:t>
      </w:r>
      <w:r w:rsidRPr="00BA0ABE">
        <w:rPr>
          <w:sz w:val="16"/>
          <w:lang w:val="fr-FR"/>
        </w:rPr>
        <w:t xml:space="preserve"> </w:t>
      </w:r>
      <w:r w:rsidRPr="00BA0ABE">
        <w:rPr>
          <w:sz w:val="16"/>
          <w:lang w:val="fr-FR"/>
        </w:rPr>
        <w:t>(Fam) 2006.</w:t>
      </w:r>
    </w:p>
  </w:footnote>
  <w:footnote w:id="7">
    <w:p w:rsidR="00BA0ABE" w:rsidRPr="00BA0ABE" w:rsidRDefault="00BA0ABE" w:rsidP="00BA0ABE">
      <w:pPr>
        <w:pStyle w:val="FootnoteText"/>
        <w:rPr>
          <w:sz w:val="16"/>
        </w:rPr>
      </w:pPr>
      <w:r w:rsidRPr="00BA0ABE">
        <w:rPr>
          <w:rStyle w:val="FootnoteReference"/>
          <w:sz w:val="16"/>
        </w:rPr>
        <w:footnoteRef/>
      </w:r>
      <w:r w:rsidRPr="00BA0ABE">
        <w:rPr>
          <w:sz w:val="16"/>
        </w:rPr>
        <w:t xml:space="preserve"> </w:t>
      </w:r>
      <w:r w:rsidRPr="00BA0ABE">
        <w:rPr>
          <w:sz w:val="16"/>
        </w:rPr>
        <w:t xml:space="preserve">Connor, Re </w:t>
      </w:r>
      <w:proofErr w:type="gramStart"/>
      <w:r w:rsidRPr="00BA0ABE">
        <w:rPr>
          <w:sz w:val="16"/>
        </w:rPr>
        <w:t>An</w:t>
      </w:r>
      <w:proofErr w:type="gramEnd"/>
      <w:r w:rsidRPr="00BA0ABE">
        <w:rPr>
          <w:sz w:val="16"/>
        </w:rPr>
        <w:t xml:space="preserve"> Application for Judicial Review [2004]</w:t>
      </w:r>
      <w:r w:rsidRPr="00BA0ABE">
        <w:rPr>
          <w:sz w:val="16"/>
        </w:rPr>
        <w:t xml:space="preserve"> </w:t>
      </w:r>
      <w:r w:rsidRPr="00BA0ABE">
        <w:rPr>
          <w:sz w:val="16"/>
        </w:rPr>
        <w:t>NICA 45 (14 December 2004) Ref: KERF5153.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ABE"/>
    <w:rsid w:val="002B45A9"/>
    <w:rsid w:val="003C7787"/>
    <w:rsid w:val="00BA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A0AB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0AB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A0AB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A0AB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0AB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A0A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190A9-E7FE-4EDC-AD90-CEF6580E4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1754</Words>
  <Characters>10002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Northumbria University</Company>
  <LinksUpToDate>false</LinksUpToDate>
  <CharactersWithSpaces>11733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 Skoyles</dc:creator>
  <cp:lastModifiedBy>Becky Skoyles</cp:lastModifiedBy>
  <cp:revision>1</cp:revision>
  <dcterms:created xsi:type="dcterms:W3CDTF">2014-11-10T16:05:00Z</dcterms:created>
  <dcterms:modified xsi:type="dcterms:W3CDTF">2014-11-10T16:16:00Z</dcterms:modified>
</cp:coreProperties>
</file>