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25C" w:rsidRPr="00A0125C" w:rsidRDefault="00A0125C" w:rsidP="00A0125C">
      <w:pPr>
        <w:rPr>
          <w:sz w:val="56"/>
          <w:szCs w:val="56"/>
        </w:rPr>
      </w:pPr>
      <w:r w:rsidRPr="00A0125C">
        <w:rPr>
          <w:sz w:val="56"/>
          <w:szCs w:val="56"/>
        </w:rPr>
        <w:t>The model law fusing incapacity and mental health legislation – a comment on the forensic aspects of the proposal</w:t>
      </w:r>
    </w:p>
    <w:p w:rsidR="00A0125C" w:rsidRPr="00A0125C" w:rsidRDefault="00A0125C" w:rsidP="00A0125C">
      <w:pPr>
        <w:rPr>
          <w:b/>
          <w:bCs/>
          <w:i/>
          <w:iCs/>
          <w:sz w:val="28"/>
        </w:rPr>
      </w:pPr>
      <w:r w:rsidRPr="00A0125C">
        <w:rPr>
          <w:b/>
          <w:bCs/>
          <w:i/>
          <w:iCs/>
          <w:sz w:val="28"/>
        </w:rPr>
        <w:t>Kris Gledhill</w:t>
      </w:r>
      <w:r>
        <w:rPr>
          <w:rStyle w:val="FootnoteReference"/>
          <w:b/>
          <w:bCs/>
          <w:i/>
          <w:iCs/>
          <w:sz w:val="28"/>
        </w:rPr>
        <w:footnoteReference w:id="1"/>
      </w:r>
    </w:p>
    <w:p w:rsidR="00A0125C" w:rsidRPr="00A0125C" w:rsidRDefault="00A0125C" w:rsidP="00A0125C">
      <w:pPr>
        <w:rPr>
          <w:b/>
          <w:bCs/>
          <w:i/>
          <w:iCs/>
        </w:rPr>
      </w:pPr>
    </w:p>
    <w:p w:rsidR="00A0125C" w:rsidRPr="00A0125C" w:rsidRDefault="00A0125C" w:rsidP="00A0125C">
      <w:pPr>
        <w:rPr>
          <w:b/>
          <w:bCs/>
          <w:sz w:val="24"/>
        </w:rPr>
      </w:pPr>
      <w:r w:rsidRPr="00A0125C">
        <w:rPr>
          <w:b/>
          <w:bCs/>
          <w:sz w:val="24"/>
        </w:rPr>
        <w:t>1. The Proposal Described</w:t>
      </w:r>
    </w:p>
    <w:p w:rsidR="00A0125C" w:rsidRPr="00A0125C" w:rsidRDefault="00A0125C" w:rsidP="00A0125C">
      <w:r w:rsidRPr="00A0125C">
        <w:t xml:space="preserve">The proposal by </w:t>
      </w:r>
      <w:proofErr w:type="spellStart"/>
      <w:r w:rsidRPr="00A0125C">
        <w:t>Szmukler</w:t>
      </w:r>
      <w:proofErr w:type="spellEnd"/>
      <w:r w:rsidRPr="00A0125C">
        <w:t xml:space="preserve"> and others for a law that fuses mental health law and mental capacity law in</w:t>
      </w:r>
      <w:r>
        <w:t xml:space="preserve"> </w:t>
      </w:r>
      <w:r w:rsidRPr="00A0125C">
        <w:t>England and Wales, both in the context of civil admissions to hospital based on the mental disorder of</w:t>
      </w:r>
      <w:r>
        <w:t xml:space="preserve"> </w:t>
      </w:r>
      <w:r w:rsidRPr="00A0125C">
        <w:t>the patient and the making of orders by the criminal courts, can be summarised in the following quotes</w:t>
      </w:r>
      <w:r>
        <w:t xml:space="preserve"> </w:t>
      </w:r>
      <w:r w:rsidRPr="00A0125C">
        <w:t>from their paper. They suggest</w:t>
      </w:r>
    </w:p>
    <w:p w:rsidR="00A0125C" w:rsidRPr="00A0125C" w:rsidRDefault="00A0125C" w:rsidP="00A0125C">
      <w:pPr>
        <w:ind w:left="567" w:right="521"/>
      </w:pPr>
      <w:r w:rsidRPr="00A0125C">
        <w:t>“</w:t>
      </w:r>
      <w:proofErr w:type="gramStart"/>
      <w:r w:rsidRPr="00A0125C">
        <w:t>a</w:t>
      </w:r>
      <w:proofErr w:type="gramEnd"/>
      <w:r w:rsidRPr="00A0125C">
        <w:t xml:space="preserve"> legal regime that … relies squarely on the incapacity of the person to make necessary treatment</w:t>
      </w:r>
      <w:r>
        <w:t xml:space="preserve"> </w:t>
      </w:r>
      <w:r w:rsidRPr="00A0125C">
        <w:t>decisions as the primary justification for intervention in their life.”</w:t>
      </w:r>
    </w:p>
    <w:p w:rsidR="00A0125C" w:rsidRPr="00A0125C" w:rsidRDefault="00A0125C" w:rsidP="00A0125C">
      <w:r w:rsidRPr="00A0125C">
        <w:t>By intervention is meant both detention and treatment under compulsion: so, rather than separate</w:t>
      </w:r>
      <w:r>
        <w:t xml:space="preserve"> </w:t>
      </w:r>
      <w:r w:rsidRPr="00A0125C">
        <w:t>criteria for detention (based on the risk of harm) and treatment (based on capacity, at least in part), there</w:t>
      </w:r>
      <w:r>
        <w:t xml:space="preserve"> </w:t>
      </w:r>
      <w:r w:rsidRPr="00A0125C">
        <w:t>would be a single incapacity test</w:t>
      </w:r>
    </w:p>
    <w:p w:rsidR="00A0125C" w:rsidRPr="00A0125C" w:rsidRDefault="00A0125C" w:rsidP="00A0125C">
      <w:pPr>
        <w:ind w:left="567" w:right="521"/>
      </w:pPr>
      <w:r w:rsidRPr="00A0125C">
        <w:t>“</w:t>
      </w:r>
      <w:proofErr w:type="gramStart"/>
      <w:r w:rsidRPr="00A0125C">
        <w:t>that</w:t>
      </w:r>
      <w:proofErr w:type="gramEnd"/>
      <w:r w:rsidRPr="00A0125C">
        <w:t xml:space="preserve"> specifies the conditions for both treatment under compulsion and treatment under</w:t>
      </w:r>
      <w:r>
        <w:t xml:space="preserve"> </w:t>
      </w:r>
      <w:r w:rsidRPr="00A0125C">
        <w:t>circumstances amounting to a ‘deprivation of liberty’.”</w:t>
      </w:r>
    </w:p>
    <w:p w:rsidR="00A0125C" w:rsidRPr="00A0125C" w:rsidRDefault="00A0125C" w:rsidP="00A0125C">
      <w:r w:rsidRPr="00A0125C">
        <w:t>What is meant by ‘incapacity’? It is an</w:t>
      </w:r>
    </w:p>
    <w:p w:rsidR="00A0125C" w:rsidRPr="00A0125C" w:rsidRDefault="00A0125C" w:rsidP="00A0125C">
      <w:pPr>
        <w:ind w:left="567" w:right="521"/>
      </w:pPr>
      <w:r w:rsidRPr="00A0125C">
        <w:t>“</w:t>
      </w:r>
      <w:proofErr w:type="gramStart"/>
      <w:r w:rsidRPr="00A0125C">
        <w:t>inability</w:t>
      </w:r>
      <w:proofErr w:type="gramEnd"/>
      <w:r w:rsidRPr="00A0125C">
        <w:t xml:space="preserve"> to understand, recall, process, use or weigh relevant information; inability to communicate</w:t>
      </w:r>
      <w:r>
        <w:t xml:space="preserve"> </w:t>
      </w:r>
      <w:r w:rsidRPr="00A0125C">
        <w:t>a decision; or inability to reach a decision that is sufficiently stable for it to be followed.”</w:t>
      </w:r>
    </w:p>
    <w:p w:rsidR="00A0125C" w:rsidRPr="00A0125C" w:rsidRDefault="00A0125C" w:rsidP="00A0125C">
      <w:r w:rsidRPr="00A0125C">
        <w:t>There would be a requirement that there be no less restrictive option available than intervention; for</w:t>
      </w:r>
      <w:r>
        <w:t xml:space="preserve"> </w:t>
      </w:r>
      <w:r w:rsidRPr="00A0125C">
        <w:t>emergency situations, there would also be a safeguard for intervention based on a reasonable belief as to</w:t>
      </w:r>
      <w:r>
        <w:t xml:space="preserve"> </w:t>
      </w:r>
      <w:r w:rsidRPr="00A0125C">
        <w:t>a lack of capacity.</w:t>
      </w:r>
    </w:p>
    <w:p w:rsidR="00F42872" w:rsidRDefault="00A0125C" w:rsidP="00A0125C">
      <w:r w:rsidRPr="00A0125C">
        <w:t>This scheme would not preclude involuntary treatment aimed at protecting others, which may be a</w:t>
      </w:r>
      <w:r>
        <w:t xml:space="preserve"> </w:t>
      </w:r>
      <w:r w:rsidRPr="00A0125C">
        <w:t>central concern in the forensic context. The proponents note that</w:t>
      </w:r>
    </w:p>
    <w:p w:rsidR="00D46399" w:rsidRPr="00D46399" w:rsidRDefault="00D46399" w:rsidP="00D46399">
      <w:pPr>
        <w:ind w:left="567" w:right="521"/>
      </w:pPr>
      <w:r w:rsidRPr="00D46399">
        <w:t>“involuntary treatment for the protection of others … is permitted … first, where treatment for the</w:t>
      </w:r>
      <w:r>
        <w:t xml:space="preserve"> </w:t>
      </w:r>
      <w:r w:rsidRPr="00D46399">
        <w:t>protection of others is in the patient’s best interests, and second, where in the course of providing</w:t>
      </w:r>
      <w:r>
        <w:t xml:space="preserve"> </w:t>
      </w:r>
      <w:r w:rsidRPr="00D46399">
        <w:t>treatment in the best interests of the patient, there arises a risk of harm to others.”</w:t>
      </w:r>
    </w:p>
    <w:p w:rsidR="00D46399" w:rsidRPr="00D46399" w:rsidRDefault="00D46399" w:rsidP="00D46399">
      <w:r w:rsidRPr="00D46399">
        <w:lastRenderedPageBreak/>
        <w:t>The authors accept that the involvement in their proposed regime of those who are formally ‘forensic’</w:t>
      </w:r>
      <w:r>
        <w:t xml:space="preserve"> </w:t>
      </w:r>
      <w:r w:rsidRPr="00D46399">
        <w:t>patients because they are in the criminal justice system has to take into account the fact that there are</w:t>
      </w:r>
      <w:r>
        <w:t xml:space="preserve"> </w:t>
      </w:r>
      <w:r w:rsidRPr="00D46399">
        <w:t>different categories of patient, namely those on remand awaiting trial, serving prisoners who have been</w:t>
      </w:r>
      <w:r>
        <w:t xml:space="preserve"> </w:t>
      </w:r>
      <w:r w:rsidRPr="00D46399">
        <w:t>convicted, and also some who have been found not guilty by reason of insanity or found unfit to stand</w:t>
      </w:r>
      <w:r>
        <w:t xml:space="preserve"> </w:t>
      </w:r>
      <w:r w:rsidRPr="00D46399">
        <w:t xml:space="preserve">trial but to have committed the </w:t>
      </w:r>
      <w:proofErr w:type="spellStart"/>
      <w:r w:rsidRPr="00D46399">
        <w:t>actus</w:t>
      </w:r>
      <w:proofErr w:type="spellEnd"/>
      <w:r w:rsidRPr="00D46399">
        <w:t xml:space="preserve"> </w:t>
      </w:r>
      <w:proofErr w:type="spellStart"/>
      <w:r w:rsidRPr="00D46399">
        <w:t>reus</w:t>
      </w:r>
      <w:proofErr w:type="spellEnd"/>
      <w:r w:rsidRPr="00D46399">
        <w:t xml:space="preserve"> of the offence and have been detained. A further complication</w:t>
      </w:r>
      <w:r>
        <w:t xml:space="preserve"> </w:t>
      </w:r>
      <w:r w:rsidRPr="00D46399">
        <w:t>identified is that some patients involved in the criminal justice system will be subject to an underlying</w:t>
      </w:r>
      <w:r>
        <w:t xml:space="preserve"> </w:t>
      </w:r>
      <w:r w:rsidRPr="00D46399">
        <w:t>prison sentence and so can be returned to prison if treatment is no longer possible because the individual</w:t>
      </w:r>
      <w:r>
        <w:t xml:space="preserve"> </w:t>
      </w:r>
      <w:r w:rsidRPr="00D46399">
        <w:t>regains capacity and declines to accept further treatment, whereas others might be detainable only in</w:t>
      </w:r>
      <w:r>
        <w:t xml:space="preserve"> </w:t>
      </w:r>
      <w:r w:rsidRPr="00D46399">
        <w:t>hospital for treatment. If lack of capacity were an essential pre-requisite to the lawfulness of detention,</w:t>
      </w:r>
      <w:r>
        <w:t xml:space="preserve"> </w:t>
      </w:r>
      <w:r w:rsidRPr="00D46399">
        <w:t>then those in this latter category would have to be released if they did not agree to remain in hospital.</w:t>
      </w:r>
      <w:r>
        <w:t xml:space="preserve"> </w:t>
      </w:r>
      <w:r w:rsidRPr="00D46399">
        <w:t>This, the authors note, “is an outcome that may not be politically or socially acceptable if the person</w:t>
      </w:r>
      <w:r>
        <w:t xml:space="preserve"> </w:t>
      </w:r>
      <w:r w:rsidRPr="00D46399">
        <w:t>concerned is deemed to still present a serious risk of harm”. It also points, they say, to a further important</w:t>
      </w:r>
      <w:r>
        <w:t xml:space="preserve"> </w:t>
      </w:r>
      <w:r w:rsidRPr="00D46399">
        <w:t>principle, namely the need to protect other people from serious harm, which must be relevant in the</w:t>
      </w:r>
      <w:r>
        <w:t xml:space="preserve"> </w:t>
      </w:r>
      <w:r w:rsidRPr="00D46399">
        <w:t>forensic field.</w:t>
      </w:r>
    </w:p>
    <w:p w:rsidR="00D46399" w:rsidRPr="00D46399" w:rsidRDefault="00D46399" w:rsidP="00D46399">
      <w:r w:rsidRPr="00D46399">
        <w:t>However, the authors suggest that the pure incapacity principles should be compromised only in narrowly</w:t>
      </w:r>
      <w:r>
        <w:t xml:space="preserve"> </w:t>
      </w:r>
      <w:r w:rsidRPr="00D46399">
        <w:t>defined circumstances. Some groups could be treated without any modification of the basic principles:</w:t>
      </w:r>
      <w:r>
        <w:t xml:space="preserve"> </w:t>
      </w:r>
      <w:r w:rsidRPr="00D46399">
        <w:t>mentally-disordered offenders with capacity could be held in a suitable facility for treatment with their</w:t>
      </w:r>
      <w:r>
        <w:t xml:space="preserve"> </w:t>
      </w:r>
      <w:r w:rsidRPr="00D46399">
        <w:t>consent whilst their sentences continued to run; and offenders without capacity could be treated in the</w:t>
      </w:r>
      <w:r>
        <w:t xml:space="preserve"> </w:t>
      </w:r>
      <w:r w:rsidRPr="00D46399">
        <w:t>same way as non-offenders without capacity. So serving prisoners who needed treatment could be</w:t>
      </w:r>
      <w:r>
        <w:t xml:space="preserve"> </w:t>
      </w:r>
      <w:r w:rsidRPr="00D46399">
        <w:t>transferred to hospital if they lacked capacity or if they had capacity and consented. Although the authors</w:t>
      </w:r>
      <w:r>
        <w:t xml:space="preserve"> </w:t>
      </w:r>
      <w:r w:rsidRPr="00D46399">
        <w:t>propose that the courts could impose a compulsory treatment order without a concurrent prison</w:t>
      </w:r>
      <w:r>
        <w:t xml:space="preserve"> </w:t>
      </w:r>
      <w:r w:rsidRPr="00D46399">
        <w:t>sentence, which would have the same effect as a civil order, they also note that mentally disordered</w:t>
      </w:r>
      <w:r>
        <w:t xml:space="preserve"> </w:t>
      </w:r>
      <w:r w:rsidRPr="00D46399">
        <w:t>offenders convicted of a serious offence could be sentenced to imprisonment and then transferred to</w:t>
      </w:r>
      <w:r>
        <w:t xml:space="preserve"> </w:t>
      </w:r>
      <w:r w:rsidRPr="00D46399">
        <w:t>hospital if they were without capacity or if they consented.</w:t>
      </w:r>
    </w:p>
    <w:p w:rsidR="00D46399" w:rsidRPr="00D46399" w:rsidRDefault="00D46399" w:rsidP="00D46399">
      <w:r w:rsidRPr="00D46399">
        <w:t>They point to only one group in respect of whom a different approach would be necessary as they are not</w:t>
      </w:r>
      <w:r>
        <w:t xml:space="preserve"> </w:t>
      </w:r>
      <w:r w:rsidRPr="00D46399">
        <w:t>subject to a prison sentence, namely those found not guilty by reason of insanity or unfit to stand trial but</w:t>
      </w:r>
      <w:r>
        <w:t xml:space="preserve"> </w:t>
      </w:r>
      <w:r w:rsidRPr="00D46399">
        <w:t xml:space="preserve">to have committed the </w:t>
      </w:r>
      <w:proofErr w:type="spellStart"/>
      <w:r w:rsidRPr="00D46399">
        <w:t>actus</w:t>
      </w:r>
      <w:proofErr w:type="spellEnd"/>
      <w:r w:rsidRPr="00D46399">
        <w:t xml:space="preserve"> </w:t>
      </w:r>
      <w:proofErr w:type="spellStart"/>
      <w:proofErr w:type="gramStart"/>
      <w:r w:rsidRPr="00D46399">
        <w:t>reus</w:t>
      </w:r>
      <w:proofErr w:type="spellEnd"/>
      <w:proofErr w:type="gramEnd"/>
      <w:r w:rsidRPr="00D46399">
        <w:t xml:space="preserve"> of the offence. Although people in this group without capacity could</w:t>
      </w:r>
      <w:r>
        <w:t xml:space="preserve"> </w:t>
      </w:r>
      <w:r w:rsidRPr="00D46399">
        <w:t>be treated on that basis, the authors would allow treatment even if there was capacity and no consent if</w:t>
      </w:r>
      <w:r>
        <w:t xml:space="preserve"> </w:t>
      </w:r>
      <w:r w:rsidRPr="00D46399">
        <w:t xml:space="preserve">a serious mental impairment or disturbance had contributed significantly to the conduct (the </w:t>
      </w:r>
      <w:proofErr w:type="spellStart"/>
      <w:r w:rsidRPr="00D46399">
        <w:t>actus</w:t>
      </w:r>
      <w:proofErr w:type="spellEnd"/>
      <w:r w:rsidRPr="00D46399">
        <w:t xml:space="preserve"> </w:t>
      </w:r>
      <w:proofErr w:type="spellStart"/>
      <w:r w:rsidRPr="00D46399">
        <w:t>reus</w:t>
      </w:r>
      <w:proofErr w:type="spellEnd"/>
      <w:r>
        <w:t xml:space="preserve"> </w:t>
      </w:r>
      <w:r w:rsidRPr="00D46399">
        <w:t>of a serious offence) and effective treatment could be offered that could be expected to reduce the risk of</w:t>
      </w:r>
      <w:r>
        <w:t xml:space="preserve"> </w:t>
      </w:r>
      <w:r w:rsidRPr="00D46399">
        <w:t>recurrence.</w:t>
      </w:r>
    </w:p>
    <w:p w:rsidR="00D46399" w:rsidRDefault="00D46399" w:rsidP="00D46399">
      <w:r w:rsidRPr="00D46399">
        <w:t>The proposals are accompanied by a draft bill: the parts relevant to the forensic setting are as follows. (</w:t>
      </w:r>
      <w:proofErr w:type="spellStart"/>
      <w:r w:rsidRPr="00D46399">
        <w:t>i</w:t>
      </w:r>
      <w:proofErr w:type="spellEnd"/>
      <w:r w:rsidRPr="00D46399">
        <w:t>)</w:t>
      </w:r>
      <w:r>
        <w:t xml:space="preserve"> </w:t>
      </w:r>
      <w:r w:rsidRPr="00D46399">
        <w:t>Those charged with a criminal offence may be sent to hospital for a medical report or treatment (if the</w:t>
      </w:r>
      <w:r>
        <w:t xml:space="preserve"> </w:t>
      </w:r>
      <w:r w:rsidRPr="00D46399">
        <w:t>aim cannot be achieved by bail conditions): but this must be based on the person’s consent if he or she</w:t>
      </w:r>
      <w:r>
        <w:t xml:space="preserve"> </w:t>
      </w:r>
      <w:r w:rsidRPr="00D46399">
        <w:t>has capacity or the best interests of the person if he or she does not have capacity (which would be subject</w:t>
      </w:r>
      <w:r>
        <w:t xml:space="preserve"> </w:t>
      </w:r>
      <w:r w:rsidRPr="00D46399">
        <w:t>to review by a Mental Capacity Tribunal). (ii) Those convicted of offences could be made subject to a</w:t>
      </w:r>
      <w:r>
        <w:t xml:space="preserve"> </w:t>
      </w:r>
      <w:r w:rsidRPr="00D46399">
        <w:t>hospital order alone or with a concurrent criminal sentence. The hospital order would have the same</w:t>
      </w:r>
      <w:r>
        <w:t xml:space="preserve"> </w:t>
      </w:r>
      <w:r w:rsidRPr="00D46399">
        <w:t>effect as a civil compulsory treatment order (which may be on a community or in-patient basis, and may</w:t>
      </w:r>
      <w:r>
        <w:t xml:space="preserve"> </w:t>
      </w:r>
      <w:r w:rsidRPr="00D46399">
        <w:t>include treatment if it is in the care plan on the basis of which the order is made), and so would cease to</w:t>
      </w:r>
      <w:r>
        <w:t xml:space="preserve"> </w:t>
      </w:r>
      <w:r w:rsidRPr="00D46399">
        <w:t>operate if the criteria no longer applied, including the recovery of capacity: if there was a concurrent</w:t>
      </w:r>
      <w:r>
        <w:t xml:space="preserve"> </w:t>
      </w:r>
      <w:r w:rsidRPr="00D46399">
        <w:t>criminal sentence that had not expired at that stage, the patient could be placed in prison if they did not</w:t>
      </w:r>
      <w:r>
        <w:t xml:space="preserve"> </w:t>
      </w:r>
      <w:r w:rsidRPr="00D46399">
        <w:t xml:space="preserve">need further treatment or did not consent </w:t>
      </w:r>
      <w:r w:rsidRPr="00D46399">
        <w:lastRenderedPageBreak/>
        <w:t>to it. The proposal does not contain any equivalent of the</w:t>
      </w:r>
      <w:r>
        <w:t xml:space="preserve"> </w:t>
      </w:r>
      <w:r w:rsidRPr="00D46399">
        <w:t>current regime allowing the imposition of a restriction order</w:t>
      </w:r>
      <w:r>
        <w:rPr>
          <w:rStyle w:val="FootnoteReference"/>
        </w:rPr>
        <w:footnoteReference w:id="2"/>
      </w:r>
      <w:r w:rsidRPr="00D46399">
        <w:t>. (iii) Prisoners needing treatment can be</w:t>
      </w:r>
      <w:r>
        <w:t xml:space="preserve"> </w:t>
      </w:r>
      <w:r w:rsidRPr="00D46399">
        <w:t>transferred to hospital if there is either consent or lack of capacity and transfer is in the best interests of</w:t>
      </w:r>
      <w:r>
        <w:t xml:space="preserve"> </w:t>
      </w:r>
      <w:r w:rsidRPr="00D46399">
        <w:t>the person. (iv) For those found not guilty by reason of insanity or unfit to stand trial, detention in</w:t>
      </w:r>
      <w:r>
        <w:t xml:space="preserve"> </w:t>
      </w:r>
      <w:r w:rsidRPr="00D46399">
        <w:t>hospital can be based on the best interests of the person if he or she lacks capacity or to protect other</w:t>
      </w:r>
      <w:r>
        <w:t xml:space="preserve"> </w:t>
      </w:r>
      <w:r w:rsidRPr="00D46399">
        <w:t>persons if the person has capacity, the impairment or dysfunction of mind contributed to the offending</w:t>
      </w:r>
      <w:r>
        <w:t xml:space="preserve"> </w:t>
      </w:r>
      <w:r w:rsidRPr="00D46399">
        <w:t>behaviour and treatment would be likely to reduce the risk of the behaviour recurring. An alternative</w:t>
      </w:r>
      <w:r>
        <w:t xml:space="preserve"> </w:t>
      </w:r>
      <w:r w:rsidRPr="00D46399">
        <w:t xml:space="preserve">would be possible, namely the </w:t>
      </w:r>
      <w:proofErr w:type="gramStart"/>
      <w:r w:rsidRPr="00D46399">
        <w:t>making of compulsory treatment order</w:t>
      </w:r>
      <w:proofErr w:type="gramEnd"/>
      <w:r w:rsidRPr="00D46399">
        <w:t>, giving them the equivalent status</w:t>
      </w:r>
      <w:r>
        <w:t xml:space="preserve"> </w:t>
      </w:r>
      <w:r w:rsidRPr="00D46399">
        <w:t>to a civil patient.</w:t>
      </w:r>
    </w:p>
    <w:p w:rsidR="00D46399" w:rsidRPr="00D46399" w:rsidRDefault="00D46399" w:rsidP="00D46399"/>
    <w:p w:rsidR="00D46399" w:rsidRPr="00D46399" w:rsidRDefault="00D46399" w:rsidP="00D46399">
      <w:pPr>
        <w:rPr>
          <w:b/>
          <w:bCs/>
          <w:sz w:val="24"/>
        </w:rPr>
      </w:pPr>
      <w:r w:rsidRPr="00D46399">
        <w:rPr>
          <w:b/>
          <w:bCs/>
          <w:sz w:val="24"/>
        </w:rPr>
        <w:t>2. Commentary</w:t>
      </w:r>
    </w:p>
    <w:p w:rsidR="00D46399" w:rsidRPr="00D46399" w:rsidRDefault="00D46399" w:rsidP="00D46399">
      <w:pPr>
        <w:rPr>
          <w:b/>
          <w:bCs/>
        </w:rPr>
      </w:pPr>
      <w:r w:rsidRPr="00D46399">
        <w:rPr>
          <w:b/>
          <w:bCs/>
        </w:rPr>
        <w:t>(</w:t>
      </w:r>
      <w:proofErr w:type="spellStart"/>
      <w:r w:rsidRPr="00D46399">
        <w:rPr>
          <w:b/>
          <w:bCs/>
        </w:rPr>
        <w:t>i</w:t>
      </w:r>
      <w:proofErr w:type="spellEnd"/>
      <w:r w:rsidRPr="00D46399">
        <w:rPr>
          <w:b/>
          <w:bCs/>
        </w:rPr>
        <w:t>) The Legislative Context</w:t>
      </w:r>
    </w:p>
    <w:p w:rsidR="00D46399" w:rsidRPr="00D46399" w:rsidRDefault="00D46399" w:rsidP="00D46399">
      <w:r w:rsidRPr="00D46399">
        <w:t>New legislation has been adopted recently, or significant amendments have been made to existing</w:t>
      </w:r>
      <w:r>
        <w:t xml:space="preserve"> </w:t>
      </w:r>
      <w:r w:rsidRPr="00D46399">
        <w:t>legislation, in Ireland, Scotland and England and Wales; there is a process of reform ongoing in Northern</w:t>
      </w:r>
      <w:r>
        <w:t xml:space="preserve"> </w:t>
      </w:r>
      <w:r w:rsidRPr="00D46399">
        <w:t>Ireland. There are some significant differences in approach as to the role of capacity in determining</w:t>
      </w:r>
      <w:r>
        <w:t xml:space="preserve"> </w:t>
      </w:r>
      <w:r w:rsidRPr="00D46399">
        <w:t>whether a patient should be detained. In Scotland, civil detention requires a finding that the patient’s</w:t>
      </w:r>
      <w:r>
        <w:t xml:space="preserve"> </w:t>
      </w:r>
      <w:r w:rsidRPr="00D46399">
        <w:t>mental disorder leads to a significant impairment in the making of decisions about treatment in addition</w:t>
      </w:r>
      <w:r>
        <w:t xml:space="preserve"> </w:t>
      </w:r>
      <w:r w:rsidRPr="00D46399">
        <w:t>to other criteria based on the risk posed</w:t>
      </w:r>
      <w:r>
        <w:rPr>
          <w:rStyle w:val="FootnoteReference"/>
        </w:rPr>
        <w:footnoteReference w:id="3"/>
      </w:r>
      <w:r w:rsidRPr="00D46399">
        <w:t>; it seems that the Northern Ireland Assembly will have proposals</w:t>
      </w:r>
      <w:r>
        <w:t xml:space="preserve"> </w:t>
      </w:r>
      <w:r w:rsidRPr="00D46399">
        <w:t>put to it that a similar test be adopted there</w:t>
      </w:r>
      <w:r>
        <w:rPr>
          <w:rStyle w:val="FootnoteReference"/>
        </w:rPr>
        <w:footnoteReference w:id="4"/>
      </w:r>
      <w:r w:rsidRPr="00D46399">
        <w:t xml:space="preserve">. In Ireland, the </w:t>
      </w:r>
      <w:r w:rsidRPr="00D46399">
        <w:rPr>
          <w:i/>
          <w:iCs/>
        </w:rPr>
        <w:t xml:space="preserve">Mental Health Act 2001 </w:t>
      </w:r>
      <w:r w:rsidRPr="00D46399">
        <w:t>has impaired capacity</w:t>
      </w:r>
      <w:r>
        <w:t xml:space="preserve"> </w:t>
      </w:r>
      <w:r w:rsidRPr="00D46399">
        <w:t>as an alternative to a risk of serious harm test as a basis for civil detention</w:t>
      </w:r>
      <w:r>
        <w:rPr>
          <w:rStyle w:val="FootnoteReference"/>
        </w:rPr>
        <w:footnoteReference w:id="5"/>
      </w:r>
      <w:r w:rsidRPr="00D46399">
        <w:t>. However, there is no role for</w:t>
      </w:r>
      <w:r>
        <w:t xml:space="preserve"> </w:t>
      </w:r>
      <w:r w:rsidRPr="00D46399">
        <w:t xml:space="preserve">impaired capacity in the test for detention in England and </w:t>
      </w:r>
      <w:proofErr w:type="gramStart"/>
      <w:r w:rsidRPr="00D46399">
        <w:t>Wales,</w:t>
      </w:r>
      <w:proofErr w:type="gramEnd"/>
      <w:r w:rsidRPr="00D46399">
        <w:t xml:space="preserve"> attempts to adopt the Scottish approach</w:t>
      </w:r>
      <w:r>
        <w:t xml:space="preserve"> </w:t>
      </w:r>
      <w:r w:rsidRPr="00D46399">
        <w:t xml:space="preserve">having been rejected during the passage of what became the </w:t>
      </w:r>
      <w:r w:rsidRPr="00D46399">
        <w:rPr>
          <w:i/>
          <w:iCs/>
        </w:rPr>
        <w:t>Mental Health Act 2007</w:t>
      </w:r>
      <w:r>
        <w:rPr>
          <w:rStyle w:val="FootnoteReference"/>
          <w:i/>
          <w:iCs/>
        </w:rPr>
        <w:footnoteReference w:id="6"/>
      </w:r>
      <w:r w:rsidRPr="00D46399">
        <w:t>.</w:t>
      </w:r>
    </w:p>
    <w:p w:rsidR="00D46399" w:rsidRPr="00D46399" w:rsidRDefault="00D46399" w:rsidP="00D46399">
      <w:r w:rsidRPr="00D46399">
        <w:t>Even where capacity is part of the test for civil detention, it is not a feature for those who are placed in</w:t>
      </w:r>
      <w:r>
        <w:t xml:space="preserve"> </w:t>
      </w:r>
      <w:r w:rsidRPr="00D46399">
        <w:t>hospital via the criminal justice system. So impaired capacity is not a feature of criminal orders in the</w:t>
      </w:r>
      <w:r>
        <w:t xml:space="preserve"> </w:t>
      </w:r>
      <w:r w:rsidRPr="00D46399">
        <w:t>amended regime in Scotland, the main concern expressed being that a person in front of a criminal court</w:t>
      </w:r>
      <w:r>
        <w:t xml:space="preserve"> </w:t>
      </w:r>
      <w:r w:rsidRPr="00D46399">
        <w:t>who was willing to accept treatment would be deprived of it if a capacity test was in place</w:t>
      </w:r>
      <w:r>
        <w:rPr>
          <w:rStyle w:val="FootnoteReference"/>
        </w:rPr>
        <w:footnoteReference w:id="7"/>
      </w:r>
      <w:r w:rsidRPr="00D46399">
        <w:t>: a pragmatic</w:t>
      </w:r>
      <w:r>
        <w:t xml:space="preserve"> </w:t>
      </w:r>
      <w:r w:rsidRPr="00D46399">
        <w:t>need to ensure that treatment was available was felt more important. Equally, in Ireland, prisoners may</w:t>
      </w:r>
      <w:r>
        <w:t xml:space="preserve"> </w:t>
      </w:r>
      <w:r w:rsidRPr="00D46399">
        <w:t xml:space="preserve">be transferred to hospital against their consent if two doctors indicate that </w:t>
      </w:r>
      <w:r w:rsidRPr="00D46399">
        <w:lastRenderedPageBreak/>
        <w:t>treatment is not available in</w:t>
      </w:r>
      <w:r>
        <w:t xml:space="preserve"> </w:t>
      </w:r>
      <w:r w:rsidRPr="00D46399">
        <w:t>the prison setting</w:t>
      </w:r>
      <w:r w:rsidR="00EE3889">
        <w:rPr>
          <w:rStyle w:val="FootnoteReference"/>
        </w:rPr>
        <w:footnoteReference w:id="8"/>
      </w:r>
      <w:r w:rsidRPr="00D46399">
        <w:t>: this no doubt reflects a similar pragmatic approach. In England and Wales, in relation</w:t>
      </w:r>
      <w:r>
        <w:t xml:space="preserve"> </w:t>
      </w:r>
      <w:r w:rsidRPr="00D46399">
        <w:t>to the forensic setting, the Richardson Committee – which provided the initial impetus for reform – had</w:t>
      </w:r>
      <w:r>
        <w:t xml:space="preserve"> </w:t>
      </w:r>
      <w:r w:rsidRPr="00D46399">
        <w:t>not reached final conclusions: although it was more cautious about allowing criminal justice patients to</w:t>
      </w:r>
      <w:r>
        <w:t xml:space="preserve"> </w:t>
      </w:r>
      <w:r w:rsidRPr="00D46399">
        <w:t>be in hospital without either agreement and cooperation or lack of capacity, this was premised on the basis</w:t>
      </w:r>
      <w:r>
        <w:t xml:space="preserve"> </w:t>
      </w:r>
      <w:r w:rsidRPr="00D46399">
        <w:t>that most of those who caused problems would be personality disordered and could be made subject to a</w:t>
      </w:r>
      <w:r>
        <w:t xml:space="preserve"> </w:t>
      </w:r>
      <w:r w:rsidRPr="00D46399">
        <w:t>prison sentence with the prospect of transfer to prison if they did not succeed in hospital. But given the</w:t>
      </w:r>
      <w:r>
        <w:t xml:space="preserve"> </w:t>
      </w:r>
      <w:r w:rsidRPr="00D46399">
        <w:t>legislators’ concerns about capacity in the civil context, using public and patient safety as the key feature,</w:t>
      </w:r>
      <w:r>
        <w:t xml:space="preserve"> </w:t>
      </w:r>
      <w:r w:rsidRPr="00D46399">
        <w:t>the absence of any reference to capacity in the formal forensic setting is not surprising. As for Northern</w:t>
      </w:r>
      <w:r>
        <w:t xml:space="preserve"> </w:t>
      </w:r>
      <w:r w:rsidRPr="00D46399">
        <w:t xml:space="preserve">Ireland, the </w:t>
      </w:r>
      <w:proofErr w:type="spellStart"/>
      <w:r w:rsidRPr="00D46399">
        <w:t>Bamford</w:t>
      </w:r>
      <w:proofErr w:type="spellEnd"/>
      <w:r w:rsidRPr="00D46399">
        <w:t xml:space="preserve"> Committee indicated that its proposal for linking mental health law and capacity</w:t>
      </w:r>
      <w:r>
        <w:t xml:space="preserve"> </w:t>
      </w:r>
      <w:r w:rsidRPr="00D46399">
        <w:t>law would require further thought as to how that linked with the criminal justice setting</w:t>
      </w:r>
      <w:r w:rsidR="00EE3889">
        <w:rPr>
          <w:rStyle w:val="FootnoteReference"/>
        </w:rPr>
        <w:footnoteReference w:id="9"/>
      </w:r>
      <w:r w:rsidRPr="00D46399">
        <w:t>: it remains to</w:t>
      </w:r>
      <w:r>
        <w:t xml:space="preserve"> </w:t>
      </w:r>
      <w:r w:rsidRPr="00D46399">
        <w:t>be seen what will be the outcome of this process.</w:t>
      </w:r>
    </w:p>
    <w:p w:rsidR="00D46399" w:rsidRPr="00D46399" w:rsidRDefault="00D46399" w:rsidP="00D46399">
      <w:r w:rsidRPr="00D46399">
        <w:t>What is apparent from this brief review of the legislative context is that it will be difficult for the authors of</w:t>
      </w:r>
      <w:r>
        <w:t xml:space="preserve"> </w:t>
      </w:r>
      <w:r w:rsidRPr="00D46399">
        <w:t>the proposal to persuade legislators that the approach they suggest should be adopted in the forensic setting.</w:t>
      </w:r>
      <w:r>
        <w:t xml:space="preserve"> </w:t>
      </w:r>
      <w:r w:rsidRPr="00D46399">
        <w:t>This is, of course, a matter of pragmatic concern: there are also issues that are more matters of principle.</w:t>
      </w:r>
    </w:p>
    <w:p w:rsidR="00D46399" w:rsidRPr="00D46399" w:rsidRDefault="00D46399" w:rsidP="00D46399">
      <w:pPr>
        <w:rPr>
          <w:b/>
          <w:bCs/>
        </w:rPr>
      </w:pPr>
      <w:r w:rsidRPr="00D46399">
        <w:rPr>
          <w:b/>
          <w:bCs/>
        </w:rPr>
        <w:t>(ii) Discrimination and Public Safety</w:t>
      </w:r>
    </w:p>
    <w:p w:rsidR="00D46399" w:rsidRPr="00D46399" w:rsidRDefault="00D46399" w:rsidP="00D46399">
      <w:r w:rsidRPr="00D46399">
        <w:t>The underlying premise of the proposal to place impaired capacity at the centre of the criteria for</w:t>
      </w:r>
      <w:r w:rsidR="00EE3889">
        <w:t xml:space="preserve"> </w:t>
      </w:r>
      <w:r w:rsidRPr="00D46399">
        <w:t>detention, whether in a forensic or non-forensic setting, is that there should be an equivalence of</w:t>
      </w:r>
      <w:r w:rsidR="00EE3889">
        <w:t xml:space="preserve"> </w:t>
      </w:r>
      <w:r w:rsidRPr="00D46399">
        <w:t>treatment on account of mental disorder and physical disorder: just as doctors cannot treat without</w:t>
      </w:r>
      <w:r w:rsidR="00EE3889">
        <w:t xml:space="preserve"> </w:t>
      </w:r>
      <w:r w:rsidRPr="00D46399">
        <w:t>consent those who do not take sensible advice to deal with a physical ailment, so they should not be able</w:t>
      </w:r>
      <w:r w:rsidR="00EE3889">
        <w:t xml:space="preserve"> </w:t>
      </w:r>
      <w:r w:rsidRPr="00D46399">
        <w:t>to treat those with a psychiatric ailment who chose not to accept treatment if that choice is a true choice.</w:t>
      </w:r>
      <w:r w:rsidR="00EE3889">
        <w:t xml:space="preserve"> </w:t>
      </w:r>
      <w:r w:rsidRPr="00D46399">
        <w:t xml:space="preserve">Putting words into the mouths of </w:t>
      </w:r>
      <w:proofErr w:type="spellStart"/>
      <w:r w:rsidRPr="00D46399">
        <w:t>Szmukler</w:t>
      </w:r>
      <w:proofErr w:type="spellEnd"/>
      <w:r w:rsidRPr="00D46399">
        <w:t xml:space="preserve"> and others, the response to those who raise their eyebrows at</w:t>
      </w:r>
      <w:r w:rsidR="00EE3889">
        <w:t xml:space="preserve"> </w:t>
      </w:r>
      <w:r w:rsidRPr="00D46399">
        <w:t>this suggestion on the ground of risk to the public would be two-fold: there is, first, the point that mental</w:t>
      </w:r>
      <w:r w:rsidR="00EE3889">
        <w:t xml:space="preserve"> </w:t>
      </w:r>
      <w:r w:rsidRPr="00D46399">
        <w:t>disorder is not particularly associated with risks to others</w:t>
      </w:r>
      <w:r w:rsidR="00EE3889">
        <w:rPr>
          <w:rStyle w:val="FootnoteReference"/>
        </w:rPr>
        <w:footnoteReference w:id="10"/>
      </w:r>
      <w:r w:rsidRPr="00D46399">
        <w:t>; and, secondly, there is the ethical point of</w:t>
      </w:r>
      <w:r w:rsidR="00EE3889">
        <w:t xml:space="preserve"> </w:t>
      </w:r>
      <w:r w:rsidRPr="00D46399">
        <w:t>non-discrimination, namely that it is wrong to have a different regime in place on account of a mental</w:t>
      </w:r>
      <w:r w:rsidR="00EE3889">
        <w:t xml:space="preserve"> </w:t>
      </w:r>
      <w:r w:rsidRPr="00D46399">
        <w:t>disorder</w:t>
      </w:r>
      <w:r w:rsidR="00EE3889">
        <w:rPr>
          <w:rStyle w:val="FootnoteReference"/>
        </w:rPr>
        <w:footnoteReference w:id="11"/>
      </w:r>
      <w:r w:rsidRPr="00D46399">
        <w:t>, given that the criminal law is there to deal with risks to others from those who cannot be</w:t>
      </w:r>
      <w:r w:rsidR="00EE3889">
        <w:t xml:space="preserve"> </w:t>
      </w:r>
      <w:r w:rsidRPr="00D46399">
        <w:t>helped by the hospital system because they have capacity but chose not to accept assistance.</w:t>
      </w:r>
    </w:p>
    <w:p w:rsidR="00EE3889" w:rsidRPr="00EE3889" w:rsidRDefault="00D46399" w:rsidP="00EE3889">
      <w:r w:rsidRPr="00D46399">
        <w:t>But how far does this non-discrimination point go? In the first place, it may assume too much in relation</w:t>
      </w:r>
      <w:r w:rsidR="00EE3889">
        <w:t xml:space="preserve"> </w:t>
      </w:r>
      <w:r w:rsidRPr="00D46399">
        <w:t>to the absence of powers to treat physical disorders without consent when there is capacity. In fact, there</w:t>
      </w:r>
      <w:r w:rsidR="00EE3889">
        <w:t xml:space="preserve"> </w:t>
      </w:r>
      <w:r w:rsidRPr="00D46399">
        <w:t>are well-established bases for preventive detention based on the risk of harm to others arising from</w:t>
      </w:r>
      <w:r w:rsidR="00EE3889">
        <w:t xml:space="preserve"> </w:t>
      </w:r>
      <w:r w:rsidRPr="00D46399">
        <w:t xml:space="preserve">physical disorders. Article 5 of the European Convention, which authorises the lawful </w:t>
      </w:r>
      <w:r w:rsidRPr="00D46399">
        <w:lastRenderedPageBreak/>
        <w:t>detention of</w:t>
      </w:r>
      <w:r w:rsidR="00EE3889">
        <w:t xml:space="preserve"> </w:t>
      </w:r>
      <w:r w:rsidRPr="00D46399">
        <w:t>“persons of unsound mind” in Art 5(1</w:t>
      </w:r>
      <w:proofErr w:type="gramStart"/>
      <w:r w:rsidRPr="00D46399">
        <w:t>)(</w:t>
      </w:r>
      <w:proofErr w:type="gramEnd"/>
      <w:r w:rsidRPr="00D46399">
        <w:t>e), also allows detention to prevent the spread of infectious</w:t>
      </w:r>
      <w:r w:rsidR="00EE3889">
        <w:t xml:space="preserve"> </w:t>
      </w:r>
      <w:r w:rsidR="00EE3889" w:rsidRPr="00EE3889">
        <w:t xml:space="preserve">diseases. Consistently with this provision, the </w:t>
      </w:r>
      <w:r w:rsidR="00EE3889" w:rsidRPr="00EE3889">
        <w:rPr>
          <w:i/>
          <w:iCs/>
        </w:rPr>
        <w:t xml:space="preserve">Public Health (Control of Disease) Act 1984 </w:t>
      </w:r>
      <w:r w:rsidR="00EE3889" w:rsidRPr="00EE3889">
        <w:t>creates a list of</w:t>
      </w:r>
      <w:r w:rsidR="00EE3889">
        <w:t xml:space="preserve"> </w:t>
      </w:r>
      <w:r w:rsidR="00EE3889" w:rsidRPr="00EE3889">
        <w:t>notifiable diseases (s10) and a justice of the peace may order the detention of a person with a notifiable</w:t>
      </w:r>
      <w:r w:rsidR="00EE3889">
        <w:t xml:space="preserve"> </w:t>
      </w:r>
      <w:r w:rsidR="00EE3889" w:rsidRPr="00EE3889">
        <w:t>disease to prevent the spreading of infection (s38)</w:t>
      </w:r>
      <w:r w:rsidR="00C741A6">
        <w:rPr>
          <w:rStyle w:val="FootnoteReference"/>
        </w:rPr>
        <w:footnoteReference w:id="12"/>
      </w:r>
      <w:r w:rsidR="00EE3889" w:rsidRPr="00EE3889">
        <w:t xml:space="preserve">. Since passing on such a disease with a criminal </w:t>
      </w:r>
      <w:proofErr w:type="spellStart"/>
      <w:r w:rsidR="00EE3889" w:rsidRPr="00EE3889">
        <w:t>mens</w:t>
      </w:r>
      <w:proofErr w:type="spellEnd"/>
      <w:r w:rsidR="00EE3889">
        <w:t xml:space="preserve"> </w:t>
      </w:r>
      <w:r w:rsidR="00EE3889" w:rsidRPr="00EE3889">
        <w:t>rea would be a criminal offence</w:t>
      </w:r>
      <w:r w:rsidR="00C741A6">
        <w:rPr>
          <w:rStyle w:val="FootnoteReference"/>
        </w:rPr>
        <w:footnoteReference w:id="13"/>
      </w:r>
      <w:r w:rsidR="00EE3889" w:rsidRPr="00EE3889">
        <w:t>, the criminal law is also available in that situation, as is tort law: but</w:t>
      </w:r>
      <w:r w:rsidR="00EE3889">
        <w:t xml:space="preserve"> </w:t>
      </w:r>
      <w:r w:rsidR="00EE3889" w:rsidRPr="00EE3889">
        <w:t>prevention is permitted by the law in England and Wales, including the preventive detention of</w:t>
      </w:r>
      <w:r w:rsidR="00EE3889">
        <w:t xml:space="preserve"> </w:t>
      </w:r>
      <w:r w:rsidR="00EE3889" w:rsidRPr="00EE3889">
        <w:t>recalcitrant patients with capacity.</w:t>
      </w:r>
    </w:p>
    <w:p w:rsidR="00EE3889" w:rsidRPr="00EE3889" w:rsidRDefault="00EE3889" w:rsidP="00EE3889">
      <w:r w:rsidRPr="00EE3889">
        <w:t>Whilst avoiding any crass comparison between mental disorder and a serious infectious disease, there can</w:t>
      </w:r>
      <w:r w:rsidR="00C741A6">
        <w:t xml:space="preserve"> </w:t>
      </w:r>
      <w:r w:rsidRPr="00EE3889">
        <w:t>be little doubt that the 1984 statute reflects a principle that it is ethical to provide for compulsory steps</w:t>
      </w:r>
      <w:r w:rsidR="00C741A6">
        <w:t xml:space="preserve"> </w:t>
      </w:r>
      <w:r w:rsidRPr="00EE3889">
        <w:t>against those who present a danger to others from a medical condition: whilst it is important to</w:t>
      </w:r>
      <w:r w:rsidR="00C741A6">
        <w:t xml:space="preserve"> </w:t>
      </w:r>
      <w:r w:rsidRPr="00EE3889">
        <w:t>undermine any prejudiced view that mental disorder is to be equated with danger to the public, it must</w:t>
      </w:r>
      <w:r w:rsidR="00C741A6">
        <w:t xml:space="preserve"> </w:t>
      </w:r>
      <w:r w:rsidRPr="00EE3889">
        <w:t>also be accepted that there are a number of instances where such a risk does arise. The key is to ensure</w:t>
      </w:r>
      <w:r w:rsidR="00C741A6">
        <w:t xml:space="preserve"> </w:t>
      </w:r>
      <w:r w:rsidRPr="00EE3889">
        <w:t>that the proportionality of the intervention is maintained as between a physical illness that might pose a</w:t>
      </w:r>
      <w:r w:rsidR="00C741A6">
        <w:t xml:space="preserve"> </w:t>
      </w:r>
      <w:r w:rsidRPr="00EE3889">
        <w:t>risk to others and mental disorder that might pose a similar problem.</w:t>
      </w:r>
    </w:p>
    <w:p w:rsidR="00EE3889" w:rsidRPr="00EE3889" w:rsidRDefault="00EE3889" w:rsidP="00EE3889">
      <w:r w:rsidRPr="00EE3889">
        <w:t>Also worthy of mention in this context is another part of Art 5(1</w:t>
      </w:r>
      <w:proofErr w:type="gramStart"/>
      <w:r w:rsidRPr="00EE3889">
        <w:t>)(</w:t>
      </w:r>
      <w:proofErr w:type="gramEnd"/>
      <w:r w:rsidRPr="00EE3889">
        <w:t>e), the detention of “alcoholics”. In</w:t>
      </w:r>
      <w:r w:rsidR="00C741A6">
        <w:t xml:space="preserve"> </w:t>
      </w:r>
      <w:proofErr w:type="spellStart"/>
      <w:r w:rsidRPr="00EE3889">
        <w:rPr>
          <w:i/>
          <w:iCs/>
        </w:rPr>
        <w:t>Litwa</w:t>
      </w:r>
      <w:proofErr w:type="spellEnd"/>
      <w:r w:rsidRPr="00EE3889">
        <w:rPr>
          <w:i/>
          <w:iCs/>
        </w:rPr>
        <w:t xml:space="preserve"> v Poland</w:t>
      </w:r>
      <w:r w:rsidR="00C741A6">
        <w:rPr>
          <w:rStyle w:val="FootnoteReference"/>
          <w:i/>
          <w:iCs/>
        </w:rPr>
        <w:footnoteReference w:id="14"/>
      </w:r>
      <w:r w:rsidRPr="00EE3889">
        <w:t>, the European Court of Human Rights concluded that the term covered not just those</w:t>
      </w:r>
      <w:r w:rsidR="00C741A6">
        <w:t xml:space="preserve"> </w:t>
      </w:r>
      <w:r w:rsidRPr="00EE3889">
        <w:t>addicted to alcohol but also those who were intoxicated: the reason for this broad interpretation was that</w:t>
      </w:r>
      <w:r w:rsidR="00C741A6">
        <w:t xml:space="preserve"> </w:t>
      </w:r>
      <w:r w:rsidRPr="00EE3889">
        <w:t>Art 5(1</w:t>
      </w:r>
      <w:proofErr w:type="gramStart"/>
      <w:r w:rsidRPr="00EE3889">
        <w:t>)(</w:t>
      </w:r>
      <w:proofErr w:type="gramEnd"/>
      <w:r w:rsidRPr="00EE3889">
        <w:t>e) was a provision designed to allow detention of those whose condition might cause dangers to</w:t>
      </w:r>
      <w:r w:rsidR="00C741A6">
        <w:t xml:space="preserve"> </w:t>
      </w:r>
      <w:r w:rsidRPr="00EE3889">
        <w:t>themselves or to others</w:t>
      </w:r>
      <w:r w:rsidR="00C741A6">
        <w:rPr>
          <w:rStyle w:val="FootnoteReference"/>
        </w:rPr>
        <w:footnoteReference w:id="15"/>
      </w:r>
      <w:r w:rsidRPr="00EE3889">
        <w:t>. The Court then found a breach of Art 5 on the basis that there had been no</w:t>
      </w:r>
      <w:r w:rsidR="00C741A6">
        <w:t xml:space="preserve"> </w:t>
      </w:r>
      <w:r w:rsidRPr="00EE3889">
        <w:t>consideration of the proportionality of detention on the facts, which was in a sobering-up centre, rather</w:t>
      </w:r>
      <w:r w:rsidR="00C741A6">
        <w:t xml:space="preserve"> </w:t>
      </w:r>
      <w:r w:rsidRPr="00EE3889">
        <w:t xml:space="preserve">than an alternative course permitted by domestic law such as taking Mr </w:t>
      </w:r>
      <w:proofErr w:type="spellStart"/>
      <w:r w:rsidRPr="00EE3889">
        <w:t>Litwa</w:t>
      </w:r>
      <w:proofErr w:type="spellEnd"/>
      <w:r w:rsidRPr="00EE3889">
        <w:t xml:space="preserve"> home</w:t>
      </w:r>
      <w:r w:rsidR="00C741A6">
        <w:rPr>
          <w:rStyle w:val="FootnoteReference"/>
        </w:rPr>
        <w:footnoteReference w:id="16"/>
      </w:r>
      <w:r w:rsidRPr="00EE3889">
        <w:t>. Again, the</w:t>
      </w:r>
      <w:r w:rsidR="00C741A6">
        <w:t xml:space="preserve"> </w:t>
      </w:r>
      <w:r w:rsidRPr="00EE3889">
        <w:t>important question is the proportionality of taking preventive action.</w:t>
      </w:r>
    </w:p>
    <w:p w:rsidR="00D46399" w:rsidRDefault="00EE3889" w:rsidP="00EE3889">
      <w:r w:rsidRPr="00EE3889">
        <w:t>Another area of public safety law is relevant. The European Court of Human Rights has made it clear</w:t>
      </w:r>
      <w:r w:rsidR="00C741A6">
        <w:t xml:space="preserve"> </w:t>
      </w:r>
      <w:r w:rsidRPr="00EE3889">
        <w:t>that the criminal law and its deterrent effect might not always be sufficient to protect against assault by</w:t>
      </w:r>
      <w:r w:rsidR="00C741A6">
        <w:t xml:space="preserve"> </w:t>
      </w:r>
      <w:r w:rsidRPr="00EE3889">
        <w:t>others. The right to life in Art 2 requires specific preventive action when the authorities know or ought</w:t>
      </w:r>
      <w:r w:rsidR="00C741A6">
        <w:t xml:space="preserve"> </w:t>
      </w:r>
      <w:r w:rsidRPr="00EE3889">
        <w:t xml:space="preserve">to have known of an identifiable danger to life: see </w:t>
      </w:r>
      <w:r w:rsidRPr="00EE3889">
        <w:rPr>
          <w:i/>
          <w:iCs/>
        </w:rPr>
        <w:t>Osman v UK</w:t>
      </w:r>
      <w:r w:rsidR="00C741A6">
        <w:rPr>
          <w:rStyle w:val="FootnoteReference"/>
          <w:i/>
          <w:iCs/>
        </w:rPr>
        <w:footnoteReference w:id="17"/>
      </w:r>
      <w:r w:rsidRPr="00EE3889">
        <w:t>. This clearly applies when the risk arises</w:t>
      </w:r>
      <w:r w:rsidR="00C741A6">
        <w:t xml:space="preserve"> </w:t>
      </w:r>
      <w:r w:rsidRPr="00EE3889">
        <w:t xml:space="preserve">from the mental disorder of an individual, as a breach of Art 2 was found when a </w:t>
      </w:r>
      <w:r w:rsidRPr="00EE3889">
        <w:lastRenderedPageBreak/>
        <w:t>mentally-ill prisoner</w:t>
      </w:r>
      <w:r w:rsidR="00C741A6">
        <w:t xml:space="preserve"> </w:t>
      </w:r>
      <w:r w:rsidRPr="00EE3889">
        <w:t xml:space="preserve">killed his cell-mate following an inadequate assessment of the risk he posed: see </w:t>
      </w:r>
      <w:proofErr w:type="gramStart"/>
      <w:r w:rsidRPr="00EE3889">
        <w:rPr>
          <w:i/>
          <w:iCs/>
        </w:rPr>
        <w:t>Edwards</w:t>
      </w:r>
      <w:proofErr w:type="gramEnd"/>
      <w:r w:rsidRPr="00EE3889">
        <w:rPr>
          <w:i/>
          <w:iCs/>
        </w:rPr>
        <w:t xml:space="preserve"> v UK</w:t>
      </w:r>
      <w:r w:rsidR="00453726">
        <w:rPr>
          <w:rStyle w:val="FootnoteReference"/>
          <w:i/>
          <w:iCs/>
        </w:rPr>
        <w:footnoteReference w:id="18"/>
      </w:r>
      <w:r w:rsidRPr="00EE3889">
        <w:t>.</w:t>
      </w:r>
    </w:p>
    <w:p w:rsidR="00453726" w:rsidRPr="00453726" w:rsidRDefault="00453726" w:rsidP="00453726">
      <w:r w:rsidRPr="00453726">
        <w:t>It also extends to self-harming behaviour</w:t>
      </w:r>
      <w:r w:rsidR="00BC01A3">
        <w:rPr>
          <w:rStyle w:val="FootnoteReference"/>
        </w:rPr>
        <w:footnoteReference w:id="19"/>
      </w:r>
      <w:r w:rsidRPr="00453726">
        <w:t>. And Article 3, the duty to avoid inhuman or degrading</w:t>
      </w:r>
      <w:r>
        <w:t xml:space="preserve"> </w:t>
      </w:r>
      <w:r w:rsidRPr="00453726">
        <w:t>treatment, might also be engaged by failing to prevent an assault or failing to prevent someone acting out</w:t>
      </w:r>
      <w:r>
        <w:t xml:space="preserve"> </w:t>
      </w:r>
      <w:r w:rsidRPr="00453726">
        <w:t xml:space="preserve">self-harming behaviour: so in </w:t>
      </w:r>
      <w:r w:rsidRPr="00453726">
        <w:rPr>
          <w:i/>
          <w:iCs/>
        </w:rPr>
        <w:t>Keenan v UK</w:t>
      </w:r>
      <w:r w:rsidR="00BC01A3">
        <w:rPr>
          <w:rStyle w:val="FootnoteReference"/>
          <w:i/>
          <w:iCs/>
        </w:rPr>
        <w:footnoteReference w:id="20"/>
      </w:r>
      <w:r w:rsidRPr="00453726">
        <w:t>, the European Court found that the suicide of a mentally-ill</w:t>
      </w:r>
      <w:r>
        <w:t xml:space="preserve"> </w:t>
      </w:r>
      <w:r w:rsidRPr="00453726">
        <w:t>prisoner did not breach Art 2 because it has not been possible to identify the specific risk to life, but did</w:t>
      </w:r>
      <w:r>
        <w:t xml:space="preserve"> </w:t>
      </w:r>
      <w:r w:rsidRPr="00453726">
        <w:t>breach Art 3 because it revealed a lack of effective monitoring.</w:t>
      </w:r>
    </w:p>
    <w:p w:rsidR="00453726" w:rsidRPr="00453726" w:rsidRDefault="00453726" w:rsidP="00453726">
      <w:r w:rsidRPr="00453726">
        <w:t>Again it is necessary not to overplay the connection between mental disorder and harm: but the well</w:t>
      </w:r>
      <w:r>
        <w:t>-</w:t>
      </w:r>
      <w:r w:rsidRPr="00453726">
        <w:t>established</w:t>
      </w:r>
      <w:r>
        <w:t xml:space="preserve"> </w:t>
      </w:r>
      <w:r w:rsidRPr="00453726">
        <w:t>point that protecting people from themselves may be necessary cannot be ignored, nor can</w:t>
      </w:r>
      <w:r>
        <w:t xml:space="preserve"> </w:t>
      </w:r>
      <w:r w:rsidRPr="00453726">
        <w:t>the fact that protecting people from others is also a duty of the state in certain circumstances, the duty</w:t>
      </w:r>
      <w:r>
        <w:t xml:space="preserve"> </w:t>
      </w:r>
      <w:r w:rsidRPr="00453726">
        <w:t>extending beyond merely having a criminal justice system in place. Once these points are recognised,</w:t>
      </w:r>
      <w:r>
        <w:t xml:space="preserve"> </w:t>
      </w:r>
      <w:r w:rsidRPr="00453726">
        <w:t>there is nothing inherently discriminatory about making mental disorder the feature on the basis of which</w:t>
      </w:r>
      <w:r>
        <w:t xml:space="preserve"> </w:t>
      </w:r>
      <w:r w:rsidRPr="00453726">
        <w:t>preventive action is taken: what is needed is the existence of an appropriate level of risk, whatever the</w:t>
      </w:r>
      <w:r>
        <w:t xml:space="preserve"> </w:t>
      </w:r>
      <w:r w:rsidRPr="00453726">
        <w:t>basis for the intervention, so as to avoid any intervention being disproportionate; and an equivalence of</w:t>
      </w:r>
      <w:r>
        <w:t xml:space="preserve"> </w:t>
      </w:r>
      <w:r w:rsidRPr="00453726">
        <w:t xml:space="preserve">risk in different settings so as to avoid discrimination. This approach does, it has to be said, </w:t>
      </w:r>
      <w:proofErr w:type="gramStart"/>
      <w:r w:rsidRPr="00453726">
        <w:t>favour</w:t>
      </w:r>
      <w:proofErr w:type="gramEnd"/>
      <w:r w:rsidRPr="00453726">
        <w:t xml:space="preserve"> the</w:t>
      </w:r>
      <w:r>
        <w:t xml:space="preserve"> </w:t>
      </w:r>
      <w:r w:rsidRPr="00453726">
        <w:t xml:space="preserve">line taken by the government during the debates on the </w:t>
      </w:r>
      <w:r w:rsidRPr="00453726">
        <w:rPr>
          <w:i/>
          <w:iCs/>
        </w:rPr>
        <w:t xml:space="preserve">Mental Health Act 2007 </w:t>
      </w:r>
      <w:r w:rsidRPr="00453726">
        <w:t>that intervention is a</w:t>
      </w:r>
      <w:r>
        <w:t xml:space="preserve"> </w:t>
      </w:r>
      <w:r w:rsidRPr="00453726">
        <w:t>question of risk rather than capacity. It may be that those Parliamentarians who concentrated on an</w:t>
      </w:r>
      <w:r>
        <w:t xml:space="preserve"> </w:t>
      </w:r>
      <w:r w:rsidRPr="00453726">
        <w:t>assertion that it was discriminatory not to include the question of capacity missed what was the real</w:t>
      </w:r>
      <w:r>
        <w:t xml:space="preserve"> </w:t>
      </w:r>
      <w:r w:rsidRPr="00453726">
        <w:t>argument, namely ensuring that there was no discrimination by applying a lesser test for detention on the</w:t>
      </w:r>
      <w:r>
        <w:t xml:space="preserve"> </w:t>
      </w:r>
      <w:r w:rsidRPr="00453726">
        <w:t>ground of mental disorder than in relation to other risk-based grounds for detention</w:t>
      </w:r>
      <w:r w:rsidR="00BC01A3">
        <w:rPr>
          <w:rStyle w:val="FootnoteReference"/>
        </w:rPr>
        <w:footnoteReference w:id="21"/>
      </w:r>
      <w:r w:rsidRPr="00453726">
        <w:t>.</w:t>
      </w:r>
    </w:p>
    <w:p w:rsidR="00453726" w:rsidRPr="00453726" w:rsidRDefault="00453726" w:rsidP="00453726">
      <w:r w:rsidRPr="00453726">
        <w:t>In summary, the proposal to make the absence of capacity a central feature to all detention based on</w:t>
      </w:r>
      <w:r>
        <w:t xml:space="preserve"> </w:t>
      </w:r>
      <w:r w:rsidRPr="00453726">
        <w:t>mental disorder, which rests on the basis that the absence of cooperation from patients with capacity can</w:t>
      </w:r>
      <w:r>
        <w:t xml:space="preserve"> </w:t>
      </w:r>
      <w:r w:rsidRPr="00453726">
        <w:t>be left to the criminal law and the prison system, goes too far. The police-power basis for detention on</w:t>
      </w:r>
      <w:r>
        <w:t xml:space="preserve"> </w:t>
      </w:r>
      <w:r w:rsidRPr="00453726">
        <w:t>the ground of mental disorder, both as regards harm to others and self-harm, is well-established and</w:t>
      </w:r>
      <w:r>
        <w:t xml:space="preserve"> </w:t>
      </w:r>
      <w:r w:rsidRPr="00453726">
        <w:t xml:space="preserve">necessary under human rights law. </w:t>
      </w:r>
      <w:proofErr w:type="spellStart"/>
      <w:r w:rsidRPr="00453726">
        <w:t>Szmukler</w:t>
      </w:r>
      <w:proofErr w:type="spellEnd"/>
      <w:r w:rsidRPr="00453726">
        <w:t xml:space="preserve"> and others do accept that capacity principles can be</w:t>
      </w:r>
      <w:r>
        <w:t xml:space="preserve"> </w:t>
      </w:r>
      <w:r w:rsidRPr="00453726">
        <w:t>amended to permit detention for those who do not have the safety net (from the public safety</w:t>
      </w:r>
      <w:r>
        <w:t xml:space="preserve"> </w:t>
      </w:r>
      <w:r w:rsidRPr="00453726">
        <w:t>perspective) of a prison sentence, namely the group found not guilty by reason of insanity or to be unfit</w:t>
      </w:r>
      <w:r>
        <w:t xml:space="preserve"> </w:t>
      </w:r>
      <w:r w:rsidRPr="00453726">
        <w:t xml:space="preserve">to stand trial but to have committed the </w:t>
      </w:r>
      <w:proofErr w:type="spellStart"/>
      <w:r w:rsidRPr="00453726">
        <w:t>actus</w:t>
      </w:r>
      <w:proofErr w:type="spellEnd"/>
      <w:r w:rsidRPr="00453726">
        <w:t xml:space="preserve"> </w:t>
      </w:r>
      <w:proofErr w:type="spellStart"/>
      <w:r w:rsidRPr="00453726">
        <w:t>reus</w:t>
      </w:r>
      <w:proofErr w:type="spellEnd"/>
      <w:r w:rsidRPr="00453726">
        <w:t xml:space="preserve"> of an offence: but these two exceptions still require a</w:t>
      </w:r>
      <w:r>
        <w:t xml:space="preserve"> </w:t>
      </w:r>
      <w:r w:rsidRPr="00453726">
        <w:t>criminal action to have occurred, whereas public safety/police-power considerations allow and in some</w:t>
      </w:r>
      <w:r>
        <w:t xml:space="preserve"> </w:t>
      </w:r>
      <w:r w:rsidRPr="00453726">
        <w:t>circumstances mandate an earlier intervention, based on the degree of the risk presented. So the authors</w:t>
      </w:r>
      <w:r>
        <w:t xml:space="preserve"> </w:t>
      </w:r>
      <w:r w:rsidRPr="00453726">
        <w:t>of the fusion proposal, it is suggested, need to supply further arguments as to how the proposal can</w:t>
      </w:r>
      <w:r>
        <w:t xml:space="preserve"> </w:t>
      </w:r>
      <w:r w:rsidRPr="00453726">
        <w:t>withstand this legitimate demand of public safety. In short, why should it not be a test of proportionality</w:t>
      </w:r>
      <w:r>
        <w:t xml:space="preserve"> </w:t>
      </w:r>
      <w:r w:rsidRPr="00453726">
        <w:t>of intervention – such as a requirement that detention be necessary to avoid a serious risk to others –</w:t>
      </w:r>
      <w:r>
        <w:t xml:space="preserve"> </w:t>
      </w:r>
      <w:r w:rsidRPr="00453726">
        <w:t>irrespective of capacity and consent (or as a long-stop if there is capacity and consent)?</w:t>
      </w:r>
    </w:p>
    <w:p w:rsidR="00453726" w:rsidRPr="00453726" w:rsidRDefault="00453726" w:rsidP="00453726">
      <w:pPr>
        <w:rPr>
          <w:b/>
          <w:bCs/>
        </w:rPr>
      </w:pPr>
      <w:r w:rsidRPr="00453726">
        <w:rPr>
          <w:b/>
          <w:bCs/>
        </w:rPr>
        <w:lastRenderedPageBreak/>
        <w:t>(iii) Other Human Rights Arguments</w:t>
      </w:r>
    </w:p>
    <w:p w:rsidR="00453726" w:rsidRDefault="00453726" w:rsidP="00453726">
      <w:r w:rsidRPr="00453726">
        <w:t xml:space="preserve">There is at least one further human rights-based argument to which </w:t>
      </w:r>
      <w:proofErr w:type="spellStart"/>
      <w:r w:rsidRPr="00453726">
        <w:t>Szmukler</w:t>
      </w:r>
      <w:proofErr w:type="spellEnd"/>
      <w:r w:rsidRPr="00453726">
        <w:t xml:space="preserve"> and others need to respond</w:t>
      </w:r>
      <w:r>
        <w:t xml:space="preserve"> </w:t>
      </w:r>
      <w:r w:rsidRPr="00453726">
        <w:t>in the forensic context, where doctors may have to have recalcitrant patients in their hospitals.</w:t>
      </w:r>
    </w:p>
    <w:p w:rsidR="00F06BFF" w:rsidRPr="00F06BFF" w:rsidRDefault="00F06BFF" w:rsidP="00F06BFF">
      <w:r w:rsidRPr="00F06BFF">
        <w:t>In addition to the fact that protective detention is possible, including detention based on social welfare</w:t>
      </w:r>
      <w:r>
        <w:t xml:space="preserve"> </w:t>
      </w:r>
      <w:r w:rsidRPr="00F06BFF">
        <w:t>grounds</w:t>
      </w:r>
      <w:r>
        <w:rPr>
          <w:rStyle w:val="FootnoteReference"/>
        </w:rPr>
        <w:footnoteReference w:id="22"/>
      </w:r>
      <w:r w:rsidRPr="00F06BFF">
        <w:t>, it is well-established that detention based on mental disorder must be in a suitable clinical</w:t>
      </w:r>
      <w:r>
        <w:t xml:space="preserve"> </w:t>
      </w:r>
      <w:r w:rsidRPr="00F06BFF">
        <w:t xml:space="preserve">setting. The example of this is </w:t>
      </w:r>
      <w:proofErr w:type="spellStart"/>
      <w:r w:rsidRPr="00F06BFF">
        <w:rPr>
          <w:i/>
          <w:iCs/>
        </w:rPr>
        <w:t>Aerts</w:t>
      </w:r>
      <w:proofErr w:type="spellEnd"/>
      <w:r w:rsidRPr="00F06BFF">
        <w:rPr>
          <w:i/>
          <w:iCs/>
        </w:rPr>
        <w:t xml:space="preserve"> v Belgium</w:t>
      </w:r>
      <w:r>
        <w:rPr>
          <w:rStyle w:val="FootnoteReference"/>
          <w:i/>
          <w:iCs/>
        </w:rPr>
        <w:footnoteReference w:id="23"/>
      </w:r>
      <w:r w:rsidRPr="00F06BFF">
        <w:t>: he was detained in a prison psychiatric wing following a</w:t>
      </w:r>
      <w:r>
        <w:t xml:space="preserve"> </w:t>
      </w:r>
      <w:r w:rsidRPr="00F06BFF">
        <w:t>finding that he had committed an assault but was not responsible in light of his psychiatric condition.</w:t>
      </w:r>
      <w:r>
        <w:t xml:space="preserve"> </w:t>
      </w:r>
      <w:r w:rsidRPr="00F06BFF">
        <w:t>The detention was supposed to be merely short-term, whilst a place was found in a clinic, but it extended</w:t>
      </w:r>
      <w:r>
        <w:t xml:space="preserve"> </w:t>
      </w:r>
      <w:r w:rsidRPr="00F06BFF">
        <w:t>for several months: this was found to breach Art 5(1</w:t>
      </w:r>
      <w:proofErr w:type="gramStart"/>
      <w:r w:rsidRPr="00F06BFF">
        <w:t>)(</w:t>
      </w:r>
      <w:proofErr w:type="gramEnd"/>
      <w:r w:rsidRPr="00F06BFF">
        <w:t>e) because detention on the ground of mental</w:t>
      </w:r>
      <w:r>
        <w:t xml:space="preserve"> </w:t>
      </w:r>
      <w:r w:rsidRPr="00F06BFF">
        <w:t xml:space="preserve">disorder has to be in an appropriate therapeutic setting. Although Mr </w:t>
      </w:r>
      <w:proofErr w:type="spellStart"/>
      <w:r w:rsidRPr="00F06BFF">
        <w:t>Aerts</w:t>
      </w:r>
      <w:proofErr w:type="spellEnd"/>
      <w:r w:rsidRPr="00F06BFF">
        <w:t xml:space="preserve"> might have been found to</w:t>
      </w:r>
      <w:r>
        <w:t xml:space="preserve"> </w:t>
      </w:r>
      <w:r w:rsidRPr="00F06BFF">
        <w:t>lack capacity had such a test been applied to him – and indeed the Court rejected an argument that his</w:t>
      </w:r>
      <w:r>
        <w:t xml:space="preserve"> </w:t>
      </w:r>
      <w:r w:rsidRPr="00F06BFF">
        <w:t>detention could be viewed as being under Art 5(1</w:t>
      </w:r>
      <w:proofErr w:type="gramStart"/>
      <w:r w:rsidRPr="00F06BFF">
        <w:t>)(</w:t>
      </w:r>
      <w:proofErr w:type="gramEnd"/>
      <w:r w:rsidRPr="00F06BFF">
        <w:t>a) because the finding of the domestic court negated</w:t>
      </w:r>
      <w:r>
        <w:t xml:space="preserve"> </w:t>
      </w:r>
      <w:r w:rsidRPr="00F06BFF">
        <w:t>the possibility of arguing that he was criminally convicted – the principle set out in the case does not seem</w:t>
      </w:r>
      <w:r>
        <w:t xml:space="preserve"> </w:t>
      </w:r>
      <w:r w:rsidRPr="00F06BFF">
        <w:t>to be limited to those who are without capacity or who wish to seek treatment</w:t>
      </w:r>
      <w:r>
        <w:rPr>
          <w:rStyle w:val="FootnoteReference"/>
        </w:rPr>
        <w:footnoteReference w:id="24"/>
      </w:r>
      <w:r w:rsidRPr="00F06BFF">
        <w:t>. This case supports the</w:t>
      </w:r>
      <w:r>
        <w:t xml:space="preserve"> </w:t>
      </w:r>
      <w:r w:rsidRPr="00F06BFF">
        <w:t>viewpoint that considerations such as the better availability of treatment in a clinical setting, and hence</w:t>
      </w:r>
      <w:r>
        <w:t xml:space="preserve"> </w:t>
      </w:r>
      <w:r w:rsidRPr="00F06BFF">
        <w:t>the prospect of assistance, are of importance in assessing the arbitrariness or otherwise of detention.</w:t>
      </w:r>
      <w:r>
        <w:t xml:space="preserve"> </w:t>
      </w:r>
      <w:r w:rsidRPr="00F06BFF">
        <w:t>Of course, under the fusion proposal, treatment will be available: however, it will depend on consent or</w:t>
      </w:r>
      <w:r>
        <w:t xml:space="preserve"> </w:t>
      </w:r>
      <w:r w:rsidRPr="00F06BFF">
        <w:t>lack of capacity to consent. Accordingly, the authors will have to explain why it is less arbitrary to detain</w:t>
      </w:r>
      <w:r>
        <w:t xml:space="preserve"> </w:t>
      </w:r>
      <w:r w:rsidRPr="00F06BFF">
        <w:t>a mentally disordered person with capacity in a non-therapeutic environment rather than to abide by the</w:t>
      </w:r>
      <w:r>
        <w:t xml:space="preserve"> </w:t>
      </w:r>
      <w:r w:rsidRPr="00F06BFF">
        <w:t>person’s decision not to accept treatment and so – certainly if release rests on any prospect of treatment</w:t>
      </w:r>
      <w:r>
        <w:t xml:space="preserve"> </w:t>
      </w:r>
      <w:r w:rsidRPr="00F06BFF">
        <w:t>being provided and being successful – warehousing them in this non-therapeutic setting.</w:t>
      </w:r>
    </w:p>
    <w:p w:rsidR="00F06BFF" w:rsidRPr="00F06BFF" w:rsidRDefault="00F06BFF" w:rsidP="00F06BFF">
      <w:pPr>
        <w:rPr>
          <w:b/>
          <w:bCs/>
        </w:rPr>
      </w:pPr>
      <w:proofErr w:type="gramStart"/>
      <w:r w:rsidRPr="00F06BFF">
        <w:rPr>
          <w:b/>
          <w:bCs/>
        </w:rPr>
        <w:t>(iv) Another</w:t>
      </w:r>
      <w:proofErr w:type="gramEnd"/>
      <w:r w:rsidRPr="00F06BFF">
        <w:rPr>
          <w:b/>
          <w:bCs/>
        </w:rPr>
        <w:t xml:space="preserve"> Pragmatic Argument</w:t>
      </w:r>
    </w:p>
    <w:p w:rsidR="00F06BFF" w:rsidRDefault="00F06BFF" w:rsidP="00F06BFF">
      <w:r w:rsidRPr="00F06BFF">
        <w:t>Although it is no doubt true that the presence of mental disorder that does not deprive a person of</w:t>
      </w:r>
      <w:r>
        <w:t xml:space="preserve"> </w:t>
      </w:r>
      <w:r w:rsidRPr="00F06BFF">
        <w:t>capacity does not extinguish criminal responsibility in the context of our view of responsibility arising</w:t>
      </w:r>
      <w:r>
        <w:t xml:space="preserve"> </w:t>
      </w:r>
      <w:r w:rsidRPr="00F06BFF">
        <w:t>from a choice to breach the law (or at least to engage in conduct that is defined as criminal, even if this</w:t>
      </w:r>
      <w:r>
        <w:t xml:space="preserve"> </w:t>
      </w:r>
      <w:r w:rsidRPr="00F06BFF">
        <w:t>is not known by the criminal defendant), the criminal process involved in applying this substantive law</w:t>
      </w:r>
      <w:r>
        <w:t xml:space="preserve"> </w:t>
      </w:r>
      <w:r w:rsidRPr="00F06BFF">
        <w:t>allows more shades of grey to be taken into account: it does not insist that conduct be viewed in the black</w:t>
      </w:r>
      <w:r>
        <w:t xml:space="preserve"> </w:t>
      </w:r>
      <w:r w:rsidRPr="00F06BFF">
        <w:t>and white terms of asking whether there is or is not criminal responsibility. A key part of the nuance is</w:t>
      </w:r>
      <w:r>
        <w:t xml:space="preserve"> </w:t>
      </w:r>
      <w:r w:rsidRPr="00F06BFF">
        <w:t>the discretion of the prosecutor as to whether or not to proceed with a criminal prosecution. For England</w:t>
      </w:r>
      <w:r>
        <w:t xml:space="preserve"> </w:t>
      </w:r>
      <w:r w:rsidRPr="00F06BFF">
        <w:t>and Wales, this is codified in the Code for Crown Prosecutors</w:t>
      </w:r>
      <w:r>
        <w:rPr>
          <w:rStyle w:val="FootnoteReference"/>
        </w:rPr>
        <w:footnoteReference w:id="25"/>
      </w:r>
      <w:r w:rsidRPr="00F06BFF">
        <w:t>, and basically provides that a prosecution</w:t>
      </w:r>
      <w:r>
        <w:t xml:space="preserve"> </w:t>
      </w:r>
      <w:r w:rsidRPr="00F06BFF">
        <w:t>conducted by the Crown Prosecution Service should not proceed unless there is both a realistic prospect</w:t>
      </w:r>
      <w:r>
        <w:t xml:space="preserve"> </w:t>
      </w:r>
      <w:r w:rsidRPr="00F06BFF">
        <w:t>of conviction (an evidential sufficiency test) and also that there is a public interest in prosecuting</w:t>
      </w:r>
      <w:r>
        <w:rPr>
          <w:rStyle w:val="FootnoteReference"/>
        </w:rPr>
        <w:footnoteReference w:id="26"/>
      </w:r>
      <w:r w:rsidRPr="00F06BFF">
        <w:t>.</w:t>
      </w:r>
      <w:r>
        <w:t xml:space="preserve"> </w:t>
      </w:r>
      <w:r w:rsidRPr="00F06BFF">
        <w:t>The availability of alternatives to prosecution, of which diversion into the mental health system may be</w:t>
      </w:r>
      <w:r>
        <w:t xml:space="preserve"> </w:t>
      </w:r>
      <w:r w:rsidRPr="00F06BFF">
        <w:t>one, is a feature of the public interest that might militate against taking a prosecution. So, if a person has</w:t>
      </w:r>
      <w:r>
        <w:t xml:space="preserve"> </w:t>
      </w:r>
      <w:r w:rsidRPr="00F06BFF">
        <w:t xml:space="preserve">capacity but is nevertheless affected </w:t>
      </w:r>
      <w:r w:rsidRPr="00F06BFF">
        <w:lastRenderedPageBreak/>
        <w:t>by mental disorder, the availability of civil detention justified by the</w:t>
      </w:r>
      <w:r>
        <w:t xml:space="preserve"> </w:t>
      </w:r>
      <w:r w:rsidRPr="00F06BFF">
        <w:t>risk posed to others, as evidenced by the conduct leading to the police intervention</w:t>
      </w:r>
      <w:r>
        <w:rPr>
          <w:rStyle w:val="FootnoteReference"/>
        </w:rPr>
        <w:footnoteReference w:id="27"/>
      </w:r>
      <w:r w:rsidRPr="00F06BFF">
        <w:t>, may be a way to</w:t>
      </w:r>
      <w:r>
        <w:t xml:space="preserve"> </w:t>
      </w:r>
      <w:r w:rsidRPr="00F06BFF">
        <w:t>secure what would be considered a just solution, given that the responsibility retained by the accused is</w:t>
      </w:r>
      <w:r>
        <w:t xml:space="preserve"> </w:t>
      </w:r>
      <w:r w:rsidRPr="00F06BFF">
        <w:t xml:space="preserve">nevertheless diminished by reason of mental disorder. </w:t>
      </w:r>
      <w:proofErr w:type="spellStart"/>
      <w:r w:rsidRPr="00F06BFF">
        <w:t>Szmukler</w:t>
      </w:r>
      <w:proofErr w:type="spellEnd"/>
      <w:r w:rsidRPr="00F06BFF">
        <w:t xml:space="preserve"> and others need to explain further why it</w:t>
      </w:r>
      <w:r>
        <w:t xml:space="preserve"> </w:t>
      </w:r>
      <w:r w:rsidRPr="00F06BFF">
        <w:t>would be to the benefit of both the individuals affected and society as a whole to reduce the</w:t>
      </w:r>
      <w:r>
        <w:t xml:space="preserve"> </w:t>
      </w:r>
      <w:r w:rsidRPr="00F06BFF">
        <w:t>circumstances in which a prosecutor can take a view that a prosecution is not necessary because the</w:t>
      </w:r>
      <w:r>
        <w:t xml:space="preserve"> </w:t>
      </w:r>
      <w:r w:rsidRPr="00F06BFF">
        <w:t>public interest is served by diversion from the criminal justice system.</w:t>
      </w:r>
    </w:p>
    <w:p w:rsidR="00F06BFF" w:rsidRPr="00F06BFF" w:rsidRDefault="00F06BFF" w:rsidP="00F06BFF"/>
    <w:p w:rsidR="00F06BFF" w:rsidRPr="00F06BFF" w:rsidRDefault="00F06BFF" w:rsidP="00F06BFF">
      <w:pPr>
        <w:rPr>
          <w:b/>
          <w:bCs/>
          <w:sz w:val="24"/>
        </w:rPr>
      </w:pPr>
      <w:r w:rsidRPr="00F06BFF">
        <w:rPr>
          <w:b/>
          <w:bCs/>
          <w:sz w:val="24"/>
        </w:rPr>
        <w:t>3. Conclusion</w:t>
      </w:r>
    </w:p>
    <w:p w:rsidR="00F06BFF" w:rsidRDefault="00F06BFF" w:rsidP="00F06BFF">
      <w:r w:rsidRPr="00F06BFF">
        <w:t>The reduction of discrimination and prejudice faced by mentally-disordered persons is of great</w:t>
      </w:r>
      <w:r>
        <w:t xml:space="preserve"> </w:t>
      </w:r>
      <w:r w:rsidRPr="00F06BFF">
        <w:t>importance. Respect for autonomy and non-discrimination are key features of a civilised society.</w:t>
      </w:r>
      <w:r>
        <w:t xml:space="preserve"> </w:t>
      </w:r>
      <w:r w:rsidRPr="00F06BFF">
        <w:t>A principled approach to mental health law that puts autonomy in the sense of capacity at the centre is</w:t>
      </w:r>
      <w:r>
        <w:t xml:space="preserve"> </w:t>
      </w:r>
      <w:r w:rsidRPr="00F06BFF">
        <w:t>to be commended in this regard because it emphasises that mental disorder ought not to be treated</w:t>
      </w:r>
      <w:r>
        <w:t xml:space="preserve"> </w:t>
      </w:r>
      <w:r w:rsidRPr="00F06BFF">
        <w:t>differently to physical disorder. However, it cannot hide the fact that there is another important basis for</w:t>
      </w:r>
      <w:r>
        <w:t xml:space="preserve"> </w:t>
      </w:r>
      <w:r w:rsidRPr="00F06BFF">
        <w:t>society to take action, namely the need to reduce harm: the importance of autonomy limits the right to</w:t>
      </w:r>
      <w:r>
        <w:t xml:space="preserve"> </w:t>
      </w:r>
      <w:r w:rsidRPr="00F06BFF">
        <w:t>prevent freely-chosen self-harm, but the need to intervene clearly applies in the forensic setting, namely</w:t>
      </w:r>
      <w:r>
        <w:t xml:space="preserve"> </w:t>
      </w:r>
      <w:r w:rsidRPr="00F06BFF">
        <w:t>in relation to harm caused by one person to another. This need may mandate action of a preventive</w:t>
      </w:r>
      <w:r>
        <w:t xml:space="preserve"> </w:t>
      </w:r>
      <w:r w:rsidRPr="00F06BFF">
        <w:t>nature, not merely responding to a past misdeed. If this need arises from the mental disorder of the person</w:t>
      </w:r>
      <w:r>
        <w:t xml:space="preserve"> </w:t>
      </w:r>
      <w:r w:rsidRPr="00F06BFF">
        <w:t>against whom action is taken, the fact that the risk posed arises from mental disorder is not by itself</w:t>
      </w:r>
      <w:r>
        <w:t xml:space="preserve"> </w:t>
      </w:r>
      <w:r w:rsidRPr="00F06BFF">
        <w:t>discriminatory so long as the test for intervention involves a risk of a similar magnitude as would allow</w:t>
      </w:r>
      <w:r>
        <w:t xml:space="preserve"> </w:t>
      </w:r>
      <w:r w:rsidRPr="00F06BFF">
        <w:t>intervention when there was a cause for the risk other than mental disorder. In addition, a focus on</w:t>
      </w:r>
      <w:r>
        <w:t xml:space="preserve"> </w:t>
      </w:r>
      <w:r w:rsidRPr="00F06BFF">
        <w:t>capacity as the filter for all intervention when mental disorder is in issue would deprive the legal system</w:t>
      </w:r>
      <w:r>
        <w:t xml:space="preserve"> </w:t>
      </w:r>
      <w:r w:rsidRPr="00F06BFF">
        <w:t>of the flexibility of making use of a hospital disposal when that is the just response to the situation, and</w:t>
      </w:r>
      <w:r>
        <w:t xml:space="preserve"> </w:t>
      </w:r>
      <w:r w:rsidRPr="00F06BFF">
        <w:t>possibly force prosecuting authorities to make use of the formal criminal justice system and force courts</w:t>
      </w:r>
      <w:r>
        <w:t xml:space="preserve"> </w:t>
      </w:r>
      <w:r w:rsidRPr="00F06BFF">
        <w:t>to condemn people to detention in inappropriate and non-therapeutic settings. The authors of the fusion</w:t>
      </w:r>
      <w:r>
        <w:t xml:space="preserve"> </w:t>
      </w:r>
      <w:r w:rsidRPr="00F06BFF">
        <w:t>proposal may be able to bring arguments to bear to suggest that the balance is still in favour of a capacity</w:t>
      </w:r>
      <w:r>
        <w:t>-</w:t>
      </w:r>
      <w:r w:rsidRPr="00F06BFF">
        <w:t>based</w:t>
      </w:r>
      <w:r>
        <w:t xml:space="preserve"> </w:t>
      </w:r>
      <w:r w:rsidRPr="00F06BFF">
        <w:t>system: this review is aimed to provide merely a reminder that there are some other factors that</w:t>
      </w:r>
      <w:r>
        <w:t xml:space="preserve"> </w:t>
      </w:r>
      <w:r w:rsidRPr="00F06BFF">
        <w:t>ought to be addressed before starting in earnest on the task of persuading policy makers and legislators,</w:t>
      </w:r>
      <w:r>
        <w:t xml:space="preserve"> </w:t>
      </w:r>
      <w:r w:rsidRPr="00F06BFF">
        <w:t>who have been less than receptive in recent times to making capacity central to the forensic aspects of</w:t>
      </w:r>
      <w:r>
        <w:t xml:space="preserve"> </w:t>
      </w:r>
      <w:r w:rsidRPr="00F06BFF">
        <w:t>mental health law.</w:t>
      </w:r>
      <w:bookmarkStart w:id="0" w:name="_GoBack"/>
      <w:bookmarkEnd w:id="0"/>
    </w:p>
    <w:sectPr w:rsidR="00F06B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25C" w:rsidRDefault="00A0125C" w:rsidP="00A0125C">
      <w:pPr>
        <w:spacing w:after="0" w:line="240" w:lineRule="auto"/>
      </w:pPr>
      <w:r>
        <w:separator/>
      </w:r>
    </w:p>
  </w:endnote>
  <w:endnote w:type="continuationSeparator" w:id="0">
    <w:p w:rsidR="00A0125C" w:rsidRDefault="00A0125C" w:rsidP="00A0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25C" w:rsidRDefault="00A0125C" w:rsidP="00A0125C">
      <w:pPr>
        <w:spacing w:after="0" w:line="240" w:lineRule="auto"/>
      </w:pPr>
      <w:r>
        <w:separator/>
      </w:r>
    </w:p>
  </w:footnote>
  <w:footnote w:type="continuationSeparator" w:id="0">
    <w:p w:rsidR="00A0125C" w:rsidRDefault="00A0125C" w:rsidP="00A0125C">
      <w:pPr>
        <w:spacing w:after="0" w:line="240" w:lineRule="auto"/>
      </w:pPr>
      <w:r>
        <w:continuationSeparator/>
      </w:r>
    </w:p>
  </w:footnote>
  <w:footnote w:id="1">
    <w:p w:rsidR="00A0125C" w:rsidRPr="00A0125C" w:rsidRDefault="00A0125C">
      <w:pPr>
        <w:pStyle w:val="FootnoteText"/>
        <w:rPr>
          <w:sz w:val="16"/>
        </w:rPr>
      </w:pPr>
      <w:r w:rsidRPr="00A0125C">
        <w:rPr>
          <w:rStyle w:val="FootnoteReference"/>
          <w:sz w:val="16"/>
        </w:rPr>
        <w:footnoteRef/>
      </w:r>
      <w:r w:rsidRPr="00A0125C">
        <w:rPr>
          <w:sz w:val="16"/>
        </w:rPr>
        <w:t xml:space="preserve"> </w:t>
      </w:r>
      <w:proofErr w:type="gramStart"/>
      <w:r w:rsidRPr="00A0125C">
        <w:rPr>
          <w:sz w:val="16"/>
        </w:rPr>
        <w:t xml:space="preserve">Barrister; Senior Lecturer, Law School, University of Auckland; Editor, Mental </w:t>
      </w:r>
      <w:proofErr w:type="spellStart"/>
      <w:r w:rsidRPr="00A0125C">
        <w:rPr>
          <w:sz w:val="16"/>
        </w:rPr>
        <w:t>Heath</w:t>
      </w:r>
      <w:proofErr w:type="spellEnd"/>
      <w:r w:rsidRPr="00A0125C">
        <w:rPr>
          <w:sz w:val="16"/>
        </w:rPr>
        <w:t xml:space="preserve"> Law Reports.</w:t>
      </w:r>
      <w:proofErr w:type="gramEnd"/>
    </w:p>
  </w:footnote>
  <w:footnote w:id="2">
    <w:p w:rsidR="00D46399" w:rsidRPr="00D46399" w:rsidRDefault="00D46399" w:rsidP="00D46399">
      <w:pPr>
        <w:pStyle w:val="FootnoteText"/>
        <w:rPr>
          <w:sz w:val="16"/>
        </w:rPr>
      </w:pPr>
      <w:r w:rsidRPr="00D46399">
        <w:rPr>
          <w:rStyle w:val="FootnoteReference"/>
          <w:sz w:val="16"/>
        </w:rPr>
        <w:footnoteRef/>
      </w:r>
      <w:r w:rsidRPr="00D46399">
        <w:rPr>
          <w:sz w:val="16"/>
        </w:rPr>
        <w:t xml:space="preserve"> </w:t>
      </w:r>
      <w:proofErr w:type="gramStart"/>
      <w:r w:rsidRPr="00D46399">
        <w:rPr>
          <w:sz w:val="16"/>
        </w:rPr>
        <w:t>and</w:t>
      </w:r>
      <w:proofErr w:type="gramEnd"/>
      <w:r w:rsidRPr="00D46399">
        <w:rPr>
          <w:sz w:val="16"/>
        </w:rPr>
        <w:t xml:space="preserve"> so the dual key of the consent of the Secretary of State</w:t>
      </w:r>
      <w:r w:rsidRPr="00D46399">
        <w:rPr>
          <w:sz w:val="16"/>
        </w:rPr>
        <w:t xml:space="preserve"> </w:t>
      </w:r>
      <w:r w:rsidRPr="00D46399">
        <w:rPr>
          <w:sz w:val="16"/>
        </w:rPr>
        <w:t>for transfer and leave, and the different regime as to</w:t>
      </w:r>
      <w:r w:rsidRPr="00D46399">
        <w:rPr>
          <w:sz w:val="16"/>
        </w:rPr>
        <w:t xml:space="preserve"> </w:t>
      </w:r>
      <w:r w:rsidRPr="00D46399">
        <w:rPr>
          <w:sz w:val="16"/>
        </w:rPr>
        <w:t>release (see ss41 and 73 Mental Health Act 1983) would</w:t>
      </w:r>
      <w:r w:rsidRPr="00D46399">
        <w:rPr>
          <w:sz w:val="16"/>
        </w:rPr>
        <w:t xml:space="preserve"> </w:t>
      </w:r>
      <w:r w:rsidRPr="00D46399">
        <w:rPr>
          <w:sz w:val="16"/>
        </w:rPr>
        <w:t>cease to operate.</w:t>
      </w:r>
    </w:p>
  </w:footnote>
  <w:footnote w:id="3">
    <w:p w:rsidR="00D46399" w:rsidRPr="00D46399" w:rsidRDefault="00D46399" w:rsidP="00D46399">
      <w:pPr>
        <w:pStyle w:val="FootnoteText"/>
        <w:rPr>
          <w:sz w:val="16"/>
        </w:rPr>
      </w:pPr>
      <w:r w:rsidRPr="00D46399">
        <w:rPr>
          <w:rStyle w:val="FootnoteReference"/>
          <w:sz w:val="16"/>
        </w:rPr>
        <w:footnoteRef/>
      </w:r>
      <w:r w:rsidRPr="00D46399">
        <w:rPr>
          <w:sz w:val="16"/>
        </w:rPr>
        <w:t xml:space="preserve"> </w:t>
      </w:r>
      <w:proofErr w:type="gramStart"/>
      <w:r w:rsidRPr="00D46399">
        <w:rPr>
          <w:sz w:val="16"/>
        </w:rPr>
        <w:t>Section 64 of the Mental Health (Care and Treatment)</w:t>
      </w:r>
      <w:r w:rsidRPr="00D46399">
        <w:rPr>
          <w:sz w:val="16"/>
        </w:rPr>
        <w:t xml:space="preserve"> </w:t>
      </w:r>
      <w:r w:rsidRPr="00D46399">
        <w:rPr>
          <w:sz w:val="16"/>
        </w:rPr>
        <w:t>(Scotland) Act 2003.</w:t>
      </w:r>
      <w:proofErr w:type="gramEnd"/>
    </w:p>
  </w:footnote>
  <w:footnote w:id="4">
    <w:p w:rsidR="00D46399" w:rsidRPr="00D46399" w:rsidRDefault="00D46399" w:rsidP="00D46399">
      <w:pPr>
        <w:pStyle w:val="FootnoteText"/>
        <w:rPr>
          <w:sz w:val="16"/>
        </w:rPr>
      </w:pPr>
      <w:r w:rsidRPr="00D46399">
        <w:rPr>
          <w:rStyle w:val="FootnoteReference"/>
          <w:sz w:val="16"/>
        </w:rPr>
        <w:footnoteRef/>
      </w:r>
      <w:r w:rsidRPr="00D46399">
        <w:rPr>
          <w:sz w:val="16"/>
        </w:rPr>
        <w:t xml:space="preserve"> </w:t>
      </w:r>
      <w:r w:rsidRPr="00D46399">
        <w:rPr>
          <w:sz w:val="16"/>
        </w:rPr>
        <w:t xml:space="preserve">The </w:t>
      </w:r>
      <w:proofErr w:type="spellStart"/>
      <w:r w:rsidRPr="00D46399">
        <w:rPr>
          <w:sz w:val="16"/>
        </w:rPr>
        <w:t>Bamford</w:t>
      </w:r>
      <w:proofErr w:type="spellEnd"/>
      <w:r w:rsidRPr="00D46399">
        <w:rPr>
          <w:sz w:val="16"/>
        </w:rPr>
        <w:t xml:space="preserve"> Review – see</w:t>
      </w:r>
      <w:r w:rsidRPr="00D46399">
        <w:rPr>
          <w:sz w:val="16"/>
        </w:rPr>
        <w:t xml:space="preserve"> </w:t>
      </w:r>
      <w:hyperlink r:id="rId1" w:history="1">
        <w:r w:rsidRPr="00D46399">
          <w:rPr>
            <w:rStyle w:val="Hyperlink"/>
            <w:sz w:val="16"/>
          </w:rPr>
          <w:t>http://www.rmhldni.gov.uk/index.htm</w:t>
        </w:r>
      </w:hyperlink>
      <w:r w:rsidRPr="00D46399">
        <w:rPr>
          <w:sz w:val="16"/>
        </w:rPr>
        <w:t xml:space="preserve"> </w:t>
      </w:r>
      <w:r w:rsidRPr="00D46399">
        <w:rPr>
          <w:sz w:val="16"/>
        </w:rPr>
        <w:t>(last accessed 29</w:t>
      </w:r>
      <w:r w:rsidRPr="00D46399">
        <w:rPr>
          <w:sz w:val="16"/>
        </w:rPr>
        <w:t xml:space="preserve"> </w:t>
      </w:r>
      <w:r w:rsidRPr="00D46399">
        <w:rPr>
          <w:sz w:val="16"/>
        </w:rPr>
        <w:t>August 2009) – suggested that mental health law and</w:t>
      </w:r>
      <w:r w:rsidRPr="00D46399">
        <w:rPr>
          <w:sz w:val="16"/>
        </w:rPr>
        <w:t xml:space="preserve"> </w:t>
      </w:r>
      <w:r w:rsidRPr="00D46399">
        <w:rPr>
          <w:sz w:val="16"/>
        </w:rPr>
        <w:t>capacity law be fused; the Northern Ireland Executive has</w:t>
      </w:r>
      <w:r w:rsidRPr="00D46399">
        <w:rPr>
          <w:sz w:val="16"/>
        </w:rPr>
        <w:t xml:space="preserve"> </w:t>
      </w:r>
      <w:r w:rsidRPr="00D46399">
        <w:rPr>
          <w:sz w:val="16"/>
        </w:rPr>
        <w:t>indicated that it plans to introduce two bills at the same</w:t>
      </w:r>
      <w:r w:rsidRPr="00D46399">
        <w:rPr>
          <w:sz w:val="16"/>
        </w:rPr>
        <w:t xml:space="preserve"> </w:t>
      </w:r>
      <w:r w:rsidRPr="00D46399">
        <w:rPr>
          <w:sz w:val="16"/>
        </w:rPr>
        <w:t>time to update or replace the Mental Health (Northern</w:t>
      </w:r>
      <w:r w:rsidRPr="00D46399">
        <w:rPr>
          <w:sz w:val="16"/>
        </w:rPr>
        <w:t xml:space="preserve"> </w:t>
      </w:r>
      <w:r w:rsidRPr="00D46399">
        <w:rPr>
          <w:sz w:val="16"/>
        </w:rPr>
        <w:t>Ireland) Order 1986 and also introduce capacity</w:t>
      </w:r>
      <w:r w:rsidRPr="00D46399">
        <w:rPr>
          <w:sz w:val="16"/>
        </w:rPr>
        <w:t xml:space="preserve"> </w:t>
      </w:r>
      <w:r w:rsidRPr="00D46399">
        <w:rPr>
          <w:sz w:val="16"/>
        </w:rPr>
        <w:t>legislation – see “Legislative Framework for Mental</w:t>
      </w:r>
      <w:r w:rsidRPr="00D46399">
        <w:rPr>
          <w:sz w:val="16"/>
        </w:rPr>
        <w:t xml:space="preserve"> </w:t>
      </w:r>
      <w:r w:rsidRPr="00D46399">
        <w:rPr>
          <w:sz w:val="16"/>
        </w:rPr>
        <w:t>Capacity and Mental Health Legislation in Northern</w:t>
      </w:r>
      <w:r w:rsidRPr="00D46399">
        <w:rPr>
          <w:sz w:val="16"/>
        </w:rPr>
        <w:t xml:space="preserve"> </w:t>
      </w:r>
      <w:r w:rsidRPr="00D46399">
        <w:rPr>
          <w:sz w:val="16"/>
        </w:rPr>
        <w:t xml:space="preserve">Ireland”, </w:t>
      </w:r>
      <w:hyperlink r:id="rId2" w:history="1">
        <w:r w:rsidRPr="00D46399">
          <w:rPr>
            <w:rStyle w:val="Hyperlink"/>
            <w:sz w:val="16"/>
          </w:rPr>
          <w:t>www.dhsspsni.gov.uk/legislative-framework-formental-capacity.pdf</w:t>
        </w:r>
      </w:hyperlink>
      <w:r w:rsidRPr="00D46399">
        <w:rPr>
          <w:sz w:val="16"/>
        </w:rPr>
        <w:t xml:space="preserve"> </w:t>
      </w:r>
      <w:r w:rsidRPr="00D46399">
        <w:rPr>
          <w:sz w:val="16"/>
        </w:rPr>
        <w:t>(last accessed 19 October 2009)</w:t>
      </w:r>
    </w:p>
  </w:footnote>
  <w:footnote w:id="5">
    <w:p w:rsidR="00D46399" w:rsidRPr="00D46399" w:rsidRDefault="00D46399" w:rsidP="00D46399">
      <w:pPr>
        <w:pStyle w:val="FootnoteText"/>
        <w:rPr>
          <w:sz w:val="16"/>
        </w:rPr>
      </w:pPr>
      <w:r w:rsidRPr="00D46399">
        <w:rPr>
          <w:rStyle w:val="FootnoteReference"/>
          <w:sz w:val="16"/>
        </w:rPr>
        <w:footnoteRef/>
      </w:r>
      <w:r w:rsidRPr="00D46399">
        <w:rPr>
          <w:sz w:val="16"/>
        </w:rPr>
        <w:t xml:space="preserve"> </w:t>
      </w:r>
      <w:r w:rsidRPr="00D46399">
        <w:rPr>
          <w:sz w:val="16"/>
        </w:rPr>
        <w:t>Section 3 of the Act, in the definition of what amounts to</w:t>
      </w:r>
      <w:r w:rsidRPr="00D46399">
        <w:rPr>
          <w:sz w:val="16"/>
        </w:rPr>
        <w:t xml:space="preserve"> </w:t>
      </w:r>
      <w:r w:rsidRPr="00D46399">
        <w:rPr>
          <w:sz w:val="16"/>
        </w:rPr>
        <w:t>“mental disorder”.</w:t>
      </w:r>
    </w:p>
  </w:footnote>
  <w:footnote w:id="6">
    <w:p w:rsidR="00D46399" w:rsidRPr="00D46399" w:rsidRDefault="00D46399" w:rsidP="00D46399">
      <w:pPr>
        <w:pStyle w:val="FootnoteText"/>
        <w:rPr>
          <w:sz w:val="16"/>
        </w:rPr>
      </w:pPr>
      <w:r w:rsidRPr="00D46399">
        <w:rPr>
          <w:rStyle w:val="FootnoteReference"/>
          <w:sz w:val="16"/>
        </w:rPr>
        <w:footnoteRef/>
      </w:r>
      <w:r w:rsidRPr="00D46399">
        <w:rPr>
          <w:sz w:val="16"/>
        </w:rPr>
        <w:t xml:space="preserve"> </w:t>
      </w:r>
      <w:r w:rsidRPr="00D46399">
        <w:rPr>
          <w:sz w:val="16"/>
        </w:rPr>
        <w:t>The process leading to the 2007 Act started with the Expert</w:t>
      </w:r>
      <w:r w:rsidRPr="00D46399">
        <w:rPr>
          <w:sz w:val="16"/>
        </w:rPr>
        <w:t xml:space="preserve"> </w:t>
      </w:r>
      <w:r w:rsidRPr="00D46399">
        <w:rPr>
          <w:sz w:val="16"/>
        </w:rPr>
        <w:t>Committee appointed to advise the Secretary of State for</w:t>
      </w:r>
      <w:r w:rsidRPr="00D46399">
        <w:rPr>
          <w:sz w:val="16"/>
        </w:rPr>
        <w:t xml:space="preserve"> </w:t>
      </w:r>
      <w:r w:rsidRPr="00D46399">
        <w:rPr>
          <w:sz w:val="16"/>
        </w:rPr>
        <w:t>Health on the Mental Health Act 1983 for England and</w:t>
      </w:r>
      <w:r w:rsidRPr="00D46399">
        <w:rPr>
          <w:sz w:val="16"/>
        </w:rPr>
        <w:t xml:space="preserve"> </w:t>
      </w:r>
      <w:r w:rsidRPr="00D46399">
        <w:rPr>
          <w:sz w:val="16"/>
        </w:rPr>
        <w:t>Wales (also known as the Richardson Committee), which</w:t>
      </w:r>
      <w:r w:rsidRPr="00D46399">
        <w:rPr>
          <w:sz w:val="16"/>
        </w:rPr>
        <w:t xml:space="preserve"> </w:t>
      </w:r>
      <w:r w:rsidRPr="00D46399">
        <w:rPr>
          <w:sz w:val="16"/>
        </w:rPr>
        <w:t>reported in November 1999. Its report – available at</w:t>
      </w:r>
      <w:r w:rsidRPr="00D46399">
        <w:rPr>
          <w:sz w:val="16"/>
        </w:rPr>
        <w:t xml:space="preserve"> </w:t>
      </w:r>
      <w:hyperlink r:id="rId3" w:history="1">
        <w:r w:rsidRPr="00D46399">
          <w:rPr>
            <w:rStyle w:val="Hyperlink"/>
            <w:sz w:val="16"/>
          </w:rPr>
          <w:t>http://www.dh.gov.uk/en/Publicationsandstatistics/Publications/PublicationsPolicyAndGuidance/DH_4009576</w:t>
        </w:r>
      </w:hyperlink>
      <w:r w:rsidRPr="00D46399">
        <w:rPr>
          <w:sz w:val="16"/>
        </w:rPr>
        <w:t xml:space="preserve"> </w:t>
      </w:r>
      <w:r w:rsidRPr="00D46399">
        <w:rPr>
          <w:sz w:val="16"/>
        </w:rPr>
        <w:t xml:space="preserve"> (last</w:t>
      </w:r>
      <w:r w:rsidRPr="00D46399">
        <w:rPr>
          <w:sz w:val="16"/>
        </w:rPr>
        <w:t xml:space="preserve"> </w:t>
      </w:r>
      <w:r w:rsidRPr="00D46399">
        <w:rPr>
          <w:sz w:val="16"/>
        </w:rPr>
        <w:t>accessed 29 August 2009) – included an indication that it</w:t>
      </w:r>
      <w:r w:rsidRPr="00D46399">
        <w:rPr>
          <w:sz w:val="16"/>
        </w:rPr>
        <w:t xml:space="preserve"> </w:t>
      </w:r>
      <w:r w:rsidRPr="00D46399">
        <w:rPr>
          <w:sz w:val="16"/>
        </w:rPr>
        <w:t>supported the view of the majority of respondents to it that</w:t>
      </w:r>
      <w:r w:rsidRPr="00D46399">
        <w:rPr>
          <w:sz w:val="16"/>
        </w:rPr>
        <w:t xml:space="preserve"> </w:t>
      </w:r>
      <w:r w:rsidRPr="00D46399">
        <w:rPr>
          <w:sz w:val="16"/>
        </w:rPr>
        <w:t>protection of the public was a valid reason for over-riding</w:t>
      </w:r>
      <w:r w:rsidRPr="00D46399">
        <w:rPr>
          <w:sz w:val="16"/>
        </w:rPr>
        <w:t xml:space="preserve"> </w:t>
      </w:r>
      <w:r w:rsidRPr="00D46399">
        <w:rPr>
          <w:sz w:val="16"/>
        </w:rPr>
        <w:t>capacitated decisions to refuse treatment in the civil context</w:t>
      </w:r>
      <w:r w:rsidRPr="00D46399">
        <w:rPr>
          <w:sz w:val="16"/>
        </w:rPr>
        <w:t xml:space="preserve"> </w:t>
      </w:r>
      <w:r w:rsidRPr="00D46399">
        <w:rPr>
          <w:sz w:val="16"/>
        </w:rPr>
        <w:t>(and so it would have supported an arrangement such as</w:t>
      </w:r>
      <w:r w:rsidRPr="00D46399">
        <w:rPr>
          <w:sz w:val="16"/>
        </w:rPr>
        <w:t xml:space="preserve"> </w:t>
      </w:r>
      <w:r w:rsidRPr="00D46399">
        <w:rPr>
          <w:sz w:val="16"/>
        </w:rPr>
        <w:t>that in place in Ireland).</w:t>
      </w:r>
    </w:p>
  </w:footnote>
  <w:footnote w:id="7">
    <w:p w:rsidR="00D46399" w:rsidRDefault="00D46399" w:rsidP="00D46399">
      <w:pPr>
        <w:pStyle w:val="FootnoteText"/>
      </w:pPr>
      <w:r w:rsidRPr="00D46399">
        <w:rPr>
          <w:rStyle w:val="FootnoteReference"/>
          <w:sz w:val="16"/>
        </w:rPr>
        <w:footnoteRef/>
      </w:r>
      <w:r w:rsidRPr="00D46399">
        <w:rPr>
          <w:sz w:val="16"/>
        </w:rPr>
        <w:t xml:space="preserve"> </w:t>
      </w:r>
      <w:r w:rsidRPr="00D46399">
        <w:rPr>
          <w:sz w:val="16"/>
        </w:rPr>
        <w:t>Paragraph 191 of the Scottish Executive’s Policy</w:t>
      </w:r>
      <w:r w:rsidRPr="00D46399">
        <w:rPr>
          <w:sz w:val="16"/>
        </w:rPr>
        <w:t xml:space="preserve"> </w:t>
      </w:r>
      <w:r w:rsidRPr="00D46399">
        <w:rPr>
          <w:sz w:val="16"/>
        </w:rPr>
        <w:t>Memorandum accompanying the Mental Health (Scotland)</w:t>
      </w:r>
      <w:r w:rsidRPr="00D46399">
        <w:rPr>
          <w:sz w:val="16"/>
        </w:rPr>
        <w:t xml:space="preserve"> </w:t>
      </w:r>
      <w:r w:rsidRPr="00D46399">
        <w:rPr>
          <w:sz w:val="16"/>
        </w:rPr>
        <w:t xml:space="preserve">Bill (SP Bill 64), 16 September 2002, available </w:t>
      </w:r>
      <w:r w:rsidRPr="00D46399">
        <w:rPr>
          <w:sz w:val="16"/>
          <w:szCs w:val="16"/>
        </w:rPr>
        <w:t>at</w:t>
      </w:r>
      <w:r w:rsidRPr="00D46399">
        <w:rPr>
          <w:sz w:val="16"/>
          <w:szCs w:val="16"/>
        </w:rPr>
        <w:t xml:space="preserve"> </w:t>
      </w:r>
      <w:hyperlink r:id="rId4" w:history="1">
        <w:r w:rsidRPr="00D46399">
          <w:rPr>
            <w:rStyle w:val="Hyperlink"/>
            <w:sz w:val="16"/>
            <w:szCs w:val="16"/>
          </w:rPr>
          <w:t>http://www.scottish.parliament.uk/business/bills/billsnotInProgress/index.htm#64</w:t>
        </w:r>
      </w:hyperlink>
      <w:r w:rsidRPr="00D46399">
        <w:rPr>
          <w:sz w:val="16"/>
          <w:szCs w:val="16"/>
        </w:rPr>
        <w:t xml:space="preserve"> </w:t>
      </w:r>
      <w:r w:rsidRPr="00D46399">
        <w:rPr>
          <w:sz w:val="16"/>
          <w:szCs w:val="16"/>
        </w:rPr>
        <w:t>(last accessed 29 August 2009)</w:t>
      </w:r>
    </w:p>
  </w:footnote>
  <w:footnote w:id="8">
    <w:p w:rsidR="00EE3889" w:rsidRPr="00EE3889" w:rsidRDefault="00EE3889">
      <w:pPr>
        <w:pStyle w:val="FootnoteText"/>
        <w:rPr>
          <w:sz w:val="16"/>
        </w:rPr>
      </w:pPr>
      <w:r w:rsidRPr="00EE3889">
        <w:rPr>
          <w:rStyle w:val="FootnoteReference"/>
          <w:sz w:val="16"/>
        </w:rPr>
        <w:footnoteRef/>
      </w:r>
      <w:r w:rsidRPr="00EE3889">
        <w:rPr>
          <w:sz w:val="16"/>
        </w:rPr>
        <w:t xml:space="preserve"> Section 15 of the Criminal Law (Insanity) Act 2006</w:t>
      </w:r>
    </w:p>
  </w:footnote>
  <w:footnote w:id="9">
    <w:p w:rsidR="00EE3889" w:rsidRPr="00EE3889" w:rsidRDefault="00EE3889" w:rsidP="00EE3889">
      <w:pPr>
        <w:pStyle w:val="FootnoteText"/>
        <w:rPr>
          <w:sz w:val="16"/>
        </w:rPr>
      </w:pPr>
      <w:r w:rsidRPr="00EE3889">
        <w:rPr>
          <w:rStyle w:val="FootnoteReference"/>
          <w:sz w:val="16"/>
        </w:rPr>
        <w:footnoteRef/>
      </w:r>
      <w:r w:rsidRPr="00EE3889">
        <w:rPr>
          <w:sz w:val="16"/>
        </w:rPr>
        <w:t xml:space="preserve"> </w:t>
      </w:r>
      <w:proofErr w:type="gramStart"/>
      <w:r w:rsidRPr="00EE3889">
        <w:rPr>
          <w:sz w:val="16"/>
        </w:rPr>
        <w:t>“A Comprehensive Legislative Framework”, paras 5.5.</w:t>
      </w:r>
      <w:proofErr w:type="gramEnd"/>
      <w:r w:rsidRPr="00EE3889">
        <w:rPr>
          <w:sz w:val="16"/>
        </w:rPr>
        <w:t xml:space="preserve"> and</w:t>
      </w:r>
      <w:r w:rsidRPr="00EE3889">
        <w:rPr>
          <w:sz w:val="16"/>
        </w:rPr>
        <w:t xml:space="preserve"> </w:t>
      </w:r>
      <w:r w:rsidRPr="00EE3889">
        <w:rPr>
          <w:sz w:val="16"/>
        </w:rPr>
        <w:t>5.6</w:t>
      </w:r>
    </w:p>
  </w:footnote>
  <w:footnote w:id="10">
    <w:p w:rsidR="00EE3889" w:rsidRPr="00EE3889" w:rsidRDefault="00EE3889" w:rsidP="00EE3889">
      <w:pPr>
        <w:pStyle w:val="FootnoteText"/>
        <w:rPr>
          <w:sz w:val="16"/>
        </w:rPr>
      </w:pPr>
      <w:r w:rsidRPr="00EE3889">
        <w:rPr>
          <w:rStyle w:val="FootnoteReference"/>
          <w:sz w:val="16"/>
        </w:rPr>
        <w:footnoteRef/>
      </w:r>
      <w:r w:rsidRPr="00EE3889">
        <w:rPr>
          <w:sz w:val="16"/>
        </w:rPr>
        <w:t xml:space="preserve"> </w:t>
      </w:r>
      <w:r w:rsidRPr="00EE3889">
        <w:rPr>
          <w:sz w:val="16"/>
        </w:rPr>
        <w:t xml:space="preserve">The </w:t>
      </w:r>
      <w:proofErr w:type="spellStart"/>
      <w:r w:rsidRPr="00EE3889">
        <w:rPr>
          <w:sz w:val="16"/>
        </w:rPr>
        <w:t>Bamford</w:t>
      </w:r>
      <w:proofErr w:type="spellEnd"/>
      <w:r w:rsidRPr="00EE3889">
        <w:rPr>
          <w:sz w:val="16"/>
        </w:rPr>
        <w:t xml:space="preserve"> Committee, for example, at paras</w:t>
      </w:r>
      <w:r w:rsidRPr="00EE3889">
        <w:rPr>
          <w:sz w:val="16"/>
        </w:rPr>
        <w:t xml:space="preserve"> </w:t>
      </w:r>
      <w:r w:rsidRPr="00EE3889">
        <w:rPr>
          <w:sz w:val="16"/>
        </w:rPr>
        <w:t>5.58–5.59 of its Comprehensive Legislative Framework</w:t>
      </w:r>
      <w:r w:rsidRPr="00EE3889">
        <w:rPr>
          <w:sz w:val="16"/>
        </w:rPr>
        <w:t xml:space="preserve"> </w:t>
      </w:r>
      <w:r w:rsidRPr="00EE3889">
        <w:rPr>
          <w:sz w:val="16"/>
        </w:rPr>
        <w:t>report (cited above) noted that “The vast majority of</w:t>
      </w:r>
      <w:r w:rsidRPr="00EE3889">
        <w:rPr>
          <w:sz w:val="16"/>
        </w:rPr>
        <w:t xml:space="preserve"> </w:t>
      </w:r>
      <w:r w:rsidRPr="00EE3889">
        <w:rPr>
          <w:sz w:val="16"/>
        </w:rPr>
        <w:t>people with mental illness are no more likely than anyone</w:t>
      </w:r>
      <w:r w:rsidRPr="00EE3889">
        <w:rPr>
          <w:sz w:val="16"/>
        </w:rPr>
        <w:t xml:space="preserve"> </w:t>
      </w:r>
      <w:r w:rsidRPr="00EE3889">
        <w:rPr>
          <w:sz w:val="16"/>
        </w:rPr>
        <w:t>else to commit a violent crime. … The greatest risk of</w:t>
      </w:r>
      <w:r w:rsidRPr="00EE3889">
        <w:rPr>
          <w:sz w:val="16"/>
        </w:rPr>
        <w:t xml:space="preserve"> </w:t>
      </w:r>
      <w:r w:rsidRPr="00EE3889">
        <w:rPr>
          <w:sz w:val="16"/>
        </w:rPr>
        <w:t xml:space="preserve">harm … is to </w:t>
      </w:r>
      <w:proofErr w:type="gramStart"/>
      <w:r w:rsidRPr="00EE3889">
        <w:rPr>
          <w:sz w:val="16"/>
        </w:rPr>
        <w:t>themselves</w:t>
      </w:r>
      <w:proofErr w:type="gramEnd"/>
      <w:r w:rsidRPr="00EE3889">
        <w:rPr>
          <w:sz w:val="16"/>
        </w:rPr>
        <w:t>. Nevertheless, there is a modest</w:t>
      </w:r>
      <w:r w:rsidRPr="00EE3889">
        <w:rPr>
          <w:sz w:val="16"/>
        </w:rPr>
        <w:t xml:space="preserve"> </w:t>
      </w:r>
      <w:r w:rsidRPr="00EE3889">
        <w:rPr>
          <w:sz w:val="16"/>
        </w:rPr>
        <w:t>link between mental illness and violence, particularly in</w:t>
      </w:r>
      <w:r w:rsidRPr="00EE3889">
        <w:rPr>
          <w:sz w:val="16"/>
        </w:rPr>
        <w:t xml:space="preserve"> </w:t>
      </w:r>
      <w:r w:rsidRPr="00EE3889">
        <w:rPr>
          <w:sz w:val="16"/>
        </w:rPr>
        <w:t>some individuals who are currently experiencing symptoms</w:t>
      </w:r>
      <w:r w:rsidRPr="00EE3889">
        <w:rPr>
          <w:sz w:val="16"/>
        </w:rPr>
        <w:t xml:space="preserve"> </w:t>
      </w:r>
      <w:r w:rsidRPr="00EE3889">
        <w:rPr>
          <w:sz w:val="16"/>
        </w:rPr>
        <w:t>of severe mental illness, not using effective medication and</w:t>
      </w:r>
      <w:r w:rsidRPr="00EE3889">
        <w:rPr>
          <w:sz w:val="16"/>
        </w:rPr>
        <w:t xml:space="preserve"> </w:t>
      </w:r>
      <w:r w:rsidRPr="00EE3889">
        <w:rPr>
          <w:sz w:val="16"/>
        </w:rPr>
        <w:t>abusing alcohol and/or drugs. In such cases violence can</w:t>
      </w:r>
      <w:r w:rsidRPr="00EE3889">
        <w:rPr>
          <w:sz w:val="16"/>
        </w:rPr>
        <w:t xml:space="preserve"> </w:t>
      </w:r>
      <w:r w:rsidRPr="00EE3889">
        <w:rPr>
          <w:sz w:val="16"/>
        </w:rPr>
        <w:t>be a reflection of insufficient treatment and support</w:t>
      </w:r>
      <w:r w:rsidRPr="00EE3889">
        <w:rPr>
          <w:sz w:val="16"/>
        </w:rPr>
        <w:t xml:space="preserve"> </w:t>
      </w:r>
      <w:r w:rsidRPr="00EE3889">
        <w:rPr>
          <w:sz w:val="16"/>
        </w:rPr>
        <w:t>services.” It also noted research as to the raised risk of</w:t>
      </w:r>
      <w:r w:rsidRPr="00EE3889">
        <w:rPr>
          <w:sz w:val="16"/>
        </w:rPr>
        <w:t xml:space="preserve"> </w:t>
      </w:r>
      <w:r w:rsidRPr="00EE3889">
        <w:rPr>
          <w:sz w:val="16"/>
        </w:rPr>
        <w:t>violence from those with some forms of personality</w:t>
      </w:r>
      <w:r w:rsidRPr="00EE3889">
        <w:rPr>
          <w:sz w:val="16"/>
        </w:rPr>
        <w:t xml:space="preserve"> </w:t>
      </w:r>
      <w:r w:rsidRPr="00EE3889">
        <w:rPr>
          <w:sz w:val="16"/>
        </w:rPr>
        <w:t>disorder.</w:t>
      </w:r>
    </w:p>
  </w:footnote>
  <w:footnote w:id="11">
    <w:p w:rsidR="00EE3889" w:rsidRPr="00EE3889" w:rsidRDefault="00EE3889" w:rsidP="00EE3889">
      <w:pPr>
        <w:pStyle w:val="FootnoteText"/>
        <w:rPr>
          <w:sz w:val="16"/>
        </w:rPr>
      </w:pPr>
      <w:r w:rsidRPr="00EE3889">
        <w:rPr>
          <w:rStyle w:val="FootnoteReference"/>
          <w:sz w:val="16"/>
        </w:rPr>
        <w:footnoteRef/>
      </w:r>
      <w:r w:rsidRPr="00EE3889">
        <w:rPr>
          <w:sz w:val="16"/>
        </w:rPr>
        <w:t xml:space="preserve"> </w:t>
      </w:r>
      <w:r w:rsidRPr="00EE3889">
        <w:rPr>
          <w:sz w:val="16"/>
        </w:rPr>
        <w:t>A pejorative version of the same idea is that doctors have</w:t>
      </w:r>
      <w:r w:rsidRPr="00EE3889">
        <w:rPr>
          <w:sz w:val="16"/>
        </w:rPr>
        <w:t xml:space="preserve"> </w:t>
      </w:r>
      <w:r w:rsidRPr="00EE3889">
        <w:rPr>
          <w:sz w:val="16"/>
        </w:rPr>
        <w:t>enough to cope with in dealing with patients who do take</w:t>
      </w:r>
      <w:r w:rsidRPr="00EE3889">
        <w:rPr>
          <w:sz w:val="16"/>
        </w:rPr>
        <w:t xml:space="preserve"> </w:t>
      </w:r>
      <w:r w:rsidRPr="00EE3889">
        <w:rPr>
          <w:sz w:val="16"/>
        </w:rPr>
        <w:t>advice: the additional effort of dealing with patients who</w:t>
      </w:r>
      <w:r w:rsidRPr="00EE3889">
        <w:rPr>
          <w:sz w:val="16"/>
        </w:rPr>
        <w:t xml:space="preserve"> </w:t>
      </w:r>
      <w:r w:rsidRPr="00EE3889">
        <w:rPr>
          <w:sz w:val="16"/>
        </w:rPr>
        <w:t>are not willing to cooperate is not something that should be</w:t>
      </w:r>
      <w:r w:rsidRPr="00EE3889">
        <w:rPr>
          <w:sz w:val="16"/>
        </w:rPr>
        <w:t xml:space="preserve"> </w:t>
      </w:r>
      <w:r w:rsidRPr="00EE3889">
        <w:rPr>
          <w:sz w:val="16"/>
        </w:rPr>
        <w:t>forced upon them. This is not necessarily a viewpoint that</w:t>
      </w:r>
      <w:r w:rsidRPr="00EE3889">
        <w:rPr>
          <w:sz w:val="16"/>
        </w:rPr>
        <w:t xml:space="preserve"> </w:t>
      </w:r>
      <w:r w:rsidRPr="00EE3889">
        <w:rPr>
          <w:sz w:val="16"/>
        </w:rPr>
        <w:t>is selfish: the therapeutic environment, and hence the</w:t>
      </w:r>
      <w:r w:rsidRPr="00EE3889">
        <w:rPr>
          <w:sz w:val="16"/>
        </w:rPr>
        <w:t xml:space="preserve"> </w:t>
      </w:r>
      <w:r w:rsidRPr="00EE3889">
        <w:rPr>
          <w:sz w:val="16"/>
        </w:rPr>
        <w:t xml:space="preserve">assistance that can be provided to other </w:t>
      </w:r>
      <w:proofErr w:type="gramStart"/>
      <w:r w:rsidRPr="00EE3889">
        <w:rPr>
          <w:sz w:val="16"/>
        </w:rPr>
        <w:t>patients,</w:t>
      </w:r>
      <w:proofErr w:type="gramEnd"/>
      <w:r w:rsidRPr="00EE3889">
        <w:rPr>
          <w:sz w:val="16"/>
        </w:rPr>
        <w:t xml:space="preserve"> is</w:t>
      </w:r>
      <w:r w:rsidRPr="00EE3889">
        <w:rPr>
          <w:sz w:val="16"/>
        </w:rPr>
        <w:t xml:space="preserve"> </w:t>
      </w:r>
      <w:r w:rsidRPr="00EE3889">
        <w:rPr>
          <w:sz w:val="16"/>
        </w:rPr>
        <w:t>compromised by having to deal with recalcitrant patients,</w:t>
      </w:r>
      <w:r w:rsidRPr="00EE3889">
        <w:rPr>
          <w:sz w:val="16"/>
        </w:rPr>
        <w:t xml:space="preserve"> </w:t>
      </w:r>
      <w:r w:rsidRPr="00EE3889">
        <w:rPr>
          <w:sz w:val="16"/>
        </w:rPr>
        <w:t>and the proper place for them is another setting – which</w:t>
      </w:r>
      <w:r w:rsidRPr="00EE3889">
        <w:rPr>
          <w:sz w:val="16"/>
        </w:rPr>
        <w:t xml:space="preserve"> </w:t>
      </w:r>
      <w:r w:rsidRPr="00EE3889">
        <w:rPr>
          <w:sz w:val="16"/>
        </w:rPr>
        <w:t>can be prison if detention is necessary.</w:t>
      </w:r>
    </w:p>
  </w:footnote>
  <w:footnote w:id="12">
    <w:p w:rsidR="00C741A6" w:rsidRPr="00C741A6" w:rsidRDefault="00C741A6" w:rsidP="00C741A6">
      <w:pPr>
        <w:pStyle w:val="FootnoteText"/>
        <w:rPr>
          <w:sz w:val="16"/>
        </w:rPr>
      </w:pPr>
      <w:r w:rsidRPr="00C741A6">
        <w:rPr>
          <w:rStyle w:val="FootnoteReference"/>
          <w:sz w:val="16"/>
        </w:rPr>
        <w:footnoteRef/>
      </w:r>
      <w:r w:rsidRPr="00C741A6">
        <w:rPr>
          <w:sz w:val="16"/>
        </w:rPr>
        <w:t xml:space="preserve"> </w:t>
      </w:r>
      <w:r w:rsidRPr="00C741A6">
        <w:rPr>
          <w:sz w:val="16"/>
        </w:rPr>
        <w:t>It is a criminal offence to breach an order; and the court</w:t>
      </w:r>
      <w:r w:rsidRPr="00C741A6">
        <w:rPr>
          <w:sz w:val="16"/>
        </w:rPr>
        <w:t xml:space="preserve"> </w:t>
      </w:r>
      <w:r w:rsidRPr="00C741A6">
        <w:rPr>
          <w:sz w:val="16"/>
        </w:rPr>
        <w:t>may order return to hospital. There is no provision for</w:t>
      </w:r>
      <w:r w:rsidRPr="00C741A6">
        <w:rPr>
          <w:sz w:val="16"/>
        </w:rPr>
        <w:t xml:space="preserve"> </w:t>
      </w:r>
      <w:r w:rsidRPr="00C741A6">
        <w:rPr>
          <w:sz w:val="16"/>
        </w:rPr>
        <w:t>compulsory treatment, so the common law principles</w:t>
      </w:r>
      <w:r w:rsidRPr="00C741A6">
        <w:rPr>
          <w:sz w:val="16"/>
        </w:rPr>
        <w:t xml:space="preserve"> </w:t>
      </w:r>
      <w:r w:rsidRPr="00C741A6">
        <w:rPr>
          <w:sz w:val="16"/>
        </w:rPr>
        <w:t>allowing only treatment in the best interests of those with</w:t>
      </w:r>
      <w:r w:rsidRPr="00C741A6">
        <w:rPr>
          <w:sz w:val="16"/>
        </w:rPr>
        <w:t xml:space="preserve"> </w:t>
      </w:r>
      <w:r w:rsidRPr="00C741A6">
        <w:rPr>
          <w:sz w:val="16"/>
        </w:rPr>
        <w:t>capacity apply.</w:t>
      </w:r>
    </w:p>
  </w:footnote>
  <w:footnote w:id="13">
    <w:p w:rsidR="00C741A6" w:rsidRPr="00C741A6" w:rsidRDefault="00C741A6" w:rsidP="00C741A6">
      <w:pPr>
        <w:pStyle w:val="FootnoteText"/>
        <w:rPr>
          <w:sz w:val="16"/>
        </w:rPr>
      </w:pPr>
      <w:r w:rsidRPr="00C741A6">
        <w:rPr>
          <w:rStyle w:val="FootnoteReference"/>
          <w:sz w:val="16"/>
        </w:rPr>
        <w:footnoteRef/>
      </w:r>
      <w:r w:rsidRPr="00C741A6">
        <w:rPr>
          <w:sz w:val="16"/>
        </w:rPr>
        <w:t xml:space="preserve"> </w:t>
      </w:r>
      <w:r w:rsidRPr="00C741A6">
        <w:rPr>
          <w:sz w:val="16"/>
        </w:rPr>
        <w:t xml:space="preserve">See, </w:t>
      </w:r>
      <w:proofErr w:type="spellStart"/>
      <w:r w:rsidRPr="00C741A6">
        <w:rPr>
          <w:sz w:val="16"/>
        </w:rPr>
        <w:t>eg</w:t>
      </w:r>
      <w:proofErr w:type="spellEnd"/>
      <w:r w:rsidRPr="00C741A6">
        <w:rPr>
          <w:sz w:val="16"/>
        </w:rPr>
        <w:t xml:space="preserve">, R v </w:t>
      </w:r>
      <w:proofErr w:type="spellStart"/>
      <w:r w:rsidRPr="00C741A6">
        <w:rPr>
          <w:sz w:val="16"/>
        </w:rPr>
        <w:t>Dica</w:t>
      </w:r>
      <w:proofErr w:type="spellEnd"/>
      <w:r w:rsidRPr="00C741A6">
        <w:rPr>
          <w:sz w:val="16"/>
        </w:rPr>
        <w:t xml:space="preserve"> [2004] 2 </w:t>
      </w:r>
      <w:proofErr w:type="spellStart"/>
      <w:r w:rsidRPr="00C741A6">
        <w:rPr>
          <w:sz w:val="16"/>
        </w:rPr>
        <w:t>CrAppR</w:t>
      </w:r>
      <w:proofErr w:type="spellEnd"/>
      <w:r w:rsidRPr="00C741A6">
        <w:rPr>
          <w:sz w:val="16"/>
        </w:rPr>
        <w:t xml:space="preserve"> 2, [2004] QB 1257</w:t>
      </w:r>
      <w:r w:rsidRPr="00C741A6">
        <w:rPr>
          <w:sz w:val="16"/>
        </w:rPr>
        <w:t xml:space="preserve"> </w:t>
      </w:r>
      <w:r w:rsidRPr="00C741A6">
        <w:rPr>
          <w:sz w:val="16"/>
        </w:rPr>
        <w:t>– infecting someone with HIV could amount to the offence</w:t>
      </w:r>
      <w:r w:rsidRPr="00C741A6">
        <w:rPr>
          <w:sz w:val="16"/>
        </w:rPr>
        <w:t xml:space="preserve"> </w:t>
      </w:r>
      <w:r w:rsidRPr="00C741A6">
        <w:rPr>
          <w:sz w:val="16"/>
        </w:rPr>
        <w:t>of inflicting grievous bodily harm contrary to s20 Offences</w:t>
      </w:r>
      <w:r w:rsidRPr="00C741A6">
        <w:rPr>
          <w:sz w:val="16"/>
        </w:rPr>
        <w:t xml:space="preserve"> </w:t>
      </w:r>
      <w:r w:rsidRPr="00C741A6">
        <w:rPr>
          <w:sz w:val="16"/>
        </w:rPr>
        <w:t>Against the Person Act 1861.</w:t>
      </w:r>
    </w:p>
  </w:footnote>
  <w:footnote w:id="14">
    <w:p w:rsidR="00C741A6" w:rsidRPr="00C741A6" w:rsidRDefault="00C741A6" w:rsidP="00C741A6">
      <w:pPr>
        <w:pStyle w:val="FootnoteText"/>
        <w:rPr>
          <w:sz w:val="16"/>
        </w:rPr>
      </w:pPr>
      <w:r w:rsidRPr="00C741A6">
        <w:rPr>
          <w:rStyle w:val="FootnoteReference"/>
          <w:sz w:val="16"/>
        </w:rPr>
        <w:footnoteRef/>
      </w:r>
      <w:r w:rsidRPr="00C741A6">
        <w:rPr>
          <w:sz w:val="16"/>
        </w:rPr>
        <w:t xml:space="preserve"> </w:t>
      </w:r>
      <w:r w:rsidRPr="00C741A6">
        <w:rPr>
          <w:sz w:val="16"/>
        </w:rPr>
        <w:t>[2000] Mental Health Law Reports 226, (2001) 33</w:t>
      </w:r>
      <w:r w:rsidRPr="00C741A6">
        <w:rPr>
          <w:sz w:val="16"/>
        </w:rPr>
        <w:t xml:space="preserve"> </w:t>
      </w:r>
      <w:r w:rsidRPr="00C741A6">
        <w:rPr>
          <w:sz w:val="16"/>
        </w:rPr>
        <w:t>EHRR 53</w:t>
      </w:r>
    </w:p>
  </w:footnote>
  <w:footnote w:id="15">
    <w:p w:rsidR="00C741A6" w:rsidRPr="00C741A6" w:rsidRDefault="00C741A6" w:rsidP="00C741A6">
      <w:pPr>
        <w:pStyle w:val="FootnoteText"/>
        <w:rPr>
          <w:sz w:val="16"/>
        </w:rPr>
      </w:pPr>
      <w:r w:rsidRPr="00C741A6">
        <w:rPr>
          <w:rStyle w:val="FootnoteReference"/>
          <w:sz w:val="16"/>
        </w:rPr>
        <w:footnoteRef/>
      </w:r>
      <w:r w:rsidRPr="00C741A6">
        <w:rPr>
          <w:sz w:val="16"/>
        </w:rPr>
        <w:t xml:space="preserve"> </w:t>
      </w:r>
      <w:r w:rsidRPr="00C741A6">
        <w:rPr>
          <w:sz w:val="16"/>
        </w:rPr>
        <w:t>See para 60: “The Court observes that the word</w:t>
      </w:r>
      <w:r w:rsidRPr="00C741A6">
        <w:rPr>
          <w:sz w:val="16"/>
        </w:rPr>
        <w:t xml:space="preserve"> </w:t>
      </w:r>
      <w:r w:rsidRPr="00C741A6">
        <w:rPr>
          <w:sz w:val="16"/>
        </w:rPr>
        <w:t>“alcoholics”, in its common usage, denotes persons who are</w:t>
      </w:r>
      <w:r w:rsidRPr="00C741A6">
        <w:rPr>
          <w:sz w:val="16"/>
        </w:rPr>
        <w:t xml:space="preserve"> </w:t>
      </w:r>
      <w:r w:rsidRPr="00C741A6">
        <w:rPr>
          <w:sz w:val="16"/>
        </w:rPr>
        <w:t>addicted to alcohol. On the other hand, in Art 5§1 of the</w:t>
      </w:r>
      <w:r w:rsidRPr="00C741A6">
        <w:rPr>
          <w:sz w:val="16"/>
        </w:rPr>
        <w:t xml:space="preserve"> </w:t>
      </w:r>
      <w:r w:rsidRPr="00C741A6">
        <w:rPr>
          <w:sz w:val="16"/>
        </w:rPr>
        <w:t>Convention this term is found in a context that includes a</w:t>
      </w:r>
      <w:r w:rsidRPr="00C741A6">
        <w:rPr>
          <w:sz w:val="16"/>
        </w:rPr>
        <w:t xml:space="preserve"> </w:t>
      </w:r>
      <w:r w:rsidRPr="00C741A6">
        <w:rPr>
          <w:sz w:val="16"/>
        </w:rPr>
        <w:t>reference to several other categories of individuals, that is,</w:t>
      </w:r>
      <w:r w:rsidRPr="00C741A6">
        <w:rPr>
          <w:sz w:val="16"/>
        </w:rPr>
        <w:t xml:space="preserve"> </w:t>
      </w:r>
      <w:r w:rsidRPr="00C741A6">
        <w:rPr>
          <w:sz w:val="16"/>
        </w:rPr>
        <w:t>persons spreading infectious diseases, persons of unsound</w:t>
      </w:r>
      <w:r w:rsidRPr="00C741A6">
        <w:rPr>
          <w:sz w:val="16"/>
        </w:rPr>
        <w:t xml:space="preserve"> </w:t>
      </w:r>
      <w:r w:rsidRPr="00C741A6">
        <w:rPr>
          <w:sz w:val="16"/>
        </w:rPr>
        <w:t>mind, drug addicts and vagrants. There is a link between</w:t>
      </w:r>
      <w:r w:rsidRPr="00C741A6">
        <w:rPr>
          <w:sz w:val="16"/>
        </w:rPr>
        <w:t xml:space="preserve"> </w:t>
      </w:r>
      <w:r w:rsidRPr="00C741A6">
        <w:rPr>
          <w:sz w:val="16"/>
        </w:rPr>
        <w:t>all those persons in that they may be deprived of their</w:t>
      </w:r>
      <w:r w:rsidRPr="00C741A6">
        <w:rPr>
          <w:sz w:val="16"/>
        </w:rPr>
        <w:t xml:space="preserve"> </w:t>
      </w:r>
      <w:r w:rsidRPr="00C741A6">
        <w:rPr>
          <w:sz w:val="16"/>
        </w:rPr>
        <w:t>liberty either in order to be given medical treatment or</w:t>
      </w:r>
      <w:r w:rsidRPr="00C741A6">
        <w:rPr>
          <w:sz w:val="16"/>
        </w:rPr>
        <w:t xml:space="preserve"> </w:t>
      </w:r>
      <w:r w:rsidRPr="00C741A6">
        <w:rPr>
          <w:sz w:val="16"/>
        </w:rPr>
        <w:t>because of considerations dictated by social policy, or on</w:t>
      </w:r>
      <w:r w:rsidRPr="00C741A6">
        <w:rPr>
          <w:sz w:val="16"/>
        </w:rPr>
        <w:t xml:space="preserve"> </w:t>
      </w:r>
      <w:r w:rsidRPr="00C741A6">
        <w:rPr>
          <w:sz w:val="16"/>
        </w:rPr>
        <w:t>both medical and social grounds. It is therefore legitimate</w:t>
      </w:r>
      <w:r w:rsidRPr="00C741A6">
        <w:rPr>
          <w:sz w:val="16"/>
        </w:rPr>
        <w:t xml:space="preserve"> </w:t>
      </w:r>
      <w:r w:rsidRPr="00C741A6">
        <w:rPr>
          <w:sz w:val="16"/>
        </w:rPr>
        <w:t>to conclude from this context that a predominant reason</w:t>
      </w:r>
      <w:r w:rsidRPr="00C741A6">
        <w:rPr>
          <w:sz w:val="16"/>
        </w:rPr>
        <w:t xml:space="preserve"> </w:t>
      </w:r>
      <w:r w:rsidRPr="00C741A6">
        <w:rPr>
          <w:sz w:val="16"/>
        </w:rPr>
        <w:t>why the Convention allows the persons mentioned in para</w:t>
      </w:r>
      <w:r w:rsidRPr="00C741A6">
        <w:rPr>
          <w:sz w:val="16"/>
        </w:rPr>
        <w:t xml:space="preserve"> </w:t>
      </w:r>
      <w:r w:rsidRPr="00C741A6">
        <w:rPr>
          <w:sz w:val="16"/>
        </w:rPr>
        <w:t>1(e) of Art 5 to be deprived of their liberty is not only that</w:t>
      </w:r>
      <w:r w:rsidRPr="00C741A6">
        <w:rPr>
          <w:sz w:val="16"/>
        </w:rPr>
        <w:t xml:space="preserve"> </w:t>
      </w:r>
      <w:r w:rsidRPr="00C741A6">
        <w:rPr>
          <w:sz w:val="16"/>
        </w:rPr>
        <w:t>they are dangerous for public safety but also that their own</w:t>
      </w:r>
      <w:r w:rsidRPr="00C741A6">
        <w:rPr>
          <w:sz w:val="16"/>
        </w:rPr>
        <w:t xml:space="preserve"> </w:t>
      </w:r>
      <w:r w:rsidRPr="00C741A6">
        <w:rPr>
          <w:sz w:val="16"/>
        </w:rPr>
        <w:t xml:space="preserve">interests may necessitate their detention (see </w:t>
      </w:r>
      <w:proofErr w:type="spellStart"/>
      <w:r w:rsidRPr="00C741A6">
        <w:rPr>
          <w:sz w:val="16"/>
        </w:rPr>
        <w:t>Guzzardi</w:t>
      </w:r>
      <w:proofErr w:type="spellEnd"/>
      <w:r w:rsidRPr="00C741A6">
        <w:rPr>
          <w:sz w:val="16"/>
        </w:rPr>
        <w:t xml:space="preserve"> v</w:t>
      </w:r>
      <w:r w:rsidRPr="00C741A6">
        <w:rPr>
          <w:sz w:val="16"/>
        </w:rPr>
        <w:t xml:space="preserve"> </w:t>
      </w:r>
      <w:r w:rsidRPr="00C741A6">
        <w:rPr>
          <w:sz w:val="16"/>
        </w:rPr>
        <w:t>Italy (1980) 3 EHRR 333, §98 in fine).”</w:t>
      </w:r>
    </w:p>
  </w:footnote>
  <w:footnote w:id="16">
    <w:p w:rsidR="00C741A6" w:rsidRPr="00C741A6" w:rsidRDefault="00C741A6">
      <w:pPr>
        <w:pStyle w:val="FootnoteText"/>
        <w:rPr>
          <w:sz w:val="16"/>
        </w:rPr>
      </w:pPr>
      <w:r w:rsidRPr="00C741A6">
        <w:rPr>
          <w:rStyle w:val="FootnoteReference"/>
          <w:sz w:val="16"/>
        </w:rPr>
        <w:footnoteRef/>
      </w:r>
      <w:r w:rsidRPr="00C741A6">
        <w:rPr>
          <w:sz w:val="16"/>
        </w:rPr>
        <w:t xml:space="preserve"> </w:t>
      </w:r>
      <w:proofErr w:type="gramStart"/>
      <w:r w:rsidRPr="00C741A6">
        <w:rPr>
          <w:sz w:val="16"/>
        </w:rPr>
        <w:t>Paras 65ff.</w:t>
      </w:r>
      <w:proofErr w:type="gramEnd"/>
    </w:p>
  </w:footnote>
  <w:footnote w:id="17">
    <w:p w:rsidR="00C741A6" w:rsidRPr="00C741A6" w:rsidRDefault="00C741A6" w:rsidP="00C741A6">
      <w:pPr>
        <w:pStyle w:val="FootnoteText"/>
        <w:rPr>
          <w:sz w:val="16"/>
        </w:rPr>
      </w:pPr>
      <w:r w:rsidRPr="00C741A6">
        <w:rPr>
          <w:rStyle w:val="FootnoteReference"/>
          <w:sz w:val="16"/>
        </w:rPr>
        <w:footnoteRef/>
      </w:r>
      <w:r w:rsidRPr="00C741A6">
        <w:rPr>
          <w:sz w:val="16"/>
        </w:rPr>
        <w:t xml:space="preserve"> </w:t>
      </w:r>
      <w:r w:rsidRPr="00C741A6">
        <w:rPr>
          <w:sz w:val="16"/>
        </w:rPr>
        <w:t>(2000) 29 EHRR 245, [2000] Inquest Law Reports 101:</w:t>
      </w:r>
      <w:r w:rsidRPr="00C741A6">
        <w:rPr>
          <w:sz w:val="16"/>
        </w:rPr>
        <w:t xml:space="preserve"> </w:t>
      </w:r>
      <w:r w:rsidRPr="00C741A6">
        <w:rPr>
          <w:sz w:val="16"/>
        </w:rPr>
        <w:t>the Court did not find a breach on the facts. The same</w:t>
      </w:r>
      <w:r w:rsidRPr="00C741A6">
        <w:rPr>
          <w:sz w:val="16"/>
        </w:rPr>
        <w:t xml:space="preserve"> </w:t>
      </w:r>
      <w:r w:rsidRPr="00C741A6">
        <w:rPr>
          <w:sz w:val="16"/>
        </w:rPr>
        <w:t>principle has been applied to dangerous municipal</w:t>
      </w:r>
      <w:r w:rsidRPr="00C741A6">
        <w:rPr>
          <w:sz w:val="16"/>
        </w:rPr>
        <w:t xml:space="preserve"> </w:t>
      </w:r>
      <w:r w:rsidRPr="00C741A6">
        <w:rPr>
          <w:sz w:val="16"/>
        </w:rPr>
        <w:t>activities, namely the operation of a rubbish dump, where</w:t>
      </w:r>
      <w:r w:rsidRPr="00C741A6">
        <w:rPr>
          <w:sz w:val="16"/>
        </w:rPr>
        <w:t xml:space="preserve"> </w:t>
      </w:r>
      <w:r w:rsidRPr="00C741A6">
        <w:rPr>
          <w:sz w:val="16"/>
        </w:rPr>
        <w:t xml:space="preserve">a breach was found: see </w:t>
      </w:r>
      <w:proofErr w:type="spellStart"/>
      <w:r w:rsidRPr="00C741A6">
        <w:rPr>
          <w:sz w:val="16"/>
        </w:rPr>
        <w:t>Oneryildiz</w:t>
      </w:r>
      <w:proofErr w:type="spellEnd"/>
      <w:r w:rsidRPr="00C741A6">
        <w:rPr>
          <w:sz w:val="16"/>
        </w:rPr>
        <w:t xml:space="preserve"> v Turkey (2005) 41</w:t>
      </w:r>
      <w:r w:rsidRPr="00C741A6">
        <w:rPr>
          <w:sz w:val="16"/>
        </w:rPr>
        <w:t xml:space="preserve"> </w:t>
      </w:r>
      <w:r w:rsidRPr="00C741A6">
        <w:rPr>
          <w:sz w:val="16"/>
        </w:rPr>
        <w:t>EHRR 20, [2004] Inquest Law Reports 108.</w:t>
      </w:r>
    </w:p>
  </w:footnote>
  <w:footnote w:id="18">
    <w:p w:rsidR="00453726" w:rsidRPr="00F06BFF" w:rsidRDefault="00453726" w:rsidP="00453726">
      <w:pPr>
        <w:pStyle w:val="FootnoteText"/>
        <w:rPr>
          <w:sz w:val="16"/>
        </w:rPr>
      </w:pPr>
      <w:r w:rsidRPr="00F06BFF">
        <w:rPr>
          <w:rStyle w:val="FootnoteReference"/>
          <w:sz w:val="16"/>
        </w:rPr>
        <w:footnoteRef/>
      </w:r>
      <w:r w:rsidRPr="00F06BFF">
        <w:rPr>
          <w:sz w:val="16"/>
        </w:rPr>
        <w:t xml:space="preserve"> </w:t>
      </w:r>
      <w:proofErr w:type="gramStart"/>
      <w:r w:rsidRPr="00F06BFF">
        <w:rPr>
          <w:sz w:val="16"/>
        </w:rPr>
        <w:t>[2002] Mental Health Law Reports 220, (2002) 35</w:t>
      </w:r>
      <w:r w:rsidRPr="00F06BFF">
        <w:rPr>
          <w:sz w:val="16"/>
        </w:rPr>
        <w:t xml:space="preserve"> </w:t>
      </w:r>
      <w:r w:rsidRPr="00F06BFF">
        <w:rPr>
          <w:sz w:val="16"/>
        </w:rPr>
        <w:t>EHRR 19.</w:t>
      </w:r>
      <w:proofErr w:type="gramEnd"/>
    </w:p>
  </w:footnote>
  <w:footnote w:id="19">
    <w:p w:rsidR="00BC01A3" w:rsidRPr="00F06BFF" w:rsidRDefault="00BC01A3" w:rsidP="00BC01A3">
      <w:pPr>
        <w:pStyle w:val="FootnoteText"/>
        <w:rPr>
          <w:sz w:val="16"/>
        </w:rPr>
      </w:pPr>
      <w:r w:rsidRPr="00F06BFF">
        <w:rPr>
          <w:rStyle w:val="FootnoteReference"/>
          <w:sz w:val="16"/>
        </w:rPr>
        <w:footnoteRef/>
      </w:r>
      <w:r w:rsidRPr="00F06BFF">
        <w:rPr>
          <w:sz w:val="16"/>
        </w:rPr>
        <w:t xml:space="preserve"> </w:t>
      </w:r>
      <w:r w:rsidRPr="00F06BFF">
        <w:rPr>
          <w:sz w:val="16"/>
        </w:rPr>
        <w:t>The common law had already accepted that there was a</w:t>
      </w:r>
      <w:r w:rsidRPr="00F06BFF">
        <w:rPr>
          <w:sz w:val="16"/>
        </w:rPr>
        <w:t xml:space="preserve"> </w:t>
      </w:r>
      <w:r w:rsidRPr="00F06BFF">
        <w:rPr>
          <w:sz w:val="16"/>
        </w:rPr>
        <w:t>duty to prevent suicide: see Reeves v Commissioner of</w:t>
      </w:r>
      <w:r w:rsidRPr="00F06BFF">
        <w:rPr>
          <w:sz w:val="16"/>
        </w:rPr>
        <w:t xml:space="preserve"> </w:t>
      </w:r>
      <w:r w:rsidRPr="00F06BFF">
        <w:rPr>
          <w:sz w:val="16"/>
        </w:rPr>
        <w:t>Police [2000] 1 AC 360; for a recent instance of this in a</w:t>
      </w:r>
      <w:r w:rsidRPr="00F06BFF">
        <w:rPr>
          <w:sz w:val="16"/>
        </w:rPr>
        <w:t xml:space="preserve"> </w:t>
      </w:r>
      <w:r w:rsidRPr="00F06BFF">
        <w:rPr>
          <w:sz w:val="16"/>
        </w:rPr>
        <w:t>mental health context and making use of Art 2 because</w:t>
      </w:r>
      <w:r w:rsidRPr="00F06BFF">
        <w:rPr>
          <w:sz w:val="16"/>
        </w:rPr>
        <w:t xml:space="preserve"> </w:t>
      </w:r>
      <w:r w:rsidRPr="00F06BFF">
        <w:rPr>
          <w:sz w:val="16"/>
        </w:rPr>
        <w:t>negligence was not available on the facts, see Savage v</w:t>
      </w:r>
      <w:r w:rsidRPr="00F06BFF">
        <w:rPr>
          <w:sz w:val="16"/>
        </w:rPr>
        <w:t xml:space="preserve"> </w:t>
      </w:r>
      <w:r w:rsidRPr="00F06BFF">
        <w:rPr>
          <w:sz w:val="16"/>
        </w:rPr>
        <w:t>South Essex Partnership NHS Foundation Trust [2009] 2</w:t>
      </w:r>
      <w:r w:rsidRPr="00F06BFF">
        <w:rPr>
          <w:sz w:val="16"/>
        </w:rPr>
        <w:t xml:space="preserve"> </w:t>
      </w:r>
      <w:r w:rsidRPr="00F06BFF">
        <w:rPr>
          <w:sz w:val="16"/>
        </w:rPr>
        <w:t>WLR 115.</w:t>
      </w:r>
    </w:p>
  </w:footnote>
  <w:footnote w:id="20">
    <w:p w:rsidR="00BC01A3" w:rsidRPr="00F06BFF" w:rsidRDefault="00BC01A3">
      <w:pPr>
        <w:pStyle w:val="FootnoteText"/>
        <w:rPr>
          <w:sz w:val="16"/>
        </w:rPr>
      </w:pPr>
      <w:r w:rsidRPr="00F06BFF">
        <w:rPr>
          <w:rStyle w:val="FootnoteReference"/>
          <w:sz w:val="16"/>
        </w:rPr>
        <w:footnoteRef/>
      </w:r>
      <w:r w:rsidRPr="00F06BFF">
        <w:rPr>
          <w:sz w:val="16"/>
        </w:rPr>
        <w:t xml:space="preserve"> [2001] Prison Law Reports 180, (2001) 33 EHRR 38</w:t>
      </w:r>
    </w:p>
  </w:footnote>
  <w:footnote w:id="21">
    <w:p w:rsidR="00BC01A3" w:rsidRPr="00F06BFF" w:rsidRDefault="00BC01A3" w:rsidP="00BC01A3">
      <w:pPr>
        <w:pStyle w:val="FootnoteText"/>
        <w:rPr>
          <w:sz w:val="16"/>
        </w:rPr>
      </w:pPr>
      <w:r w:rsidRPr="00F06BFF">
        <w:rPr>
          <w:rStyle w:val="FootnoteReference"/>
          <w:sz w:val="16"/>
        </w:rPr>
        <w:footnoteRef/>
      </w:r>
      <w:r w:rsidRPr="00F06BFF">
        <w:rPr>
          <w:sz w:val="16"/>
        </w:rPr>
        <w:t xml:space="preserve"> </w:t>
      </w:r>
      <w:r w:rsidRPr="00F06BFF">
        <w:rPr>
          <w:sz w:val="16"/>
        </w:rPr>
        <w:t>Capacity does not feature as a part of the criteria for the</w:t>
      </w:r>
      <w:r w:rsidRPr="00F06BFF">
        <w:rPr>
          <w:sz w:val="16"/>
        </w:rPr>
        <w:t xml:space="preserve"> </w:t>
      </w:r>
      <w:r w:rsidRPr="00F06BFF">
        <w:rPr>
          <w:sz w:val="16"/>
        </w:rPr>
        <w:t>lawfulness of detention on the basis of unsoundness of</w:t>
      </w:r>
      <w:r w:rsidRPr="00F06BFF">
        <w:rPr>
          <w:sz w:val="16"/>
        </w:rPr>
        <w:t xml:space="preserve"> </w:t>
      </w:r>
      <w:r w:rsidRPr="00F06BFF">
        <w:rPr>
          <w:sz w:val="16"/>
        </w:rPr>
        <w:t>mind under Art 5(1</w:t>
      </w:r>
      <w:proofErr w:type="gramStart"/>
      <w:r w:rsidRPr="00F06BFF">
        <w:rPr>
          <w:sz w:val="16"/>
        </w:rPr>
        <w:t>)(</w:t>
      </w:r>
      <w:proofErr w:type="gramEnd"/>
      <w:r w:rsidRPr="00F06BFF">
        <w:rPr>
          <w:sz w:val="16"/>
        </w:rPr>
        <w:t>e): see, as the classic example,</w:t>
      </w:r>
      <w:r w:rsidRPr="00F06BFF">
        <w:rPr>
          <w:sz w:val="16"/>
        </w:rPr>
        <w:t xml:space="preserve"> </w:t>
      </w:r>
      <w:proofErr w:type="spellStart"/>
      <w:r w:rsidRPr="00F06BFF">
        <w:rPr>
          <w:sz w:val="16"/>
        </w:rPr>
        <w:t>Winterwerp</w:t>
      </w:r>
      <w:proofErr w:type="spellEnd"/>
      <w:r w:rsidRPr="00F06BFF">
        <w:rPr>
          <w:sz w:val="16"/>
        </w:rPr>
        <w:t xml:space="preserve"> v Netherlands (1979) 2 EHRR 387. See also</w:t>
      </w:r>
      <w:r w:rsidRPr="00F06BFF">
        <w:rPr>
          <w:sz w:val="16"/>
        </w:rPr>
        <w:t xml:space="preserve"> </w:t>
      </w:r>
      <w:proofErr w:type="spellStart"/>
      <w:r w:rsidRPr="00F06BFF">
        <w:rPr>
          <w:sz w:val="16"/>
        </w:rPr>
        <w:t>Megyeri</w:t>
      </w:r>
      <w:proofErr w:type="spellEnd"/>
      <w:r w:rsidRPr="00F06BFF">
        <w:rPr>
          <w:sz w:val="16"/>
        </w:rPr>
        <w:t xml:space="preserve"> v Germany (1993) 15 EHRR 584: the failure to</w:t>
      </w:r>
      <w:r w:rsidRPr="00F06BFF">
        <w:rPr>
          <w:sz w:val="16"/>
        </w:rPr>
        <w:t xml:space="preserve"> </w:t>
      </w:r>
      <w:r w:rsidRPr="00F06BFF">
        <w:rPr>
          <w:sz w:val="16"/>
        </w:rPr>
        <w:t>put in place special procedural protections may breach Art</w:t>
      </w:r>
      <w:r w:rsidRPr="00F06BFF">
        <w:rPr>
          <w:sz w:val="16"/>
        </w:rPr>
        <w:t xml:space="preserve"> </w:t>
      </w:r>
      <w:r w:rsidRPr="00F06BFF">
        <w:rPr>
          <w:sz w:val="16"/>
        </w:rPr>
        <w:t>5(4) if a mentally disordered person is incapable of</w:t>
      </w:r>
      <w:r w:rsidRPr="00F06BFF">
        <w:rPr>
          <w:sz w:val="16"/>
        </w:rPr>
        <w:t xml:space="preserve"> </w:t>
      </w:r>
      <w:r w:rsidRPr="00F06BFF">
        <w:rPr>
          <w:sz w:val="16"/>
        </w:rPr>
        <w:t>representing himself: this again does not seem to require a</w:t>
      </w:r>
      <w:r w:rsidRPr="00F06BFF">
        <w:rPr>
          <w:sz w:val="16"/>
        </w:rPr>
        <w:t xml:space="preserve"> </w:t>
      </w:r>
      <w:r w:rsidRPr="00F06BFF">
        <w:rPr>
          <w:sz w:val="16"/>
        </w:rPr>
        <w:t>lack of capacity to act but rather a reduced ability to look</w:t>
      </w:r>
      <w:r w:rsidRPr="00F06BFF">
        <w:rPr>
          <w:sz w:val="16"/>
        </w:rPr>
        <w:t xml:space="preserve"> </w:t>
      </w:r>
      <w:r w:rsidRPr="00F06BFF">
        <w:rPr>
          <w:sz w:val="16"/>
        </w:rPr>
        <w:t>after ones interests.</w:t>
      </w:r>
    </w:p>
  </w:footnote>
  <w:footnote w:id="22">
    <w:p w:rsidR="00F06BFF" w:rsidRPr="00F06BFF" w:rsidRDefault="00F06BFF">
      <w:pPr>
        <w:pStyle w:val="FootnoteText"/>
        <w:rPr>
          <w:sz w:val="16"/>
        </w:rPr>
      </w:pPr>
      <w:r w:rsidRPr="00F06BFF">
        <w:rPr>
          <w:rStyle w:val="FootnoteReference"/>
          <w:sz w:val="16"/>
        </w:rPr>
        <w:footnoteRef/>
      </w:r>
      <w:r w:rsidRPr="00F06BFF">
        <w:rPr>
          <w:sz w:val="16"/>
        </w:rPr>
        <w:t xml:space="preserve"> See </w:t>
      </w:r>
      <w:proofErr w:type="spellStart"/>
      <w:r w:rsidRPr="00F06BFF">
        <w:rPr>
          <w:sz w:val="16"/>
        </w:rPr>
        <w:t>Litwa</w:t>
      </w:r>
      <w:proofErr w:type="spellEnd"/>
      <w:r w:rsidRPr="00F06BFF">
        <w:rPr>
          <w:sz w:val="16"/>
        </w:rPr>
        <w:t xml:space="preserve"> v Poland, above n14.</w:t>
      </w:r>
    </w:p>
  </w:footnote>
  <w:footnote w:id="23">
    <w:p w:rsidR="00F06BFF" w:rsidRPr="00F06BFF" w:rsidRDefault="00F06BFF">
      <w:pPr>
        <w:pStyle w:val="FootnoteText"/>
        <w:rPr>
          <w:sz w:val="16"/>
        </w:rPr>
      </w:pPr>
      <w:r w:rsidRPr="00F06BFF">
        <w:rPr>
          <w:rStyle w:val="FootnoteReference"/>
          <w:sz w:val="16"/>
        </w:rPr>
        <w:footnoteRef/>
      </w:r>
      <w:r w:rsidRPr="00F06BFF">
        <w:rPr>
          <w:sz w:val="16"/>
        </w:rPr>
        <w:t xml:space="preserve"> (2000) 29 EHRR 50</w:t>
      </w:r>
    </w:p>
  </w:footnote>
  <w:footnote w:id="24">
    <w:p w:rsidR="00F06BFF" w:rsidRPr="00F06BFF" w:rsidRDefault="00F06BFF" w:rsidP="00F06BFF">
      <w:pPr>
        <w:pStyle w:val="FootnoteText"/>
        <w:rPr>
          <w:sz w:val="16"/>
        </w:rPr>
      </w:pPr>
      <w:r w:rsidRPr="00F06BFF">
        <w:rPr>
          <w:rStyle w:val="FootnoteReference"/>
          <w:sz w:val="16"/>
        </w:rPr>
        <w:footnoteRef/>
      </w:r>
      <w:r w:rsidRPr="00F06BFF">
        <w:rPr>
          <w:sz w:val="16"/>
        </w:rPr>
        <w:t xml:space="preserve"> </w:t>
      </w:r>
      <w:r w:rsidRPr="00F06BFF">
        <w:rPr>
          <w:sz w:val="16"/>
        </w:rPr>
        <w:t>See n21 above: capacity is not part of the Convention test</w:t>
      </w:r>
      <w:r w:rsidRPr="00F06BFF">
        <w:rPr>
          <w:sz w:val="16"/>
        </w:rPr>
        <w:t xml:space="preserve"> </w:t>
      </w:r>
      <w:r w:rsidRPr="00F06BFF">
        <w:rPr>
          <w:sz w:val="16"/>
        </w:rPr>
        <w:t>for the lawfulness of detention.</w:t>
      </w:r>
    </w:p>
  </w:footnote>
  <w:footnote w:id="25">
    <w:p w:rsidR="00F06BFF" w:rsidRPr="00F06BFF" w:rsidRDefault="00F06BFF" w:rsidP="00F06BFF">
      <w:pPr>
        <w:pStyle w:val="FootnoteText"/>
        <w:rPr>
          <w:sz w:val="16"/>
        </w:rPr>
      </w:pPr>
      <w:r w:rsidRPr="00F06BFF">
        <w:rPr>
          <w:rStyle w:val="FootnoteReference"/>
          <w:sz w:val="16"/>
        </w:rPr>
        <w:footnoteRef/>
      </w:r>
      <w:r w:rsidRPr="00F06BFF">
        <w:rPr>
          <w:sz w:val="16"/>
        </w:rPr>
        <w:t xml:space="preserve"> </w:t>
      </w:r>
      <w:r w:rsidRPr="00F06BFF">
        <w:rPr>
          <w:sz w:val="16"/>
        </w:rPr>
        <w:t>The 2004 Code is available at</w:t>
      </w:r>
      <w:r w:rsidRPr="00F06BFF">
        <w:rPr>
          <w:sz w:val="16"/>
        </w:rPr>
        <w:t xml:space="preserve"> </w:t>
      </w:r>
      <w:hyperlink r:id="rId5" w:history="1">
        <w:r w:rsidRPr="00F06BFF">
          <w:rPr>
            <w:rStyle w:val="Hyperlink"/>
            <w:sz w:val="16"/>
          </w:rPr>
          <w:t>www.cps.gov.uk/Publications/docs/code2004english.pdf</w:t>
        </w:r>
      </w:hyperlink>
      <w:r w:rsidRPr="00F06BFF">
        <w:rPr>
          <w:sz w:val="16"/>
        </w:rPr>
        <w:t xml:space="preserve"> </w:t>
      </w:r>
      <w:r w:rsidRPr="00F06BFF">
        <w:rPr>
          <w:sz w:val="16"/>
        </w:rPr>
        <w:t>(last accessed 29 August 2009)</w:t>
      </w:r>
    </w:p>
  </w:footnote>
  <w:footnote w:id="26">
    <w:p w:rsidR="00F06BFF" w:rsidRPr="00F06BFF" w:rsidRDefault="00F06BFF" w:rsidP="00F06BFF">
      <w:pPr>
        <w:pStyle w:val="FootnoteText"/>
        <w:rPr>
          <w:sz w:val="16"/>
        </w:rPr>
      </w:pPr>
      <w:r w:rsidRPr="00F06BFF">
        <w:rPr>
          <w:rStyle w:val="FootnoteReference"/>
          <w:sz w:val="16"/>
        </w:rPr>
        <w:footnoteRef/>
      </w:r>
      <w:r w:rsidRPr="00F06BFF">
        <w:rPr>
          <w:sz w:val="16"/>
        </w:rPr>
        <w:t xml:space="preserve"> </w:t>
      </w:r>
      <w:r w:rsidRPr="00F06BFF">
        <w:rPr>
          <w:sz w:val="16"/>
        </w:rPr>
        <w:t xml:space="preserve">The availability of the public interest test is </w:t>
      </w:r>
      <w:proofErr w:type="spellStart"/>
      <w:r w:rsidRPr="00F06BFF">
        <w:rPr>
          <w:sz w:val="16"/>
        </w:rPr>
        <w:t>longestablished</w:t>
      </w:r>
      <w:proofErr w:type="spellEnd"/>
      <w:r w:rsidRPr="00F06BFF">
        <w:rPr>
          <w:sz w:val="16"/>
        </w:rPr>
        <w:t>:</w:t>
      </w:r>
      <w:r w:rsidRPr="00F06BFF">
        <w:rPr>
          <w:sz w:val="16"/>
        </w:rPr>
        <w:t xml:space="preserve"> </w:t>
      </w:r>
      <w:r w:rsidRPr="00F06BFF">
        <w:rPr>
          <w:sz w:val="16"/>
        </w:rPr>
        <w:t>see para 5.6 of the Code, quoting the 1951</w:t>
      </w:r>
      <w:r w:rsidRPr="00F06BFF">
        <w:rPr>
          <w:sz w:val="16"/>
        </w:rPr>
        <w:t xml:space="preserve"> </w:t>
      </w:r>
      <w:r w:rsidRPr="00F06BFF">
        <w:rPr>
          <w:sz w:val="16"/>
        </w:rPr>
        <w:t xml:space="preserve">statement of the then Attorney-General, Lord </w:t>
      </w:r>
      <w:proofErr w:type="spellStart"/>
      <w:proofErr w:type="gramStart"/>
      <w:r w:rsidRPr="00F06BFF">
        <w:rPr>
          <w:sz w:val="16"/>
        </w:rPr>
        <w:t>Shawcross</w:t>
      </w:r>
      <w:proofErr w:type="spellEnd"/>
      <w:r w:rsidRPr="00F06BFF">
        <w:rPr>
          <w:sz w:val="16"/>
        </w:rPr>
        <w:t>,</w:t>
      </w:r>
      <w:r w:rsidRPr="00F06BFF">
        <w:rPr>
          <w:sz w:val="16"/>
        </w:rPr>
        <w:t xml:space="preserve"> </w:t>
      </w:r>
      <w:r w:rsidRPr="00F06BFF">
        <w:rPr>
          <w:sz w:val="16"/>
        </w:rPr>
        <w:t>that</w:t>
      </w:r>
      <w:proofErr w:type="gramEnd"/>
      <w:r w:rsidRPr="00F06BFF">
        <w:rPr>
          <w:sz w:val="16"/>
        </w:rPr>
        <w:t xml:space="preserve"> “It has never been the rule in this country – I hope it</w:t>
      </w:r>
      <w:r w:rsidRPr="00F06BFF">
        <w:rPr>
          <w:sz w:val="16"/>
        </w:rPr>
        <w:t xml:space="preserve"> </w:t>
      </w:r>
      <w:r w:rsidRPr="00F06BFF">
        <w:rPr>
          <w:sz w:val="16"/>
        </w:rPr>
        <w:t>never will be – that suspected criminal offences must</w:t>
      </w:r>
      <w:r w:rsidRPr="00F06BFF">
        <w:rPr>
          <w:sz w:val="16"/>
        </w:rPr>
        <w:t xml:space="preserve"> </w:t>
      </w:r>
      <w:r w:rsidRPr="00F06BFF">
        <w:rPr>
          <w:sz w:val="16"/>
        </w:rPr>
        <w:t>automatically be the subject of prosecution.”</w:t>
      </w:r>
    </w:p>
  </w:footnote>
  <w:footnote w:id="27">
    <w:p w:rsidR="00F06BFF" w:rsidRPr="00F06BFF" w:rsidRDefault="00F06BFF" w:rsidP="00F06BFF">
      <w:pPr>
        <w:pStyle w:val="FootnoteText"/>
        <w:rPr>
          <w:sz w:val="16"/>
        </w:rPr>
      </w:pPr>
      <w:r w:rsidRPr="00F06BFF">
        <w:rPr>
          <w:rStyle w:val="FootnoteReference"/>
          <w:sz w:val="16"/>
        </w:rPr>
        <w:footnoteRef/>
      </w:r>
      <w:r w:rsidRPr="00F06BFF">
        <w:rPr>
          <w:sz w:val="16"/>
        </w:rPr>
        <w:t xml:space="preserve"> </w:t>
      </w:r>
      <w:r w:rsidRPr="00F06BFF">
        <w:rPr>
          <w:sz w:val="16"/>
        </w:rPr>
        <w:t>This may arise from a specific report of a crime, or the</w:t>
      </w:r>
      <w:r w:rsidRPr="00F06BFF">
        <w:rPr>
          <w:sz w:val="16"/>
        </w:rPr>
        <w:t xml:space="preserve"> </w:t>
      </w:r>
      <w:r w:rsidRPr="00F06BFF">
        <w:rPr>
          <w:sz w:val="16"/>
        </w:rPr>
        <w:t>police coming across a situation that allows them to take</w:t>
      </w:r>
      <w:r w:rsidRPr="00F06BFF">
        <w:rPr>
          <w:sz w:val="16"/>
        </w:rPr>
        <w:t xml:space="preserve"> </w:t>
      </w:r>
      <w:r w:rsidRPr="00F06BFF">
        <w:rPr>
          <w:sz w:val="16"/>
        </w:rPr>
        <w:t>action under s136 Mental Health Act 1983, which will</w:t>
      </w:r>
      <w:r w:rsidRPr="00F06BFF">
        <w:rPr>
          <w:sz w:val="16"/>
        </w:rPr>
        <w:t xml:space="preserve"> </w:t>
      </w:r>
      <w:r w:rsidRPr="00F06BFF">
        <w:rPr>
          <w:sz w:val="16"/>
        </w:rPr>
        <w:t>often involve conduct that could lead to an arrest and the</w:t>
      </w:r>
      <w:r w:rsidRPr="00F06BFF">
        <w:rPr>
          <w:sz w:val="16"/>
        </w:rPr>
        <w:t xml:space="preserve"> </w:t>
      </w:r>
      <w:r w:rsidRPr="00F06BFF">
        <w:rPr>
          <w:sz w:val="16"/>
        </w:rPr>
        <w:t>criminal process being instigated.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25C"/>
    <w:rsid w:val="00453726"/>
    <w:rsid w:val="00A0125C"/>
    <w:rsid w:val="00BC01A3"/>
    <w:rsid w:val="00C741A6"/>
    <w:rsid w:val="00D46399"/>
    <w:rsid w:val="00EE3889"/>
    <w:rsid w:val="00F06BFF"/>
    <w:rsid w:val="00F4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012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2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25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463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012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2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25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463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h.gov.uk/en/Publicationsandstatistics/Publications/PublicationsPolicyAndGuidance/DH_4009576" TargetMode="External"/><Relationship Id="rId2" Type="http://schemas.openxmlformats.org/officeDocument/2006/relationships/hyperlink" Target="http://www.dhsspsni.gov.uk/legislative-framework-formental-capacity.pdf" TargetMode="External"/><Relationship Id="rId1" Type="http://schemas.openxmlformats.org/officeDocument/2006/relationships/hyperlink" Target="http://www.rmhldni.gov.uk/index.htm" TargetMode="External"/><Relationship Id="rId5" Type="http://schemas.openxmlformats.org/officeDocument/2006/relationships/hyperlink" Target="http://www.cps.gov.uk/Publications/docs/code2004english.pdf" TargetMode="External"/><Relationship Id="rId4" Type="http://schemas.openxmlformats.org/officeDocument/2006/relationships/hyperlink" Target="http://www.scottish.parliament.uk/business/bills/billsnotInProgress/index.htm#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D181C-FE5D-4FF7-BCC4-206C96E7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3560</Words>
  <Characters>20292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23805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Skoyles</dc:creator>
  <cp:lastModifiedBy>Becky Skoyles</cp:lastModifiedBy>
  <cp:revision>2</cp:revision>
  <dcterms:created xsi:type="dcterms:W3CDTF">2014-11-12T11:25:00Z</dcterms:created>
  <dcterms:modified xsi:type="dcterms:W3CDTF">2014-11-12T13:11:00Z</dcterms:modified>
</cp:coreProperties>
</file>