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F8" w:rsidRPr="009B55F8" w:rsidRDefault="009B55F8" w:rsidP="009B55F8">
      <w:pPr>
        <w:rPr>
          <w:sz w:val="56"/>
          <w:szCs w:val="56"/>
        </w:rPr>
      </w:pPr>
      <w:r w:rsidRPr="009B55F8">
        <w:rPr>
          <w:sz w:val="56"/>
          <w:szCs w:val="56"/>
        </w:rPr>
        <w:t>Safeguards for informal patients</w:t>
      </w:r>
    </w:p>
    <w:p w:rsidR="009B55F8" w:rsidRPr="009B55F8" w:rsidRDefault="009B55F8" w:rsidP="009B55F8">
      <w:pPr>
        <w:rPr>
          <w:b/>
          <w:bCs/>
          <w:i/>
          <w:iCs/>
          <w:sz w:val="28"/>
        </w:rPr>
      </w:pPr>
      <w:proofErr w:type="spellStart"/>
      <w:r w:rsidRPr="009B55F8">
        <w:rPr>
          <w:b/>
          <w:bCs/>
          <w:i/>
          <w:iCs/>
          <w:sz w:val="28"/>
        </w:rPr>
        <w:t>Aswini</w:t>
      </w:r>
      <w:proofErr w:type="spellEnd"/>
      <w:r w:rsidRPr="009B55F8">
        <w:rPr>
          <w:b/>
          <w:bCs/>
          <w:i/>
          <w:iCs/>
          <w:sz w:val="28"/>
        </w:rPr>
        <w:t xml:space="preserve"> </w:t>
      </w:r>
      <w:proofErr w:type="spellStart"/>
      <w:r w:rsidRPr="009B55F8">
        <w:rPr>
          <w:b/>
          <w:bCs/>
          <w:i/>
          <w:iCs/>
          <w:sz w:val="28"/>
        </w:rPr>
        <w:t>Weereratne</w:t>
      </w:r>
      <w:proofErr w:type="spellEnd"/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9B55F8" w:rsidRPr="009B55F8" w:rsidRDefault="009B55F8" w:rsidP="009B55F8">
      <w:pPr>
        <w:rPr>
          <w:b/>
          <w:bCs/>
          <w:i/>
          <w:iCs/>
        </w:rPr>
      </w:pPr>
    </w:p>
    <w:p w:rsidR="009B55F8" w:rsidRPr="009B55F8" w:rsidRDefault="009B55F8" w:rsidP="009B55F8">
      <w:pPr>
        <w:rPr>
          <w:b/>
          <w:bCs/>
          <w:sz w:val="24"/>
        </w:rPr>
      </w:pPr>
      <w:r w:rsidRPr="009B55F8">
        <w:rPr>
          <w:b/>
          <w:bCs/>
          <w:sz w:val="24"/>
        </w:rPr>
        <w:t>Who is an informal patient?</w:t>
      </w:r>
    </w:p>
    <w:p w:rsidR="009B55F8" w:rsidRPr="009B55F8" w:rsidRDefault="009B55F8" w:rsidP="009B55F8">
      <w:r w:rsidRPr="009B55F8">
        <w:t>In light of the plethora of new provisions safeguarding patients who might previously have been cared for</w:t>
      </w:r>
      <w:r>
        <w:t xml:space="preserve"> </w:t>
      </w:r>
      <w:r w:rsidRPr="009B55F8">
        <w:t>and treated informally, it may be instructive to consider who may now be considered a truly informal</w:t>
      </w:r>
      <w:r>
        <w:t xml:space="preserve"> </w:t>
      </w:r>
      <w:r w:rsidRPr="009B55F8">
        <w:t>patient, i.e. one for whom neither process nor formality is needed.</w:t>
      </w:r>
      <w:r>
        <w:rPr>
          <w:rStyle w:val="FootnoteReference"/>
        </w:rPr>
        <w:footnoteReference w:id="2"/>
      </w:r>
      <w:r w:rsidRPr="009B55F8">
        <w:t xml:space="preserve"> When applied to an incapacitated</w:t>
      </w:r>
      <w:r>
        <w:t xml:space="preserve"> </w:t>
      </w:r>
      <w:r w:rsidRPr="009B55F8">
        <w:t>patient requiring treatment for mental disorder, the word “informal” may now seem oxymoronic and</w:t>
      </w:r>
      <w:r>
        <w:t xml:space="preserve"> </w:t>
      </w:r>
      <w:r w:rsidRPr="009B55F8">
        <w:t>possibly redundant. Can such a patient ever be truly informal? Part IV of the model statute suggests that</w:t>
      </w:r>
      <w:r>
        <w:t xml:space="preserve"> </w:t>
      </w:r>
      <w:r w:rsidRPr="009B55F8">
        <w:t>an informal patient is one who lacks capacity and does not object to proposed treatment which is in their</w:t>
      </w:r>
      <w:r>
        <w:t xml:space="preserve"> </w:t>
      </w:r>
      <w:r w:rsidRPr="009B55F8">
        <w:t>best interests, or a patient who may be treated without the use of compulsory powers; but even such a</w:t>
      </w:r>
      <w:r>
        <w:t xml:space="preserve"> </w:t>
      </w:r>
      <w:r w:rsidRPr="009B55F8">
        <w:t>patient must now be subject to some formality if their care or treatment is to be long term or they are to</w:t>
      </w:r>
      <w:r>
        <w:t xml:space="preserve"> </w:t>
      </w:r>
      <w:r w:rsidRPr="009B55F8">
        <w:t>be deprived of their liberty in order to ensure proper safeguards are in place.</w:t>
      </w:r>
    </w:p>
    <w:p w:rsidR="00263E87" w:rsidRDefault="009B55F8" w:rsidP="009B55F8">
      <w:r w:rsidRPr="009B55F8">
        <w:t xml:space="preserve">Currently the boundary between the </w:t>
      </w:r>
      <w:r w:rsidRPr="009B55F8">
        <w:rPr>
          <w:i/>
          <w:iCs/>
        </w:rPr>
        <w:t xml:space="preserve">Mental Capacity Act 2005 </w:t>
      </w:r>
      <w:r w:rsidRPr="009B55F8">
        <w:t xml:space="preserve">(“MCA”) and </w:t>
      </w:r>
      <w:r w:rsidRPr="009B55F8">
        <w:rPr>
          <w:i/>
          <w:iCs/>
        </w:rPr>
        <w:t>Mental Health Act 1983</w:t>
      </w:r>
      <w:r>
        <w:rPr>
          <w:i/>
          <w:iCs/>
        </w:rPr>
        <w:t xml:space="preserve"> </w:t>
      </w:r>
      <w:r w:rsidRPr="009B55F8">
        <w:t>(“MHA”)</w:t>
      </w:r>
      <w:r>
        <w:rPr>
          <w:rStyle w:val="FootnoteReference"/>
        </w:rPr>
        <w:footnoteReference w:id="3"/>
      </w:r>
      <w:r w:rsidRPr="009B55F8">
        <w:t xml:space="preserve"> is essentially one determined by whether the patient objects to treatment and is defined with</w:t>
      </w:r>
      <w:r>
        <w:t xml:space="preserve"> </w:t>
      </w:r>
      <w:r w:rsidRPr="009B55F8">
        <w:t>formidable complexity in schedule 1A to the MCA. A patient eligible for MCA deprivation of liberty</w:t>
      </w:r>
      <w:r>
        <w:t xml:space="preserve"> </w:t>
      </w:r>
      <w:r w:rsidRPr="009B55F8">
        <w:t>(“DOL”) safeguards, who could be an elderly person in long term residential care, is now subject to formal</w:t>
      </w:r>
      <w:r>
        <w:t xml:space="preserve"> </w:t>
      </w:r>
      <w:r w:rsidRPr="009B55F8">
        <w:t>processes. There is little true informality for a patient lacking treatment capacity. It is questionable</w:t>
      </w:r>
      <w:r>
        <w:t xml:space="preserve"> </w:t>
      </w:r>
      <w:r w:rsidRPr="009B55F8">
        <w:t>whether even a capacitated patient with mental disorder, who is by definition vulnerable, may be treated</w:t>
      </w:r>
      <w:r>
        <w:t xml:space="preserve"> </w:t>
      </w:r>
      <w:r w:rsidRPr="009B55F8">
        <w:t>informally under the MHA</w:t>
      </w:r>
      <w:r>
        <w:rPr>
          <w:rStyle w:val="FootnoteReference"/>
        </w:rPr>
        <w:footnoteReference w:id="4"/>
      </w:r>
      <w:r w:rsidRPr="009B55F8">
        <w:t xml:space="preserve"> if they feel suborned into consenting by the possibility of coercion. The</w:t>
      </w:r>
      <w:r>
        <w:t xml:space="preserve"> </w:t>
      </w:r>
      <w:r w:rsidRPr="009B55F8">
        <w:t>terminology offers a slightly deceptive impression of a benign approach with concomitant levels of</w:t>
      </w:r>
      <w:r>
        <w:t xml:space="preserve"> </w:t>
      </w:r>
      <w:r w:rsidRPr="009B55F8">
        <w:t>autonomy, but while it is appropriate to highlight a difference from compulsory process and keep formality</w:t>
      </w:r>
      <w:r>
        <w:t xml:space="preserve"> </w:t>
      </w:r>
      <w:r w:rsidRPr="009B55F8">
        <w:t>to a minimum for the sake of informality, it is also important not to overplay formality in the name of</w:t>
      </w:r>
      <w:r>
        <w:t xml:space="preserve"> </w:t>
      </w:r>
      <w:r w:rsidRPr="009B55F8">
        <w:t>safeguards. The latter appears to be the vice in which the MCA and MHA is now arguably gripped.</w:t>
      </w:r>
    </w:p>
    <w:p w:rsidR="009B55F8" w:rsidRDefault="009B55F8" w:rsidP="009B55F8"/>
    <w:p w:rsidR="009B55F8" w:rsidRPr="009B55F8" w:rsidRDefault="009B55F8" w:rsidP="009B55F8">
      <w:pPr>
        <w:rPr>
          <w:sz w:val="24"/>
        </w:rPr>
      </w:pPr>
      <w:r w:rsidRPr="009B55F8">
        <w:rPr>
          <w:b/>
          <w:bCs/>
          <w:i/>
          <w:iCs/>
          <w:sz w:val="24"/>
        </w:rPr>
        <w:t xml:space="preserve">HL v UK </w:t>
      </w:r>
      <w:r w:rsidRPr="009B55F8">
        <w:rPr>
          <w:b/>
          <w:bCs/>
          <w:sz w:val="24"/>
        </w:rPr>
        <w:t>(2004)</w:t>
      </w:r>
      <w:r>
        <w:rPr>
          <w:rStyle w:val="FootnoteReference"/>
          <w:b/>
          <w:bCs/>
          <w:sz w:val="24"/>
        </w:rPr>
        <w:footnoteReference w:id="5"/>
      </w:r>
    </w:p>
    <w:p w:rsidR="009B55F8" w:rsidRPr="009B55F8" w:rsidRDefault="009B55F8" w:rsidP="009B55F8">
      <w:r w:rsidRPr="009B55F8">
        <w:t xml:space="preserve">The unpicking of informal status was achieved in </w:t>
      </w:r>
      <w:r w:rsidRPr="009B55F8">
        <w:rPr>
          <w:i/>
          <w:iCs/>
        </w:rPr>
        <w:t xml:space="preserve">HL v UK </w:t>
      </w:r>
      <w:r w:rsidRPr="009B55F8">
        <w:t>which set the benchmark for safeguards for</w:t>
      </w:r>
      <w:r>
        <w:t xml:space="preserve"> </w:t>
      </w:r>
      <w:r w:rsidRPr="009B55F8">
        <w:t>informal patients and the trigger for legislative reform culminating in the introduction of the MCA DOL</w:t>
      </w:r>
      <w:r>
        <w:t xml:space="preserve"> </w:t>
      </w:r>
      <w:r w:rsidRPr="009B55F8">
        <w:t>safeguards by the MHA 2007. It is worth recalling the facts of that case:</w:t>
      </w:r>
    </w:p>
    <w:p w:rsidR="009B55F8" w:rsidRPr="009B55F8" w:rsidRDefault="009B55F8" w:rsidP="009B55F8">
      <w:r w:rsidRPr="009B55F8">
        <w:lastRenderedPageBreak/>
        <w:t>HL was diagnosed with learning disability and mood disorder. He was admitted for treatment under the</w:t>
      </w:r>
      <w:r>
        <w:t xml:space="preserve"> </w:t>
      </w:r>
      <w:r w:rsidRPr="009B55F8">
        <w:t xml:space="preserve">provision of the </w:t>
      </w:r>
      <w:r w:rsidRPr="009B55F8">
        <w:rPr>
          <w:i/>
          <w:iCs/>
        </w:rPr>
        <w:t xml:space="preserve">Mental Health Act 1983 </w:t>
      </w:r>
      <w:r w:rsidRPr="009B55F8">
        <w:t>for informal patients</w:t>
      </w:r>
      <w:r>
        <w:rPr>
          <w:rStyle w:val="FootnoteReference"/>
        </w:rPr>
        <w:footnoteReference w:id="6"/>
      </w:r>
      <w:r w:rsidRPr="009B55F8">
        <w:t xml:space="preserve"> having </w:t>
      </w:r>
      <w:proofErr w:type="spellStart"/>
      <w:r w:rsidRPr="009B55F8">
        <w:t>self harmed</w:t>
      </w:r>
      <w:proofErr w:type="spellEnd"/>
      <w:r w:rsidRPr="009B55F8">
        <w:t xml:space="preserve"> and was taken initially</w:t>
      </w:r>
      <w:r>
        <w:t xml:space="preserve"> </w:t>
      </w:r>
      <w:r w:rsidRPr="009B55F8">
        <w:t>under sedation to A&amp;E where he continued to be agitated and very anxious. However, he was compliant</w:t>
      </w:r>
      <w:r>
        <w:t xml:space="preserve"> </w:t>
      </w:r>
      <w:r w:rsidRPr="009B55F8">
        <w:t>with medication and not attempting to leave and so was not detained under the MHA, nor placed on a</w:t>
      </w:r>
      <w:r>
        <w:t xml:space="preserve"> </w:t>
      </w:r>
      <w:r w:rsidRPr="009B55F8">
        <w:t>locked ward, but he would have been detained had he tried to leave. This presumption in favour of</w:t>
      </w:r>
      <w:r>
        <w:t xml:space="preserve"> </w:t>
      </w:r>
      <w:r w:rsidRPr="009B55F8">
        <w:t>informal admission and treatment was promoted by the Percy Commission whose recommendations</w:t>
      </w:r>
      <w:r>
        <w:t xml:space="preserve"> </w:t>
      </w:r>
      <w:r w:rsidRPr="009B55F8">
        <w:t>founded the MHA 1959, although Percy did not envisage a deprivation of liberty in the case of informal</w:t>
      </w:r>
      <w:r>
        <w:t xml:space="preserve"> </w:t>
      </w:r>
      <w:r w:rsidRPr="009B55F8">
        <w:t>patients.</w:t>
      </w:r>
      <w:r>
        <w:rPr>
          <w:rStyle w:val="FootnoteReference"/>
        </w:rPr>
        <w:footnoteReference w:id="7"/>
      </w:r>
      <w:r w:rsidRPr="009B55F8">
        <w:t xml:space="preserve"> HL was regularly sedated in hospital and healthcare professionals exercised effective power over</w:t>
      </w:r>
      <w:r>
        <w:t xml:space="preserve"> </w:t>
      </w:r>
      <w:r w:rsidRPr="009B55F8">
        <w:t>him. The House of Lords</w:t>
      </w:r>
      <w:r>
        <w:rPr>
          <w:rStyle w:val="FootnoteReference"/>
        </w:rPr>
        <w:footnoteReference w:id="8"/>
      </w:r>
      <w:r w:rsidRPr="009B55F8">
        <w:t xml:space="preserve"> decided by a majority that HL was not in fact detained, but that in any event,</w:t>
      </w:r>
      <w:r>
        <w:t xml:space="preserve"> </w:t>
      </w:r>
      <w:r w:rsidRPr="009B55F8">
        <w:t>and whether he was or not, he could be lawfully treated under the common law doctrine of necessity as</w:t>
      </w:r>
      <w:r>
        <w:t xml:space="preserve"> </w:t>
      </w:r>
      <w:r w:rsidRPr="009B55F8">
        <w:t>an informal patient.</w:t>
      </w:r>
    </w:p>
    <w:p w:rsidR="009B55F8" w:rsidRPr="009B55F8" w:rsidRDefault="009B55F8" w:rsidP="009B55F8">
      <w:r w:rsidRPr="009B55F8">
        <w:t xml:space="preserve">The violation of article 5(1) found in </w:t>
      </w:r>
      <w:r w:rsidRPr="009B55F8">
        <w:rPr>
          <w:i/>
          <w:iCs/>
        </w:rPr>
        <w:t xml:space="preserve">HL v UK </w:t>
      </w:r>
      <w:r w:rsidRPr="009B55F8">
        <w:t>was not so much about the lack of substantive criteria for</w:t>
      </w:r>
      <w:r>
        <w:t xml:space="preserve"> </w:t>
      </w:r>
      <w:r w:rsidRPr="009B55F8">
        <w:t>informal patients in relation to the common law doctrine of necessity developed over the centuries (from</w:t>
      </w:r>
      <w:r>
        <w:t xml:space="preserve"> </w:t>
      </w:r>
      <w:r w:rsidRPr="009B55F8">
        <w:t>as early as 1772)</w:t>
      </w:r>
      <w:r>
        <w:rPr>
          <w:rStyle w:val="FootnoteReference"/>
        </w:rPr>
        <w:footnoteReference w:id="9"/>
      </w:r>
      <w:r w:rsidRPr="009B55F8">
        <w:t>, than about an insufficiency of procedural rules which cast doubt as to whether the</w:t>
      </w:r>
      <w:r>
        <w:t xml:space="preserve"> </w:t>
      </w:r>
      <w:r w:rsidRPr="009B55F8">
        <w:t>requirement of lawfulness aimed at avoiding arbitrariness was satisfied</w:t>
      </w:r>
      <w:r>
        <w:rPr>
          <w:rStyle w:val="FootnoteReference"/>
        </w:rPr>
        <w:footnoteReference w:id="10"/>
      </w:r>
      <w:r w:rsidRPr="009B55F8">
        <w:t>. Particularly striking was the</w:t>
      </w:r>
      <w:r>
        <w:t xml:space="preserve"> </w:t>
      </w:r>
      <w:r w:rsidRPr="009B55F8">
        <w:t>“lack of any fixed procedural rules by which the admission and detention of compliant incapacitated</w:t>
      </w:r>
      <w:r>
        <w:t xml:space="preserve"> </w:t>
      </w:r>
      <w:r w:rsidRPr="009B55F8">
        <w:t>persons is conducted.” A specific contrast with the MHA 1983 was made. In particular what is needed</w:t>
      </w:r>
      <w:r>
        <w:t xml:space="preserve"> </w:t>
      </w:r>
      <w:r w:rsidRPr="009B55F8">
        <w:t>was identified as:</w:t>
      </w:r>
    </w:p>
    <w:p w:rsidR="009B55F8" w:rsidRDefault="009B55F8" w:rsidP="009B55F8">
      <w:pPr>
        <w:pStyle w:val="ListParagraph"/>
        <w:numPr>
          <w:ilvl w:val="0"/>
          <w:numId w:val="1"/>
        </w:numPr>
      </w:pPr>
      <w:r w:rsidRPr="009B55F8">
        <w:t>A formalised admission procedure which identifies who can propose admission, for what reasons and</w:t>
      </w:r>
      <w:r>
        <w:t xml:space="preserve"> </w:t>
      </w:r>
      <w:r w:rsidRPr="009B55F8">
        <w:t>on the basis of what kind of medical and other assessments and conclusions</w:t>
      </w:r>
    </w:p>
    <w:p w:rsidR="009B55F8" w:rsidRDefault="009B55F8" w:rsidP="009B55F8">
      <w:pPr>
        <w:pStyle w:val="ListParagraph"/>
        <w:numPr>
          <w:ilvl w:val="0"/>
          <w:numId w:val="1"/>
        </w:numPr>
      </w:pPr>
      <w:r w:rsidRPr="009B55F8">
        <w:t>The exact purpose of admission e.g. for assessment or treatment</w:t>
      </w:r>
    </w:p>
    <w:p w:rsidR="009B55F8" w:rsidRDefault="009B55F8" w:rsidP="009B55F8">
      <w:pPr>
        <w:pStyle w:val="ListParagraph"/>
        <w:numPr>
          <w:ilvl w:val="0"/>
          <w:numId w:val="1"/>
        </w:numPr>
      </w:pPr>
      <w:r w:rsidRPr="009B55F8">
        <w:t>Limits in terms of time, treatment or care</w:t>
      </w:r>
    </w:p>
    <w:p w:rsidR="009B55F8" w:rsidRDefault="009B55F8" w:rsidP="009B55F8">
      <w:pPr>
        <w:pStyle w:val="ListParagraph"/>
        <w:numPr>
          <w:ilvl w:val="0"/>
          <w:numId w:val="1"/>
        </w:numPr>
      </w:pPr>
      <w:r w:rsidRPr="009B55F8">
        <w:t>A continuing clinical assessment of the persistence of the disorder warranting detention</w:t>
      </w:r>
    </w:p>
    <w:p w:rsidR="009B55F8" w:rsidRDefault="009B55F8" w:rsidP="009B55F8">
      <w:pPr>
        <w:pStyle w:val="ListParagraph"/>
        <w:numPr>
          <w:ilvl w:val="0"/>
          <w:numId w:val="1"/>
        </w:numPr>
      </w:pPr>
      <w:r w:rsidRPr="009B55F8">
        <w:t>The appointment of a representative of the patient who can make objections and application on the</w:t>
      </w:r>
      <w:r>
        <w:t xml:space="preserve"> </w:t>
      </w:r>
      <w:r w:rsidRPr="009B55F8">
        <w:t>patient’s behalf.</w:t>
      </w:r>
      <w:r>
        <w:rPr>
          <w:rStyle w:val="FootnoteReference"/>
        </w:rPr>
        <w:footnoteReference w:id="11"/>
      </w:r>
    </w:p>
    <w:p w:rsidR="009B55F8" w:rsidRPr="009B55F8" w:rsidRDefault="009B55F8" w:rsidP="009B55F8">
      <w:pPr>
        <w:pStyle w:val="ListParagraph"/>
        <w:numPr>
          <w:ilvl w:val="0"/>
          <w:numId w:val="1"/>
        </w:numPr>
      </w:pPr>
      <w:r w:rsidRPr="009B55F8">
        <w:t>A regular review of the legality of any deprivation of liberty.</w:t>
      </w:r>
      <w:r>
        <w:rPr>
          <w:rStyle w:val="FootnoteReference"/>
        </w:rPr>
        <w:footnoteReference w:id="12"/>
      </w:r>
    </w:p>
    <w:p w:rsidR="009B55F8" w:rsidRDefault="009B55F8" w:rsidP="009B55F8">
      <w:r w:rsidRPr="009B55F8">
        <w:t xml:space="preserve">Interestingly, the </w:t>
      </w:r>
      <w:proofErr w:type="spellStart"/>
      <w:r w:rsidRPr="009B55F8">
        <w:t>ECtHR</w:t>
      </w:r>
      <w:proofErr w:type="spellEnd"/>
      <w:r w:rsidRPr="009B55F8">
        <w:t xml:space="preserve"> also specifically acknowledged the government’s concern to avoid the “full,</w:t>
      </w:r>
      <w:r>
        <w:t xml:space="preserve"> </w:t>
      </w:r>
      <w:r w:rsidRPr="009B55F8">
        <w:t>formal and inflexible impact of the 1983 Act”, and curiously it endorsed, in that spirit, the provisions</w:t>
      </w:r>
      <w:r>
        <w:t xml:space="preserve"> </w:t>
      </w:r>
      <w:r w:rsidRPr="009B55F8">
        <w:t>contained in the MCA Bill as providing for “detailed procedural regulation of the detention of</w:t>
      </w:r>
      <w:r>
        <w:t xml:space="preserve"> </w:t>
      </w:r>
      <w:r w:rsidRPr="009B55F8">
        <w:t>incapacitated individuals”</w:t>
      </w:r>
      <w:r>
        <w:rPr>
          <w:rStyle w:val="FootnoteReference"/>
        </w:rPr>
        <w:footnoteReference w:id="13"/>
      </w:r>
      <w:r w:rsidRPr="009B55F8">
        <w:t>. Of course the Bill</w:t>
      </w:r>
      <w:r>
        <w:rPr>
          <w:rStyle w:val="FootnoteReference"/>
        </w:rPr>
        <w:footnoteReference w:id="14"/>
      </w:r>
      <w:r w:rsidRPr="009B55F8">
        <w:t xml:space="preserve"> as introduced in fact only permitted restrictions on</w:t>
      </w:r>
      <w:r>
        <w:t xml:space="preserve"> </w:t>
      </w:r>
      <w:r w:rsidRPr="009B55F8">
        <w:t>liberty</w:t>
      </w:r>
      <w:r w:rsidR="00886810">
        <w:rPr>
          <w:rStyle w:val="FootnoteReference"/>
        </w:rPr>
        <w:footnoteReference w:id="15"/>
      </w:r>
      <w:r w:rsidRPr="009B55F8">
        <w:t xml:space="preserve"> and later expressly excluded restraint amounting to a deprivation of liberty under article 5(1)</w:t>
      </w:r>
      <w:r>
        <w:t xml:space="preserve"> </w:t>
      </w:r>
      <w:r w:rsidRPr="009B55F8">
        <w:t>ECHR.</w:t>
      </w:r>
      <w:r w:rsidR="00886810">
        <w:rPr>
          <w:rStyle w:val="FootnoteReference"/>
        </w:rPr>
        <w:footnoteReference w:id="16"/>
      </w:r>
      <w:r w:rsidRPr="009B55F8">
        <w:t xml:space="preserve"> Nevertheless this is a clear indication that formality as in the MHA is not what is required. The</w:t>
      </w:r>
      <w:r>
        <w:t xml:space="preserve"> </w:t>
      </w:r>
      <w:r w:rsidRPr="009B55F8">
        <w:t xml:space="preserve">government’s response has been convoluted and the subject of much criticism for its intricacy </w:t>
      </w:r>
      <w:r w:rsidRPr="009B55F8">
        <w:lastRenderedPageBreak/>
        <w:t>and</w:t>
      </w:r>
      <w:r>
        <w:t xml:space="preserve"> </w:t>
      </w:r>
      <w:r w:rsidRPr="009B55F8">
        <w:t>prolixity, particularly of the provisions of MCA schedules A1 and 1A.</w:t>
      </w:r>
      <w:r w:rsidR="00886810">
        <w:rPr>
          <w:rStyle w:val="FootnoteReference"/>
        </w:rPr>
        <w:footnoteReference w:id="17"/>
      </w:r>
      <w:r w:rsidRPr="009B55F8">
        <w:t xml:space="preserve"> The decision in </w:t>
      </w:r>
      <w:r w:rsidRPr="009B55F8">
        <w:rPr>
          <w:i/>
          <w:iCs/>
        </w:rPr>
        <w:t xml:space="preserve">HL </w:t>
      </w:r>
      <w:r w:rsidRPr="009B55F8">
        <w:t>suggests that</w:t>
      </w:r>
      <w:r>
        <w:t xml:space="preserve"> </w:t>
      </w:r>
      <w:r w:rsidRPr="009B55F8">
        <w:t>this level of formality was most probably unnecessary. The model statute offers a more elegantly</w:t>
      </w:r>
      <w:r>
        <w:t xml:space="preserve"> </w:t>
      </w:r>
      <w:r w:rsidRPr="009B55F8">
        <w:t>minimalistic set of provisions for incapacitated patients in long term care (over 28 days) and those</w:t>
      </w:r>
      <w:r>
        <w:t xml:space="preserve"> </w:t>
      </w:r>
      <w:r w:rsidRPr="009B55F8">
        <w:t>deprived of their liberty in their best interests (see Part IV).</w:t>
      </w:r>
    </w:p>
    <w:p w:rsidR="009B55F8" w:rsidRPr="009B55F8" w:rsidRDefault="009B55F8" w:rsidP="009B55F8"/>
    <w:p w:rsidR="009B55F8" w:rsidRPr="009B55F8" w:rsidRDefault="009B55F8" w:rsidP="009B55F8">
      <w:pPr>
        <w:rPr>
          <w:b/>
          <w:bCs/>
          <w:sz w:val="24"/>
        </w:rPr>
      </w:pPr>
      <w:r w:rsidRPr="009B55F8">
        <w:rPr>
          <w:b/>
          <w:bCs/>
          <w:sz w:val="24"/>
        </w:rPr>
        <w:t>Model statute and liberty</w:t>
      </w:r>
    </w:p>
    <w:p w:rsidR="009B55F8" w:rsidRDefault="009B55F8" w:rsidP="009B55F8">
      <w:r w:rsidRPr="009B55F8">
        <w:t>Given the importance of personal liberty, article 5 requires that national law should be “sufficiently</w:t>
      </w:r>
      <w:r>
        <w:t xml:space="preserve"> </w:t>
      </w:r>
      <w:r w:rsidRPr="009B55F8">
        <w:t>precise to allow the citizen – if need be with appropriate advice – to foresee, to a degree that is reasonable</w:t>
      </w:r>
      <w:r>
        <w:t xml:space="preserve"> </w:t>
      </w:r>
      <w:r w:rsidRPr="009B55F8">
        <w:t>in the circumstances, the consequences which a given action might entail.”</w:t>
      </w:r>
      <w:r w:rsidR="00886810">
        <w:rPr>
          <w:rStyle w:val="FootnoteReference"/>
        </w:rPr>
        <w:footnoteReference w:id="18"/>
      </w:r>
      <w:r w:rsidRPr="009B55F8">
        <w:t xml:space="preserve"> The model statute has a</w:t>
      </w:r>
      <w:r>
        <w:t xml:space="preserve"> </w:t>
      </w:r>
      <w:r w:rsidRPr="009B55F8">
        <w:t>straightforward registration procedure which relies upon agreement between a doctor and approved</w:t>
      </w:r>
      <w:r>
        <w:t xml:space="preserve"> </w:t>
      </w:r>
      <w:r w:rsidRPr="009B55F8">
        <w:t>practitioner that four conditions for the deprivation of liberty are met. This leads to the P being registered</w:t>
      </w:r>
      <w:r>
        <w:t xml:space="preserve"> </w:t>
      </w:r>
      <w:r w:rsidRPr="009B55F8">
        <w:t>with an appropriate authority, triggering a care plan to be written by the responsible clinician. There is</w:t>
      </w:r>
      <w:r>
        <w:t xml:space="preserve"> </w:t>
      </w:r>
      <w:r w:rsidRPr="009B55F8">
        <w:t>consultation with others, including a substitute decision maker, and access to a tribunal. There seems to</w:t>
      </w:r>
      <w:r>
        <w:t xml:space="preserve"> </w:t>
      </w:r>
      <w:r w:rsidRPr="009B55F8">
        <w:t>be little to criticise in the simplicity this offers.</w:t>
      </w:r>
    </w:p>
    <w:p w:rsidR="009B55F8" w:rsidRPr="009B55F8" w:rsidRDefault="009B55F8" w:rsidP="009B55F8"/>
    <w:p w:rsidR="009B55F8" w:rsidRPr="009B55F8" w:rsidRDefault="009B55F8" w:rsidP="009B55F8">
      <w:pPr>
        <w:rPr>
          <w:b/>
          <w:bCs/>
          <w:sz w:val="24"/>
        </w:rPr>
      </w:pPr>
      <w:r w:rsidRPr="009B55F8">
        <w:rPr>
          <w:b/>
          <w:bCs/>
          <w:sz w:val="24"/>
        </w:rPr>
        <w:t>Registration: timing and responsibility</w:t>
      </w:r>
    </w:p>
    <w:p w:rsidR="009B55F8" w:rsidRPr="009B55F8" w:rsidRDefault="009B55F8" w:rsidP="009B55F8">
      <w:r w:rsidRPr="009B55F8">
        <w:t>What is less clear from the model statute is when the registration procedure must commence and it is not</w:t>
      </w:r>
      <w:r>
        <w:t xml:space="preserve"> </w:t>
      </w:r>
      <w:r w:rsidRPr="009B55F8">
        <w:t>clearly stated that it must be completed in advance of any deprivation of liberty actually occurring. It is</w:t>
      </w:r>
      <w:r>
        <w:t xml:space="preserve"> </w:t>
      </w:r>
      <w:r w:rsidRPr="009B55F8">
        <w:t>a pre-requisite of the model that treatment is either already taking place in a hospital or care home, or</w:t>
      </w:r>
      <w:r>
        <w:t xml:space="preserve"> </w:t>
      </w:r>
      <w:r w:rsidRPr="009B55F8">
        <w:t>that such treatment is necessary, and can be lawfully provided without compulsion and it is reasonably</w:t>
      </w:r>
      <w:r>
        <w:t xml:space="preserve"> </w:t>
      </w:r>
      <w:r w:rsidRPr="009B55F8">
        <w:t>believed that P needs to be deprived of liberty in her best interests. The importance of prior authorisation</w:t>
      </w:r>
      <w:r>
        <w:t xml:space="preserve"> </w:t>
      </w:r>
      <w:r w:rsidRPr="009B55F8">
        <w:t>was high-lighted by the Joint Committee on Human Rights</w:t>
      </w:r>
      <w:r w:rsidR="00886810">
        <w:rPr>
          <w:rStyle w:val="FootnoteReference"/>
        </w:rPr>
        <w:footnoteReference w:id="19"/>
      </w:r>
      <w:r w:rsidRPr="009B55F8">
        <w:t xml:space="preserve"> and by the court in </w:t>
      </w:r>
      <w:r w:rsidRPr="009B55F8">
        <w:rPr>
          <w:i/>
          <w:iCs/>
        </w:rPr>
        <w:t>Sunderland City Council</w:t>
      </w:r>
      <w:r>
        <w:rPr>
          <w:i/>
          <w:iCs/>
        </w:rPr>
        <w:t xml:space="preserve"> </w:t>
      </w:r>
      <w:r w:rsidRPr="009B55F8">
        <w:rPr>
          <w:i/>
          <w:iCs/>
        </w:rPr>
        <w:t>v PS and CA</w:t>
      </w:r>
      <w:r w:rsidR="00886810">
        <w:rPr>
          <w:rStyle w:val="FootnoteReference"/>
          <w:i/>
          <w:iCs/>
        </w:rPr>
        <w:footnoteReference w:id="20"/>
      </w:r>
      <w:r w:rsidRPr="009B55F8">
        <w:t xml:space="preserve"> as a requirement under article 5(1).</w:t>
      </w:r>
    </w:p>
    <w:p w:rsidR="009B55F8" w:rsidRPr="009B55F8" w:rsidRDefault="009B55F8" w:rsidP="009B55F8">
      <w:r w:rsidRPr="009B55F8">
        <w:t>Additionally, it is not clear by whom or how the registration procedure is to be triggered, or who carries</w:t>
      </w:r>
      <w:r>
        <w:t xml:space="preserve"> </w:t>
      </w:r>
      <w:r w:rsidRPr="009B55F8">
        <w:t>the obligation to trigger it. Someone is required to have addressed their minds to three pre requisites before</w:t>
      </w:r>
      <w:r>
        <w:t xml:space="preserve"> </w:t>
      </w:r>
      <w:r w:rsidRPr="009B55F8">
        <w:t>an approved clinician must examine P and be satisfied that the conditions for registration are met:</w:t>
      </w:r>
      <w:r>
        <w:t xml:space="preserve"> </w:t>
      </w:r>
      <w:r w:rsidRPr="009B55F8">
        <w:t>a) a reasonable belief as to lack of capacity, b) a need for long term residence or deprivation of liberty and</w:t>
      </w:r>
      <w:r>
        <w:t xml:space="preserve"> </w:t>
      </w:r>
      <w:r w:rsidRPr="009B55F8">
        <w:t>c) no need for any compulsion. Without more clarity in this procedure as to who bears this responsibility</w:t>
      </w:r>
      <w:r>
        <w:t xml:space="preserve"> </w:t>
      </w:r>
      <w:r w:rsidRPr="009B55F8">
        <w:t xml:space="preserve">there must be room for ‘professional lapses’ of the kind from which </w:t>
      </w:r>
      <w:r w:rsidRPr="009B55F8">
        <w:rPr>
          <w:i/>
          <w:iCs/>
        </w:rPr>
        <w:t xml:space="preserve">HL v UK </w:t>
      </w:r>
      <w:r w:rsidRPr="009B55F8">
        <w:t>intended to offer protection.</w:t>
      </w:r>
      <w:r w:rsidR="00886810">
        <w:rPr>
          <w:rStyle w:val="FootnoteReference"/>
        </w:rPr>
        <w:footnoteReference w:id="21"/>
      </w:r>
    </w:p>
    <w:p w:rsidR="00886810" w:rsidRPr="00886810" w:rsidRDefault="009B55F8" w:rsidP="00886810">
      <w:r w:rsidRPr="009B55F8">
        <w:t>The reality may well be that the approved clinician or care home manager will be the person to keep this</w:t>
      </w:r>
      <w:r>
        <w:t xml:space="preserve"> </w:t>
      </w:r>
      <w:r w:rsidRPr="009B55F8">
        <w:t>under review, but the obligation must surely be that of the managing authority who would otherwise be</w:t>
      </w:r>
      <w:r w:rsidR="00886810">
        <w:t xml:space="preserve"> </w:t>
      </w:r>
      <w:r w:rsidR="00886810" w:rsidRPr="00886810">
        <w:t>responsible for an unlawful detention. It is possible to envisage a situation where a patient could fall</w:t>
      </w:r>
      <w:r w:rsidR="00886810">
        <w:t xml:space="preserve"> </w:t>
      </w:r>
      <w:r w:rsidR="00886810" w:rsidRPr="00886810">
        <w:t xml:space="preserve">through the procedural net because there is no consensus between members of a </w:t>
      </w:r>
      <w:r w:rsidR="00886810" w:rsidRPr="00886810">
        <w:lastRenderedPageBreak/>
        <w:t>care or clinical team as</w:t>
      </w:r>
      <w:r w:rsidR="00886810">
        <w:t xml:space="preserve"> </w:t>
      </w:r>
      <w:r w:rsidR="00886810" w:rsidRPr="00886810">
        <w:t>to these pre conditions, or where a P who has been in long term care which commenced at a point in time</w:t>
      </w:r>
      <w:r w:rsidR="00886810">
        <w:t xml:space="preserve"> </w:t>
      </w:r>
      <w:r w:rsidR="00886810" w:rsidRPr="00886810">
        <w:t>when she was not incapacitated and had some restrictions voluntarily impose upon her because she was</w:t>
      </w:r>
      <w:r w:rsidR="00886810">
        <w:t xml:space="preserve"> </w:t>
      </w:r>
      <w:r w:rsidR="00886810" w:rsidRPr="00886810">
        <w:t>confined to her bed for a period of treatment, but which crossed the boundary into a deprivation of liberty</w:t>
      </w:r>
      <w:r w:rsidR="00886810">
        <w:t xml:space="preserve"> </w:t>
      </w:r>
      <w:r w:rsidR="00886810" w:rsidRPr="00886810">
        <w:t>with the worsening of a dementia or other similar illness. In such situations it would be left to a concerned</w:t>
      </w:r>
      <w:r w:rsidR="00886810">
        <w:t xml:space="preserve"> </w:t>
      </w:r>
      <w:r w:rsidR="00886810" w:rsidRPr="00886810">
        <w:t>family member or friend to intervene.</w:t>
      </w:r>
    </w:p>
    <w:p w:rsidR="00886810" w:rsidRDefault="00886810" w:rsidP="00886810">
      <w:r w:rsidRPr="00886810">
        <w:t>At this early stage the threshold for examination by an approved clinician must presumably be low. Even</w:t>
      </w:r>
      <w:r>
        <w:t xml:space="preserve"> </w:t>
      </w:r>
      <w:r w:rsidRPr="00886810">
        <w:t>so the concepts under consideration are complex, inevitably raising the spectre of error with the</w:t>
      </w:r>
      <w:r>
        <w:t xml:space="preserve"> </w:t>
      </w:r>
      <w:r w:rsidRPr="00886810">
        <w:t>consequence of patients remaining unlawfully detained for a period of time.</w:t>
      </w:r>
    </w:p>
    <w:p w:rsidR="00886810" w:rsidRPr="00886810" w:rsidRDefault="00886810" w:rsidP="00886810"/>
    <w:p w:rsidR="00886810" w:rsidRPr="00886810" w:rsidRDefault="00886810" w:rsidP="00886810">
      <w:pPr>
        <w:rPr>
          <w:b/>
          <w:bCs/>
          <w:sz w:val="24"/>
        </w:rPr>
      </w:pPr>
      <w:r w:rsidRPr="00886810">
        <w:rPr>
          <w:b/>
          <w:bCs/>
          <w:sz w:val="24"/>
        </w:rPr>
        <w:t>P objects</w:t>
      </w:r>
    </w:p>
    <w:p w:rsidR="00886810" w:rsidRDefault="00886810" w:rsidP="00886810">
      <w:r w:rsidRPr="00886810">
        <w:t>Assessing whether or not an incapacitated P objects, or is likely to object to treatment or care if she could,</w:t>
      </w:r>
      <w:r>
        <w:t xml:space="preserve"> </w:t>
      </w:r>
      <w:r w:rsidRPr="00886810">
        <w:t>is not likely always to be straightforward. Active resistance by a constant demand or attempt to leave a</w:t>
      </w:r>
      <w:r>
        <w:t xml:space="preserve"> </w:t>
      </w:r>
      <w:r w:rsidRPr="00886810">
        <w:t>place may be easy enough to evaluate. Less easy will be passive or inconsistently expressed resistance. The</w:t>
      </w:r>
      <w:r>
        <w:t xml:space="preserve"> </w:t>
      </w:r>
      <w:r w:rsidRPr="00886810">
        <w:t>default setting may well be to treat this patient as complying, but any treatment administered under the</w:t>
      </w:r>
      <w:r>
        <w:t xml:space="preserve"> </w:t>
      </w:r>
      <w:r w:rsidRPr="00886810">
        <w:t>general authority in clause 6 may not be lawful. The requirement to evaluate P’s objections, and the</w:t>
      </w:r>
      <w:r>
        <w:t xml:space="preserve"> </w:t>
      </w:r>
      <w:r w:rsidRPr="00886810">
        <w:t>difficulties that causes, arises under the MCA also when a decision is being made between treatment</w:t>
      </w:r>
      <w:r>
        <w:t xml:space="preserve"> </w:t>
      </w:r>
      <w:r w:rsidRPr="00886810">
        <w:t>under the MCA or the MHA. The test of ineligibility for the MCA under schedule 1A is notoriously</w:t>
      </w:r>
      <w:r>
        <w:t xml:space="preserve"> </w:t>
      </w:r>
      <w:r w:rsidRPr="00886810">
        <w:t>difficult to encapsulate briefly but it does necessitate an evaluation of whether the patient is objecting to</w:t>
      </w:r>
      <w:r>
        <w:t xml:space="preserve"> </w:t>
      </w:r>
      <w:r w:rsidRPr="00886810">
        <w:t>being a mental health patient or treatment. So if the patient is refusing to comply with treatment for</w:t>
      </w:r>
      <w:r>
        <w:t xml:space="preserve"> </w:t>
      </w:r>
      <w:r w:rsidRPr="00886810">
        <w:t>mental disorder then they may be detained and subject to compulsory treatment under the MHA if</w:t>
      </w:r>
      <w:r>
        <w:t xml:space="preserve"> </w:t>
      </w:r>
      <w:r w:rsidRPr="00886810">
        <w:t>necessary. More difficult might be a situation where there is a reason to believe that the person would</w:t>
      </w:r>
      <w:r>
        <w:t xml:space="preserve"> </w:t>
      </w:r>
      <w:r w:rsidRPr="00886810">
        <w:t>object if able to do so. The Addendum to the MCA Code of Practice says they must be treated as</w:t>
      </w:r>
      <w:r>
        <w:t xml:space="preserve"> </w:t>
      </w:r>
      <w:r w:rsidRPr="00886810">
        <w:t>objecting (paragraph 4.46). The Addendum highlights the difficulties under that Act when treatment is</w:t>
      </w:r>
      <w:r>
        <w:t xml:space="preserve"> </w:t>
      </w:r>
      <w:r w:rsidRPr="00886810">
        <w:t>for mental disorder, and particularly where a person is unable to communicate, or has limited</w:t>
      </w:r>
      <w:r>
        <w:t xml:space="preserve"> </w:t>
      </w:r>
      <w:r w:rsidRPr="00886810">
        <w:t>communication ability (chapter 4).</w:t>
      </w:r>
    </w:p>
    <w:p w:rsidR="00886810" w:rsidRPr="00886810" w:rsidRDefault="00886810" w:rsidP="00886810"/>
    <w:p w:rsidR="00886810" w:rsidRPr="00886810" w:rsidRDefault="00886810" w:rsidP="00886810">
      <w:pPr>
        <w:rPr>
          <w:b/>
          <w:bCs/>
          <w:sz w:val="24"/>
        </w:rPr>
      </w:pPr>
      <w:r w:rsidRPr="00886810">
        <w:rPr>
          <w:b/>
          <w:bCs/>
          <w:sz w:val="24"/>
        </w:rPr>
        <w:t>Deprivation of liberty</w:t>
      </w:r>
    </w:p>
    <w:p w:rsidR="00886810" w:rsidRPr="00886810" w:rsidRDefault="00886810" w:rsidP="00886810">
      <w:r w:rsidRPr="00886810">
        <w:t>Unlike the MCA the model statute defines “deprivation of liberty”. The MCA provides guidance in the</w:t>
      </w:r>
      <w:r>
        <w:t xml:space="preserve"> </w:t>
      </w:r>
      <w:r w:rsidRPr="00886810">
        <w:t>addendum Code of Practice. The model statute uses a simplified formulation: P is to be considered</w:t>
      </w:r>
      <w:r>
        <w:t xml:space="preserve"> </w:t>
      </w:r>
      <w:r w:rsidRPr="00886810">
        <w:t>deprived of his or her liberty if a) s/he would not be permitted to leave the hospital or care home upon</w:t>
      </w:r>
      <w:r>
        <w:t xml:space="preserve"> </w:t>
      </w:r>
      <w:r w:rsidRPr="00886810">
        <w:t xml:space="preserve">expressing a wish to do so or attempting to do so, </w:t>
      </w:r>
      <w:r w:rsidRPr="00886810">
        <w:rPr>
          <w:b/>
          <w:bCs/>
        </w:rPr>
        <w:t xml:space="preserve">or </w:t>
      </w:r>
      <w:r w:rsidRPr="00886810">
        <w:t>b) effective control is exercised over P’s care and his</w:t>
      </w:r>
      <w:r>
        <w:t xml:space="preserve"> </w:t>
      </w:r>
      <w:r w:rsidRPr="00886810">
        <w:t>or her freedom of movement is so confined as to amount to a deprivation of liberty (clause 18(2)).</w:t>
      </w:r>
    </w:p>
    <w:p w:rsidR="009B55F8" w:rsidRDefault="00886810" w:rsidP="00886810">
      <w:r w:rsidRPr="00886810">
        <w:t xml:space="preserve">This form of words is by now familiar from the cases of </w:t>
      </w:r>
      <w:r w:rsidRPr="00886810">
        <w:rPr>
          <w:i/>
          <w:iCs/>
        </w:rPr>
        <w:t xml:space="preserve">HL </w:t>
      </w:r>
      <w:r w:rsidRPr="00886810">
        <w:t xml:space="preserve">and </w:t>
      </w:r>
      <w:r w:rsidRPr="00886810">
        <w:rPr>
          <w:i/>
          <w:iCs/>
        </w:rPr>
        <w:t>JE v DE</w:t>
      </w:r>
      <w:r>
        <w:rPr>
          <w:rStyle w:val="FootnoteReference"/>
          <w:i/>
          <w:iCs/>
        </w:rPr>
        <w:footnoteReference w:id="22"/>
      </w:r>
      <w:r w:rsidRPr="00886810">
        <w:t>. The classic definition of an</w:t>
      </w:r>
      <w:r>
        <w:t xml:space="preserve"> </w:t>
      </w:r>
      <w:r w:rsidRPr="00886810">
        <w:t>article 5 deprivation of liberty in Strasbourg case law requires consideration of a range of factors which</w:t>
      </w:r>
      <w:r>
        <w:t xml:space="preserve"> </w:t>
      </w:r>
      <w:r w:rsidRPr="00886810">
        <w:t xml:space="preserve">are variable depending on the individual circumstances. This is the </w:t>
      </w:r>
      <w:proofErr w:type="spellStart"/>
      <w:r w:rsidRPr="00886810">
        <w:t>well known</w:t>
      </w:r>
      <w:proofErr w:type="spellEnd"/>
      <w:r w:rsidRPr="00886810">
        <w:t xml:space="preserve"> </w:t>
      </w:r>
      <w:proofErr w:type="spellStart"/>
      <w:r w:rsidRPr="00886810">
        <w:rPr>
          <w:i/>
          <w:iCs/>
        </w:rPr>
        <w:lastRenderedPageBreak/>
        <w:t>Guzzardi</w:t>
      </w:r>
      <w:proofErr w:type="spellEnd"/>
      <w:r w:rsidRPr="00886810">
        <w:rPr>
          <w:i/>
          <w:iCs/>
        </w:rPr>
        <w:t>/</w:t>
      </w:r>
      <w:proofErr w:type="spellStart"/>
      <w:r w:rsidRPr="00886810">
        <w:rPr>
          <w:i/>
          <w:iCs/>
        </w:rPr>
        <w:t>Ashingdane</w:t>
      </w:r>
      <w:proofErr w:type="spellEnd"/>
      <w:r>
        <w:rPr>
          <w:rStyle w:val="FootnoteReference"/>
          <w:i/>
          <w:iCs/>
        </w:rPr>
        <w:footnoteReference w:id="23"/>
      </w:r>
      <w:r>
        <w:t xml:space="preserve"> </w:t>
      </w:r>
      <w:r w:rsidRPr="00886810">
        <w:t>formulation which considers the concrete situation of the individual, taking account of the type,</w:t>
      </w:r>
      <w:r>
        <w:t xml:space="preserve"> </w:t>
      </w:r>
      <w:r w:rsidRPr="00886810">
        <w:t>duration, effects and manner of implementation of the measure in question.</w:t>
      </w:r>
    </w:p>
    <w:p w:rsidR="00886810" w:rsidRPr="00886810" w:rsidRDefault="00886810" w:rsidP="00886810">
      <w:r w:rsidRPr="00886810">
        <w:t>The inclusion of a definition accepts criticisms made of the MCA amendments by the Parliamentary Joint</w:t>
      </w:r>
      <w:r>
        <w:t xml:space="preserve"> </w:t>
      </w:r>
      <w:r w:rsidRPr="00886810">
        <w:t>Committee on Human Rights (‘JCHR’) and others (particularly JUSTICE)</w:t>
      </w:r>
      <w:r w:rsidR="00BB5A8B">
        <w:rPr>
          <w:rStyle w:val="FootnoteReference"/>
        </w:rPr>
        <w:footnoteReference w:id="24"/>
      </w:r>
      <w:r w:rsidRPr="00886810">
        <w:t xml:space="preserve"> on the grounds that</w:t>
      </w:r>
      <w:r>
        <w:t xml:space="preserve"> </w:t>
      </w:r>
      <w:r w:rsidRPr="00886810">
        <w:t>deprivation of liberty is a less flexible and elusive concept than the government insisted. They argued that</w:t>
      </w:r>
      <w:r>
        <w:t xml:space="preserve"> </w:t>
      </w:r>
      <w:r w:rsidRPr="00886810">
        <w:t>reliance on the Code of Practice was inadequate because it may be departed from for good reason.</w:t>
      </w:r>
      <w:r>
        <w:t xml:space="preserve"> </w:t>
      </w:r>
      <w:r w:rsidRPr="00886810">
        <w:t>Further, a lack of certainty is a double edged sword promoting the twin dangers of over inclusion and over</w:t>
      </w:r>
      <w:r>
        <w:t xml:space="preserve"> </w:t>
      </w:r>
      <w:r w:rsidRPr="00886810">
        <w:t>exclusion. Certainty protects fundamental rights and there is a costs and time saving benefit if protracted</w:t>
      </w:r>
      <w:r>
        <w:t xml:space="preserve"> </w:t>
      </w:r>
      <w:r w:rsidRPr="00886810">
        <w:t>argument is avoided over what the case law means. The JCHR specifically endorsed the approach taken</w:t>
      </w:r>
      <w:r>
        <w:t xml:space="preserve"> </w:t>
      </w:r>
      <w:r w:rsidRPr="00886810">
        <w:t xml:space="preserve">by </w:t>
      </w:r>
      <w:proofErr w:type="spellStart"/>
      <w:r w:rsidRPr="00886810">
        <w:t>Munby</w:t>
      </w:r>
      <w:proofErr w:type="spellEnd"/>
      <w:r w:rsidRPr="00886810">
        <w:t xml:space="preserve"> J in </w:t>
      </w:r>
      <w:r w:rsidRPr="00886810">
        <w:rPr>
          <w:i/>
          <w:iCs/>
        </w:rPr>
        <w:t xml:space="preserve">JE </w:t>
      </w:r>
      <w:r w:rsidRPr="00886810">
        <w:t>(above) where he held that the crucial issue is whether or not the person is “free to</w:t>
      </w:r>
      <w:r>
        <w:t xml:space="preserve"> </w:t>
      </w:r>
      <w:r w:rsidRPr="00886810">
        <w:t>leave”.</w:t>
      </w:r>
    </w:p>
    <w:p w:rsidR="00886810" w:rsidRPr="00886810" w:rsidRDefault="00886810" w:rsidP="00886810">
      <w:r w:rsidRPr="00886810">
        <w:t>This is a simple concept to apply and likely to identify a true deprivation of liberty with little exception.</w:t>
      </w:r>
      <w:r>
        <w:t xml:space="preserve"> </w:t>
      </w:r>
      <w:r w:rsidRPr="00886810">
        <w:t>It is not clear what the second limb at clause 18 (2) (b) in the model statue adds to this save for offering</w:t>
      </w:r>
      <w:r>
        <w:t xml:space="preserve"> </w:t>
      </w:r>
      <w:r w:rsidRPr="00886810">
        <w:t>an alternative test which does not depend upon whether a person is free to leave or not. This addition</w:t>
      </w:r>
      <w:r>
        <w:t xml:space="preserve"> </w:t>
      </w:r>
      <w:r w:rsidRPr="00886810">
        <w:t xml:space="preserve">may be </w:t>
      </w:r>
      <w:proofErr w:type="spellStart"/>
      <w:r w:rsidRPr="00886810">
        <w:t>tautologous</w:t>
      </w:r>
      <w:proofErr w:type="spellEnd"/>
      <w:r w:rsidRPr="00886810">
        <w:t xml:space="preserve"> and even circular, leading to confusion especially because this limb is also defined by</w:t>
      </w:r>
      <w:r>
        <w:t xml:space="preserve"> </w:t>
      </w:r>
      <w:r w:rsidRPr="00886810">
        <w:t>reference to a deprivation of liberty.</w:t>
      </w:r>
    </w:p>
    <w:p w:rsidR="00886810" w:rsidRPr="00886810" w:rsidRDefault="00886810" w:rsidP="00886810">
      <w:r w:rsidRPr="00886810">
        <w:t xml:space="preserve">Although the facts of </w:t>
      </w:r>
      <w:r w:rsidRPr="00886810">
        <w:rPr>
          <w:i/>
          <w:iCs/>
        </w:rPr>
        <w:t xml:space="preserve">JE </w:t>
      </w:r>
      <w:r w:rsidRPr="00886810">
        <w:t xml:space="preserve">and </w:t>
      </w:r>
      <w:r w:rsidRPr="00886810">
        <w:rPr>
          <w:i/>
          <w:iCs/>
        </w:rPr>
        <w:t xml:space="preserve">HL </w:t>
      </w:r>
      <w:r w:rsidRPr="00886810">
        <w:t>are quite different, neither was free to leave. HL was compliant and not</w:t>
      </w:r>
      <w:r>
        <w:t xml:space="preserve"> </w:t>
      </w:r>
      <w:r w:rsidRPr="00886810">
        <w:t>asking to leave, yet he would have been prevented from leaving and detained under MHA criteria. But</w:t>
      </w:r>
      <w:r>
        <w:t xml:space="preserve"> </w:t>
      </w:r>
      <w:r w:rsidRPr="00886810">
        <w:t xml:space="preserve">for his compliance he was potentially </w:t>
      </w:r>
      <w:proofErr w:type="spellStart"/>
      <w:r w:rsidRPr="00886810">
        <w:t>sectionable</w:t>
      </w:r>
      <w:proofErr w:type="spellEnd"/>
      <w:r w:rsidRPr="00886810">
        <w:t>. Under schedule 1A MCA criteria, HL would be within</w:t>
      </w:r>
      <w:r>
        <w:t xml:space="preserve"> </w:t>
      </w:r>
      <w:r w:rsidRPr="00886810">
        <w:t>the scope of the MHA (he was eventually sectioned), but he would have been still capable of being</w:t>
      </w:r>
      <w:r>
        <w:t xml:space="preserve"> </w:t>
      </w:r>
      <w:r w:rsidRPr="00886810">
        <w:t>subject to MCA DOL safeguards because of his lack of objection (compliance).</w:t>
      </w:r>
      <w:r w:rsidR="00BB5A8B">
        <w:rPr>
          <w:rStyle w:val="FootnoteReference"/>
        </w:rPr>
        <w:footnoteReference w:id="25"/>
      </w:r>
      <w:r w:rsidRPr="00886810">
        <w:t xml:space="preserve"> He would remain in the</w:t>
      </w:r>
      <w:r>
        <w:t xml:space="preserve"> </w:t>
      </w:r>
      <w:r w:rsidRPr="00886810">
        <w:t>same situation under the model statute, and so subject to DOL registration while in hospital. If his</w:t>
      </w:r>
      <w:r>
        <w:t xml:space="preserve"> </w:t>
      </w:r>
      <w:r w:rsidRPr="00886810">
        <w:t>compliance with treatment had been in doubt, or his history of compliance poor or he had been asking</w:t>
      </w:r>
      <w:r>
        <w:t xml:space="preserve"> </w:t>
      </w:r>
      <w:r w:rsidRPr="00886810">
        <w:t xml:space="preserve">or trying to go home, the clinician in charge would have no choice but to apply the </w:t>
      </w:r>
      <w:proofErr w:type="gramStart"/>
      <w:r w:rsidRPr="00886810">
        <w:t>MHA .</w:t>
      </w:r>
      <w:proofErr w:type="gramEnd"/>
      <w:r w:rsidRPr="00886810">
        <w:t xml:space="preserve"> Under the</w:t>
      </w:r>
      <w:r>
        <w:t xml:space="preserve"> </w:t>
      </w:r>
      <w:r w:rsidRPr="00886810">
        <w:t>model statute the choice to be made is based on a unified set of criteria extended to take account of the</w:t>
      </w:r>
      <w:r>
        <w:t xml:space="preserve"> </w:t>
      </w:r>
      <w:r w:rsidRPr="00886810">
        <w:t>issues of compliance and proportionality.</w:t>
      </w:r>
    </w:p>
    <w:p w:rsidR="00886810" w:rsidRPr="00886810" w:rsidRDefault="00886810" w:rsidP="00886810">
      <w:r w:rsidRPr="00886810">
        <w:t xml:space="preserve">In </w:t>
      </w:r>
      <w:r w:rsidRPr="00886810">
        <w:rPr>
          <w:i/>
          <w:iCs/>
        </w:rPr>
        <w:t>JE</w:t>
      </w:r>
      <w:r w:rsidRPr="00886810">
        <w:t>, DE was repeatedly asking to go home but was not permitted to do so. If he had been compliant as</w:t>
      </w:r>
      <w:r>
        <w:t xml:space="preserve"> </w:t>
      </w:r>
      <w:r w:rsidRPr="00886810">
        <w:t>HL was, then if he would have been prevented from leaving, or from being removed by family, then he</w:t>
      </w:r>
      <w:r>
        <w:t xml:space="preserve"> </w:t>
      </w:r>
      <w:r w:rsidRPr="00886810">
        <w:t>would not be free to leave and need DOL safeguards. He was in a care home and so not detainable under</w:t>
      </w:r>
      <w:r>
        <w:t xml:space="preserve"> </w:t>
      </w:r>
      <w:r w:rsidRPr="00886810">
        <w:t>the MHA. The model statute applies to both treatment and care in a hospital or a care home and so does</w:t>
      </w:r>
      <w:r>
        <w:t xml:space="preserve"> </w:t>
      </w:r>
      <w:r w:rsidRPr="00886810">
        <w:t>not suffer this distinction which under current legislation has the potential to produce arbitrary and</w:t>
      </w:r>
      <w:r>
        <w:t xml:space="preserve"> </w:t>
      </w:r>
      <w:r w:rsidRPr="00886810">
        <w:t>discriminatory results with regard to charges applied for after care.</w:t>
      </w:r>
      <w:r w:rsidR="00BB5A8B">
        <w:rPr>
          <w:rStyle w:val="FootnoteReference"/>
        </w:rPr>
        <w:footnoteReference w:id="26"/>
      </w:r>
    </w:p>
    <w:p w:rsidR="00886810" w:rsidRDefault="00886810" w:rsidP="00886810">
      <w:r w:rsidRPr="00886810">
        <w:t>An attractive feature of a fused model would be that if DE was DOL registered in the care home but</w:t>
      </w:r>
      <w:r>
        <w:t xml:space="preserve"> </w:t>
      </w:r>
      <w:r w:rsidRPr="00886810">
        <w:t>needed compulsory treatment for mental disorder, then that should be achievable without a change in</w:t>
      </w:r>
      <w:r>
        <w:t xml:space="preserve"> </w:t>
      </w:r>
      <w:r w:rsidRPr="00886810">
        <w:t>registration and by the extension of existing procedures. Again the unified set of criteria would assist in</w:t>
      </w:r>
      <w:r>
        <w:t xml:space="preserve"> </w:t>
      </w:r>
      <w:r w:rsidRPr="00886810">
        <w:t>streamlining this transition. A less attractive and new feature, however, would be that compulsory</w:t>
      </w:r>
      <w:r>
        <w:t xml:space="preserve"> </w:t>
      </w:r>
      <w:r w:rsidRPr="00886810">
        <w:t>treatment could be employed for conditions other than mental disorder. For example, an incapacitated</w:t>
      </w:r>
      <w:r>
        <w:t xml:space="preserve"> </w:t>
      </w:r>
      <w:r w:rsidRPr="00886810">
        <w:t xml:space="preserve">diabetic patient may well refuse insulin, necessitating frequent restraint for its </w:t>
      </w:r>
      <w:r w:rsidRPr="00886810">
        <w:lastRenderedPageBreak/>
        <w:t>administration. Under the</w:t>
      </w:r>
      <w:r>
        <w:t xml:space="preserve"> </w:t>
      </w:r>
      <w:proofErr w:type="spellStart"/>
      <w:r w:rsidRPr="00886810">
        <w:t>Szmukler</w:t>
      </w:r>
      <w:proofErr w:type="spellEnd"/>
      <w:r w:rsidRPr="00886810">
        <w:t xml:space="preserve"> scheme a question arises as to whether this is achievable under the general authority or if it</w:t>
      </w:r>
      <w:r>
        <w:t xml:space="preserve"> </w:t>
      </w:r>
      <w:r w:rsidRPr="00886810">
        <w:t>should be authorised as compulsory treatment?</w:t>
      </w:r>
    </w:p>
    <w:p w:rsidR="00BB5A8B" w:rsidRDefault="00BB5A8B" w:rsidP="00BB5A8B">
      <w:r w:rsidRPr="00BB5A8B">
        <w:rPr>
          <w:i/>
          <w:iCs/>
        </w:rPr>
        <w:t>HM v Switzerland</w:t>
      </w:r>
      <w:r>
        <w:rPr>
          <w:rStyle w:val="FootnoteReference"/>
          <w:i/>
          <w:iCs/>
        </w:rPr>
        <w:footnoteReference w:id="27"/>
      </w:r>
      <w:r w:rsidRPr="00BB5A8B">
        <w:t xml:space="preserve"> is the case the government is fond of utilising in favour of an argument not found in</w:t>
      </w:r>
      <w:r>
        <w:t xml:space="preserve"> </w:t>
      </w:r>
      <w:r w:rsidRPr="00BB5A8B">
        <w:t>other Strasbourg cases namely that an apparent deprivation of liberty in a person’s best interests may in</w:t>
      </w:r>
      <w:r>
        <w:t xml:space="preserve"> </w:t>
      </w:r>
      <w:r w:rsidRPr="00BB5A8B">
        <w:t>fact be no more than a restriction of liberty.</w:t>
      </w:r>
      <w:r>
        <w:rPr>
          <w:rStyle w:val="FootnoteReference"/>
        </w:rPr>
        <w:footnoteReference w:id="28"/>
      </w:r>
      <w:r w:rsidRPr="00BB5A8B">
        <w:t xml:space="preserve"> In that case HM was found not to be deprived of her liberty.</w:t>
      </w:r>
      <w:r>
        <w:t xml:space="preserve"> </w:t>
      </w:r>
      <w:r w:rsidRPr="00BB5A8B">
        <w:t xml:space="preserve">This argument was firmly dealt with by </w:t>
      </w:r>
      <w:proofErr w:type="spellStart"/>
      <w:r w:rsidRPr="00BB5A8B">
        <w:t>Munby</w:t>
      </w:r>
      <w:proofErr w:type="spellEnd"/>
      <w:r w:rsidRPr="00BB5A8B">
        <w:t xml:space="preserve"> J in </w:t>
      </w:r>
      <w:r w:rsidRPr="00BB5A8B">
        <w:rPr>
          <w:i/>
          <w:iCs/>
        </w:rPr>
        <w:t xml:space="preserve">JE </w:t>
      </w:r>
      <w:r w:rsidRPr="00BB5A8B">
        <w:t>when he said it “would seem to lead to the absurd</w:t>
      </w:r>
      <w:r>
        <w:t xml:space="preserve"> </w:t>
      </w:r>
      <w:r w:rsidRPr="00BB5A8B">
        <w:t>conclusion that a lunatic locked up indefinitely for his own good is not being deprived of his liberty. And</w:t>
      </w:r>
      <w:r>
        <w:t xml:space="preserve"> </w:t>
      </w:r>
      <w:r w:rsidRPr="00BB5A8B">
        <w:t>if beneficent purpose cannot deprive what is manifestly a deprivation of liberty of its character as such,</w:t>
      </w:r>
      <w:r>
        <w:t xml:space="preserve"> </w:t>
      </w:r>
      <w:r w:rsidRPr="00BB5A8B">
        <w:t>why should beneficent purpose be of assistance in determining whether some more marginal state of</w:t>
      </w:r>
      <w:r>
        <w:t xml:space="preserve"> </w:t>
      </w:r>
      <w:r w:rsidRPr="00BB5A8B">
        <w:t>affairs does or does not amount to a deprivation of liberty?”</w:t>
      </w:r>
      <w:r>
        <w:rPr>
          <w:rStyle w:val="FootnoteReference"/>
        </w:rPr>
        <w:footnoteReference w:id="29"/>
      </w:r>
      <w:r w:rsidRPr="00BB5A8B">
        <w:t xml:space="preserve"> The House of Lords recently revisited this</w:t>
      </w:r>
      <w:r>
        <w:t xml:space="preserve"> </w:t>
      </w:r>
      <w:r w:rsidRPr="00BB5A8B">
        <w:t xml:space="preserve">argument, this time in the context of crowd control at a May Day rally in central London </w:t>
      </w:r>
      <w:r w:rsidRPr="00BB5A8B">
        <w:rPr>
          <w:i/>
          <w:iCs/>
        </w:rPr>
        <w:t>(Austin v</w:t>
      </w:r>
      <w:r>
        <w:rPr>
          <w:i/>
          <w:iCs/>
        </w:rPr>
        <w:t xml:space="preserve"> </w:t>
      </w:r>
      <w:r w:rsidRPr="00BB5A8B">
        <w:rPr>
          <w:i/>
          <w:iCs/>
        </w:rPr>
        <w:t>Commissioner of Police of the Metropolis)</w:t>
      </w:r>
      <w:r>
        <w:rPr>
          <w:rStyle w:val="FootnoteReference"/>
          <w:i/>
          <w:iCs/>
        </w:rPr>
        <w:footnoteReference w:id="30"/>
      </w:r>
      <w:r w:rsidRPr="00BB5A8B">
        <w:t>. Their Lordships decided that article 5 was not engaged at all</w:t>
      </w:r>
      <w:r>
        <w:t xml:space="preserve"> </w:t>
      </w:r>
      <w:r w:rsidRPr="00BB5A8B">
        <w:t>because the detention (now known as ‘</w:t>
      </w:r>
      <w:proofErr w:type="spellStart"/>
      <w:r w:rsidRPr="00BB5A8B">
        <w:t>kettling</w:t>
      </w:r>
      <w:proofErr w:type="spellEnd"/>
      <w:r w:rsidRPr="00BB5A8B">
        <w:t>’) of the crowd was in their collective best interests and</w:t>
      </w:r>
      <w:r>
        <w:t xml:space="preserve"> </w:t>
      </w:r>
      <w:r w:rsidRPr="00BB5A8B">
        <w:t xml:space="preserve">the police were acting in good faith. The logical inconsistency highlighted by </w:t>
      </w:r>
      <w:proofErr w:type="spellStart"/>
      <w:r w:rsidRPr="00BB5A8B">
        <w:t>Munby</w:t>
      </w:r>
      <w:proofErr w:type="spellEnd"/>
      <w:r w:rsidRPr="00BB5A8B">
        <w:t xml:space="preserve"> J (above) is</w:t>
      </w:r>
      <w:r>
        <w:t xml:space="preserve"> </w:t>
      </w:r>
      <w:r w:rsidRPr="00BB5A8B">
        <w:t>abundant in this approach which arouses questions regarding the need for any mental health legislation</w:t>
      </w:r>
      <w:r>
        <w:t xml:space="preserve"> </w:t>
      </w:r>
      <w:r w:rsidRPr="00BB5A8B">
        <w:t>or DOL safeguards whatsoever.</w:t>
      </w:r>
      <w:r>
        <w:rPr>
          <w:rStyle w:val="FootnoteReference"/>
        </w:rPr>
        <w:footnoteReference w:id="31"/>
      </w:r>
      <w:r w:rsidRPr="00BB5A8B">
        <w:t xml:space="preserve"> A petition in </w:t>
      </w:r>
      <w:r w:rsidRPr="00BB5A8B">
        <w:rPr>
          <w:i/>
          <w:iCs/>
        </w:rPr>
        <w:t xml:space="preserve">Austin </w:t>
      </w:r>
      <w:r w:rsidRPr="00BB5A8B">
        <w:t xml:space="preserve">has been lodged with the </w:t>
      </w:r>
      <w:proofErr w:type="spellStart"/>
      <w:r w:rsidRPr="00BB5A8B">
        <w:t>ECtHR</w:t>
      </w:r>
      <w:proofErr w:type="spellEnd"/>
      <w:r>
        <w:rPr>
          <w:rStyle w:val="FootnoteReference"/>
        </w:rPr>
        <w:footnoteReference w:id="32"/>
      </w:r>
      <w:r w:rsidRPr="00BB5A8B">
        <w:t xml:space="preserve"> and one can</w:t>
      </w:r>
      <w:r>
        <w:t xml:space="preserve"> </w:t>
      </w:r>
      <w:r w:rsidRPr="00BB5A8B">
        <w:t>only hope that the court will re-establish some clarity around this definition.</w:t>
      </w:r>
    </w:p>
    <w:p w:rsidR="00BB5A8B" w:rsidRPr="00BB5A8B" w:rsidRDefault="00BB5A8B" w:rsidP="00BB5A8B"/>
    <w:p w:rsidR="00BB5A8B" w:rsidRPr="00BB5A8B" w:rsidRDefault="00BB5A8B" w:rsidP="00BB5A8B">
      <w:pPr>
        <w:rPr>
          <w:b/>
          <w:bCs/>
          <w:sz w:val="24"/>
        </w:rPr>
      </w:pPr>
      <w:r w:rsidRPr="00BB5A8B">
        <w:rPr>
          <w:b/>
          <w:bCs/>
          <w:sz w:val="24"/>
        </w:rPr>
        <w:t>Treatment safeguards</w:t>
      </w:r>
    </w:p>
    <w:p w:rsidR="00BB5A8B" w:rsidRPr="00BB5A8B" w:rsidRDefault="00BB5A8B" w:rsidP="00BB5A8B">
      <w:r w:rsidRPr="00BB5A8B">
        <w:t>Although not required by the ECHR, a continuing disappointment with the MCA is that there are no</w:t>
      </w:r>
      <w:r>
        <w:t xml:space="preserve"> </w:t>
      </w:r>
      <w:r w:rsidRPr="00BB5A8B">
        <w:t>treatment safeguards by way of supervision and review of treatment of serious one-off or ongoing</w:t>
      </w:r>
      <w:r>
        <w:t xml:space="preserve"> </w:t>
      </w:r>
      <w:r w:rsidRPr="00BB5A8B">
        <w:t>treatments, for those incapacitated patients complying with treatment. The MCA relies on the protective</w:t>
      </w:r>
      <w:r>
        <w:t xml:space="preserve"> </w:t>
      </w:r>
      <w:r w:rsidRPr="00BB5A8B">
        <w:t>effect of consultation with family and friends, or in their absence an IMCA to cover this deficit. There</w:t>
      </w:r>
      <w:r>
        <w:t xml:space="preserve"> </w:t>
      </w:r>
      <w:r w:rsidRPr="00BB5A8B">
        <w:t>are no checks on serious medical treatment such as ECT also, or the long term use of psychotropic</w:t>
      </w:r>
      <w:r>
        <w:t xml:space="preserve"> </w:t>
      </w:r>
      <w:r w:rsidRPr="00BB5A8B">
        <w:t>medication for mental illness which may be authorised under section 5 MCA.</w:t>
      </w:r>
    </w:p>
    <w:p w:rsidR="00BB5A8B" w:rsidRDefault="00BB5A8B" w:rsidP="00BB5A8B">
      <w:r w:rsidRPr="00BB5A8B">
        <w:t>The model statute provides specific safeguards for serious medical treatment (including ECT, medication</w:t>
      </w:r>
      <w:r>
        <w:t xml:space="preserve"> </w:t>
      </w:r>
      <w:r w:rsidRPr="00BB5A8B">
        <w:t>for mental disorder beyond a three month period and other treatments to be defined by regulation) (part</w:t>
      </w:r>
      <w:r>
        <w:t xml:space="preserve"> </w:t>
      </w:r>
      <w:r w:rsidRPr="00BB5A8B">
        <w:t>III) which broadly accord with those developed under part IV of the MHA. The provisions apply to every</w:t>
      </w:r>
      <w:r>
        <w:t xml:space="preserve"> </w:t>
      </w:r>
      <w:r w:rsidRPr="00BB5A8B">
        <w:t>person receiving care or treatment under the Act or receiving treatment authorised by a substitute</w:t>
      </w:r>
      <w:r>
        <w:t xml:space="preserve"> </w:t>
      </w:r>
      <w:r w:rsidRPr="00BB5A8B">
        <w:t>decision maker or tribunal. The safeguards therefore apply not only to those who are DOL registered or</w:t>
      </w:r>
      <w:r>
        <w:t xml:space="preserve"> </w:t>
      </w:r>
      <w:r w:rsidRPr="00BB5A8B">
        <w:t>subject to compulsion, but also to patients in long term care or being treated under the general authority.</w:t>
      </w:r>
      <w:r>
        <w:t xml:space="preserve"> </w:t>
      </w:r>
      <w:r w:rsidRPr="00BB5A8B">
        <w:t>They consist of consultation with P where practicable, the primary carer, the substitute decision maker</w:t>
      </w:r>
      <w:r>
        <w:t xml:space="preserve"> </w:t>
      </w:r>
      <w:r w:rsidRPr="00BB5A8B">
        <w:t>or, where there is none, a suitable person appointed by the tribunal. In the event of disagreement, an</w:t>
      </w:r>
      <w:r>
        <w:t xml:space="preserve"> </w:t>
      </w:r>
      <w:r w:rsidRPr="00BB5A8B">
        <w:t>approved doctor is to provide a second opinion, and may be instructed in any event where serious</w:t>
      </w:r>
      <w:r>
        <w:t xml:space="preserve"> </w:t>
      </w:r>
      <w:r w:rsidRPr="00BB5A8B">
        <w:t xml:space="preserve">treatment is proposed by the primary carer, the </w:t>
      </w:r>
      <w:r w:rsidRPr="00BB5A8B">
        <w:lastRenderedPageBreak/>
        <w:t>substitute decision maker or an advocate. Persistent</w:t>
      </w:r>
      <w:r>
        <w:t xml:space="preserve"> </w:t>
      </w:r>
      <w:r w:rsidRPr="00BB5A8B">
        <w:t>disagreement will be referred to the tribunal for a determination (clause 10(3)). MHA safeguards appear</w:t>
      </w:r>
      <w:r>
        <w:t xml:space="preserve"> </w:t>
      </w:r>
      <w:r w:rsidRPr="00BB5A8B">
        <w:t>to go further for those lacking capacity to consent if medication is to be administered beyond three</w:t>
      </w:r>
      <w:r>
        <w:t xml:space="preserve"> </w:t>
      </w:r>
      <w:r w:rsidRPr="00BB5A8B">
        <w:t>months: the second opinion doctor must consult with two people who have been concerned with the</w:t>
      </w:r>
      <w:r>
        <w:t xml:space="preserve"> </w:t>
      </w:r>
      <w:r w:rsidRPr="00BB5A8B">
        <w:t>patient’s medical treatment before issuing a certificate (section 58(4) MHA).</w:t>
      </w:r>
    </w:p>
    <w:p w:rsidR="00BB5A8B" w:rsidRPr="00BB5A8B" w:rsidRDefault="00BB5A8B" w:rsidP="00BB5A8B">
      <w:r w:rsidRPr="00BB5A8B">
        <w:t>The test to be applied by the second opinion doctor or tribunal is not set out in the model statute but</w:t>
      </w:r>
      <w:r>
        <w:t xml:space="preserve"> </w:t>
      </w:r>
      <w:r w:rsidRPr="00BB5A8B">
        <w:t>must by default be the best interests of the person as a general requirement of the statute. This is probably</w:t>
      </w:r>
      <w:r>
        <w:t xml:space="preserve"> </w:t>
      </w:r>
      <w:r w:rsidRPr="00BB5A8B">
        <w:t>sufficient within article 8 ECHR and the requirement for a “procedure prescribed by law”. Under the</w:t>
      </w:r>
      <w:r>
        <w:t xml:space="preserve"> </w:t>
      </w:r>
      <w:r w:rsidRPr="00BB5A8B">
        <w:t xml:space="preserve">proposals for informal </w:t>
      </w:r>
      <w:proofErr w:type="gramStart"/>
      <w:r w:rsidRPr="00BB5A8B">
        <w:t>patients</w:t>
      </w:r>
      <w:proofErr w:type="gramEnd"/>
      <w:r w:rsidRPr="00BB5A8B">
        <w:t xml:space="preserve"> compulsion will not be an issue, but proper understanding of the P’s level</w:t>
      </w:r>
      <w:r>
        <w:t xml:space="preserve"> </w:t>
      </w:r>
      <w:r w:rsidRPr="00BB5A8B">
        <w:t>of understanding when offering compliance would be, so that P is not mistakenly treated against her will.</w:t>
      </w:r>
      <w:r>
        <w:t xml:space="preserve"> </w:t>
      </w:r>
      <w:r w:rsidRPr="00BB5A8B">
        <w:t>This brings one back to the issue of assessing what passivity amounts to in the context of an objection</w:t>
      </w:r>
      <w:r>
        <w:t xml:space="preserve"> </w:t>
      </w:r>
      <w:r w:rsidRPr="00BB5A8B">
        <w:t>(see above). A beneficial extra precaution would be for the second opinion to re assess the patient’s</w:t>
      </w:r>
      <w:r>
        <w:t xml:space="preserve"> </w:t>
      </w:r>
      <w:r w:rsidRPr="00BB5A8B">
        <w:t>capacity to consent to the proposed treatment. But a difficulty with the provisions as currently drafted is</w:t>
      </w:r>
      <w:r>
        <w:t xml:space="preserve"> </w:t>
      </w:r>
      <w:r w:rsidRPr="00BB5A8B">
        <w:t>that there will only be a second opinion in the event of a disagreement with a carer or similar person. In</w:t>
      </w:r>
      <w:r>
        <w:t xml:space="preserve"> </w:t>
      </w:r>
      <w:r w:rsidRPr="00BB5A8B">
        <w:t>this regard the MHA safeguards in section 58 appear much stronger for a compliant incapacitated</w:t>
      </w:r>
      <w:r>
        <w:t xml:space="preserve"> </w:t>
      </w:r>
      <w:r w:rsidRPr="00BB5A8B">
        <w:t>patient.</w:t>
      </w:r>
      <w:r>
        <w:rPr>
          <w:rStyle w:val="FootnoteReference"/>
        </w:rPr>
        <w:footnoteReference w:id="33"/>
      </w:r>
    </w:p>
    <w:p w:rsidR="00BB5A8B" w:rsidRDefault="00BB5A8B" w:rsidP="00BB5A8B">
      <w:r w:rsidRPr="00BB5A8B">
        <w:t xml:space="preserve">The decision in </w:t>
      </w:r>
      <w:proofErr w:type="spellStart"/>
      <w:r w:rsidRPr="00BB5A8B">
        <w:rPr>
          <w:i/>
          <w:iCs/>
        </w:rPr>
        <w:t>Storck</w:t>
      </w:r>
      <w:proofErr w:type="spellEnd"/>
      <w:r w:rsidRPr="00BB5A8B">
        <w:rPr>
          <w:i/>
          <w:iCs/>
        </w:rPr>
        <w:t xml:space="preserve"> v Germany</w:t>
      </w:r>
      <w:r>
        <w:rPr>
          <w:rStyle w:val="FootnoteReference"/>
          <w:i/>
          <w:iCs/>
        </w:rPr>
        <w:footnoteReference w:id="34"/>
      </w:r>
      <w:r w:rsidRPr="00BB5A8B">
        <w:t xml:space="preserve"> emphasising the State’s positive obligation to protect physical</w:t>
      </w:r>
      <w:r>
        <w:t xml:space="preserve"> </w:t>
      </w:r>
      <w:r w:rsidRPr="00BB5A8B">
        <w:t>integrity under article 8 requires remedies that are prospective and not just retrospective. The model</w:t>
      </w:r>
      <w:r>
        <w:t xml:space="preserve"> </w:t>
      </w:r>
      <w:r w:rsidRPr="00BB5A8B">
        <w:t>statute’s provision of access to a tribunal probably takes account of that requirement.</w:t>
      </w:r>
    </w:p>
    <w:p w:rsidR="00BB5A8B" w:rsidRPr="00BB5A8B" w:rsidRDefault="00BB5A8B" w:rsidP="00BB5A8B">
      <w:bookmarkStart w:id="0" w:name="_GoBack"/>
      <w:bookmarkEnd w:id="0"/>
    </w:p>
    <w:p w:rsidR="00BB5A8B" w:rsidRPr="00BB5A8B" w:rsidRDefault="00BB5A8B" w:rsidP="00BB5A8B">
      <w:pPr>
        <w:rPr>
          <w:b/>
          <w:bCs/>
          <w:sz w:val="24"/>
        </w:rPr>
      </w:pPr>
      <w:r w:rsidRPr="00BB5A8B">
        <w:rPr>
          <w:b/>
          <w:bCs/>
          <w:sz w:val="24"/>
        </w:rPr>
        <w:t>Discussion</w:t>
      </w:r>
    </w:p>
    <w:p w:rsidR="00BB5A8B" w:rsidRPr="00BB5A8B" w:rsidRDefault="00BB5A8B" w:rsidP="00BB5A8B">
      <w:r w:rsidRPr="00BB5A8B">
        <w:t>Subject to aspects of detail, the overall scheme in the model statute has an appealing simplicity which</w:t>
      </w:r>
      <w:r>
        <w:t xml:space="preserve"> </w:t>
      </w:r>
      <w:r w:rsidRPr="00BB5A8B">
        <w:t>demonstrates that concepts of capacity and best interests as we know them are capable of founding the</w:t>
      </w:r>
      <w:r>
        <w:t xml:space="preserve"> </w:t>
      </w:r>
      <w:r w:rsidRPr="00BB5A8B">
        <w:t>care and treatment of compliant incapacitated patients so that differences between mental and physical</w:t>
      </w:r>
      <w:r>
        <w:t xml:space="preserve"> </w:t>
      </w:r>
      <w:r w:rsidRPr="00BB5A8B">
        <w:t>disorder are kept to a necessary minimum. The ECHR does tolerate differences of treatment if justified.</w:t>
      </w:r>
      <w:r>
        <w:rPr>
          <w:rStyle w:val="FootnoteReference"/>
        </w:rPr>
        <w:footnoteReference w:id="35"/>
      </w:r>
      <w:r>
        <w:t xml:space="preserve"> </w:t>
      </w:r>
      <w:r w:rsidRPr="00BB5A8B">
        <w:t>Some fine tuning is required, for example, there is no provision for taking and conveying a compliant</w:t>
      </w:r>
      <w:r>
        <w:t xml:space="preserve"> </w:t>
      </w:r>
      <w:r w:rsidRPr="00BB5A8B">
        <w:t>patient. This point exercised the JCHR in relation to a similar absence in the MCA. This need</w:t>
      </w:r>
      <w:r>
        <w:t xml:space="preserve"> </w:t>
      </w:r>
      <w:r w:rsidRPr="00BB5A8B">
        <w:t>acknowledged the situation where it was known that a person was being taken from their home into a</w:t>
      </w:r>
      <w:r>
        <w:t xml:space="preserve"> </w:t>
      </w:r>
      <w:r w:rsidRPr="00BB5A8B">
        <w:t>deprivation of liberty which therefore was a continuation of the detention begun at home.</w:t>
      </w:r>
      <w:r>
        <w:rPr>
          <w:rStyle w:val="FootnoteReference"/>
        </w:rPr>
        <w:footnoteReference w:id="36"/>
      </w:r>
    </w:p>
    <w:p w:rsidR="00BB5A8B" w:rsidRDefault="00BB5A8B" w:rsidP="00BB5A8B">
      <w:r w:rsidRPr="00BB5A8B">
        <w:t>Further, the potential for compulsory treatment other than for mental disorder, e.g. the insulin dependent</w:t>
      </w:r>
      <w:r>
        <w:t xml:space="preserve"> </w:t>
      </w:r>
      <w:r w:rsidRPr="00BB5A8B">
        <w:t>diabetic patient referred to above, may need a degree of cultural adjustment in clinical practice.</w:t>
      </w:r>
    </w:p>
    <w:sectPr w:rsidR="00BB5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F8" w:rsidRDefault="009B55F8" w:rsidP="009B55F8">
      <w:pPr>
        <w:spacing w:after="0" w:line="240" w:lineRule="auto"/>
      </w:pPr>
      <w:r>
        <w:separator/>
      </w:r>
    </w:p>
  </w:endnote>
  <w:endnote w:type="continuationSeparator" w:id="0">
    <w:p w:rsidR="009B55F8" w:rsidRDefault="009B55F8" w:rsidP="009B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F8" w:rsidRDefault="009B55F8" w:rsidP="009B55F8">
      <w:pPr>
        <w:spacing w:after="0" w:line="240" w:lineRule="auto"/>
      </w:pPr>
      <w:r>
        <w:separator/>
      </w:r>
    </w:p>
  </w:footnote>
  <w:footnote w:type="continuationSeparator" w:id="0">
    <w:p w:rsidR="009B55F8" w:rsidRDefault="009B55F8" w:rsidP="009B55F8">
      <w:pPr>
        <w:spacing w:after="0" w:line="240" w:lineRule="auto"/>
      </w:pPr>
      <w:r>
        <w:continuationSeparator/>
      </w:r>
    </w:p>
  </w:footnote>
  <w:footnote w:id="1">
    <w:p w:rsidR="009B55F8" w:rsidRPr="009B55F8" w:rsidRDefault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</w:t>
      </w:r>
      <w:proofErr w:type="gramStart"/>
      <w:r w:rsidRPr="009B55F8">
        <w:rPr>
          <w:sz w:val="16"/>
        </w:rPr>
        <w:t>Barrister, Doughty Street Chambers (London); Part-time Judge of the First-tier Tribunal (Mental Health).</w:t>
      </w:r>
      <w:proofErr w:type="gramEnd"/>
    </w:p>
  </w:footnote>
  <w:footnote w:id="2">
    <w:p w:rsidR="009B55F8" w:rsidRPr="009B55F8" w:rsidRDefault="009B55F8" w:rsidP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</w:t>
      </w:r>
      <w:r w:rsidRPr="009B55F8">
        <w:rPr>
          <w:sz w:val="16"/>
        </w:rPr>
        <w:t>Shorter Oxford English Dictionary definition is “not done or made according to a recognized form; irregular, unofficial,</w:t>
      </w:r>
      <w:r w:rsidRPr="009B55F8">
        <w:rPr>
          <w:sz w:val="16"/>
        </w:rPr>
        <w:t xml:space="preserve"> </w:t>
      </w:r>
      <w:proofErr w:type="gramStart"/>
      <w:r w:rsidRPr="009B55F8">
        <w:rPr>
          <w:sz w:val="16"/>
        </w:rPr>
        <w:t>unconventional</w:t>
      </w:r>
      <w:proofErr w:type="gramEnd"/>
      <w:r w:rsidRPr="009B55F8">
        <w:rPr>
          <w:sz w:val="16"/>
        </w:rPr>
        <w:t xml:space="preserve"> or without formality or ceremony...”</w:t>
      </w:r>
    </w:p>
  </w:footnote>
  <w:footnote w:id="3">
    <w:p w:rsidR="009B55F8" w:rsidRPr="009B55F8" w:rsidRDefault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Both as amended by the Mental Health Act 2007</w:t>
      </w:r>
    </w:p>
  </w:footnote>
  <w:footnote w:id="4">
    <w:p w:rsidR="009B55F8" w:rsidRPr="009B55F8" w:rsidRDefault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Section 131</w:t>
      </w:r>
    </w:p>
  </w:footnote>
  <w:footnote w:id="5">
    <w:p w:rsidR="009B55F8" w:rsidRPr="009B55F8" w:rsidRDefault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</w:t>
      </w:r>
      <w:proofErr w:type="gramStart"/>
      <w:r w:rsidRPr="009B55F8">
        <w:rPr>
          <w:sz w:val="16"/>
        </w:rPr>
        <w:t>[2005]40 EHRR 32.</w:t>
      </w:r>
      <w:proofErr w:type="gramEnd"/>
    </w:p>
  </w:footnote>
  <w:footnote w:id="6">
    <w:p w:rsidR="009B55F8" w:rsidRPr="009B55F8" w:rsidRDefault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</w:t>
      </w:r>
      <w:proofErr w:type="gramStart"/>
      <w:r w:rsidRPr="009B55F8">
        <w:rPr>
          <w:sz w:val="16"/>
        </w:rPr>
        <w:t>Section 131.</w:t>
      </w:r>
      <w:proofErr w:type="gramEnd"/>
    </w:p>
  </w:footnote>
  <w:footnote w:id="7">
    <w:p w:rsidR="009B55F8" w:rsidRPr="009B55F8" w:rsidRDefault="009B55F8" w:rsidP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</w:t>
      </w:r>
      <w:r w:rsidRPr="009B55F8">
        <w:rPr>
          <w:sz w:val="16"/>
        </w:rPr>
        <w:t>Royal Commission on the Law relating to Mental Illness</w:t>
      </w:r>
      <w:r w:rsidRPr="009B55F8">
        <w:rPr>
          <w:sz w:val="16"/>
        </w:rPr>
        <w:t xml:space="preserve"> </w:t>
      </w:r>
      <w:r w:rsidRPr="009B55F8">
        <w:rPr>
          <w:sz w:val="16"/>
        </w:rPr>
        <w:t xml:space="preserve">and Mental Deficiency 1954–1957, </w:t>
      </w:r>
      <w:proofErr w:type="spellStart"/>
      <w:r w:rsidRPr="009B55F8">
        <w:rPr>
          <w:sz w:val="16"/>
        </w:rPr>
        <w:t>Cmnd</w:t>
      </w:r>
      <w:proofErr w:type="spellEnd"/>
      <w:r w:rsidRPr="009B55F8">
        <w:rPr>
          <w:sz w:val="16"/>
        </w:rPr>
        <w:t xml:space="preserve"> 169 discussed</w:t>
      </w:r>
      <w:r w:rsidRPr="009B55F8">
        <w:rPr>
          <w:sz w:val="16"/>
        </w:rPr>
        <w:t xml:space="preserve"> </w:t>
      </w:r>
      <w:r w:rsidRPr="009B55F8">
        <w:rPr>
          <w:sz w:val="16"/>
        </w:rPr>
        <w:t xml:space="preserve">in </w:t>
      </w:r>
      <w:proofErr w:type="spellStart"/>
      <w:r w:rsidRPr="009B55F8">
        <w:rPr>
          <w:sz w:val="16"/>
        </w:rPr>
        <w:t>R.Robinson</w:t>
      </w:r>
      <w:proofErr w:type="spellEnd"/>
      <w:r w:rsidRPr="009B55F8">
        <w:rPr>
          <w:sz w:val="16"/>
        </w:rPr>
        <w:t>, ‘Amending the Mental Capacity Act 2005</w:t>
      </w:r>
      <w:r w:rsidRPr="009B55F8">
        <w:rPr>
          <w:sz w:val="16"/>
        </w:rPr>
        <w:t xml:space="preserve"> </w:t>
      </w:r>
      <w:r w:rsidRPr="009B55F8">
        <w:rPr>
          <w:sz w:val="16"/>
        </w:rPr>
        <w:t>to provide for deprivation of liberty’, Journal of Mental</w:t>
      </w:r>
      <w:r w:rsidRPr="009B55F8">
        <w:rPr>
          <w:sz w:val="16"/>
        </w:rPr>
        <w:t xml:space="preserve"> </w:t>
      </w:r>
      <w:r w:rsidRPr="009B55F8">
        <w:rPr>
          <w:sz w:val="16"/>
        </w:rPr>
        <w:t>Health Law May 2007 pp 25–40.</w:t>
      </w:r>
    </w:p>
  </w:footnote>
  <w:footnote w:id="8">
    <w:p w:rsidR="009B55F8" w:rsidRPr="009B55F8" w:rsidRDefault="009B55F8" w:rsidP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</w:t>
      </w:r>
      <w:proofErr w:type="gramStart"/>
      <w:r w:rsidRPr="009B55F8">
        <w:rPr>
          <w:sz w:val="16"/>
        </w:rPr>
        <w:t xml:space="preserve">R v </w:t>
      </w:r>
      <w:proofErr w:type="spellStart"/>
      <w:r w:rsidRPr="009B55F8">
        <w:rPr>
          <w:sz w:val="16"/>
        </w:rPr>
        <w:t>Bournewood</w:t>
      </w:r>
      <w:proofErr w:type="spellEnd"/>
      <w:r w:rsidRPr="009B55F8">
        <w:rPr>
          <w:sz w:val="16"/>
        </w:rPr>
        <w:t xml:space="preserve"> Community and Mental Health NHS</w:t>
      </w:r>
      <w:r w:rsidRPr="009B55F8">
        <w:rPr>
          <w:sz w:val="16"/>
        </w:rPr>
        <w:t xml:space="preserve"> </w:t>
      </w:r>
      <w:r w:rsidRPr="009B55F8">
        <w:rPr>
          <w:sz w:val="16"/>
        </w:rPr>
        <w:t>Trust, ex parte L [1999] AC 458.</w:t>
      </w:r>
      <w:proofErr w:type="gramEnd"/>
    </w:p>
  </w:footnote>
  <w:footnote w:id="9">
    <w:p w:rsidR="009B55F8" w:rsidRPr="009B55F8" w:rsidRDefault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Ibid at 118</w:t>
      </w:r>
    </w:p>
  </w:footnote>
  <w:footnote w:id="10">
    <w:p w:rsidR="009B55F8" w:rsidRPr="009B55F8" w:rsidRDefault="009B55F8">
      <w:pPr>
        <w:pStyle w:val="FootnoteText"/>
        <w:rPr>
          <w:sz w:val="16"/>
        </w:rPr>
      </w:pPr>
      <w:r w:rsidRPr="009B55F8">
        <w:rPr>
          <w:rStyle w:val="FootnoteReference"/>
          <w:sz w:val="16"/>
        </w:rPr>
        <w:footnoteRef/>
      </w:r>
      <w:r w:rsidRPr="009B55F8">
        <w:rPr>
          <w:sz w:val="16"/>
        </w:rPr>
        <w:t xml:space="preserve"> Ibid at 119</w:t>
      </w:r>
    </w:p>
  </w:footnote>
  <w:footnote w:id="11">
    <w:p w:rsidR="009B55F8" w:rsidRPr="00886810" w:rsidRDefault="009B55F8">
      <w:pPr>
        <w:pStyle w:val="FootnoteText"/>
        <w:rPr>
          <w:sz w:val="16"/>
          <w:szCs w:val="16"/>
        </w:rPr>
      </w:pPr>
      <w:r w:rsidRPr="00886810">
        <w:rPr>
          <w:rStyle w:val="FootnoteReference"/>
          <w:sz w:val="16"/>
          <w:szCs w:val="16"/>
        </w:rPr>
        <w:footnoteRef/>
      </w:r>
      <w:r w:rsidRPr="00886810">
        <w:rPr>
          <w:sz w:val="16"/>
          <w:szCs w:val="16"/>
        </w:rPr>
        <w:t xml:space="preserve"> Ibid at 120</w:t>
      </w:r>
    </w:p>
  </w:footnote>
  <w:footnote w:id="12">
    <w:p w:rsidR="009B55F8" w:rsidRPr="00886810" w:rsidRDefault="009B55F8">
      <w:pPr>
        <w:pStyle w:val="FootnoteText"/>
        <w:rPr>
          <w:sz w:val="16"/>
          <w:szCs w:val="16"/>
        </w:rPr>
      </w:pPr>
      <w:r w:rsidRPr="00886810">
        <w:rPr>
          <w:rStyle w:val="FootnoteReference"/>
          <w:sz w:val="16"/>
          <w:szCs w:val="16"/>
        </w:rPr>
        <w:footnoteRef/>
      </w:r>
      <w:r w:rsidRPr="00886810">
        <w:rPr>
          <w:sz w:val="16"/>
          <w:szCs w:val="16"/>
        </w:rPr>
        <w:t xml:space="preserve"> Ibid at 123</w:t>
      </w:r>
    </w:p>
  </w:footnote>
  <w:footnote w:id="13">
    <w:p w:rsidR="009B55F8" w:rsidRPr="00886810" w:rsidRDefault="009B55F8">
      <w:pPr>
        <w:pStyle w:val="FootnoteText"/>
        <w:rPr>
          <w:sz w:val="16"/>
          <w:szCs w:val="16"/>
        </w:rPr>
      </w:pPr>
      <w:r w:rsidRPr="00886810">
        <w:rPr>
          <w:rStyle w:val="FootnoteReference"/>
          <w:sz w:val="16"/>
          <w:szCs w:val="16"/>
        </w:rPr>
        <w:footnoteRef/>
      </w:r>
      <w:r w:rsidRPr="00886810">
        <w:rPr>
          <w:sz w:val="16"/>
          <w:szCs w:val="16"/>
        </w:rPr>
        <w:t xml:space="preserve"> Ibid at 122</w:t>
      </w:r>
    </w:p>
  </w:footnote>
  <w:footnote w:id="14">
    <w:p w:rsidR="009B55F8" w:rsidRPr="00886810" w:rsidRDefault="009B55F8" w:rsidP="009B55F8">
      <w:pPr>
        <w:pStyle w:val="FootnoteText"/>
        <w:rPr>
          <w:sz w:val="16"/>
          <w:szCs w:val="16"/>
        </w:rPr>
      </w:pPr>
      <w:r w:rsidRPr="00886810">
        <w:rPr>
          <w:rStyle w:val="FootnoteReference"/>
          <w:sz w:val="16"/>
          <w:szCs w:val="16"/>
        </w:rPr>
        <w:footnoteRef/>
      </w:r>
      <w:r w:rsidRPr="00886810">
        <w:rPr>
          <w:sz w:val="16"/>
          <w:szCs w:val="16"/>
        </w:rPr>
        <w:t xml:space="preserve"> </w:t>
      </w:r>
      <w:r w:rsidRPr="00886810">
        <w:rPr>
          <w:sz w:val="16"/>
          <w:szCs w:val="16"/>
        </w:rPr>
        <w:t>The MCA Bill was introduced into the House of Commons</w:t>
      </w:r>
      <w:r w:rsidRPr="00886810">
        <w:rPr>
          <w:sz w:val="16"/>
          <w:szCs w:val="16"/>
        </w:rPr>
        <w:t xml:space="preserve"> </w:t>
      </w:r>
      <w:r w:rsidRPr="00886810">
        <w:rPr>
          <w:sz w:val="16"/>
          <w:szCs w:val="16"/>
        </w:rPr>
        <w:t>on 17 June 2004 and is discussed in HL at paras 77–78.</w:t>
      </w:r>
    </w:p>
  </w:footnote>
  <w:footnote w:id="15">
    <w:p w:rsidR="00886810" w:rsidRPr="00886810" w:rsidRDefault="00886810">
      <w:pPr>
        <w:pStyle w:val="FootnoteText"/>
        <w:rPr>
          <w:sz w:val="16"/>
          <w:szCs w:val="16"/>
        </w:rPr>
      </w:pPr>
      <w:r w:rsidRPr="00886810">
        <w:rPr>
          <w:rStyle w:val="FootnoteReference"/>
          <w:sz w:val="16"/>
          <w:szCs w:val="16"/>
        </w:rPr>
        <w:footnoteRef/>
      </w:r>
      <w:r w:rsidRPr="00886810">
        <w:rPr>
          <w:sz w:val="16"/>
          <w:szCs w:val="16"/>
        </w:rPr>
        <w:t xml:space="preserve"> Clause 6(4)</w:t>
      </w:r>
    </w:p>
  </w:footnote>
  <w:footnote w:id="16">
    <w:p w:rsidR="00886810" w:rsidRPr="00886810" w:rsidRDefault="00886810" w:rsidP="00886810">
      <w:pPr>
        <w:pStyle w:val="FootnoteText"/>
        <w:rPr>
          <w:sz w:val="16"/>
          <w:szCs w:val="16"/>
        </w:rPr>
      </w:pPr>
      <w:r w:rsidRPr="00886810">
        <w:rPr>
          <w:rStyle w:val="FootnoteReference"/>
          <w:sz w:val="16"/>
          <w:szCs w:val="16"/>
        </w:rPr>
        <w:footnoteRef/>
      </w:r>
      <w:r w:rsidRPr="00886810">
        <w:rPr>
          <w:sz w:val="16"/>
          <w:szCs w:val="16"/>
        </w:rPr>
        <w:t xml:space="preserve"> </w:t>
      </w:r>
      <w:r w:rsidRPr="00886810">
        <w:rPr>
          <w:sz w:val="16"/>
          <w:szCs w:val="16"/>
        </w:rPr>
        <w:t>Section 6(5) MCA which was repealed by the MHA</w:t>
      </w:r>
      <w:r w:rsidRPr="00886810">
        <w:rPr>
          <w:sz w:val="16"/>
          <w:szCs w:val="16"/>
        </w:rPr>
        <w:t xml:space="preserve"> </w:t>
      </w:r>
      <w:r w:rsidRPr="00886810">
        <w:rPr>
          <w:sz w:val="16"/>
          <w:szCs w:val="16"/>
        </w:rPr>
        <w:t xml:space="preserve">2007, </w:t>
      </w:r>
      <w:proofErr w:type="spellStart"/>
      <w:r w:rsidRPr="00886810">
        <w:rPr>
          <w:sz w:val="16"/>
          <w:szCs w:val="16"/>
        </w:rPr>
        <w:t>ss</w:t>
      </w:r>
      <w:proofErr w:type="spellEnd"/>
      <w:r w:rsidRPr="00886810">
        <w:rPr>
          <w:sz w:val="16"/>
          <w:szCs w:val="16"/>
        </w:rPr>
        <w:t xml:space="preserve"> 50(1), (4</w:t>
      </w:r>
      <w:proofErr w:type="gramStart"/>
      <w:r w:rsidRPr="00886810">
        <w:rPr>
          <w:sz w:val="16"/>
          <w:szCs w:val="16"/>
        </w:rPr>
        <w:t>)(</w:t>
      </w:r>
      <w:proofErr w:type="gramEnd"/>
      <w:r w:rsidRPr="00886810">
        <w:rPr>
          <w:sz w:val="16"/>
          <w:szCs w:val="16"/>
        </w:rPr>
        <w:t xml:space="preserve">a) and 55, </w:t>
      </w:r>
      <w:proofErr w:type="spellStart"/>
      <w:r w:rsidRPr="00886810">
        <w:rPr>
          <w:sz w:val="16"/>
          <w:szCs w:val="16"/>
        </w:rPr>
        <w:t>Sch</w:t>
      </w:r>
      <w:proofErr w:type="spellEnd"/>
      <w:r w:rsidRPr="00886810">
        <w:rPr>
          <w:sz w:val="16"/>
          <w:szCs w:val="16"/>
        </w:rPr>
        <w:t xml:space="preserve"> 11 </w:t>
      </w:r>
      <w:proofErr w:type="spellStart"/>
      <w:r w:rsidRPr="00886810">
        <w:rPr>
          <w:sz w:val="16"/>
          <w:szCs w:val="16"/>
        </w:rPr>
        <w:t>pt</w:t>
      </w:r>
      <w:proofErr w:type="spellEnd"/>
      <w:r w:rsidRPr="00886810">
        <w:rPr>
          <w:sz w:val="16"/>
          <w:szCs w:val="16"/>
        </w:rPr>
        <w:t xml:space="preserve"> 10.</w:t>
      </w:r>
    </w:p>
  </w:footnote>
  <w:footnote w:id="17">
    <w:p w:rsidR="00886810" w:rsidRPr="00886810" w:rsidRDefault="00886810" w:rsidP="00886810">
      <w:pPr>
        <w:pStyle w:val="FootnoteText"/>
        <w:rPr>
          <w:sz w:val="16"/>
        </w:rPr>
      </w:pPr>
      <w:r w:rsidRPr="00886810">
        <w:rPr>
          <w:rStyle w:val="FootnoteReference"/>
          <w:sz w:val="16"/>
        </w:rPr>
        <w:footnoteRef/>
      </w:r>
      <w:r w:rsidRPr="00886810">
        <w:rPr>
          <w:sz w:val="16"/>
        </w:rPr>
        <w:t xml:space="preserve"> </w:t>
      </w:r>
      <w:r w:rsidRPr="00886810">
        <w:rPr>
          <w:sz w:val="16"/>
        </w:rPr>
        <w:t>The Parliamentary Joint Committee on Human Rights</w:t>
      </w:r>
      <w:r w:rsidRPr="00886810">
        <w:rPr>
          <w:sz w:val="16"/>
        </w:rPr>
        <w:t xml:space="preserve"> </w:t>
      </w:r>
      <w:r w:rsidRPr="00886810">
        <w:rPr>
          <w:sz w:val="16"/>
        </w:rPr>
        <w:t>report on the Mental Health Bill, fourth report of session</w:t>
      </w:r>
      <w:r w:rsidRPr="00886810">
        <w:rPr>
          <w:sz w:val="16"/>
        </w:rPr>
        <w:t xml:space="preserve"> </w:t>
      </w:r>
      <w:r w:rsidRPr="00886810">
        <w:rPr>
          <w:sz w:val="16"/>
        </w:rPr>
        <w:t>2006–7, February 2007 at para 90, and fifteenth report</w:t>
      </w:r>
      <w:r w:rsidRPr="00886810">
        <w:rPr>
          <w:sz w:val="16"/>
        </w:rPr>
        <w:t xml:space="preserve"> </w:t>
      </w:r>
      <w:r w:rsidRPr="00886810">
        <w:rPr>
          <w:sz w:val="16"/>
        </w:rPr>
        <w:t>of session 2006–7, May 2007 at para 1.26; see also the</w:t>
      </w:r>
      <w:r w:rsidRPr="00886810">
        <w:rPr>
          <w:sz w:val="16"/>
        </w:rPr>
        <w:t xml:space="preserve"> </w:t>
      </w:r>
      <w:r w:rsidRPr="00886810">
        <w:rPr>
          <w:sz w:val="16"/>
        </w:rPr>
        <w:t xml:space="preserve">preface to </w:t>
      </w:r>
      <w:proofErr w:type="spellStart"/>
      <w:r w:rsidRPr="00886810">
        <w:rPr>
          <w:sz w:val="16"/>
        </w:rPr>
        <w:t>R.Jones</w:t>
      </w:r>
      <w:proofErr w:type="spellEnd"/>
      <w:r w:rsidRPr="00886810">
        <w:rPr>
          <w:sz w:val="16"/>
        </w:rPr>
        <w:t xml:space="preserve"> ‘Mental Health Act Manual’ 2008</w:t>
      </w:r>
      <w:r w:rsidRPr="00886810">
        <w:rPr>
          <w:sz w:val="16"/>
        </w:rPr>
        <w:t xml:space="preserve"> </w:t>
      </w:r>
      <w:r w:rsidRPr="00886810">
        <w:rPr>
          <w:sz w:val="16"/>
        </w:rPr>
        <w:t>11th ed.</w:t>
      </w:r>
    </w:p>
  </w:footnote>
  <w:footnote w:id="18">
    <w:p w:rsidR="00886810" w:rsidRPr="00886810" w:rsidRDefault="00886810">
      <w:pPr>
        <w:pStyle w:val="FootnoteText"/>
        <w:rPr>
          <w:sz w:val="16"/>
        </w:rPr>
      </w:pPr>
      <w:r w:rsidRPr="00886810">
        <w:rPr>
          <w:rStyle w:val="FootnoteReference"/>
          <w:sz w:val="16"/>
        </w:rPr>
        <w:footnoteRef/>
      </w:r>
      <w:r w:rsidRPr="00886810">
        <w:rPr>
          <w:sz w:val="16"/>
        </w:rPr>
        <w:t xml:space="preserve"> </w:t>
      </w:r>
      <w:proofErr w:type="gramStart"/>
      <w:r w:rsidRPr="00886810">
        <w:rPr>
          <w:sz w:val="16"/>
        </w:rPr>
        <w:t>HL at 114.</w:t>
      </w:r>
      <w:proofErr w:type="gramEnd"/>
    </w:p>
  </w:footnote>
  <w:footnote w:id="19">
    <w:p w:rsidR="00886810" w:rsidRPr="00886810" w:rsidRDefault="00886810" w:rsidP="00886810">
      <w:pPr>
        <w:pStyle w:val="FootnoteText"/>
        <w:rPr>
          <w:sz w:val="16"/>
        </w:rPr>
      </w:pPr>
      <w:r w:rsidRPr="00886810">
        <w:rPr>
          <w:rStyle w:val="FootnoteReference"/>
          <w:sz w:val="16"/>
        </w:rPr>
        <w:footnoteRef/>
      </w:r>
      <w:r w:rsidRPr="00886810">
        <w:rPr>
          <w:sz w:val="16"/>
        </w:rPr>
        <w:t xml:space="preserve"> </w:t>
      </w:r>
      <w:proofErr w:type="gramStart"/>
      <w:r w:rsidRPr="00886810">
        <w:rPr>
          <w:sz w:val="16"/>
        </w:rPr>
        <w:t>Fifteenth report of session 2006–7 para 1.28 and fourth</w:t>
      </w:r>
      <w:r w:rsidRPr="00886810">
        <w:rPr>
          <w:sz w:val="16"/>
        </w:rPr>
        <w:t xml:space="preserve"> </w:t>
      </w:r>
      <w:r w:rsidRPr="00886810">
        <w:rPr>
          <w:sz w:val="16"/>
        </w:rPr>
        <w:t>report para 83.</w:t>
      </w:r>
      <w:proofErr w:type="gramEnd"/>
    </w:p>
  </w:footnote>
  <w:footnote w:id="20">
    <w:p w:rsidR="00886810" w:rsidRPr="00886810" w:rsidRDefault="00886810">
      <w:pPr>
        <w:pStyle w:val="FootnoteText"/>
        <w:rPr>
          <w:sz w:val="16"/>
        </w:rPr>
      </w:pPr>
      <w:r w:rsidRPr="00886810">
        <w:rPr>
          <w:rStyle w:val="FootnoteReference"/>
          <w:sz w:val="16"/>
        </w:rPr>
        <w:footnoteRef/>
      </w:r>
      <w:r w:rsidRPr="00886810">
        <w:rPr>
          <w:sz w:val="16"/>
        </w:rPr>
        <w:t xml:space="preserve"> </w:t>
      </w:r>
      <w:proofErr w:type="gramStart"/>
      <w:r w:rsidRPr="00886810">
        <w:rPr>
          <w:sz w:val="16"/>
        </w:rPr>
        <w:t>[2007] EWHC 623 at 23.</w:t>
      </w:r>
      <w:proofErr w:type="gramEnd"/>
    </w:p>
  </w:footnote>
  <w:footnote w:id="21">
    <w:p w:rsidR="00886810" w:rsidRPr="00886810" w:rsidRDefault="00886810">
      <w:pPr>
        <w:pStyle w:val="FootnoteText"/>
        <w:rPr>
          <w:sz w:val="16"/>
        </w:rPr>
      </w:pPr>
      <w:r w:rsidRPr="00886810">
        <w:rPr>
          <w:rStyle w:val="FootnoteReference"/>
          <w:sz w:val="16"/>
        </w:rPr>
        <w:footnoteRef/>
      </w:r>
      <w:r w:rsidRPr="00886810">
        <w:rPr>
          <w:sz w:val="16"/>
        </w:rPr>
        <w:t xml:space="preserve"> HL at 121, citing Lord </w:t>
      </w:r>
      <w:proofErr w:type="spellStart"/>
      <w:r w:rsidRPr="00886810">
        <w:rPr>
          <w:sz w:val="16"/>
        </w:rPr>
        <w:t>Steyn</w:t>
      </w:r>
      <w:proofErr w:type="spellEnd"/>
      <w:r w:rsidRPr="00886810">
        <w:rPr>
          <w:sz w:val="16"/>
        </w:rPr>
        <w:t xml:space="preserve"> from </w:t>
      </w:r>
      <w:proofErr w:type="spellStart"/>
      <w:r w:rsidRPr="00886810">
        <w:rPr>
          <w:sz w:val="16"/>
        </w:rPr>
        <w:t>Bournewood</w:t>
      </w:r>
      <w:proofErr w:type="spellEnd"/>
      <w:r w:rsidRPr="00886810">
        <w:rPr>
          <w:sz w:val="16"/>
        </w:rPr>
        <w:t xml:space="preserve"> above</w:t>
      </w:r>
    </w:p>
  </w:footnote>
  <w:footnote w:id="22">
    <w:p w:rsidR="00886810" w:rsidRPr="00886810" w:rsidRDefault="00886810">
      <w:pPr>
        <w:pStyle w:val="FootnoteText"/>
        <w:rPr>
          <w:sz w:val="16"/>
        </w:rPr>
      </w:pPr>
      <w:r w:rsidRPr="00886810">
        <w:rPr>
          <w:rStyle w:val="FootnoteReference"/>
          <w:sz w:val="16"/>
        </w:rPr>
        <w:footnoteRef/>
      </w:r>
      <w:r w:rsidRPr="00886810">
        <w:rPr>
          <w:sz w:val="16"/>
        </w:rPr>
        <w:t xml:space="preserve"> </w:t>
      </w:r>
      <w:proofErr w:type="gramStart"/>
      <w:r w:rsidRPr="00886810">
        <w:rPr>
          <w:sz w:val="16"/>
        </w:rPr>
        <w:t>HL above at 91 and JE v DE and Surrey County Council [2007] 1 MHLR 39 at para.</w:t>
      </w:r>
      <w:proofErr w:type="gramEnd"/>
      <w:r w:rsidRPr="00886810">
        <w:rPr>
          <w:sz w:val="16"/>
        </w:rPr>
        <w:t xml:space="preserve"> 117</w:t>
      </w:r>
    </w:p>
  </w:footnote>
  <w:footnote w:id="23">
    <w:p w:rsidR="00886810" w:rsidRPr="00BB5A8B" w:rsidRDefault="00886810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proofErr w:type="gramStart"/>
      <w:r w:rsidRPr="00BB5A8B">
        <w:rPr>
          <w:sz w:val="16"/>
        </w:rPr>
        <w:t>HL at 89.</w:t>
      </w:r>
      <w:proofErr w:type="gramEnd"/>
    </w:p>
  </w:footnote>
  <w:footnote w:id="24">
    <w:p w:rsidR="00BB5A8B" w:rsidRPr="00BB5A8B" w:rsidRDefault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Fourth report of session 2006–7, para 84</w:t>
      </w:r>
    </w:p>
  </w:footnote>
  <w:footnote w:id="25">
    <w:p w:rsidR="00BB5A8B" w:rsidRPr="00BB5A8B" w:rsidRDefault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See schedule 1A case scenario E.</w:t>
      </w:r>
    </w:p>
  </w:footnote>
  <w:footnote w:id="26">
    <w:p w:rsidR="00BB5A8B" w:rsidRPr="00BB5A8B" w:rsidRDefault="00BB5A8B" w:rsidP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r w:rsidRPr="00BB5A8B">
        <w:rPr>
          <w:sz w:val="16"/>
        </w:rPr>
        <w:t>Lucy Scott Moncrieff, ‘Two Steps Forward, One Step Back’ Journal of Mental Health Law May 2007 pp 107–114; and JCHR</w:t>
      </w:r>
      <w:r w:rsidRPr="00BB5A8B">
        <w:rPr>
          <w:sz w:val="16"/>
        </w:rPr>
        <w:t xml:space="preserve"> </w:t>
      </w:r>
      <w:r w:rsidRPr="00BB5A8B">
        <w:rPr>
          <w:sz w:val="16"/>
        </w:rPr>
        <w:t>fourth report at 91.</w:t>
      </w:r>
    </w:p>
  </w:footnote>
  <w:footnote w:id="27">
    <w:p w:rsidR="00BB5A8B" w:rsidRPr="00BB5A8B" w:rsidRDefault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(2002) 38 EHRR 314</w:t>
      </w:r>
    </w:p>
  </w:footnote>
  <w:footnote w:id="28">
    <w:p w:rsidR="00BB5A8B" w:rsidRPr="00BB5A8B" w:rsidRDefault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proofErr w:type="gramStart"/>
      <w:r w:rsidRPr="00BB5A8B">
        <w:rPr>
          <w:sz w:val="16"/>
        </w:rPr>
        <w:t>HM (above) at para 48.</w:t>
      </w:r>
      <w:proofErr w:type="gramEnd"/>
    </w:p>
  </w:footnote>
  <w:footnote w:id="29">
    <w:p w:rsidR="00BB5A8B" w:rsidRPr="00BB5A8B" w:rsidRDefault="00BB5A8B" w:rsidP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proofErr w:type="gramStart"/>
      <w:r w:rsidRPr="00BB5A8B">
        <w:rPr>
          <w:sz w:val="16"/>
        </w:rPr>
        <w:t>JE (above) at para 47, adopting somewhat unfortunate</w:t>
      </w:r>
      <w:r w:rsidRPr="00BB5A8B">
        <w:rPr>
          <w:sz w:val="16"/>
        </w:rPr>
        <w:t xml:space="preserve"> </w:t>
      </w:r>
      <w:r w:rsidRPr="00BB5A8B">
        <w:rPr>
          <w:sz w:val="16"/>
        </w:rPr>
        <w:t>terminology.</w:t>
      </w:r>
      <w:proofErr w:type="gramEnd"/>
    </w:p>
  </w:footnote>
  <w:footnote w:id="30">
    <w:p w:rsidR="00BB5A8B" w:rsidRPr="00BB5A8B" w:rsidRDefault="00BB5A8B" w:rsidP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r w:rsidRPr="00BB5A8B">
        <w:rPr>
          <w:sz w:val="16"/>
        </w:rPr>
        <w:t xml:space="preserve">Austin v </w:t>
      </w:r>
      <w:proofErr w:type="spellStart"/>
      <w:r w:rsidRPr="00BB5A8B">
        <w:rPr>
          <w:sz w:val="16"/>
        </w:rPr>
        <w:t>Commissiner</w:t>
      </w:r>
      <w:proofErr w:type="spellEnd"/>
      <w:r w:rsidRPr="00BB5A8B">
        <w:rPr>
          <w:sz w:val="16"/>
        </w:rPr>
        <w:t xml:space="preserve"> of Police of the Metropolis [2009]</w:t>
      </w:r>
      <w:r w:rsidRPr="00BB5A8B">
        <w:rPr>
          <w:sz w:val="16"/>
        </w:rPr>
        <w:t xml:space="preserve"> </w:t>
      </w:r>
      <w:r w:rsidRPr="00BB5A8B">
        <w:rPr>
          <w:sz w:val="16"/>
        </w:rPr>
        <w:t xml:space="preserve">UKHL 5, per Lord Hope at paras 34 and 37, </w:t>
      </w:r>
      <w:proofErr w:type="spellStart"/>
      <w:r w:rsidRPr="00BB5A8B">
        <w:rPr>
          <w:sz w:val="16"/>
        </w:rPr>
        <w:t>reigned</w:t>
      </w:r>
      <w:proofErr w:type="spellEnd"/>
      <w:r w:rsidRPr="00BB5A8B">
        <w:rPr>
          <w:sz w:val="16"/>
        </w:rPr>
        <w:t xml:space="preserve"> in</w:t>
      </w:r>
      <w:r w:rsidRPr="00BB5A8B">
        <w:rPr>
          <w:sz w:val="16"/>
        </w:rPr>
        <w:t xml:space="preserve"> </w:t>
      </w:r>
      <w:r w:rsidRPr="00BB5A8B">
        <w:rPr>
          <w:sz w:val="16"/>
        </w:rPr>
        <w:t>by the ‘footnote’ opinion of Lord Walker (43–4).</w:t>
      </w:r>
    </w:p>
  </w:footnote>
  <w:footnote w:id="31">
    <w:p w:rsidR="00BB5A8B" w:rsidRPr="00BB5A8B" w:rsidRDefault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proofErr w:type="spellStart"/>
      <w:proofErr w:type="gramStart"/>
      <w:r w:rsidRPr="00BB5A8B">
        <w:rPr>
          <w:sz w:val="16"/>
        </w:rPr>
        <w:t>D.Hewitt</w:t>
      </w:r>
      <w:proofErr w:type="spellEnd"/>
      <w:r w:rsidRPr="00BB5A8B">
        <w:rPr>
          <w:sz w:val="16"/>
        </w:rPr>
        <w:t>, ‘Whose liberty?’</w:t>
      </w:r>
      <w:proofErr w:type="gramEnd"/>
      <w:r w:rsidRPr="00BB5A8B">
        <w:rPr>
          <w:sz w:val="16"/>
        </w:rPr>
        <w:t xml:space="preserve"> Solicitors Journal, 17/2/09.</w:t>
      </w:r>
    </w:p>
  </w:footnote>
  <w:footnote w:id="32">
    <w:p w:rsidR="00BB5A8B" w:rsidRPr="00BB5A8B" w:rsidRDefault="00BB5A8B" w:rsidP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r w:rsidRPr="00BB5A8B">
        <w:rPr>
          <w:sz w:val="16"/>
        </w:rPr>
        <w:t>This has been confirmed by junior counsel acting for</w:t>
      </w:r>
      <w:r w:rsidRPr="00BB5A8B">
        <w:rPr>
          <w:sz w:val="16"/>
        </w:rPr>
        <w:t xml:space="preserve"> </w:t>
      </w:r>
      <w:r w:rsidRPr="00BB5A8B">
        <w:rPr>
          <w:sz w:val="16"/>
        </w:rPr>
        <w:t>Austin.</w:t>
      </w:r>
    </w:p>
  </w:footnote>
  <w:footnote w:id="33">
    <w:p w:rsidR="00BB5A8B" w:rsidRPr="00BB5A8B" w:rsidRDefault="00BB5A8B" w:rsidP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r w:rsidRPr="00BB5A8B">
        <w:rPr>
          <w:sz w:val="16"/>
        </w:rPr>
        <w:t>The need for strong protections of compliant incapacitated</w:t>
      </w:r>
      <w:r w:rsidRPr="00BB5A8B">
        <w:rPr>
          <w:sz w:val="16"/>
        </w:rPr>
        <w:t xml:space="preserve"> </w:t>
      </w:r>
      <w:r w:rsidRPr="00BB5A8B">
        <w:rPr>
          <w:sz w:val="16"/>
        </w:rPr>
        <w:t>patients deprived of liberty under article 5 on the basis of</w:t>
      </w:r>
      <w:r w:rsidRPr="00BB5A8B">
        <w:rPr>
          <w:sz w:val="16"/>
        </w:rPr>
        <w:t xml:space="preserve"> </w:t>
      </w:r>
      <w:r w:rsidRPr="00BB5A8B">
        <w:rPr>
          <w:sz w:val="16"/>
        </w:rPr>
        <w:t>the decision in HL and by parity of reasoning under article</w:t>
      </w:r>
      <w:r w:rsidRPr="00BB5A8B">
        <w:rPr>
          <w:sz w:val="16"/>
        </w:rPr>
        <w:t xml:space="preserve"> </w:t>
      </w:r>
      <w:r w:rsidRPr="00BB5A8B">
        <w:rPr>
          <w:sz w:val="16"/>
        </w:rPr>
        <w:t>8 for interferences with physical integrity, was highlighted</w:t>
      </w:r>
      <w:r w:rsidRPr="00BB5A8B">
        <w:rPr>
          <w:sz w:val="16"/>
        </w:rPr>
        <w:t xml:space="preserve"> </w:t>
      </w:r>
      <w:r w:rsidRPr="00BB5A8B">
        <w:rPr>
          <w:sz w:val="16"/>
        </w:rPr>
        <w:t>by the JCHR, Fourth Report of session 2006–7 (above),</w:t>
      </w:r>
      <w:r w:rsidRPr="00BB5A8B">
        <w:rPr>
          <w:sz w:val="16"/>
        </w:rPr>
        <w:t xml:space="preserve"> </w:t>
      </w:r>
      <w:r w:rsidRPr="00BB5A8B">
        <w:rPr>
          <w:sz w:val="16"/>
        </w:rPr>
        <w:t>para 96.</w:t>
      </w:r>
    </w:p>
  </w:footnote>
  <w:footnote w:id="34">
    <w:p w:rsidR="00BB5A8B" w:rsidRPr="00BB5A8B" w:rsidRDefault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proofErr w:type="spellStart"/>
      <w:proofErr w:type="gramStart"/>
      <w:r w:rsidRPr="00BB5A8B">
        <w:rPr>
          <w:sz w:val="16"/>
        </w:rPr>
        <w:t>Appl</w:t>
      </w:r>
      <w:proofErr w:type="spellEnd"/>
      <w:r w:rsidRPr="00BB5A8B">
        <w:rPr>
          <w:sz w:val="16"/>
        </w:rPr>
        <w:t xml:space="preserve"> no. 61603/00, 16 June 2005, at 150.</w:t>
      </w:r>
      <w:proofErr w:type="gramEnd"/>
    </w:p>
  </w:footnote>
  <w:footnote w:id="35">
    <w:p w:rsidR="00BB5A8B" w:rsidRPr="00BB5A8B" w:rsidRDefault="00BB5A8B" w:rsidP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r w:rsidRPr="00BB5A8B">
        <w:rPr>
          <w:sz w:val="16"/>
        </w:rPr>
        <w:t>In Price v UK (2002) 34 EHRR 1, a four limb deficient</w:t>
      </w:r>
      <w:r w:rsidRPr="00BB5A8B">
        <w:rPr>
          <w:sz w:val="16"/>
        </w:rPr>
        <w:t xml:space="preserve"> </w:t>
      </w:r>
      <w:r w:rsidRPr="00BB5A8B">
        <w:rPr>
          <w:sz w:val="16"/>
        </w:rPr>
        <w:t>thalidomide woman was held in a prison cell with no</w:t>
      </w:r>
      <w:r w:rsidRPr="00BB5A8B">
        <w:rPr>
          <w:sz w:val="16"/>
        </w:rPr>
        <w:t xml:space="preserve"> </w:t>
      </w:r>
      <w:r w:rsidRPr="00BB5A8B">
        <w:rPr>
          <w:sz w:val="16"/>
        </w:rPr>
        <w:t>special facilities. She should have been treated differently</w:t>
      </w:r>
      <w:r w:rsidRPr="00BB5A8B">
        <w:rPr>
          <w:sz w:val="16"/>
        </w:rPr>
        <w:t xml:space="preserve"> </w:t>
      </w:r>
      <w:r w:rsidRPr="00BB5A8B">
        <w:rPr>
          <w:sz w:val="16"/>
        </w:rPr>
        <w:t>to normal prisoners. Her treatment violated article 3.</w:t>
      </w:r>
    </w:p>
  </w:footnote>
  <w:footnote w:id="36">
    <w:p w:rsidR="00BB5A8B" w:rsidRPr="00BB5A8B" w:rsidRDefault="00BB5A8B">
      <w:pPr>
        <w:pStyle w:val="FootnoteText"/>
        <w:rPr>
          <w:sz w:val="16"/>
        </w:rPr>
      </w:pPr>
      <w:r w:rsidRPr="00BB5A8B">
        <w:rPr>
          <w:rStyle w:val="FootnoteReference"/>
          <w:sz w:val="16"/>
        </w:rPr>
        <w:footnoteRef/>
      </w:r>
      <w:r w:rsidRPr="00BB5A8B">
        <w:rPr>
          <w:sz w:val="16"/>
        </w:rPr>
        <w:t xml:space="preserve"> </w:t>
      </w:r>
      <w:proofErr w:type="gramStart"/>
      <w:r w:rsidRPr="00BB5A8B">
        <w:rPr>
          <w:sz w:val="16"/>
        </w:rPr>
        <w:t>Above, Fourth Report at 88–89.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097"/>
    <w:multiLevelType w:val="hybridMultilevel"/>
    <w:tmpl w:val="FFEC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F8"/>
    <w:rsid w:val="00263E87"/>
    <w:rsid w:val="00886810"/>
    <w:rsid w:val="009B55F8"/>
    <w:rsid w:val="00B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55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5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55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5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55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5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55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44A0-508B-4D59-BA1F-90D0AE1E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2014-11-12T15:45:00Z</dcterms:created>
  <dcterms:modified xsi:type="dcterms:W3CDTF">2014-11-12T16:14:00Z</dcterms:modified>
</cp:coreProperties>
</file>