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BB" w:rsidRPr="004A07BB" w:rsidRDefault="004A07BB" w:rsidP="004A07BB">
      <w:pPr>
        <w:rPr>
          <w:sz w:val="56"/>
          <w:szCs w:val="56"/>
        </w:rPr>
      </w:pPr>
      <w:r w:rsidRPr="004A07BB">
        <w:rPr>
          <w:sz w:val="56"/>
          <w:szCs w:val="56"/>
        </w:rPr>
        <w:t>Balancing autonomy and risk: the Scottish approach</w:t>
      </w:r>
    </w:p>
    <w:p w:rsidR="004A07BB" w:rsidRPr="004A07BB" w:rsidRDefault="004A07BB" w:rsidP="004A07BB">
      <w:pPr>
        <w:rPr>
          <w:b/>
          <w:bCs/>
          <w:i/>
          <w:iCs/>
          <w:sz w:val="28"/>
        </w:rPr>
      </w:pPr>
      <w:r w:rsidRPr="004A07BB">
        <w:rPr>
          <w:b/>
          <w:bCs/>
          <w:i/>
          <w:iCs/>
          <w:sz w:val="28"/>
        </w:rPr>
        <w:t>Jacqueline M Atkinson</w:t>
      </w:r>
      <w:r>
        <w:rPr>
          <w:rStyle w:val="FootnoteReference"/>
          <w:b/>
          <w:bCs/>
          <w:i/>
          <w:iCs/>
          <w:sz w:val="28"/>
        </w:rPr>
        <w:footnoteReference w:id="1"/>
      </w:r>
      <w:r w:rsidRPr="004A07BB">
        <w:rPr>
          <w:b/>
          <w:bCs/>
          <w:i/>
          <w:iCs/>
          <w:sz w:val="28"/>
        </w:rPr>
        <w:t xml:space="preserve"> Hilary J Patrick</w:t>
      </w:r>
      <w:r>
        <w:rPr>
          <w:rStyle w:val="FootnoteReference"/>
          <w:b/>
          <w:bCs/>
          <w:i/>
          <w:iCs/>
          <w:sz w:val="28"/>
        </w:rPr>
        <w:footnoteReference w:id="2"/>
      </w:r>
    </w:p>
    <w:p w:rsidR="004A07BB" w:rsidRDefault="004A07BB" w:rsidP="004A07BB"/>
    <w:p w:rsidR="004A07BB" w:rsidRPr="004A07BB" w:rsidRDefault="004A07BB" w:rsidP="004A07BB">
      <w:r w:rsidRPr="004A07BB">
        <w:t>The impact of compulsory measures of medical treatment for mental disorders have for some time</w:t>
      </w:r>
      <w:r>
        <w:t xml:space="preserve"> </w:t>
      </w:r>
      <w:r w:rsidRPr="004A07BB">
        <w:t>interested medical and legal commentators, possibly because of the complex ethical issues these raise.</w:t>
      </w:r>
      <w:r>
        <w:t xml:space="preserve"> </w:t>
      </w:r>
      <w:r w:rsidRPr="004A07BB">
        <w:t>In a context where stigma and discrimination are realities for many of those who use mental health</w:t>
      </w:r>
      <w:r>
        <w:t xml:space="preserve"> </w:t>
      </w:r>
      <w:r w:rsidRPr="004A07BB">
        <w:t>services</w:t>
      </w:r>
      <w:r>
        <w:rPr>
          <w:rStyle w:val="FootnoteReference"/>
        </w:rPr>
        <w:footnoteReference w:id="3"/>
      </w:r>
      <w:r w:rsidRPr="004A07BB">
        <w:t xml:space="preserve"> some people argue that holistic legislation, which places treatment for mental disorder within a</w:t>
      </w:r>
      <w:r>
        <w:t xml:space="preserve"> </w:t>
      </w:r>
      <w:r w:rsidRPr="004A07BB">
        <w:t>more general framework of incapacity law, could reduce the stigma of mental ill health</w:t>
      </w:r>
      <w:r>
        <w:rPr>
          <w:rStyle w:val="FootnoteReference"/>
        </w:rPr>
        <w:footnoteReference w:id="4"/>
      </w:r>
      <w:r w:rsidRPr="004A07BB">
        <w:t>.</w:t>
      </w:r>
    </w:p>
    <w:p w:rsidR="004A07BB" w:rsidRPr="004A07BB" w:rsidRDefault="004A07BB" w:rsidP="004A07BB">
      <w:proofErr w:type="spellStart"/>
      <w:r w:rsidRPr="004A07BB">
        <w:t>Szmukler</w:t>
      </w:r>
      <w:proofErr w:type="spellEnd"/>
      <w:r w:rsidRPr="004A07BB">
        <w:t>, Daw and Dawson have made an interesting attempt to show how such a law might look in</w:t>
      </w:r>
      <w:r>
        <w:t xml:space="preserve"> </w:t>
      </w:r>
      <w:r w:rsidRPr="004A07BB">
        <w:t xml:space="preserve">practice. They have built on and reflected the work of the </w:t>
      </w:r>
      <w:proofErr w:type="spellStart"/>
      <w:r w:rsidRPr="004A07BB">
        <w:t>Bamford</w:t>
      </w:r>
      <w:proofErr w:type="spellEnd"/>
      <w:r w:rsidRPr="004A07BB">
        <w:t xml:space="preserve"> Committee in Northern Ireland,</w:t>
      </w:r>
      <w:r>
        <w:t xml:space="preserve"> </w:t>
      </w:r>
      <w:r w:rsidRPr="004A07BB">
        <w:t>which, while recommending a single legislative basis for mental health and incapacity law, fell short of</w:t>
      </w:r>
      <w:r>
        <w:t xml:space="preserve"> </w:t>
      </w:r>
      <w:r w:rsidRPr="004A07BB">
        <w:t>producing a draft bill</w:t>
      </w:r>
      <w:r>
        <w:rPr>
          <w:rStyle w:val="FootnoteReference"/>
        </w:rPr>
        <w:footnoteReference w:id="5"/>
      </w:r>
      <w:r w:rsidRPr="004A07BB">
        <w:t>.</w:t>
      </w:r>
    </w:p>
    <w:p w:rsidR="004A07BB" w:rsidRPr="004A07BB" w:rsidRDefault="004A07BB" w:rsidP="004A07BB">
      <w:r w:rsidRPr="004A07BB">
        <w:t>In looking at these proposals from a Scottish perspective, we have resisted the temptation to focus on</w:t>
      </w:r>
      <w:r>
        <w:t xml:space="preserve"> </w:t>
      </w:r>
      <w:r w:rsidRPr="004A07BB">
        <w:t>points of detail and have attempted to discuss certain themes. In particular, we have looked at how</w:t>
      </w:r>
      <w:r>
        <w:t xml:space="preserve"> </w:t>
      </w:r>
      <w:r w:rsidRPr="004A07BB">
        <w:t>Scotland has introduced a capacity-based threshold for mental health law and how this compares with</w:t>
      </w:r>
      <w:r>
        <w:t xml:space="preserve"> </w:t>
      </w:r>
      <w:proofErr w:type="spellStart"/>
      <w:r w:rsidRPr="004A07BB">
        <w:t>Szmukler</w:t>
      </w:r>
      <w:proofErr w:type="spellEnd"/>
      <w:r w:rsidRPr="004A07BB">
        <w:t xml:space="preserve"> </w:t>
      </w:r>
      <w:r w:rsidRPr="004A07BB">
        <w:rPr>
          <w:i/>
          <w:iCs/>
        </w:rPr>
        <w:t xml:space="preserve">et </w:t>
      </w:r>
      <w:proofErr w:type="spellStart"/>
      <w:r w:rsidRPr="004A07BB">
        <w:rPr>
          <w:i/>
          <w:iCs/>
        </w:rPr>
        <w:t>al</w:t>
      </w:r>
      <w:r w:rsidRPr="004A07BB">
        <w:t>’s</w:t>
      </w:r>
      <w:proofErr w:type="spellEnd"/>
      <w:r w:rsidRPr="004A07BB">
        <w:t xml:space="preserve"> proposed approach.</w:t>
      </w:r>
    </w:p>
    <w:p w:rsidR="004A07BB" w:rsidRPr="004A07BB" w:rsidRDefault="004A07BB" w:rsidP="004A07BB">
      <w:r w:rsidRPr="004A07BB">
        <w:t>Certain (probably non-controversial) principles underline our approach:</w:t>
      </w:r>
    </w:p>
    <w:p w:rsidR="004A07BB" w:rsidRDefault="004A07BB" w:rsidP="004A07BB">
      <w:pPr>
        <w:pStyle w:val="ListParagraph"/>
        <w:numPr>
          <w:ilvl w:val="0"/>
          <w:numId w:val="1"/>
        </w:numPr>
      </w:pPr>
      <w:r w:rsidRPr="004A07BB">
        <w:t>Legislation should have a solid ethical foundation.</w:t>
      </w:r>
    </w:p>
    <w:p w:rsidR="004A07BB" w:rsidRDefault="004A07BB" w:rsidP="004A07BB">
      <w:pPr>
        <w:pStyle w:val="ListParagraph"/>
        <w:numPr>
          <w:ilvl w:val="0"/>
          <w:numId w:val="1"/>
        </w:numPr>
      </w:pPr>
      <w:r w:rsidRPr="004A07BB">
        <w:t>Any law should attempt to reduce stigma and discrimination, if possible.</w:t>
      </w:r>
    </w:p>
    <w:p w:rsidR="004A07BB" w:rsidRDefault="004A07BB" w:rsidP="004A07BB">
      <w:pPr>
        <w:pStyle w:val="ListParagraph"/>
        <w:numPr>
          <w:ilvl w:val="0"/>
          <w:numId w:val="1"/>
        </w:numPr>
      </w:pPr>
      <w:r w:rsidRPr="004A07BB">
        <w:t>Legislation imposing duties or restrictions on people with mental disorders should also grant them real</w:t>
      </w:r>
      <w:r>
        <w:t xml:space="preserve"> </w:t>
      </w:r>
      <w:r w:rsidRPr="004A07BB">
        <w:t>reciprocal rights.</w:t>
      </w:r>
    </w:p>
    <w:p w:rsidR="004A07BB" w:rsidRDefault="004A07BB" w:rsidP="004A07BB">
      <w:pPr>
        <w:pStyle w:val="ListParagraph"/>
        <w:numPr>
          <w:ilvl w:val="0"/>
          <w:numId w:val="1"/>
        </w:numPr>
      </w:pPr>
      <w:r w:rsidRPr="004A07BB">
        <w:t>The law should be workable for service users and for health and social care professionals.</w:t>
      </w:r>
    </w:p>
    <w:p w:rsidR="004A07BB" w:rsidRDefault="004A07BB" w:rsidP="004A07BB">
      <w:pPr>
        <w:pStyle w:val="ListParagraph"/>
        <w:numPr>
          <w:ilvl w:val="0"/>
          <w:numId w:val="1"/>
        </w:numPr>
      </w:pPr>
      <w:r w:rsidRPr="004A07BB">
        <w:t>Legislation needs to balance respect for autonomy with the right to protection.</w:t>
      </w:r>
    </w:p>
    <w:p w:rsidR="004A07BB" w:rsidRPr="004A07BB" w:rsidRDefault="004A07BB" w:rsidP="004A07BB">
      <w:pPr>
        <w:pStyle w:val="ListParagraph"/>
        <w:numPr>
          <w:ilvl w:val="0"/>
          <w:numId w:val="1"/>
        </w:numPr>
      </w:pPr>
      <w:r w:rsidRPr="004A07BB">
        <w:t>The criminal justice system should also be non-discriminatory in the way it assesses risk and disposes</w:t>
      </w:r>
      <w:r>
        <w:t xml:space="preserve"> </w:t>
      </w:r>
      <w:r w:rsidRPr="004A07BB">
        <w:t>of cases.</w:t>
      </w:r>
    </w:p>
    <w:p w:rsidR="00E97F54" w:rsidRDefault="004A07BB" w:rsidP="004A07BB">
      <w:r w:rsidRPr="004A07BB">
        <w:t xml:space="preserve">We have assessed the </w:t>
      </w:r>
      <w:proofErr w:type="spellStart"/>
      <w:r w:rsidRPr="004A07BB">
        <w:t>Szmukler</w:t>
      </w:r>
      <w:proofErr w:type="spellEnd"/>
      <w:r w:rsidRPr="004A07BB">
        <w:t xml:space="preserve"> </w:t>
      </w:r>
      <w:r w:rsidRPr="004A07BB">
        <w:rPr>
          <w:i/>
          <w:iCs/>
        </w:rPr>
        <w:t xml:space="preserve">et al </w:t>
      </w:r>
      <w:r w:rsidRPr="004A07BB">
        <w:t>proposals (and the Scottish legislation) against these principles.</w:t>
      </w:r>
    </w:p>
    <w:p w:rsidR="004A07BB" w:rsidRDefault="004A07BB" w:rsidP="004A07BB"/>
    <w:p w:rsidR="004A07BB" w:rsidRDefault="004A07BB" w:rsidP="004A07BB">
      <w:pPr>
        <w:rPr>
          <w:b/>
          <w:bCs/>
        </w:rPr>
      </w:pPr>
    </w:p>
    <w:p w:rsidR="004A07BB" w:rsidRPr="004A07BB" w:rsidRDefault="004A07BB" w:rsidP="004A07BB">
      <w:pPr>
        <w:rPr>
          <w:b/>
          <w:bCs/>
          <w:sz w:val="24"/>
        </w:rPr>
      </w:pPr>
      <w:r w:rsidRPr="004A07BB">
        <w:rPr>
          <w:b/>
          <w:bCs/>
          <w:sz w:val="24"/>
        </w:rPr>
        <w:lastRenderedPageBreak/>
        <w:t>Reducing stigma and discrimination</w:t>
      </w:r>
    </w:p>
    <w:p w:rsidR="004A07BB" w:rsidRPr="004A07BB" w:rsidRDefault="004A07BB" w:rsidP="004A07BB">
      <w:r w:rsidRPr="004A07BB">
        <w:t xml:space="preserve">While clearly the use of compulsory measures can be both stigmatising and distressing, </w:t>
      </w:r>
      <w:proofErr w:type="spellStart"/>
      <w:r w:rsidRPr="004A07BB">
        <w:t>Szmukler</w:t>
      </w:r>
      <w:proofErr w:type="spellEnd"/>
      <w:r w:rsidRPr="004A07BB">
        <w:t xml:space="preserve"> </w:t>
      </w:r>
      <w:r w:rsidRPr="004A07BB">
        <w:rPr>
          <w:i/>
          <w:iCs/>
        </w:rPr>
        <w:t xml:space="preserve">et </w:t>
      </w:r>
      <w:proofErr w:type="spellStart"/>
      <w:r w:rsidRPr="004A07BB">
        <w:rPr>
          <w:i/>
          <w:iCs/>
        </w:rPr>
        <w:t>al</w:t>
      </w:r>
      <w:r w:rsidRPr="004A07BB">
        <w:t>’s</w:t>
      </w:r>
      <w:proofErr w:type="spellEnd"/>
      <w:r>
        <w:t xml:space="preserve"> </w:t>
      </w:r>
      <w:r w:rsidRPr="004A07BB">
        <w:t>proposed new model does not suggest that their use will cease, only that other people (those with physical</w:t>
      </w:r>
      <w:r>
        <w:t xml:space="preserve"> </w:t>
      </w:r>
      <w:r w:rsidRPr="004A07BB">
        <w:t>illnesses) may now become subject to such measures.</w:t>
      </w:r>
    </w:p>
    <w:p w:rsidR="004A07BB" w:rsidRPr="004A07BB" w:rsidRDefault="004A07BB" w:rsidP="004A07BB">
      <w:r w:rsidRPr="004A07BB">
        <w:t>We know that a diagnosis of mental illness, learning disability or personality disorder is linked to poverty,</w:t>
      </w:r>
      <w:r>
        <w:t xml:space="preserve"> </w:t>
      </w:r>
      <w:r w:rsidRPr="004A07BB">
        <w:t>unemployment and discrimination</w:t>
      </w:r>
      <w:r>
        <w:rPr>
          <w:rStyle w:val="FootnoteReference"/>
        </w:rPr>
        <w:footnoteReference w:id="6"/>
      </w:r>
      <w:r w:rsidRPr="004A07BB">
        <w:t>. It could be argued that a dedicated mental health act should properly</w:t>
      </w:r>
      <w:r>
        <w:t xml:space="preserve"> </w:t>
      </w:r>
      <w:r w:rsidRPr="004A07BB">
        <w:t>target discrimination, by including positive measures to reduce inequalities.</w:t>
      </w:r>
    </w:p>
    <w:p w:rsidR="004A07BB" w:rsidRPr="004A07BB" w:rsidRDefault="004A07BB" w:rsidP="004A07BB">
      <w:r w:rsidRPr="004A07BB">
        <w:t xml:space="preserve">The </w:t>
      </w:r>
      <w:r w:rsidRPr="004A07BB">
        <w:rPr>
          <w:i/>
          <w:iCs/>
        </w:rPr>
        <w:t xml:space="preserve">Mental Health (Care and Treatment) (Scotland) Act 2003 </w:t>
      </w:r>
      <w:r w:rsidRPr="004A07BB">
        <w:t>makes some, albeit modest, moves in this</w:t>
      </w:r>
      <w:r>
        <w:t xml:space="preserve"> </w:t>
      </w:r>
      <w:r w:rsidRPr="004A07BB">
        <w:t>direction, reflecting its principles of respect for diversity and reciprocity. It gives everyone with a mental</w:t>
      </w:r>
      <w:r>
        <w:t xml:space="preserve"> </w:t>
      </w:r>
      <w:r w:rsidRPr="004A07BB">
        <w:t>disorder a legal right to advocacy</w:t>
      </w:r>
      <w:r>
        <w:rPr>
          <w:rStyle w:val="FootnoteReference"/>
        </w:rPr>
        <w:footnoteReference w:id="7"/>
      </w:r>
      <w:r w:rsidRPr="004A07BB">
        <w:t xml:space="preserve"> and imposes important duties on local authorities to provide not just</w:t>
      </w:r>
      <w:r>
        <w:t xml:space="preserve"> </w:t>
      </w:r>
      <w:r w:rsidRPr="004A07BB">
        <w:t>support services, but help with accessing employment, recreation and supporting positive mental health</w:t>
      </w:r>
      <w:r>
        <w:rPr>
          <w:rStyle w:val="FootnoteReference"/>
        </w:rPr>
        <w:footnoteReference w:id="8"/>
      </w:r>
      <w:r w:rsidRPr="004A07BB">
        <w:t>.</w:t>
      </w:r>
    </w:p>
    <w:p w:rsidR="004A07BB" w:rsidRDefault="004A07BB" w:rsidP="004A07BB">
      <w:r w:rsidRPr="004A07BB">
        <w:t>While, clearly, much more could be done, there is a danger that a generic incapacity law would not tackle</w:t>
      </w:r>
      <w:r>
        <w:t xml:space="preserve"> </w:t>
      </w:r>
      <w:r w:rsidRPr="004A07BB">
        <w:t>the wider needs of this group. A mental health act does not need to be just about detention, it could also,</w:t>
      </w:r>
      <w:r>
        <w:t xml:space="preserve"> </w:t>
      </w:r>
      <w:r w:rsidRPr="004A07BB">
        <w:t>as a measure of reciprocity, confer real rights and benefits.</w:t>
      </w:r>
    </w:p>
    <w:p w:rsidR="004A07BB" w:rsidRPr="004A07BB" w:rsidRDefault="004A07BB" w:rsidP="004A07BB"/>
    <w:p w:rsidR="004A07BB" w:rsidRPr="004A07BB" w:rsidRDefault="004A07BB" w:rsidP="004A07BB">
      <w:pPr>
        <w:rPr>
          <w:b/>
          <w:bCs/>
          <w:sz w:val="24"/>
        </w:rPr>
      </w:pPr>
      <w:r w:rsidRPr="004A07BB">
        <w:rPr>
          <w:b/>
          <w:bCs/>
          <w:sz w:val="24"/>
        </w:rPr>
        <w:t>A single Act</w:t>
      </w:r>
    </w:p>
    <w:p w:rsidR="004A07BB" w:rsidRPr="004A07BB" w:rsidRDefault="004A07BB" w:rsidP="004A07BB">
      <w:r w:rsidRPr="004A07BB">
        <w:t>Scotland now has capacity based mental health legislation (although the test is significantly impaired</w:t>
      </w:r>
      <w:r>
        <w:t xml:space="preserve"> </w:t>
      </w:r>
      <w:r w:rsidRPr="004A07BB">
        <w:t>decision-making rather than incapacity)</w:t>
      </w:r>
      <w:r>
        <w:rPr>
          <w:rStyle w:val="FootnoteReference"/>
        </w:rPr>
        <w:footnoteReference w:id="9"/>
      </w:r>
      <w:r w:rsidRPr="004A07BB">
        <w:t xml:space="preserve">. It also has separate capacity legislation, (the </w:t>
      </w:r>
      <w:r w:rsidRPr="004A07BB">
        <w:rPr>
          <w:i/>
          <w:iCs/>
        </w:rPr>
        <w:t>Adults with</w:t>
      </w:r>
      <w:r>
        <w:rPr>
          <w:i/>
          <w:iCs/>
        </w:rPr>
        <w:t xml:space="preserve"> </w:t>
      </w:r>
      <w:r w:rsidRPr="004A07BB">
        <w:rPr>
          <w:i/>
          <w:iCs/>
        </w:rPr>
        <w:t>Incapacity (Scotland) Act 2000</w:t>
      </w:r>
      <w:r w:rsidRPr="004A07BB">
        <w:t>) providing a framework for decision making in the welfare, financial and</w:t>
      </w:r>
      <w:r>
        <w:t xml:space="preserve"> </w:t>
      </w:r>
      <w:r w:rsidRPr="004A07BB">
        <w:t xml:space="preserve">medical fields, much wider than the scope of the draft bill suggested by </w:t>
      </w:r>
      <w:proofErr w:type="spellStart"/>
      <w:r w:rsidRPr="004A07BB">
        <w:t>Szmukler</w:t>
      </w:r>
      <w:proofErr w:type="spellEnd"/>
      <w:r w:rsidRPr="004A07BB">
        <w:t xml:space="preserve"> </w:t>
      </w:r>
      <w:r w:rsidRPr="004A07BB">
        <w:rPr>
          <w:i/>
          <w:iCs/>
        </w:rPr>
        <w:t>et al</w:t>
      </w:r>
      <w:r w:rsidRPr="004A07BB">
        <w:t>.</w:t>
      </w:r>
    </w:p>
    <w:p w:rsidR="004A07BB" w:rsidRPr="004A07BB" w:rsidRDefault="004A07BB" w:rsidP="004A07BB">
      <w:r w:rsidRPr="004A07BB">
        <w:t>There is no doubt that, in practice, overlaps between the two are difficult. If a person needing care and</w:t>
      </w:r>
      <w:r>
        <w:t xml:space="preserve"> </w:t>
      </w:r>
      <w:r w:rsidRPr="004A07BB">
        <w:t>treatment in a community setting resists this, is guardianship appropriate, or would a community based</w:t>
      </w:r>
      <w:r>
        <w:t xml:space="preserve"> </w:t>
      </w:r>
      <w:r w:rsidRPr="004A07BB">
        <w:t>compulsory treatment order be preferable? Which forms of medical treatment require authorisation under</w:t>
      </w:r>
      <w:r>
        <w:t xml:space="preserve"> </w:t>
      </w:r>
      <w:r w:rsidRPr="004A07BB">
        <w:t xml:space="preserve">incapacity legislation and which under the mental health act? In addition, of course, there </w:t>
      </w:r>
      <w:proofErr w:type="gramStart"/>
      <w:r w:rsidRPr="004A07BB">
        <w:t>are deprivation</w:t>
      </w:r>
      <w:proofErr w:type="gramEnd"/>
      <w:r>
        <w:t xml:space="preserve"> </w:t>
      </w:r>
      <w:r w:rsidRPr="004A07BB">
        <w:t>of liberty concerns.</w:t>
      </w:r>
    </w:p>
    <w:p w:rsidR="004A07BB" w:rsidRPr="004A07BB" w:rsidRDefault="004A07BB" w:rsidP="004A07BB">
      <w:r w:rsidRPr="004A07BB">
        <w:t>The accepted wisdom in Scotland is that the only circumstances where an adult can be lawfully deprived</w:t>
      </w:r>
      <w:r>
        <w:t xml:space="preserve"> </w:t>
      </w:r>
      <w:r w:rsidRPr="004A07BB">
        <w:t>of her liberty on grounds of mental disorder are under a mental health act order or with the use of</w:t>
      </w:r>
      <w:r>
        <w:t xml:space="preserve"> </w:t>
      </w:r>
      <w:r w:rsidRPr="004A07BB">
        <w:t>guardianship under incapacity legislation. However guardianship was not designed with deprivation of</w:t>
      </w:r>
      <w:r>
        <w:t xml:space="preserve"> </w:t>
      </w:r>
      <w:r w:rsidRPr="004A07BB">
        <w:t>liberty issues in mind and there are problems with its use in this way</w:t>
      </w:r>
      <w:r>
        <w:rPr>
          <w:rStyle w:val="FootnoteReference"/>
        </w:rPr>
        <w:footnoteReference w:id="10"/>
      </w:r>
      <w:r w:rsidRPr="004A07BB">
        <w:t>.</w:t>
      </w:r>
    </w:p>
    <w:p w:rsidR="004A07BB" w:rsidRPr="004A07BB" w:rsidRDefault="004A07BB" w:rsidP="004A07BB">
      <w:r w:rsidRPr="004A07BB">
        <w:t>The Millan Committee in Scotland recommended that consideration be given to fusing mental health</w:t>
      </w:r>
      <w:r>
        <w:t xml:space="preserve"> </w:t>
      </w:r>
      <w:r w:rsidRPr="004A07BB">
        <w:t>and incapacity law into one piece of legislation</w:t>
      </w:r>
      <w:r>
        <w:rPr>
          <w:rStyle w:val="FootnoteReference"/>
        </w:rPr>
        <w:footnoteReference w:id="11"/>
      </w:r>
      <w:r w:rsidRPr="004A07BB">
        <w:t xml:space="preserve">. It would be true to say, however, that this has not </w:t>
      </w:r>
      <w:r w:rsidRPr="004A07BB">
        <w:lastRenderedPageBreak/>
        <w:t>been</w:t>
      </w:r>
      <w:r>
        <w:t xml:space="preserve"> </w:t>
      </w:r>
      <w:r w:rsidRPr="004A07BB">
        <w:t>a priority for government, service users or academics. Of more interest has been the recommendation for</w:t>
      </w:r>
      <w:r>
        <w:t xml:space="preserve"> </w:t>
      </w:r>
      <w:r w:rsidRPr="004A07BB">
        <w:t>a review of the place of learning disability within mental health law</w:t>
      </w:r>
      <w:r>
        <w:rPr>
          <w:rStyle w:val="FootnoteReference"/>
        </w:rPr>
        <w:footnoteReference w:id="12"/>
      </w:r>
      <w:r w:rsidRPr="004A07BB">
        <w:t>.</w:t>
      </w:r>
    </w:p>
    <w:p w:rsidR="004A07BB" w:rsidRDefault="004A07BB" w:rsidP="004A07BB">
      <w:r w:rsidRPr="004A07BB">
        <w:t>Such a review would look more generally at the use of compulsion in people with learning disabilities, the</w:t>
      </w:r>
      <w:r>
        <w:t xml:space="preserve"> </w:t>
      </w:r>
      <w:r w:rsidRPr="004A07BB">
        <w:t>use of guardianship to control risk and, in particular, the use of hospitalisation as a preventative measure</w:t>
      </w:r>
      <w:r>
        <w:t xml:space="preserve"> </w:t>
      </w:r>
      <w:r w:rsidRPr="004A07BB">
        <w:t>for people who engage in inappropriate or criminal behaviour. It may be that dedicated legislation for</w:t>
      </w:r>
      <w:r>
        <w:t xml:space="preserve"> </w:t>
      </w:r>
      <w:r w:rsidRPr="004A07BB">
        <w:t>people with learning disabilities, including those with mental illness as well as learning disability, could</w:t>
      </w:r>
      <w:r>
        <w:t xml:space="preserve"> </w:t>
      </w:r>
      <w:r w:rsidRPr="004A07BB">
        <w:t>more appropriately meet their needs than the current legislation in Scotland (or England and Wales) or</w:t>
      </w:r>
      <w:r>
        <w:t xml:space="preserve"> </w:t>
      </w:r>
      <w:r w:rsidRPr="004A07BB">
        <w:t xml:space="preserve">the wider incapacity law proposed by </w:t>
      </w:r>
      <w:proofErr w:type="spellStart"/>
      <w:r w:rsidRPr="004A07BB">
        <w:t>Szmukler</w:t>
      </w:r>
      <w:proofErr w:type="spellEnd"/>
      <w:r w:rsidRPr="004A07BB">
        <w:t xml:space="preserve"> </w:t>
      </w:r>
      <w:r w:rsidRPr="004A07BB">
        <w:rPr>
          <w:i/>
          <w:iCs/>
        </w:rPr>
        <w:t>et al</w:t>
      </w:r>
      <w:r w:rsidRPr="004A07BB">
        <w:t>.</w:t>
      </w:r>
    </w:p>
    <w:p w:rsidR="004A07BB" w:rsidRPr="004A07BB" w:rsidRDefault="004A07BB" w:rsidP="004A07BB"/>
    <w:p w:rsidR="004A07BB" w:rsidRPr="00967F25" w:rsidRDefault="004A07BB" w:rsidP="004A07BB">
      <w:pPr>
        <w:rPr>
          <w:b/>
          <w:bCs/>
          <w:sz w:val="24"/>
        </w:rPr>
      </w:pPr>
      <w:r w:rsidRPr="00967F25">
        <w:rPr>
          <w:b/>
          <w:bCs/>
          <w:sz w:val="24"/>
        </w:rPr>
        <w:t>Assessing capacity</w:t>
      </w:r>
    </w:p>
    <w:p w:rsidR="004A07BB" w:rsidRPr="004A07BB" w:rsidRDefault="004A07BB" w:rsidP="004A07BB">
      <w:r w:rsidRPr="004A07BB">
        <w:t>Despite calls for a capacity test in the Scottish mental health act, the Millan Committee was unwilling to</w:t>
      </w:r>
      <w:r>
        <w:t xml:space="preserve"> </w:t>
      </w:r>
      <w:r w:rsidRPr="004A07BB">
        <w:t>recommend a purely incapacity based test. It was concerned that there might be people on the borders of</w:t>
      </w:r>
      <w:r>
        <w:t xml:space="preserve"> </w:t>
      </w:r>
      <w:r w:rsidRPr="004A07BB">
        <w:t>the definition who would ‘pass’ the incapacity test but who would be thus failed by services and would</w:t>
      </w:r>
      <w:r>
        <w:t xml:space="preserve"> </w:t>
      </w:r>
      <w:r w:rsidRPr="004A07BB">
        <w:t>not receive they help they might need.</w:t>
      </w:r>
    </w:p>
    <w:p w:rsidR="004A07BB" w:rsidRPr="004A07BB" w:rsidRDefault="004A07BB" w:rsidP="004A07BB">
      <w:r w:rsidRPr="004A07BB">
        <w:t>The Richardson committee recognised this dilemma. It left it to politicians to decide whether legislation</w:t>
      </w:r>
      <w:r w:rsidR="00967F25">
        <w:t xml:space="preserve"> </w:t>
      </w:r>
      <w:r w:rsidRPr="004A07BB">
        <w:t>should allow a competent patient’s refusal to be overturned where there would be a substantial risk of</w:t>
      </w:r>
      <w:r w:rsidR="00967F25">
        <w:t xml:space="preserve"> </w:t>
      </w:r>
      <w:r w:rsidRPr="004A07BB">
        <w:t>serious harm to the patient if she remained untreated</w:t>
      </w:r>
      <w:r w:rsidR="00967F25">
        <w:rPr>
          <w:rStyle w:val="FootnoteReference"/>
        </w:rPr>
        <w:footnoteReference w:id="13"/>
      </w:r>
      <w:r w:rsidRPr="004A07BB">
        <w:t>.</w:t>
      </w:r>
    </w:p>
    <w:p w:rsidR="004A07BB" w:rsidRPr="004A07BB" w:rsidRDefault="004A07BB" w:rsidP="004A07BB">
      <w:r w:rsidRPr="004A07BB">
        <w:t>Millan was concerned that a purely cognitive test of capacity might not adequately reflect the role of</w:t>
      </w:r>
      <w:r w:rsidR="00967F25">
        <w:t xml:space="preserve"> </w:t>
      </w:r>
      <w:r w:rsidRPr="004A07BB">
        <w:t>emotion in decision-making, nor how capacity might be affected by an illness such as depression.</w:t>
      </w:r>
    </w:p>
    <w:p w:rsidR="004A07BB" w:rsidRPr="004A07BB" w:rsidRDefault="004A07BB" w:rsidP="004A07BB">
      <w:r w:rsidRPr="004A07BB">
        <w:t>It might be that some of these concerns would be addressed by what appear to be changing definitions of</w:t>
      </w:r>
      <w:r w:rsidR="00967F25">
        <w:t xml:space="preserve"> </w:t>
      </w:r>
      <w:r w:rsidRPr="004A07BB">
        <w:t>incapacity (not generally accepted in 2001). In particular, it might be possible to argue that a person with</w:t>
      </w:r>
      <w:r w:rsidR="00967F25">
        <w:t xml:space="preserve"> </w:t>
      </w:r>
      <w:r w:rsidRPr="004A07BB">
        <w:t xml:space="preserve">depression is unable to ‘appreciate’ the true situation in which she finds </w:t>
      </w:r>
      <w:proofErr w:type="gramStart"/>
      <w:r w:rsidRPr="004A07BB">
        <w:t>herself</w:t>
      </w:r>
      <w:proofErr w:type="gramEnd"/>
      <w:r w:rsidRPr="004A07BB">
        <w:t>, or properly to weigh up</w:t>
      </w:r>
      <w:r w:rsidR="00967F25">
        <w:t xml:space="preserve"> </w:t>
      </w:r>
      <w:r w:rsidRPr="004A07BB">
        <w:t xml:space="preserve">the options in her case. We are pleased that </w:t>
      </w:r>
      <w:proofErr w:type="spellStart"/>
      <w:r w:rsidRPr="004A07BB">
        <w:t>Szmukler</w:t>
      </w:r>
      <w:proofErr w:type="spellEnd"/>
      <w:r w:rsidRPr="004A07BB">
        <w:t xml:space="preserve"> </w:t>
      </w:r>
      <w:r w:rsidRPr="004A07BB">
        <w:rPr>
          <w:i/>
          <w:iCs/>
        </w:rPr>
        <w:t xml:space="preserve">et al </w:t>
      </w:r>
      <w:r w:rsidRPr="004A07BB">
        <w:t>include this new aspect of the definition.</w:t>
      </w:r>
    </w:p>
    <w:p w:rsidR="004A07BB" w:rsidRPr="004A07BB" w:rsidRDefault="004A07BB" w:rsidP="004A07BB">
      <w:r w:rsidRPr="004A07BB">
        <w:t>However we remain concerned that any capacity test should consider the impact a mental disorder may</w:t>
      </w:r>
      <w:r w:rsidR="00967F25">
        <w:t xml:space="preserve"> </w:t>
      </w:r>
      <w:r w:rsidRPr="004A07BB">
        <w:t>have on a person’s emotions as well as her cognitive functions. Richardson suggested one element of the</w:t>
      </w:r>
      <w:r w:rsidR="00967F25">
        <w:t xml:space="preserve"> </w:t>
      </w:r>
      <w:r w:rsidRPr="004A07BB">
        <w:t>test should be how far the decision is the ‘product’ of the disorder</w:t>
      </w:r>
      <w:r w:rsidR="00967F25">
        <w:rPr>
          <w:rStyle w:val="FootnoteReference"/>
        </w:rPr>
        <w:footnoteReference w:id="14"/>
      </w:r>
      <w:r w:rsidRPr="004A07BB">
        <w:t xml:space="preserve"> and this is a concept the Scottish test</w:t>
      </w:r>
      <w:r w:rsidR="00967F25">
        <w:t xml:space="preserve"> </w:t>
      </w:r>
      <w:r w:rsidRPr="004A07BB">
        <w:t>attempts to capture.</w:t>
      </w:r>
    </w:p>
    <w:p w:rsidR="004A07BB" w:rsidRDefault="004A07BB" w:rsidP="004A07BB">
      <w:r w:rsidRPr="004A07BB">
        <w:t>We are currently carrying out research</w:t>
      </w:r>
      <w:r w:rsidR="00967F25">
        <w:rPr>
          <w:rStyle w:val="FootnoteReference"/>
        </w:rPr>
        <w:footnoteReference w:id="15"/>
      </w:r>
      <w:r w:rsidRPr="004A07BB">
        <w:t xml:space="preserve"> into the way the significantly impaired decision-making test is</w:t>
      </w:r>
      <w:r w:rsidR="00967F25">
        <w:t xml:space="preserve"> </w:t>
      </w:r>
      <w:r w:rsidRPr="004A07BB">
        <w:t>operating in practice in Scotland, and whether it does, in fact, differ from a capacity test.</w:t>
      </w:r>
    </w:p>
    <w:p w:rsidR="00967F25" w:rsidRPr="004A07BB" w:rsidRDefault="00967F25" w:rsidP="004A07BB"/>
    <w:p w:rsidR="004A07BB" w:rsidRPr="00967F25" w:rsidRDefault="004A07BB" w:rsidP="004A07BB">
      <w:pPr>
        <w:rPr>
          <w:b/>
          <w:bCs/>
          <w:sz w:val="24"/>
        </w:rPr>
      </w:pPr>
      <w:r w:rsidRPr="00967F25">
        <w:rPr>
          <w:b/>
          <w:bCs/>
          <w:sz w:val="24"/>
        </w:rPr>
        <w:t>Patient safeguards</w:t>
      </w:r>
    </w:p>
    <w:p w:rsidR="004A07BB" w:rsidRPr="004A07BB" w:rsidRDefault="004A07BB" w:rsidP="004A07BB">
      <w:r w:rsidRPr="004A07BB">
        <w:lastRenderedPageBreak/>
        <w:t>Respect for the wishes of the service user is a crucial principle of the Scottish legislation and rightly</w:t>
      </w:r>
      <w:r w:rsidR="00967F25">
        <w:t xml:space="preserve"> </w:t>
      </w:r>
      <w:r w:rsidRPr="004A07BB">
        <w:t xml:space="preserve">stressed by </w:t>
      </w:r>
      <w:proofErr w:type="spellStart"/>
      <w:r w:rsidRPr="004A07BB">
        <w:t>Szmukler</w:t>
      </w:r>
      <w:proofErr w:type="spellEnd"/>
      <w:r w:rsidRPr="004A07BB">
        <w:t xml:space="preserve"> </w:t>
      </w:r>
      <w:r w:rsidRPr="004A07BB">
        <w:rPr>
          <w:i/>
          <w:iCs/>
        </w:rPr>
        <w:t>et al</w:t>
      </w:r>
      <w:r w:rsidRPr="004A07BB">
        <w:t>. The Scottish Act attempts to implement this principle by, among other things,</w:t>
      </w:r>
      <w:r w:rsidR="00967F25">
        <w:t xml:space="preserve"> </w:t>
      </w:r>
      <w:r w:rsidRPr="004A07BB">
        <w:t>the right to advocacy, nomination of named persons and advance statements (although where a patient</w:t>
      </w:r>
      <w:r w:rsidR="00967F25">
        <w:t xml:space="preserve"> </w:t>
      </w:r>
      <w:r w:rsidRPr="004A07BB">
        <w:t>is subject to compulsory measures a statement can be overruled).</w:t>
      </w:r>
    </w:p>
    <w:p w:rsidR="004A07BB" w:rsidRPr="004A07BB" w:rsidRDefault="004A07BB" w:rsidP="004A07BB">
      <w:r w:rsidRPr="004A07BB">
        <w:t>The implementation of these provisions has not been without problems and we outline these below. The</w:t>
      </w:r>
      <w:r w:rsidR="00967F25">
        <w:t xml:space="preserve"> </w:t>
      </w:r>
      <w:r w:rsidRPr="004A07BB">
        <w:t>recent McManus review of the Scottish Act</w:t>
      </w:r>
      <w:r w:rsidR="00967F25">
        <w:rPr>
          <w:rStyle w:val="FootnoteReference"/>
        </w:rPr>
        <w:footnoteReference w:id="16"/>
      </w:r>
      <w:r w:rsidRPr="004A07BB">
        <w:t xml:space="preserve"> made further suggestions.</w:t>
      </w:r>
    </w:p>
    <w:p w:rsidR="00967F25" w:rsidRPr="00967F25" w:rsidRDefault="004A07BB" w:rsidP="00967F25">
      <w:r w:rsidRPr="004A07BB">
        <w:rPr>
          <w:i/>
          <w:iCs/>
        </w:rPr>
        <w:t xml:space="preserve">Substitute decision-maker: </w:t>
      </w:r>
      <w:r w:rsidRPr="004A07BB">
        <w:t xml:space="preserve">Under the </w:t>
      </w:r>
      <w:proofErr w:type="spellStart"/>
      <w:r w:rsidRPr="004A07BB">
        <w:t>Szmukler</w:t>
      </w:r>
      <w:proofErr w:type="spellEnd"/>
      <w:r w:rsidRPr="004A07BB">
        <w:t xml:space="preserve"> </w:t>
      </w:r>
      <w:r w:rsidRPr="004A07BB">
        <w:rPr>
          <w:i/>
          <w:iCs/>
        </w:rPr>
        <w:t xml:space="preserve">et al </w:t>
      </w:r>
      <w:r w:rsidRPr="004A07BB">
        <w:t>draft bill, the substitute decision maker (SDM) plays</w:t>
      </w:r>
      <w:r w:rsidR="00967F25">
        <w:t xml:space="preserve"> </w:t>
      </w:r>
      <w:r w:rsidRPr="004A07BB">
        <w:t>a vital role. This defaults to the primary carer if one has not been appointed and the patient does not</w:t>
      </w:r>
      <w:r w:rsidR="00967F25">
        <w:t xml:space="preserve"> </w:t>
      </w:r>
      <w:r w:rsidR="00967F25" w:rsidRPr="00967F25">
        <w:t>object, although if she lacks capacity at the time, it may not be clear whether she objects or not. The</w:t>
      </w:r>
      <w:r w:rsidR="00967F25">
        <w:t xml:space="preserve"> </w:t>
      </w:r>
      <w:r w:rsidR="00967F25" w:rsidRPr="00967F25">
        <w:t>primary carer is consulted at various times in the provision of care and it is not clear what role she might</w:t>
      </w:r>
      <w:r w:rsidR="00967F25">
        <w:t xml:space="preserve"> </w:t>
      </w:r>
      <w:r w:rsidR="00967F25" w:rsidRPr="00967F25">
        <w:t>have in a tribunal.</w:t>
      </w:r>
    </w:p>
    <w:p w:rsidR="00967F25" w:rsidRPr="00967F25" w:rsidRDefault="00967F25" w:rsidP="00967F25">
      <w:r w:rsidRPr="00967F25">
        <w:t>There is a clear potential for conflict of interest. The named person provision in Scotland, whilst flawed,</w:t>
      </w:r>
      <w:r>
        <w:t xml:space="preserve"> </w:t>
      </w:r>
      <w:r w:rsidRPr="00967F25">
        <w:t>does allow that person to represent her own views and not those of the patient. It is not clear who would</w:t>
      </w:r>
      <w:r>
        <w:t xml:space="preserve"> </w:t>
      </w:r>
      <w:r w:rsidRPr="00967F25">
        <w:t>be appointed the SDM by a tribunal where one does not exist.</w:t>
      </w:r>
    </w:p>
    <w:p w:rsidR="00967F25" w:rsidRPr="00967F25" w:rsidRDefault="00967F25" w:rsidP="00967F25">
      <w:r w:rsidRPr="00967F25">
        <w:t>The default position in Scotland has caused some concern, as have the responsibilities of the named</w:t>
      </w:r>
      <w:r>
        <w:t xml:space="preserve"> </w:t>
      </w:r>
      <w:r w:rsidRPr="00967F25">
        <w:t>person</w:t>
      </w:r>
      <w:r>
        <w:rPr>
          <w:rStyle w:val="FootnoteReference"/>
        </w:rPr>
        <w:footnoteReference w:id="17"/>
      </w:r>
      <w:r w:rsidRPr="00967F25">
        <w:t xml:space="preserve">. </w:t>
      </w:r>
      <w:proofErr w:type="gramStart"/>
      <w:r w:rsidRPr="00967F25">
        <w:t>If it is intended that this work through a list of next of kin, there needs to be provision for a</w:t>
      </w:r>
      <w:r>
        <w:t xml:space="preserve"> </w:t>
      </w:r>
      <w:r w:rsidRPr="00967F25">
        <w:t>patient to make a blanket refusal of any nominated person, an issue which has been raised during the</w:t>
      </w:r>
      <w:r>
        <w:t xml:space="preserve"> </w:t>
      </w:r>
      <w:r w:rsidRPr="00967F25">
        <w:t>review of the law in Scotland</w:t>
      </w:r>
      <w:r>
        <w:rPr>
          <w:rStyle w:val="FootnoteReference"/>
        </w:rPr>
        <w:footnoteReference w:id="18"/>
      </w:r>
      <w:r w:rsidRPr="00967F25">
        <w:t>.</w:t>
      </w:r>
      <w:proofErr w:type="gramEnd"/>
    </w:p>
    <w:p w:rsidR="00967F25" w:rsidRPr="00967F25" w:rsidRDefault="00967F25" w:rsidP="00967F25">
      <w:r w:rsidRPr="00967F25">
        <w:t>In such cases, the necessity of the SDM role reverting to a public agency may be considered, as there will</w:t>
      </w:r>
      <w:r>
        <w:t xml:space="preserve"> </w:t>
      </w:r>
      <w:r w:rsidRPr="00967F25">
        <w:t>be three different scenarios: where a person never has had capacity, where a person who had capacity has</w:t>
      </w:r>
      <w:r>
        <w:t xml:space="preserve"> </w:t>
      </w:r>
      <w:r w:rsidRPr="00967F25">
        <w:t>lost it and will not regain it and a person with fluctuating capacity.</w:t>
      </w:r>
    </w:p>
    <w:p w:rsidR="00967F25" w:rsidRPr="00967F25" w:rsidRDefault="00967F25" w:rsidP="00967F25">
      <w:r w:rsidRPr="00967F25">
        <w:rPr>
          <w:i/>
          <w:iCs/>
        </w:rPr>
        <w:t xml:space="preserve">Independent advocates </w:t>
      </w:r>
      <w:r w:rsidRPr="00967F25">
        <w:t>If advocates are to be ‘instructed’ to represent a patient, it is not clear when this is</w:t>
      </w:r>
      <w:r>
        <w:t xml:space="preserve"> </w:t>
      </w:r>
      <w:r w:rsidRPr="00967F25">
        <w:t>done or by whom. If it falls to the tribunal, the problem of interim hearings will arise, as the advocate</w:t>
      </w:r>
      <w:r>
        <w:t xml:space="preserve"> </w:t>
      </w:r>
      <w:r w:rsidRPr="00967F25">
        <w:t>seeks time to consult with the patient.</w:t>
      </w:r>
    </w:p>
    <w:p w:rsidR="00967F25" w:rsidRPr="00967F25" w:rsidRDefault="00967F25" w:rsidP="00967F25">
      <w:r w:rsidRPr="00967F25">
        <w:t>The draft bill is perhaps somewhat unclear how far the advocate is following her own agenda on behalf</w:t>
      </w:r>
      <w:r>
        <w:t xml:space="preserve"> </w:t>
      </w:r>
      <w:r w:rsidRPr="00967F25">
        <w:t>of the patient, rather than simply representing the patient’s wishes</w:t>
      </w:r>
      <w:r>
        <w:rPr>
          <w:rStyle w:val="FootnoteReference"/>
        </w:rPr>
        <w:footnoteReference w:id="19"/>
      </w:r>
      <w:r w:rsidRPr="00967F25">
        <w:t>. Neither is it clear whether a patient</w:t>
      </w:r>
      <w:r>
        <w:t xml:space="preserve"> </w:t>
      </w:r>
      <w:r w:rsidRPr="00967F25">
        <w:t>can refuse the services of an advocate, particularly if she wishes to engage a lawyer. The resource</w:t>
      </w:r>
      <w:r>
        <w:t xml:space="preserve"> </w:t>
      </w:r>
      <w:r w:rsidRPr="00967F25">
        <w:t>implications of all patients at a tribunal having to have an advocate are considerable, and the Scottish</w:t>
      </w:r>
      <w:r>
        <w:t xml:space="preserve"> </w:t>
      </w:r>
      <w:r w:rsidRPr="00967F25">
        <w:t>experience could prove instructive.</w:t>
      </w:r>
    </w:p>
    <w:p w:rsidR="00967F25" w:rsidRPr="00967F25" w:rsidRDefault="00967F25" w:rsidP="00967F25">
      <w:r w:rsidRPr="00967F25">
        <w:rPr>
          <w:i/>
          <w:iCs/>
        </w:rPr>
        <w:t xml:space="preserve">Advance directives </w:t>
      </w:r>
      <w:proofErr w:type="gramStart"/>
      <w:r w:rsidRPr="00967F25">
        <w:t>As</w:t>
      </w:r>
      <w:proofErr w:type="gramEnd"/>
      <w:r w:rsidRPr="00967F25">
        <w:t xml:space="preserve"> described in the draft bill, advance directives have a narrow role, which is only to</w:t>
      </w:r>
      <w:r>
        <w:t xml:space="preserve"> </w:t>
      </w:r>
      <w:r w:rsidRPr="00967F25">
        <w:t>refuse certain interventions. Most mental health advance directives allow a person to consent to</w:t>
      </w:r>
      <w:r>
        <w:t xml:space="preserve"> </w:t>
      </w:r>
      <w:r w:rsidRPr="00967F25">
        <w:t>particular treatments as well as refuse, and many states in the USA allow for the appointment of a proxy</w:t>
      </w:r>
      <w:r>
        <w:t xml:space="preserve"> </w:t>
      </w:r>
      <w:r w:rsidRPr="00967F25">
        <w:t>decision maker</w:t>
      </w:r>
      <w:r>
        <w:rPr>
          <w:rStyle w:val="FootnoteReference"/>
        </w:rPr>
        <w:footnoteReference w:id="20"/>
      </w:r>
      <w:r w:rsidRPr="00967F25">
        <w:t>.</w:t>
      </w:r>
    </w:p>
    <w:p w:rsidR="00967F25" w:rsidRPr="00967F25" w:rsidRDefault="00967F25" w:rsidP="00967F25">
      <w:r w:rsidRPr="00967F25">
        <w:lastRenderedPageBreak/>
        <w:t>Although there is general agreement that a patient cannot ‘demand’ a certain treatment, many people</w:t>
      </w:r>
      <w:r>
        <w:t xml:space="preserve"> </w:t>
      </w:r>
      <w:r w:rsidRPr="00967F25">
        <w:t>with recurrent illness which affects their capacity find it helpful to outline their preferred course of</w:t>
      </w:r>
      <w:r>
        <w:t xml:space="preserve"> </w:t>
      </w:r>
      <w:r w:rsidRPr="00967F25">
        <w:t>treatment at such times, as well as wider issues around treatment and management. It is the wider issues</w:t>
      </w:r>
      <w:r>
        <w:t xml:space="preserve"> </w:t>
      </w:r>
      <w:r w:rsidRPr="00967F25">
        <w:t>which seem of particular interest to many in Scotland</w:t>
      </w:r>
      <w:r>
        <w:rPr>
          <w:rStyle w:val="FootnoteReference"/>
        </w:rPr>
        <w:footnoteReference w:id="21"/>
      </w:r>
      <w:r w:rsidRPr="00967F25">
        <w:t>.</w:t>
      </w:r>
    </w:p>
    <w:p w:rsidR="004A07BB" w:rsidRDefault="00967F25" w:rsidP="00967F25">
      <w:proofErr w:type="spellStart"/>
      <w:r w:rsidRPr="00967F25">
        <w:t>Szmukler</w:t>
      </w:r>
      <w:proofErr w:type="spellEnd"/>
      <w:r w:rsidRPr="00967F25">
        <w:t xml:space="preserve"> </w:t>
      </w:r>
      <w:r w:rsidRPr="00967F25">
        <w:rPr>
          <w:i/>
          <w:iCs/>
        </w:rPr>
        <w:t xml:space="preserve">et al </w:t>
      </w:r>
      <w:r w:rsidRPr="00967F25">
        <w:t>suggest that ‘</w:t>
      </w:r>
      <w:r w:rsidRPr="00967F25">
        <w:rPr>
          <w:i/>
          <w:iCs/>
        </w:rPr>
        <w:t>Such decisions may still be overridden when treatment without the consent of the</w:t>
      </w:r>
      <w:r>
        <w:rPr>
          <w:i/>
          <w:iCs/>
        </w:rPr>
        <w:t xml:space="preserve"> </w:t>
      </w:r>
      <w:r w:rsidRPr="00967F25">
        <w:rPr>
          <w:i/>
          <w:iCs/>
        </w:rPr>
        <w:t>person is expressly authorised by the Act’</w:t>
      </w:r>
      <w:r w:rsidRPr="00967F25">
        <w:t>. This suggestion, which would be weaker than the Scottish</w:t>
      </w:r>
      <w:r>
        <w:t xml:space="preserve"> </w:t>
      </w:r>
      <w:r w:rsidRPr="00967F25">
        <w:t>position</w:t>
      </w:r>
      <w:r>
        <w:rPr>
          <w:rStyle w:val="FootnoteReference"/>
        </w:rPr>
        <w:footnoteReference w:id="22"/>
      </w:r>
      <w:r w:rsidRPr="00967F25">
        <w:t>, will lead many who would otherwise consider making an advance directive to question their</w:t>
      </w:r>
      <w:r>
        <w:t xml:space="preserve"> </w:t>
      </w:r>
      <w:r w:rsidRPr="00967F25">
        <w:t>value. It raises questions as to whether the overruling of an advance directive only applies to a recurrent</w:t>
      </w:r>
      <w:r>
        <w:t xml:space="preserve"> </w:t>
      </w:r>
      <w:r w:rsidRPr="00967F25">
        <w:t>mental illness or may apply to other advance refusals of treatment.</w:t>
      </w:r>
    </w:p>
    <w:p w:rsidR="00967F25" w:rsidRDefault="00967F25" w:rsidP="00967F25">
      <w:r w:rsidRPr="00967F25">
        <w:t>If the advance refusal is upheld, consideration still needs to be given to whether a person can or should</w:t>
      </w:r>
      <w:r>
        <w:t xml:space="preserve"> </w:t>
      </w:r>
      <w:r w:rsidRPr="00967F25">
        <w:t xml:space="preserve">be detained (for her own or other’s safety) and not treated. If advance and current </w:t>
      </w:r>
      <w:proofErr w:type="spellStart"/>
      <w:r w:rsidRPr="00967F25">
        <w:t>capacitious</w:t>
      </w:r>
      <w:proofErr w:type="spellEnd"/>
      <w:r w:rsidRPr="00967F25">
        <w:t xml:space="preserve"> decisions</w:t>
      </w:r>
      <w:r>
        <w:t xml:space="preserve"> </w:t>
      </w:r>
      <w:r w:rsidRPr="00967F25">
        <w:t>are to be treated equally, then maybe treatment and detention must be considered separately, where it is</w:t>
      </w:r>
      <w:r>
        <w:t xml:space="preserve"> </w:t>
      </w:r>
      <w:r w:rsidRPr="00967F25">
        <w:t>possible to refuse treatment, but not detention. The issue is then whether it is appropriate to detain</w:t>
      </w:r>
      <w:r>
        <w:t xml:space="preserve"> </w:t>
      </w:r>
      <w:r w:rsidRPr="00967F25">
        <w:t>someone because of risk, and whether the level of risk to self or others is the same to warrant detention.</w:t>
      </w:r>
      <w:r>
        <w:t xml:space="preserve"> </w:t>
      </w:r>
      <w:r w:rsidRPr="00967F25">
        <w:t>The ramifications of this are considerable.</w:t>
      </w:r>
    </w:p>
    <w:p w:rsidR="00967F25" w:rsidRPr="00967F25" w:rsidRDefault="00967F25" w:rsidP="00967F25"/>
    <w:p w:rsidR="00967F25" w:rsidRPr="00967F25" w:rsidRDefault="00967F25" w:rsidP="00967F25">
      <w:pPr>
        <w:rPr>
          <w:b/>
          <w:bCs/>
          <w:sz w:val="24"/>
        </w:rPr>
      </w:pPr>
      <w:r w:rsidRPr="00967F25">
        <w:rPr>
          <w:b/>
          <w:bCs/>
          <w:sz w:val="24"/>
        </w:rPr>
        <w:t>Practicalities</w:t>
      </w:r>
    </w:p>
    <w:p w:rsidR="00967F25" w:rsidRPr="00967F25" w:rsidRDefault="00967F25" w:rsidP="00967F25">
      <w:r w:rsidRPr="00967F25">
        <w:t>Whilst practicalities should not stand in the way of safeguarding people’s rights, the opportunity cost</w:t>
      </w:r>
      <w:r>
        <w:t xml:space="preserve"> </w:t>
      </w:r>
      <w:r w:rsidRPr="00967F25">
        <w:t>attaching to them must be considered.</w:t>
      </w:r>
    </w:p>
    <w:p w:rsidR="00967F25" w:rsidRPr="00967F25" w:rsidRDefault="00967F25" w:rsidP="00967F25">
      <w:r w:rsidRPr="00967F25">
        <w:t>Tribunals, although welcomed in Scotland, have also caused the most concern, mainly over their demand</w:t>
      </w:r>
      <w:r>
        <w:t xml:space="preserve"> </w:t>
      </w:r>
      <w:r w:rsidRPr="00967F25">
        <w:t>on resources, ranging from medical time (each tribunal requires two doctors) to the comparatively high</w:t>
      </w:r>
      <w:r>
        <w:t xml:space="preserve"> </w:t>
      </w:r>
      <w:r w:rsidRPr="00967F25">
        <w:t>involvement of legal representation at hearings, with consequences for the legal aid budget and a</w:t>
      </w:r>
      <w:r>
        <w:t xml:space="preserve"> </w:t>
      </w:r>
      <w:r w:rsidRPr="00967F25">
        <w:t>perceived contribution to an unacceptably high number of interim hearings</w:t>
      </w:r>
      <w:r>
        <w:rPr>
          <w:rStyle w:val="FootnoteReference"/>
        </w:rPr>
        <w:footnoteReference w:id="23"/>
      </w:r>
      <w:r w:rsidRPr="00967F25">
        <w:t>.</w:t>
      </w:r>
    </w:p>
    <w:p w:rsidR="00967F25" w:rsidRPr="00967F25" w:rsidRDefault="00967F25" w:rsidP="00967F25">
      <w:r w:rsidRPr="00967F25">
        <w:t>An estimate is needed of the number of additional tribunals likely as a result of including treatment for</w:t>
      </w:r>
      <w:r>
        <w:t xml:space="preserve"> </w:t>
      </w:r>
      <w:r w:rsidRPr="00967F25">
        <w:t>physical conditions as well as mental disorders. A tribunal may be less threatening than a court, but in</w:t>
      </w:r>
      <w:r>
        <w:t xml:space="preserve"> </w:t>
      </w:r>
      <w:r w:rsidRPr="00967F25">
        <w:t>England family courts have a record of thoughtful decision-making and may be more appropriate for</w:t>
      </w:r>
      <w:r>
        <w:t xml:space="preserve"> </w:t>
      </w:r>
      <w:r w:rsidRPr="00967F25">
        <w:t>decisions such as end of life decisions or sterilization. We have seen similar trends in Scotland.</w:t>
      </w:r>
    </w:p>
    <w:p w:rsidR="00967F25" w:rsidRPr="00967F25" w:rsidRDefault="00967F25" w:rsidP="00967F25">
      <w:r w:rsidRPr="00967F25">
        <w:t>Where a tribunal is appropriate, it is not clear how quickly one can be requested and then held, for</w:t>
      </w:r>
      <w:r>
        <w:t xml:space="preserve"> </w:t>
      </w:r>
      <w:r w:rsidRPr="00967F25">
        <w:t>example, to deal with an end of life decision.</w:t>
      </w:r>
    </w:p>
    <w:p w:rsidR="00967F25" w:rsidRDefault="00967F25" w:rsidP="00967F25">
      <w:r w:rsidRPr="00967F25">
        <w:t xml:space="preserve">While the </w:t>
      </w:r>
      <w:r w:rsidRPr="00967F25">
        <w:rPr>
          <w:i/>
          <w:iCs/>
        </w:rPr>
        <w:t xml:space="preserve">Adults with Incapacity Act </w:t>
      </w:r>
      <w:proofErr w:type="gramStart"/>
      <w:r w:rsidRPr="00967F25">
        <w:t>was</w:t>
      </w:r>
      <w:proofErr w:type="gramEnd"/>
      <w:r w:rsidRPr="00967F25">
        <w:t xml:space="preserve"> passing through the Scottish Parliament, campaigners urged that</w:t>
      </w:r>
      <w:r>
        <w:t xml:space="preserve"> </w:t>
      </w:r>
      <w:r w:rsidRPr="00967F25">
        <w:t>the safeguards on medical treatment for informal patients lacking capacity, whether in hospital or nursing</w:t>
      </w:r>
      <w:r>
        <w:t xml:space="preserve"> </w:t>
      </w:r>
      <w:r w:rsidRPr="00967F25">
        <w:t>homes, should mirror mental health act safeguards. The government argued that the resource</w:t>
      </w:r>
      <w:r>
        <w:t xml:space="preserve"> </w:t>
      </w:r>
      <w:r w:rsidRPr="00967F25">
        <w:t xml:space="preserve">implications made this impractical. However we would welcome such safeguards. </w:t>
      </w:r>
      <w:r w:rsidRPr="00967F25">
        <w:lastRenderedPageBreak/>
        <w:t>Without them there is</w:t>
      </w:r>
      <w:r>
        <w:t xml:space="preserve"> </w:t>
      </w:r>
      <w:r w:rsidRPr="00967F25">
        <w:t>no check on the appropriateness of treatment such as the use of anti-psychotic medication. This has been</w:t>
      </w:r>
      <w:r>
        <w:t xml:space="preserve"> </w:t>
      </w:r>
      <w:r w:rsidRPr="00967F25">
        <w:t>a problem in Scotland and elsewhere</w:t>
      </w:r>
      <w:r>
        <w:rPr>
          <w:rStyle w:val="FootnoteReference"/>
        </w:rPr>
        <w:footnoteReference w:id="24"/>
      </w:r>
      <w:r w:rsidRPr="00967F25">
        <w:t>.</w:t>
      </w:r>
    </w:p>
    <w:p w:rsidR="00967F25" w:rsidRPr="00967F25" w:rsidRDefault="00967F25" w:rsidP="00967F25"/>
    <w:p w:rsidR="00967F25" w:rsidRPr="00967F25" w:rsidRDefault="00967F25" w:rsidP="00967F25">
      <w:pPr>
        <w:rPr>
          <w:b/>
          <w:bCs/>
          <w:sz w:val="24"/>
        </w:rPr>
      </w:pPr>
      <w:r w:rsidRPr="00967F25">
        <w:rPr>
          <w:b/>
          <w:bCs/>
          <w:sz w:val="24"/>
        </w:rPr>
        <w:t>Forensic issues</w:t>
      </w:r>
    </w:p>
    <w:p w:rsidR="00967F25" w:rsidRPr="00967F25" w:rsidRDefault="00967F25" w:rsidP="00967F25">
      <w:r w:rsidRPr="00967F25">
        <w:t>While importing the capacity approach to the criminal justice system is logically attractive, we have some</w:t>
      </w:r>
      <w:r>
        <w:t xml:space="preserve"> </w:t>
      </w:r>
      <w:r w:rsidRPr="00967F25">
        <w:t>concerns about its impact in practice. Scotland has not adopted this approach. If the courts decide that</w:t>
      </w:r>
      <w:r>
        <w:t xml:space="preserve"> </w:t>
      </w:r>
      <w:r w:rsidRPr="00967F25">
        <w:t>an offender has a mental disorder, that she could benefit from treatment and that this is the most</w:t>
      </w:r>
      <w:r>
        <w:t xml:space="preserve"> </w:t>
      </w:r>
      <w:r w:rsidRPr="00967F25">
        <w:t>appropriate disposal, it may make an order whether or not the person consents and whether or not she</w:t>
      </w:r>
      <w:r>
        <w:t xml:space="preserve"> </w:t>
      </w:r>
      <w:r w:rsidRPr="00967F25">
        <w:t>has the ability to consent</w:t>
      </w:r>
      <w:r w:rsidR="00D3774E">
        <w:rPr>
          <w:rStyle w:val="FootnoteReference"/>
        </w:rPr>
        <w:footnoteReference w:id="25"/>
      </w:r>
      <w:r w:rsidRPr="00967F25">
        <w:t>. It may, of course, pass no sentence or a lesser sentence (such as probation)</w:t>
      </w:r>
      <w:r>
        <w:t xml:space="preserve"> </w:t>
      </w:r>
      <w:r w:rsidRPr="00967F25">
        <w:t>where a person agrees to treatment.</w:t>
      </w:r>
    </w:p>
    <w:p w:rsidR="00D3774E" w:rsidRPr="00D3774E" w:rsidRDefault="00967F25" w:rsidP="00D3774E">
      <w:r w:rsidRPr="00967F25">
        <w:t>It could be argued that this approach threatens the ethical principle of respect for the patient’s autonomy,</w:t>
      </w:r>
      <w:r>
        <w:t xml:space="preserve"> </w:t>
      </w:r>
      <w:r w:rsidRPr="00967F25">
        <w:t>which is at the heart of the capacity test. However a person who has been convicted of a crime (or who</w:t>
      </w:r>
      <w:r w:rsidR="00D3774E">
        <w:t xml:space="preserve"> </w:t>
      </w:r>
      <w:r w:rsidR="00D3774E" w:rsidRPr="00D3774E">
        <w:t>has been found not guilty by reason of insanity) has already compromised her autonomy. These are not</w:t>
      </w:r>
      <w:r w:rsidR="00D3774E">
        <w:t xml:space="preserve"> </w:t>
      </w:r>
      <w:r w:rsidR="00D3774E" w:rsidRPr="00D3774E">
        <w:t>discriminatory provisions. A person with no mental disorder may similarly face detention in prison.</w:t>
      </w:r>
    </w:p>
    <w:p w:rsidR="00D3774E" w:rsidRPr="00D3774E" w:rsidRDefault="00D3774E" w:rsidP="00D3774E">
      <w:r w:rsidRPr="00D3774E">
        <w:t xml:space="preserve">On the other hand, insofar as the suggestions from </w:t>
      </w:r>
      <w:proofErr w:type="spellStart"/>
      <w:r w:rsidRPr="00D3774E">
        <w:t>Szmukler</w:t>
      </w:r>
      <w:proofErr w:type="spellEnd"/>
      <w:r w:rsidRPr="00D3774E">
        <w:t xml:space="preserve"> </w:t>
      </w:r>
      <w:r w:rsidRPr="00D3774E">
        <w:rPr>
          <w:i/>
          <w:iCs/>
        </w:rPr>
        <w:t xml:space="preserve">et al </w:t>
      </w:r>
      <w:r w:rsidRPr="00D3774E">
        <w:t>reflect the principle of minimum</w:t>
      </w:r>
      <w:r>
        <w:t xml:space="preserve"> </w:t>
      </w:r>
      <w:r w:rsidRPr="00D3774E">
        <w:t>necessary intervention, they require serious consideration. Could a hospital direction contain two</w:t>
      </w:r>
      <w:r>
        <w:t xml:space="preserve"> </w:t>
      </w:r>
      <w:r w:rsidRPr="00D3774E">
        <w:t>strands: compulsory detention in hospital linked to a prison sentence, or voluntary admission to hospital</w:t>
      </w:r>
      <w:r>
        <w:t xml:space="preserve"> </w:t>
      </w:r>
      <w:r w:rsidRPr="00D3774E">
        <w:t>linked to a prison sentence? Why should not prisons be able to transfer a prisoner to hospital where she</w:t>
      </w:r>
      <w:r>
        <w:t xml:space="preserve"> </w:t>
      </w:r>
      <w:r w:rsidRPr="00D3774E">
        <w:t>agrees the need for treatment? The current provisions appear to discriminate against prisoners with</w:t>
      </w:r>
      <w:r>
        <w:t xml:space="preserve"> </w:t>
      </w:r>
      <w:r w:rsidRPr="00D3774E">
        <w:t>mental health needs. If a prisoner has a physical health need, she will be treated voluntarily, unless she is</w:t>
      </w:r>
      <w:r>
        <w:t xml:space="preserve"> </w:t>
      </w:r>
      <w:r w:rsidRPr="00D3774E">
        <w:t>incapable of taking the decision in question. The same should apply to prisoners with mental health</w:t>
      </w:r>
      <w:r>
        <w:t xml:space="preserve"> </w:t>
      </w:r>
      <w:r w:rsidRPr="00D3774E">
        <w:t>needs, who should not become subject to mental health act provisions unless these are otherwise</w:t>
      </w:r>
      <w:r>
        <w:t xml:space="preserve"> </w:t>
      </w:r>
      <w:r w:rsidRPr="00D3774E">
        <w:t>appropriate.</w:t>
      </w:r>
    </w:p>
    <w:p w:rsidR="00D3774E" w:rsidRPr="00D3774E" w:rsidRDefault="00D3774E" w:rsidP="00D3774E">
      <w:r w:rsidRPr="00D3774E">
        <w:t>Other proposals appear somewhat more controversial. Should a capable person be able to refuse remand</w:t>
      </w:r>
      <w:r>
        <w:t xml:space="preserve"> </w:t>
      </w:r>
      <w:r w:rsidRPr="00D3774E">
        <w:t>for psychiatric reports? And how is her capacity to refuse to be measured without such reports? If a</w:t>
      </w:r>
      <w:r>
        <w:t xml:space="preserve"> </w:t>
      </w:r>
      <w:r w:rsidRPr="00D3774E">
        <w:t>person’s mental disorder means that prison staff are unable to care for her, is it appropriate for her to be</w:t>
      </w:r>
      <w:r>
        <w:t xml:space="preserve"> </w:t>
      </w:r>
      <w:r w:rsidRPr="00D3774E">
        <w:t>able to refuse a transfer to hospital, on the grounds that only she has the capacity to make the decision?</w:t>
      </w:r>
    </w:p>
    <w:p w:rsidR="00D3774E" w:rsidRPr="00D3774E" w:rsidRDefault="00D3774E" w:rsidP="00D3774E">
      <w:r w:rsidRPr="00D3774E">
        <w:t>Any new legislation will involve a balancing of competing ethical priorities, and each jurisdiction must</w:t>
      </w:r>
      <w:r>
        <w:t xml:space="preserve"> </w:t>
      </w:r>
      <w:r w:rsidRPr="00D3774E">
        <w:t>set the scales where it seems appropriate. We can only say that we do not think an approach based solely</w:t>
      </w:r>
      <w:r>
        <w:t xml:space="preserve"> </w:t>
      </w:r>
      <w:r w:rsidRPr="00D3774E">
        <w:t>on capacity would be acceptable in Scotland.</w:t>
      </w:r>
    </w:p>
    <w:p w:rsidR="00D3774E" w:rsidRDefault="00D3774E" w:rsidP="00D3774E">
      <w:r w:rsidRPr="00D3774E">
        <w:t>Finally, Scotland has effectively reduced one important area of discrimination in the criminal justice</w:t>
      </w:r>
      <w:r>
        <w:t xml:space="preserve"> </w:t>
      </w:r>
      <w:r w:rsidRPr="00D3774E">
        <w:t>system. Following the recommendations of the MacLean Committee</w:t>
      </w:r>
      <w:r>
        <w:rPr>
          <w:rStyle w:val="FootnoteReference"/>
        </w:rPr>
        <w:footnoteReference w:id="26"/>
      </w:r>
      <w:r w:rsidRPr="00D3774E">
        <w:t>, where a person has committed a</w:t>
      </w:r>
      <w:r>
        <w:t xml:space="preserve"> </w:t>
      </w:r>
      <w:r w:rsidRPr="00D3774E">
        <w:t>serious, violent or sexual offence, the court may impose an order for lifelong restriction. This means that</w:t>
      </w:r>
      <w:r>
        <w:t xml:space="preserve"> </w:t>
      </w:r>
      <w:r w:rsidRPr="00D3774E">
        <w:t xml:space="preserve">decisions about the person’s discharge are subject to risk assessment by the Risk </w:t>
      </w:r>
      <w:r w:rsidRPr="00D3774E">
        <w:lastRenderedPageBreak/>
        <w:t>Management Authority,</w:t>
      </w:r>
      <w:r>
        <w:t xml:space="preserve"> </w:t>
      </w:r>
      <w:r w:rsidRPr="00D3774E">
        <w:t>whose remit covers both those with and without mental disorders</w:t>
      </w:r>
      <w:r>
        <w:rPr>
          <w:rStyle w:val="FootnoteReference"/>
        </w:rPr>
        <w:footnoteReference w:id="27"/>
      </w:r>
      <w:r w:rsidRPr="00D3774E">
        <w:t>. We welcome this approach, which</w:t>
      </w:r>
      <w:r>
        <w:t xml:space="preserve"> </w:t>
      </w:r>
      <w:r w:rsidRPr="00D3774E">
        <w:t>singles out risk, rather than diagnosis, as the basis of decision-making.</w:t>
      </w:r>
    </w:p>
    <w:p w:rsidR="00D3774E" w:rsidRPr="00D3774E" w:rsidRDefault="00D3774E" w:rsidP="00D3774E"/>
    <w:p w:rsidR="00D3774E" w:rsidRPr="00D3774E" w:rsidRDefault="00D3774E" w:rsidP="00D3774E">
      <w:pPr>
        <w:rPr>
          <w:b/>
          <w:bCs/>
          <w:sz w:val="24"/>
        </w:rPr>
      </w:pPr>
      <w:r w:rsidRPr="00D3774E">
        <w:rPr>
          <w:b/>
          <w:bCs/>
          <w:sz w:val="24"/>
        </w:rPr>
        <w:t>Conclusion</w:t>
      </w:r>
    </w:p>
    <w:p w:rsidR="00967F25" w:rsidRDefault="00D3774E" w:rsidP="00D3774E">
      <w:proofErr w:type="spellStart"/>
      <w:r w:rsidRPr="00D3774E">
        <w:t>Szmukler</w:t>
      </w:r>
      <w:proofErr w:type="spellEnd"/>
      <w:r w:rsidRPr="00D3774E">
        <w:t>, Daw and Dawson have shown that a fused capacity law is possible, at least in the field of</w:t>
      </w:r>
      <w:r>
        <w:t xml:space="preserve"> </w:t>
      </w:r>
      <w:r w:rsidRPr="00D3774E">
        <w:t>medical decision-making. While points of detail or emphasis may vary, this ambitious paper gives us a</w:t>
      </w:r>
      <w:r>
        <w:t xml:space="preserve"> </w:t>
      </w:r>
      <w:r w:rsidRPr="00D3774E">
        <w:t>useful opportunity to discuss the form and pu</w:t>
      </w:r>
      <w:bookmarkStart w:id="0" w:name="_GoBack"/>
      <w:bookmarkEnd w:id="0"/>
      <w:r w:rsidRPr="00D3774E">
        <w:t>rpose of mental health and incapacity law.</w:t>
      </w:r>
    </w:p>
    <w:sectPr w:rsidR="00967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BB" w:rsidRDefault="004A07BB" w:rsidP="004A07BB">
      <w:pPr>
        <w:spacing w:after="0" w:line="240" w:lineRule="auto"/>
      </w:pPr>
      <w:r>
        <w:separator/>
      </w:r>
    </w:p>
  </w:endnote>
  <w:endnote w:type="continuationSeparator" w:id="0">
    <w:p w:rsidR="004A07BB" w:rsidRDefault="004A07BB" w:rsidP="004A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BB" w:rsidRDefault="004A07BB" w:rsidP="004A07BB">
      <w:pPr>
        <w:spacing w:after="0" w:line="240" w:lineRule="auto"/>
      </w:pPr>
      <w:r>
        <w:separator/>
      </w:r>
    </w:p>
  </w:footnote>
  <w:footnote w:type="continuationSeparator" w:id="0">
    <w:p w:rsidR="004A07BB" w:rsidRDefault="004A07BB" w:rsidP="004A07BB">
      <w:pPr>
        <w:spacing w:after="0" w:line="240" w:lineRule="auto"/>
      </w:pPr>
      <w:r>
        <w:continuationSeparator/>
      </w:r>
    </w:p>
  </w:footnote>
  <w:footnote w:id="1">
    <w:p w:rsidR="004A07BB" w:rsidRPr="004A07BB" w:rsidRDefault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Professor of Mental Health Policy, University of Glasgow</w:t>
      </w:r>
    </w:p>
  </w:footnote>
  <w:footnote w:id="2">
    <w:p w:rsidR="004A07BB" w:rsidRPr="004A07BB" w:rsidRDefault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Honorary Fellow, School of Law, University of Edinburgh</w:t>
      </w:r>
    </w:p>
  </w:footnote>
  <w:footnote w:id="3">
    <w:p w:rsidR="004A07BB" w:rsidRPr="004A07BB" w:rsidRDefault="004A07BB" w:rsidP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</w:t>
      </w:r>
      <w:r w:rsidRPr="004A07BB">
        <w:rPr>
          <w:sz w:val="16"/>
        </w:rPr>
        <w:t>Social Exclusion Unit Mental health and social exclusion:</w:t>
      </w:r>
      <w:r w:rsidRPr="004A07BB">
        <w:rPr>
          <w:sz w:val="16"/>
        </w:rPr>
        <w:t xml:space="preserve"> </w:t>
      </w:r>
      <w:r w:rsidRPr="004A07BB">
        <w:rPr>
          <w:sz w:val="16"/>
        </w:rPr>
        <w:t>Office of the Deputy Prime Minister (2004).</w:t>
      </w:r>
    </w:p>
  </w:footnote>
  <w:footnote w:id="4">
    <w:p w:rsidR="004A07BB" w:rsidRPr="004A07BB" w:rsidRDefault="004A07BB" w:rsidP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</w:t>
      </w:r>
      <w:r w:rsidRPr="004A07BB">
        <w:rPr>
          <w:sz w:val="16"/>
        </w:rPr>
        <w:t>M Gunn ‘Reforms of the Mental Health Act 1983: The</w:t>
      </w:r>
      <w:r w:rsidRPr="004A07BB">
        <w:rPr>
          <w:sz w:val="16"/>
        </w:rPr>
        <w:t xml:space="preserve"> </w:t>
      </w:r>
      <w:r w:rsidRPr="004A07BB">
        <w:rPr>
          <w:sz w:val="16"/>
        </w:rPr>
        <w:t>relevance of capacity to make decisions’ Journal of Mental</w:t>
      </w:r>
      <w:r w:rsidRPr="004A07BB">
        <w:rPr>
          <w:sz w:val="16"/>
        </w:rPr>
        <w:t xml:space="preserve"> </w:t>
      </w:r>
      <w:r w:rsidRPr="004A07BB">
        <w:rPr>
          <w:sz w:val="16"/>
        </w:rPr>
        <w:t xml:space="preserve">Health Law (2000) 39; Dawson, J, </w:t>
      </w:r>
      <w:proofErr w:type="spellStart"/>
      <w:r w:rsidRPr="004A07BB">
        <w:rPr>
          <w:sz w:val="16"/>
        </w:rPr>
        <w:t>Szmukler</w:t>
      </w:r>
      <w:proofErr w:type="spellEnd"/>
      <w:r w:rsidRPr="004A07BB">
        <w:rPr>
          <w:sz w:val="16"/>
        </w:rPr>
        <w:t xml:space="preserve"> G (2006)</w:t>
      </w:r>
      <w:r w:rsidRPr="004A07BB">
        <w:rPr>
          <w:sz w:val="16"/>
        </w:rPr>
        <w:t xml:space="preserve"> </w:t>
      </w:r>
      <w:r w:rsidRPr="004A07BB">
        <w:rPr>
          <w:sz w:val="16"/>
        </w:rPr>
        <w:t>‘Fusion of mental health and incapacity legislation’ Br J</w:t>
      </w:r>
      <w:r w:rsidRPr="004A07BB">
        <w:rPr>
          <w:sz w:val="16"/>
        </w:rPr>
        <w:t xml:space="preserve"> </w:t>
      </w:r>
      <w:r w:rsidRPr="004A07BB">
        <w:rPr>
          <w:sz w:val="16"/>
        </w:rPr>
        <w:t>Psychiatry, 188:504–509.</w:t>
      </w:r>
    </w:p>
  </w:footnote>
  <w:footnote w:id="5">
    <w:p w:rsidR="004A07BB" w:rsidRPr="004A07BB" w:rsidRDefault="004A07BB" w:rsidP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</w:t>
      </w:r>
      <w:proofErr w:type="spellStart"/>
      <w:r w:rsidRPr="004A07BB">
        <w:rPr>
          <w:sz w:val="16"/>
        </w:rPr>
        <w:t>Bamford</w:t>
      </w:r>
      <w:proofErr w:type="spellEnd"/>
      <w:r w:rsidRPr="004A07BB">
        <w:rPr>
          <w:sz w:val="16"/>
        </w:rPr>
        <w:t xml:space="preserve"> Review of Mental Health and Learning</w:t>
      </w:r>
      <w:r w:rsidRPr="004A07BB">
        <w:rPr>
          <w:sz w:val="16"/>
        </w:rPr>
        <w:t xml:space="preserve"> </w:t>
      </w:r>
      <w:r w:rsidRPr="004A07BB">
        <w:rPr>
          <w:sz w:val="16"/>
        </w:rPr>
        <w:t xml:space="preserve">Disability (Northern Ireland) (2007) </w:t>
      </w:r>
      <w:proofErr w:type="gramStart"/>
      <w:r w:rsidRPr="004A07BB">
        <w:rPr>
          <w:sz w:val="16"/>
        </w:rPr>
        <w:t>A</w:t>
      </w:r>
      <w:proofErr w:type="gramEnd"/>
      <w:r w:rsidRPr="004A07BB">
        <w:rPr>
          <w:sz w:val="16"/>
        </w:rPr>
        <w:t xml:space="preserve"> comprehensive</w:t>
      </w:r>
      <w:r w:rsidRPr="004A07BB">
        <w:rPr>
          <w:sz w:val="16"/>
        </w:rPr>
        <w:t xml:space="preserve"> </w:t>
      </w:r>
      <w:r w:rsidRPr="004A07BB">
        <w:rPr>
          <w:sz w:val="16"/>
        </w:rPr>
        <w:t>legislative framework.</w:t>
      </w:r>
    </w:p>
  </w:footnote>
  <w:footnote w:id="6">
    <w:p w:rsidR="004A07BB" w:rsidRPr="004A07BB" w:rsidRDefault="004A07BB" w:rsidP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</w:t>
      </w:r>
      <w:r w:rsidRPr="004A07BB">
        <w:rPr>
          <w:sz w:val="16"/>
        </w:rPr>
        <w:t xml:space="preserve">G </w:t>
      </w:r>
      <w:proofErr w:type="spellStart"/>
      <w:r w:rsidRPr="004A07BB">
        <w:rPr>
          <w:sz w:val="16"/>
        </w:rPr>
        <w:t>Thornicroft</w:t>
      </w:r>
      <w:proofErr w:type="spellEnd"/>
      <w:r w:rsidRPr="004A07BB">
        <w:rPr>
          <w:sz w:val="16"/>
        </w:rPr>
        <w:t xml:space="preserve"> ‘</w:t>
      </w:r>
      <w:proofErr w:type="gramStart"/>
      <w:r w:rsidRPr="004A07BB">
        <w:rPr>
          <w:sz w:val="16"/>
        </w:rPr>
        <w:t>Shunned</w:t>
      </w:r>
      <w:proofErr w:type="gramEnd"/>
      <w:r w:rsidRPr="004A07BB">
        <w:rPr>
          <w:sz w:val="16"/>
        </w:rPr>
        <w:t>: discrimination against people</w:t>
      </w:r>
      <w:r w:rsidRPr="004A07BB">
        <w:rPr>
          <w:sz w:val="16"/>
        </w:rPr>
        <w:t xml:space="preserve"> </w:t>
      </w:r>
      <w:r w:rsidRPr="004A07BB">
        <w:rPr>
          <w:sz w:val="16"/>
        </w:rPr>
        <w:t>with mental illness’ OUP (2007).</w:t>
      </w:r>
    </w:p>
  </w:footnote>
  <w:footnote w:id="7">
    <w:p w:rsidR="004A07BB" w:rsidRPr="004A07BB" w:rsidRDefault="004A07BB" w:rsidP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</w:t>
      </w:r>
      <w:proofErr w:type="gramStart"/>
      <w:r w:rsidRPr="004A07BB">
        <w:rPr>
          <w:sz w:val="16"/>
        </w:rPr>
        <w:t>Mental Health (Care and Treatment) (Scotland) Act</w:t>
      </w:r>
      <w:r w:rsidRPr="004A07BB">
        <w:rPr>
          <w:sz w:val="16"/>
        </w:rPr>
        <w:t xml:space="preserve"> </w:t>
      </w:r>
      <w:r w:rsidRPr="004A07BB">
        <w:rPr>
          <w:sz w:val="16"/>
        </w:rPr>
        <w:t>2003, s259.</w:t>
      </w:r>
      <w:proofErr w:type="gramEnd"/>
    </w:p>
  </w:footnote>
  <w:footnote w:id="8">
    <w:p w:rsidR="004A07BB" w:rsidRPr="004A07BB" w:rsidRDefault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</w:t>
      </w:r>
      <w:proofErr w:type="gramStart"/>
      <w:r w:rsidRPr="004A07BB">
        <w:rPr>
          <w:sz w:val="16"/>
        </w:rPr>
        <w:t>MH(</w:t>
      </w:r>
      <w:proofErr w:type="gramEnd"/>
      <w:r w:rsidRPr="004A07BB">
        <w:rPr>
          <w:sz w:val="16"/>
        </w:rPr>
        <w:t>CT)(S)A 2003, ss25–8.</w:t>
      </w:r>
    </w:p>
  </w:footnote>
  <w:footnote w:id="9">
    <w:p w:rsidR="004A07BB" w:rsidRPr="004A07BB" w:rsidRDefault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See, for example, </w:t>
      </w:r>
      <w:proofErr w:type="gramStart"/>
      <w:r w:rsidRPr="004A07BB">
        <w:rPr>
          <w:sz w:val="16"/>
        </w:rPr>
        <w:t>MH(</w:t>
      </w:r>
      <w:proofErr w:type="gramEnd"/>
      <w:r w:rsidRPr="004A07BB">
        <w:rPr>
          <w:sz w:val="16"/>
        </w:rPr>
        <w:t>CT)(S)A 2003, ss44(4), 63(5).</w:t>
      </w:r>
    </w:p>
  </w:footnote>
  <w:footnote w:id="10">
    <w:p w:rsidR="004A07BB" w:rsidRPr="004A07BB" w:rsidRDefault="004A07BB" w:rsidP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</w:t>
      </w:r>
      <w:r w:rsidRPr="004A07BB">
        <w:rPr>
          <w:sz w:val="16"/>
        </w:rPr>
        <w:t>H Patrick ‘Autonomy, benefit and protection: How human</w:t>
      </w:r>
      <w:r w:rsidRPr="004A07BB">
        <w:rPr>
          <w:sz w:val="16"/>
        </w:rPr>
        <w:t xml:space="preserve"> </w:t>
      </w:r>
      <w:r w:rsidRPr="004A07BB">
        <w:rPr>
          <w:sz w:val="16"/>
        </w:rPr>
        <w:t>rights law can protect people with mental health conditions</w:t>
      </w:r>
      <w:r w:rsidRPr="004A07BB">
        <w:rPr>
          <w:sz w:val="16"/>
        </w:rPr>
        <w:t xml:space="preserve"> </w:t>
      </w:r>
      <w:r w:rsidRPr="004A07BB">
        <w:rPr>
          <w:sz w:val="16"/>
        </w:rPr>
        <w:t>or learning disabilities from unlawful deprivation of liberty’</w:t>
      </w:r>
      <w:r w:rsidRPr="004A07BB">
        <w:rPr>
          <w:sz w:val="16"/>
        </w:rPr>
        <w:t xml:space="preserve"> </w:t>
      </w:r>
      <w:r w:rsidRPr="004A07BB">
        <w:rPr>
          <w:sz w:val="16"/>
        </w:rPr>
        <w:t>Mental Welfare Commission (2008).</w:t>
      </w:r>
    </w:p>
  </w:footnote>
  <w:footnote w:id="11">
    <w:p w:rsidR="004A07BB" w:rsidRPr="004A07BB" w:rsidRDefault="004A07BB" w:rsidP="004A07BB">
      <w:pPr>
        <w:pStyle w:val="FootnoteText"/>
        <w:rPr>
          <w:sz w:val="16"/>
        </w:rPr>
      </w:pPr>
      <w:r w:rsidRPr="004A07BB">
        <w:rPr>
          <w:rStyle w:val="FootnoteReference"/>
          <w:sz w:val="16"/>
        </w:rPr>
        <w:footnoteRef/>
      </w:r>
      <w:r w:rsidRPr="004A07BB">
        <w:rPr>
          <w:sz w:val="16"/>
        </w:rPr>
        <w:t xml:space="preserve"> </w:t>
      </w:r>
      <w:r w:rsidRPr="004A07BB">
        <w:rPr>
          <w:sz w:val="16"/>
        </w:rPr>
        <w:t>New directions Report on the review of the Mental Health</w:t>
      </w:r>
      <w:r w:rsidRPr="004A07BB">
        <w:rPr>
          <w:sz w:val="16"/>
        </w:rPr>
        <w:t xml:space="preserve"> </w:t>
      </w:r>
      <w:r w:rsidRPr="004A07BB">
        <w:rPr>
          <w:sz w:val="16"/>
        </w:rPr>
        <w:t>(Scotland) Act 1984 Scottish Executive (2001),</w:t>
      </w:r>
      <w:r w:rsidRPr="004A07BB">
        <w:rPr>
          <w:sz w:val="16"/>
        </w:rPr>
        <w:t xml:space="preserve"> </w:t>
      </w:r>
      <w:r w:rsidRPr="004A07BB">
        <w:rPr>
          <w:sz w:val="16"/>
        </w:rPr>
        <w:t>recommendation 2.1.</w:t>
      </w:r>
    </w:p>
  </w:footnote>
  <w:footnote w:id="12">
    <w:p w:rsidR="004A07BB" w:rsidRPr="00967F25" w:rsidRDefault="004A07BB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</w:t>
      </w:r>
      <w:proofErr w:type="gramStart"/>
      <w:r w:rsidRPr="00967F25">
        <w:rPr>
          <w:sz w:val="16"/>
        </w:rPr>
        <w:t>New directions (above) recommendation 4.6.</w:t>
      </w:r>
      <w:proofErr w:type="gramEnd"/>
    </w:p>
  </w:footnote>
  <w:footnote w:id="13">
    <w:p w:rsidR="00967F25" w:rsidRPr="00967F25" w:rsidRDefault="00967F25" w:rsidP="00967F25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</w:t>
      </w:r>
      <w:proofErr w:type="gramStart"/>
      <w:r w:rsidRPr="00967F25">
        <w:rPr>
          <w:sz w:val="16"/>
        </w:rPr>
        <w:t>Department of Health 1999, Report of the Expert</w:t>
      </w:r>
      <w:r w:rsidRPr="00967F25">
        <w:rPr>
          <w:sz w:val="16"/>
        </w:rPr>
        <w:t xml:space="preserve"> </w:t>
      </w:r>
      <w:r w:rsidRPr="00967F25">
        <w:rPr>
          <w:sz w:val="16"/>
        </w:rPr>
        <w:t>Committee Review of the Mental Health Act 1983, para</w:t>
      </w:r>
      <w:r w:rsidRPr="00967F25">
        <w:rPr>
          <w:sz w:val="16"/>
        </w:rPr>
        <w:t xml:space="preserve"> </w:t>
      </w:r>
      <w:r w:rsidRPr="00967F25">
        <w:rPr>
          <w:sz w:val="16"/>
        </w:rPr>
        <w:t>5.97.</w:t>
      </w:r>
      <w:proofErr w:type="gramEnd"/>
    </w:p>
  </w:footnote>
  <w:footnote w:id="14">
    <w:p w:rsidR="00967F25" w:rsidRPr="00967F25" w:rsidRDefault="00967F25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Ibid.</w:t>
      </w:r>
    </w:p>
  </w:footnote>
  <w:footnote w:id="15">
    <w:p w:rsidR="00967F25" w:rsidRPr="00967F25" w:rsidRDefault="00967F25" w:rsidP="00967F25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</w:t>
      </w:r>
      <w:r w:rsidRPr="00967F25">
        <w:rPr>
          <w:sz w:val="16"/>
        </w:rPr>
        <w:t>Funded by the Nuffield Foundation: An exploration of the</w:t>
      </w:r>
      <w:r w:rsidRPr="00967F25">
        <w:rPr>
          <w:sz w:val="16"/>
        </w:rPr>
        <w:t xml:space="preserve"> </w:t>
      </w:r>
      <w:r w:rsidRPr="00967F25">
        <w:rPr>
          <w:sz w:val="16"/>
        </w:rPr>
        <w:t>understanding and use of the ‘impaired ability’ criteria for</w:t>
      </w:r>
      <w:r w:rsidRPr="00967F25">
        <w:rPr>
          <w:sz w:val="16"/>
        </w:rPr>
        <w:t xml:space="preserve"> </w:t>
      </w:r>
      <w:r w:rsidRPr="00967F25">
        <w:rPr>
          <w:sz w:val="16"/>
        </w:rPr>
        <w:t>compulsory treatment in the Mental Health (Care and</w:t>
      </w:r>
      <w:r w:rsidRPr="00967F25">
        <w:rPr>
          <w:sz w:val="16"/>
        </w:rPr>
        <w:t xml:space="preserve"> </w:t>
      </w:r>
      <w:r w:rsidRPr="00967F25">
        <w:rPr>
          <w:sz w:val="16"/>
        </w:rPr>
        <w:t>Treatment) (Scotland) Act 2003.</w:t>
      </w:r>
    </w:p>
  </w:footnote>
  <w:footnote w:id="16">
    <w:p w:rsidR="00967F25" w:rsidRPr="00967F25" w:rsidRDefault="00967F25" w:rsidP="00967F25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</w:t>
      </w:r>
      <w:r w:rsidRPr="00967F25">
        <w:rPr>
          <w:sz w:val="16"/>
        </w:rPr>
        <w:t>Published August 2009</w:t>
      </w:r>
      <w:r w:rsidRPr="00967F25">
        <w:rPr>
          <w:sz w:val="16"/>
        </w:rPr>
        <w:t xml:space="preserve"> </w:t>
      </w:r>
      <w:hyperlink r:id="rId1" w:history="1">
        <w:r w:rsidRPr="00967F25">
          <w:rPr>
            <w:rStyle w:val="Hyperlink"/>
            <w:sz w:val="16"/>
          </w:rPr>
          <w:t>www.scotland.gov.uk/Publication/2009/08/07143902/0</w:t>
        </w:r>
      </w:hyperlink>
      <w:r w:rsidRPr="00967F25">
        <w:rPr>
          <w:sz w:val="16"/>
        </w:rPr>
        <w:t>.</w:t>
      </w:r>
      <w:r w:rsidRPr="00967F25">
        <w:rPr>
          <w:sz w:val="16"/>
        </w:rPr>
        <w:t xml:space="preserve"> </w:t>
      </w:r>
    </w:p>
  </w:footnote>
  <w:footnote w:id="17">
    <w:p w:rsidR="00967F25" w:rsidRPr="00967F25" w:rsidRDefault="00967F25" w:rsidP="00967F25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</w:t>
      </w:r>
      <w:proofErr w:type="spellStart"/>
      <w:r w:rsidRPr="00967F25">
        <w:rPr>
          <w:sz w:val="16"/>
        </w:rPr>
        <w:t>Berzins</w:t>
      </w:r>
      <w:proofErr w:type="spellEnd"/>
      <w:r w:rsidRPr="00967F25">
        <w:rPr>
          <w:sz w:val="16"/>
        </w:rPr>
        <w:t xml:space="preserve"> KM, Atkinson JM. </w:t>
      </w:r>
      <w:proofErr w:type="gramStart"/>
      <w:r w:rsidRPr="00967F25">
        <w:rPr>
          <w:sz w:val="16"/>
        </w:rPr>
        <w:t>(2009) ‘Service Users’ and</w:t>
      </w:r>
      <w:r w:rsidRPr="00967F25">
        <w:rPr>
          <w:sz w:val="16"/>
        </w:rPr>
        <w:t xml:space="preserve"> </w:t>
      </w:r>
      <w:r w:rsidRPr="00967F25">
        <w:rPr>
          <w:sz w:val="16"/>
        </w:rPr>
        <w:t>carers’ views of the Named Person provisions under the</w:t>
      </w:r>
      <w:r w:rsidRPr="00967F25">
        <w:rPr>
          <w:sz w:val="16"/>
        </w:rPr>
        <w:t xml:space="preserve"> </w:t>
      </w:r>
      <w:r w:rsidRPr="00967F25">
        <w:rPr>
          <w:sz w:val="16"/>
        </w:rPr>
        <w:t>Mental Health (Care and Treatment) (Scotland) Act</w:t>
      </w:r>
      <w:r w:rsidRPr="00967F25">
        <w:rPr>
          <w:sz w:val="16"/>
        </w:rPr>
        <w:t xml:space="preserve"> </w:t>
      </w:r>
      <w:r w:rsidRPr="00967F25">
        <w:rPr>
          <w:sz w:val="16"/>
        </w:rPr>
        <w:t>2003’ Journal of Mental Health 18 207–215.</w:t>
      </w:r>
      <w:proofErr w:type="gramEnd"/>
      <w:r w:rsidRPr="00967F25">
        <w:rPr>
          <w:sz w:val="16"/>
        </w:rPr>
        <w:t xml:space="preserve"> </w:t>
      </w:r>
      <w:proofErr w:type="spellStart"/>
      <w:proofErr w:type="gramStart"/>
      <w:r w:rsidRPr="00967F25">
        <w:rPr>
          <w:sz w:val="16"/>
        </w:rPr>
        <w:t>Berzins</w:t>
      </w:r>
      <w:proofErr w:type="spellEnd"/>
      <w:r w:rsidRPr="00967F25">
        <w:rPr>
          <w:sz w:val="16"/>
        </w:rPr>
        <w:t xml:space="preserve"> </w:t>
      </w:r>
      <w:r w:rsidRPr="00967F25">
        <w:rPr>
          <w:sz w:val="16"/>
        </w:rPr>
        <w:t>K.M., Atkinson J.M (submitted) ‘Perceptions of policy</w:t>
      </w:r>
      <w:r w:rsidRPr="00967F25">
        <w:rPr>
          <w:sz w:val="16"/>
        </w:rPr>
        <w:t xml:space="preserve"> </w:t>
      </w:r>
      <w:r w:rsidRPr="00967F25">
        <w:rPr>
          <w:sz w:val="16"/>
        </w:rPr>
        <w:t>influencers and mental health officers of the Named</w:t>
      </w:r>
      <w:r w:rsidRPr="00967F25">
        <w:rPr>
          <w:sz w:val="16"/>
        </w:rPr>
        <w:t xml:space="preserve"> </w:t>
      </w:r>
      <w:r w:rsidRPr="00967F25">
        <w:rPr>
          <w:sz w:val="16"/>
        </w:rPr>
        <w:t>Person provisions of the Mental Health (Care and</w:t>
      </w:r>
      <w:r w:rsidRPr="00967F25">
        <w:rPr>
          <w:sz w:val="16"/>
        </w:rPr>
        <w:t xml:space="preserve"> </w:t>
      </w:r>
      <w:r w:rsidRPr="00967F25">
        <w:rPr>
          <w:sz w:val="16"/>
        </w:rPr>
        <w:t>Treatment) (Scotland) Act 2003.’</w:t>
      </w:r>
      <w:proofErr w:type="gramEnd"/>
    </w:p>
  </w:footnote>
  <w:footnote w:id="18">
    <w:p w:rsidR="00967F25" w:rsidRPr="00967F25" w:rsidRDefault="00967F25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See n.16 above.</w:t>
      </w:r>
    </w:p>
  </w:footnote>
  <w:footnote w:id="19">
    <w:p w:rsidR="00967F25" w:rsidRPr="00967F25" w:rsidRDefault="00967F25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At clauses 52(1</w:t>
      </w:r>
      <w:proofErr w:type="gramStart"/>
      <w:r w:rsidRPr="00967F25">
        <w:rPr>
          <w:sz w:val="16"/>
        </w:rPr>
        <w:t>)(</w:t>
      </w:r>
      <w:proofErr w:type="gramEnd"/>
      <w:r w:rsidRPr="00967F25">
        <w:rPr>
          <w:sz w:val="16"/>
        </w:rPr>
        <w:t>d) and (e) of the draft bill.</w:t>
      </w:r>
    </w:p>
  </w:footnote>
  <w:footnote w:id="20">
    <w:p w:rsidR="00967F25" w:rsidRPr="00967F25" w:rsidRDefault="00967F25">
      <w:pPr>
        <w:pStyle w:val="FootnoteText"/>
        <w:rPr>
          <w:sz w:val="16"/>
        </w:rPr>
      </w:pPr>
      <w:r w:rsidRPr="00967F25">
        <w:rPr>
          <w:rStyle w:val="FootnoteReference"/>
          <w:sz w:val="16"/>
        </w:rPr>
        <w:footnoteRef/>
      </w:r>
      <w:r w:rsidRPr="00967F25">
        <w:rPr>
          <w:sz w:val="16"/>
        </w:rPr>
        <w:t xml:space="preserve"> </w:t>
      </w:r>
      <w:proofErr w:type="gramStart"/>
      <w:r w:rsidRPr="00967F25">
        <w:rPr>
          <w:sz w:val="16"/>
        </w:rPr>
        <w:t>For example, New York and Massachusetts.</w:t>
      </w:r>
      <w:proofErr w:type="gramEnd"/>
    </w:p>
  </w:footnote>
  <w:footnote w:id="21">
    <w:p w:rsidR="00967F25" w:rsidRPr="00D3774E" w:rsidRDefault="00967F25" w:rsidP="00967F25">
      <w:pPr>
        <w:pStyle w:val="FootnoteText"/>
        <w:rPr>
          <w:sz w:val="16"/>
        </w:rPr>
      </w:pPr>
      <w:r w:rsidRPr="00D3774E">
        <w:rPr>
          <w:rStyle w:val="FootnoteReference"/>
          <w:sz w:val="16"/>
        </w:rPr>
        <w:footnoteRef/>
      </w:r>
      <w:r w:rsidRPr="00D3774E">
        <w:rPr>
          <w:sz w:val="16"/>
        </w:rPr>
        <w:t xml:space="preserve"> </w:t>
      </w:r>
      <w:r w:rsidRPr="00D3774E">
        <w:rPr>
          <w:sz w:val="16"/>
        </w:rPr>
        <w:t>Reilly J, Atkinson JM (submitted) ‘</w:t>
      </w:r>
      <w:proofErr w:type="gramStart"/>
      <w:r w:rsidRPr="00D3774E">
        <w:rPr>
          <w:sz w:val="16"/>
        </w:rPr>
        <w:t>The</w:t>
      </w:r>
      <w:proofErr w:type="gramEnd"/>
      <w:r w:rsidRPr="00D3774E">
        <w:rPr>
          <w:sz w:val="16"/>
        </w:rPr>
        <w:t xml:space="preserve"> content of mental</w:t>
      </w:r>
      <w:r w:rsidRPr="00D3774E">
        <w:rPr>
          <w:sz w:val="16"/>
        </w:rPr>
        <w:t xml:space="preserve"> </w:t>
      </w:r>
      <w:r w:rsidRPr="00D3774E">
        <w:rPr>
          <w:sz w:val="16"/>
        </w:rPr>
        <w:t>health advance directives: advance statements in</w:t>
      </w:r>
      <w:r w:rsidRPr="00D3774E">
        <w:rPr>
          <w:sz w:val="16"/>
        </w:rPr>
        <w:t xml:space="preserve"> </w:t>
      </w:r>
      <w:r w:rsidRPr="00D3774E">
        <w:rPr>
          <w:sz w:val="16"/>
        </w:rPr>
        <w:t>Scotland’.</w:t>
      </w:r>
    </w:p>
  </w:footnote>
  <w:footnote w:id="22">
    <w:p w:rsidR="00967F25" w:rsidRPr="00D3774E" w:rsidRDefault="00967F25" w:rsidP="00967F25">
      <w:pPr>
        <w:pStyle w:val="FootnoteText"/>
        <w:rPr>
          <w:sz w:val="16"/>
        </w:rPr>
      </w:pPr>
      <w:r w:rsidRPr="00D3774E">
        <w:rPr>
          <w:rStyle w:val="FootnoteReference"/>
          <w:sz w:val="16"/>
        </w:rPr>
        <w:footnoteRef/>
      </w:r>
      <w:r w:rsidRPr="00D3774E">
        <w:rPr>
          <w:sz w:val="16"/>
        </w:rPr>
        <w:t xml:space="preserve"> </w:t>
      </w:r>
      <w:r w:rsidRPr="00D3774E">
        <w:rPr>
          <w:sz w:val="16"/>
        </w:rPr>
        <w:t>Where those authorising or exercising compulsory powers</w:t>
      </w:r>
      <w:r w:rsidRPr="00D3774E">
        <w:rPr>
          <w:sz w:val="16"/>
        </w:rPr>
        <w:t xml:space="preserve"> </w:t>
      </w:r>
      <w:r w:rsidRPr="00D3774E">
        <w:rPr>
          <w:sz w:val="16"/>
        </w:rPr>
        <w:t>must ‘have regard’ to any advance statement and report</w:t>
      </w:r>
      <w:r w:rsidRPr="00D3774E">
        <w:rPr>
          <w:sz w:val="16"/>
        </w:rPr>
        <w:t xml:space="preserve"> </w:t>
      </w:r>
      <w:r w:rsidRPr="00D3774E">
        <w:rPr>
          <w:sz w:val="16"/>
        </w:rPr>
        <w:t>any overriding of a statement to the Mental Welfare</w:t>
      </w:r>
      <w:r w:rsidRPr="00D3774E">
        <w:rPr>
          <w:sz w:val="16"/>
        </w:rPr>
        <w:t xml:space="preserve"> </w:t>
      </w:r>
      <w:r w:rsidRPr="00D3774E">
        <w:rPr>
          <w:sz w:val="16"/>
        </w:rPr>
        <w:t xml:space="preserve">Commission. </w:t>
      </w:r>
      <w:proofErr w:type="gramStart"/>
      <w:r w:rsidRPr="00D3774E">
        <w:rPr>
          <w:sz w:val="16"/>
        </w:rPr>
        <w:t>MH(</w:t>
      </w:r>
      <w:proofErr w:type="gramEnd"/>
      <w:r w:rsidRPr="00D3774E">
        <w:rPr>
          <w:sz w:val="16"/>
        </w:rPr>
        <w:t>CT)(S)A 2003, ss275, 276.</w:t>
      </w:r>
    </w:p>
  </w:footnote>
  <w:footnote w:id="23">
    <w:p w:rsidR="00967F25" w:rsidRPr="00D3774E" w:rsidRDefault="00967F25" w:rsidP="00967F25">
      <w:pPr>
        <w:pStyle w:val="FootnoteText"/>
        <w:rPr>
          <w:sz w:val="16"/>
        </w:rPr>
      </w:pPr>
      <w:r w:rsidRPr="00D3774E">
        <w:rPr>
          <w:rStyle w:val="FootnoteReference"/>
          <w:sz w:val="16"/>
        </w:rPr>
        <w:footnoteRef/>
      </w:r>
      <w:r w:rsidRPr="00D3774E">
        <w:rPr>
          <w:sz w:val="16"/>
        </w:rPr>
        <w:t xml:space="preserve"> </w:t>
      </w:r>
      <w:proofErr w:type="gramStart"/>
      <w:r w:rsidRPr="00D3774E">
        <w:rPr>
          <w:sz w:val="16"/>
        </w:rPr>
        <w:t>F Dobbie, S Reid and others ‘An exploration of the early</w:t>
      </w:r>
      <w:r w:rsidRPr="00D3774E">
        <w:rPr>
          <w:sz w:val="16"/>
        </w:rPr>
        <w:t xml:space="preserve"> </w:t>
      </w:r>
      <w:r w:rsidRPr="00D3774E">
        <w:rPr>
          <w:sz w:val="16"/>
        </w:rPr>
        <w:t>operation of the Mental Health Tribunal for Scotland’</w:t>
      </w:r>
      <w:r w:rsidRPr="00D3774E">
        <w:rPr>
          <w:sz w:val="16"/>
        </w:rPr>
        <w:t xml:space="preserve"> </w:t>
      </w:r>
      <w:r w:rsidRPr="00D3774E">
        <w:rPr>
          <w:sz w:val="16"/>
        </w:rPr>
        <w:t>Scottish Centre for Social Research (2009).</w:t>
      </w:r>
      <w:proofErr w:type="gramEnd"/>
    </w:p>
  </w:footnote>
  <w:footnote w:id="24">
    <w:p w:rsidR="00967F25" w:rsidRPr="00D3774E" w:rsidRDefault="00967F25" w:rsidP="00D3774E">
      <w:pPr>
        <w:pStyle w:val="FootnoteText"/>
        <w:rPr>
          <w:sz w:val="16"/>
        </w:rPr>
      </w:pPr>
      <w:r w:rsidRPr="00D3774E">
        <w:rPr>
          <w:rStyle w:val="FootnoteReference"/>
          <w:sz w:val="16"/>
        </w:rPr>
        <w:footnoteRef/>
      </w:r>
      <w:r w:rsidRPr="00D3774E">
        <w:rPr>
          <w:sz w:val="16"/>
        </w:rPr>
        <w:t xml:space="preserve"> </w:t>
      </w:r>
      <w:r w:rsidR="00D3774E" w:rsidRPr="00D3774E">
        <w:rPr>
          <w:sz w:val="16"/>
        </w:rPr>
        <w:t xml:space="preserve">Ballard C, Lana MM, </w:t>
      </w:r>
      <w:proofErr w:type="spellStart"/>
      <w:r w:rsidR="00D3774E" w:rsidRPr="00D3774E">
        <w:rPr>
          <w:sz w:val="16"/>
        </w:rPr>
        <w:t>Theodoulou</w:t>
      </w:r>
      <w:proofErr w:type="spellEnd"/>
      <w:r w:rsidR="00D3774E" w:rsidRPr="00D3774E">
        <w:rPr>
          <w:sz w:val="16"/>
        </w:rPr>
        <w:t xml:space="preserve"> M, Douglas S,</w:t>
      </w:r>
      <w:r w:rsidR="00D3774E" w:rsidRPr="00D3774E">
        <w:rPr>
          <w:sz w:val="16"/>
        </w:rPr>
        <w:t xml:space="preserve"> </w:t>
      </w:r>
      <w:r w:rsidR="00D3774E" w:rsidRPr="00D3774E">
        <w:rPr>
          <w:sz w:val="16"/>
        </w:rPr>
        <w:t>McShane R, et al. (2008) ‘A Randomised, Blinded,</w:t>
      </w:r>
      <w:r w:rsidR="00D3774E" w:rsidRPr="00D3774E">
        <w:rPr>
          <w:sz w:val="16"/>
        </w:rPr>
        <w:t xml:space="preserve"> </w:t>
      </w:r>
      <w:r w:rsidR="00D3774E" w:rsidRPr="00D3774E">
        <w:rPr>
          <w:sz w:val="16"/>
        </w:rPr>
        <w:t>Placebo-Controlled Trial in Dementia Patients Continuing</w:t>
      </w:r>
      <w:r w:rsidR="00D3774E" w:rsidRPr="00D3774E">
        <w:rPr>
          <w:sz w:val="16"/>
        </w:rPr>
        <w:t xml:space="preserve"> </w:t>
      </w:r>
      <w:r w:rsidR="00D3774E" w:rsidRPr="00D3774E">
        <w:rPr>
          <w:sz w:val="16"/>
        </w:rPr>
        <w:t>or Stopping Neuroleptics’ (The DART-AD Trial</w:t>
      </w:r>
      <w:proofErr w:type="gramStart"/>
      <w:r w:rsidR="00D3774E" w:rsidRPr="00D3774E">
        <w:rPr>
          <w:sz w:val="16"/>
        </w:rPr>
        <w:t>) .</w:t>
      </w:r>
      <w:proofErr w:type="gramEnd"/>
      <w:r w:rsidR="00D3774E" w:rsidRPr="00D3774E">
        <w:rPr>
          <w:sz w:val="16"/>
        </w:rPr>
        <w:t xml:space="preserve"> </w:t>
      </w:r>
      <w:proofErr w:type="spellStart"/>
      <w:r w:rsidR="00D3774E" w:rsidRPr="00D3774E">
        <w:rPr>
          <w:sz w:val="16"/>
        </w:rPr>
        <w:t>PLoS</w:t>
      </w:r>
      <w:proofErr w:type="spellEnd"/>
      <w:r w:rsidR="00D3774E" w:rsidRPr="00D3774E">
        <w:rPr>
          <w:sz w:val="16"/>
        </w:rPr>
        <w:t xml:space="preserve"> </w:t>
      </w:r>
      <w:r w:rsidR="00D3774E" w:rsidRPr="00D3774E">
        <w:rPr>
          <w:sz w:val="16"/>
        </w:rPr>
        <w:t>Med 5(4): e76. Prentice N et al (2002) presented at</w:t>
      </w:r>
      <w:r w:rsidR="00D3774E" w:rsidRPr="00D3774E">
        <w:rPr>
          <w:sz w:val="16"/>
        </w:rPr>
        <w:t xml:space="preserve"> </w:t>
      </w:r>
      <w:r w:rsidR="00D3774E" w:rsidRPr="00D3774E">
        <w:rPr>
          <w:sz w:val="16"/>
        </w:rPr>
        <w:t>Royal College of Psychiatrists Old Age Section Annual</w:t>
      </w:r>
      <w:r w:rsidR="00D3774E" w:rsidRPr="00D3774E">
        <w:rPr>
          <w:sz w:val="16"/>
        </w:rPr>
        <w:t xml:space="preserve"> </w:t>
      </w:r>
      <w:r w:rsidR="00D3774E" w:rsidRPr="00D3774E">
        <w:rPr>
          <w:sz w:val="16"/>
        </w:rPr>
        <w:t>Residential Meeting.</w:t>
      </w:r>
    </w:p>
  </w:footnote>
  <w:footnote w:id="25">
    <w:p w:rsidR="00D3774E" w:rsidRPr="00D3774E" w:rsidRDefault="00D3774E" w:rsidP="00D3774E">
      <w:pPr>
        <w:pStyle w:val="FootnoteText"/>
        <w:rPr>
          <w:sz w:val="16"/>
        </w:rPr>
      </w:pPr>
      <w:r w:rsidRPr="00D3774E">
        <w:rPr>
          <w:rStyle w:val="FootnoteReference"/>
          <w:sz w:val="16"/>
        </w:rPr>
        <w:footnoteRef/>
      </w:r>
      <w:r w:rsidRPr="00D3774E">
        <w:rPr>
          <w:sz w:val="16"/>
        </w:rPr>
        <w:t xml:space="preserve"> </w:t>
      </w:r>
      <w:r w:rsidRPr="00D3774E">
        <w:rPr>
          <w:sz w:val="16"/>
        </w:rPr>
        <w:t>Criminal Procedure (Scotland) Act 1995, (as amended)</w:t>
      </w:r>
      <w:r w:rsidRPr="00D3774E">
        <w:rPr>
          <w:sz w:val="16"/>
        </w:rPr>
        <w:t xml:space="preserve"> </w:t>
      </w:r>
      <w:proofErr w:type="gramStart"/>
      <w:r w:rsidRPr="00D3774E">
        <w:rPr>
          <w:sz w:val="16"/>
        </w:rPr>
        <w:t>s57A(</w:t>
      </w:r>
      <w:proofErr w:type="gramEnd"/>
      <w:r w:rsidRPr="00D3774E">
        <w:rPr>
          <w:sz w:val="16"/>
        </w:rPr>
        <w:t>3).</w:t>
      </w:r>
    </w:p>
  </w:footnote>
  <w:footnote w:id="26">
    <w:p w:rsidR="00D3774E" w:rsidRPr="00D3774E" w:rsidRDefault="00D3774E">
      <w:pPr>
        <w:pStyle w:val="FootnoteText"/>
        <w:rPr>
          <w:sz w:val="16"/>
        </w:rPr>
      </w:pPr>
      <w:r w:rsidRPr="00D3774E">
        <w:rPr>
          <w:rStyle w:val="FootnoteReference"/>
          <w:sz w:val="16"/>
        </w:rPr>
        <w:footnoteRef/>
      </w:r>
      <w:r w:rsidRPr="00D3774E">
        <w:rPr>
          <w:sz w:val="16"/>
        </w:rPr>
        <w:t xml:space="preserve"> </w:t>
      </w:r>
      <w:proofErr w:type="gramStart"/>
      <w:r w:rsidRPr="00D3774E">
        <w:rPr>
          <w:sz w:val="16"/>
        </w:rPr>
        <w:t>Report of the Committee on Serious Violent and Sexual Offenders, Scottish Executive (2000).</w:t>
      </w:r>
      <w:proofErr w:type="gramEnd"/>
    </w:p>
  </w:footnote>
  <w:footnote w:id="27">
    <w:p w:rsidR="00D3774E" w:rsidRPr="00D3774E" w:rsidRDefault="00D3774E">
      <w:pPr>
        <w:pStyle w:val="FootnoteText"/>
        <w:rPr>
          <w:sz w:val="16"/>
        </w:rPr>
      </w:pPr>
      <w:r w:rsidRPr="00D3774E">
        <w:rPr>
          <w:rStyle w:val="FootnoteReference"/>
          <w:sz w:val="16"/>
        </w:rPr>
        <w:footnoteRef/>
      </w:r>
      <w:r w:rsidRPr="00D3774E">
        <w:rPr>
          <w:sz w:val="16"/>
        </w:rPr>
        <w:t xml:space="preserve"> CP(S</w:t>
      </w:r>
      <w:proofErr w:type="gramStart"/>
      <w:r w:rsidRPr="00D3774E">
        <w:rPr>
          <w:sz w:val="16"/>
        </w:rPr>
        <w:t>)A</w:t>
      </w:r>
      <w:proofErr w:type="gramEnd"/>
      <w:r w:rsidRPr="00D3774E">
        <w:rPr>
          <w:sz w:val="16"/>
        </w:rPr>
        <w:t xml:space="preserve"> 1995, s210F.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AB4"/>
    <w:multiLevelType w:val="hybridMultilevel"/>
    <w:tmpl w:val="3F9A4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BB"/>
    <w:rsid w:val="004A07BB"/>
    <w:rsid w:val="00967F25"/>
    <w:rsid w:val="00D3774E"/>
    <w:rsid w:val="00E9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7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07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7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7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7F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7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07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7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7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7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otland.gov.uk/Publication/2009/08/0714390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B07D9-3D06-4B92-B367-9C74E300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2014-11-13T10:24:00Z</dcterms:created>
  <dcterms:modified xsi:type="dcterms:W3CDTF">2014-11-13T10:51:00Z</dcterms:modified>
</cp:coreProperties>
</file>