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58" w:rsidRPr="007D4658" w:rsidRDefault="007D4658" w:rsidP="007D4658">
      <w:pPr>
        <w:pStyle w:val="NoSpacing"/>
        <w:spacing w:line="360" w:lineRule="auto"/>
        <w:rPr>
          <w:sz w:val="56"/>
          <w:szCs w:val="56"/>
        </w:rPr>
      </w:pPr>
      <w:r w:rsidRPr="007D4658">
        <w:rPr>
          <w:sz w:val="56"/>
          <w:szCs w:val="56"/>
        </w:rPr>
        <w:t>Foreword</w:t>
      </w:r>
    </w:p>
    <w:p w:rsidR="007D4658" w:rsidRDefault="007D4658" w:rsidP="007D4658">
      <w:pPr>
        <w:pStyle w:val="NoSpacing"/>
        <w:spacing w:line="360" w:lineRule="auto"/>
      </w:pPr>
      <w:r>
        <w:t>Only one issue of the JMHL was published in 2008. This is extremely regrettable because, since the</w:t>
      </w:r>
    </w:p>
    <w:p w:rsidR="007D4658" w:rsidRDefault="007D4658" w:rsidP="007D4658">
      <w:pPr>
        <w:pStyle w:val="NoSpacing"/>
        <w:spacing w:line="360" w:lineRule="auto"/>
      </w:pPr>
      <w:r>
        <w:t>launch of the Journal in February 1999, the aim has been to publish two issu</w:t>
      </w:r>
      <w:r w:rsidR="00A07AAA">
        <w:t xml:space="preserve">es per year. This is the second </w:t>
      </w:r>
      <w:r>
        <w:t>occasion over the ten years of the Journal’s life on which we have faile</w:t>
      </w:r>
      <w:r w:rsidR="00A07AAA">
        <w:t xml:space="preserve">d in our objective. A letter of </w:t>
      </w:r>
      <w:r>
        <w:t>apology and explanation has been sent to our subscribers.</w:t>
      </w:r>
    </w:p>
    <w:p w:rsidR="00A07AAA" w:rsidRDefault="00A07AAA" w:rsidP="007D4658">
      <w:pPr>
        <w:pStyle w:val="NoSpacing"/>
        <w:spacing w:line="360" w:lineRule="auto"/>
      </w:pPr>
    </w:p>
    <w:p w:rsidR="007D4658" w:rsidRDefault="007D4658" w:rsidP="007D4658">
      <w:pPr>
        <w:pStyle w:val="NoSpacing"/>
        <w:spacing w:line="360" w:lineRule="auto"/>
      </w:pPr>
      <w:r>
        <w:t>When I took on the editorship in September 2004, I determined to aim for publications every Ma</w:t>
      </w:r>
      <w:r w:rsidR="00A07AAA">
        <w:t xml:space="preserve">y and </w:t>
      </w:r>
      <w:r>
        <w:t>November. However, as regular readers will know, too often I have ha</w:t>
      </w:r>
      <w:r w:rsidR="00A07AAA">
        <w:t xml:space="preserve">d to conclude Forewords with an </w:t>
      </w:r>
      <w:r>
        <w:t>apology for the lateness of the issue. To reflect the present reality of the flu</w:t>
      </w:r>
      <w:r w:rsidR="00A07AAA">
        <w:t xml:space="preserve">idity of the publication dates, </w:t>
      </w:r>
      <w:r>
        <w:t xml:space="preserve">we have therefore decided to aim for </w:t>
      </w:r>
      <w:r w:rsidRPr="00A07AAA">
        <w:rPr>
          <w:i/>
        </w:rPr>
        <w:t xml:space="preserve">Spring </w:t>
      </w:r>
      <w:r>
        <w:t xml:space="preserve">and </w:t>
      </w:r>
      <w:r w:rsidRPr="00A07AAA">
        <w:rPr>
          <w:i/>
        </w:rPr>
        <w:t>Autumn</w:t>
      </w:r>
      <w:r>
        <w:t xml:space="preserve"> issues each yea</w:t>
      </w:r>
      <w:r w:rsidR="00A07AAA">
        <w:t xml:space="preserve">r. Every effort will be made to </w:t>
      </w:r>
      <w:r>
        <w:t>adhere to these seasons.</w:t>
      </w:r>
    </w:p>
    <w:p w:rsidR="00A07AAA" w:rsidRDefault="00A07AAA" w:rsidP="007D4658">
      <w:pPr>
        <w:pStyle w:val="NoSpacing"/>
        <w:spacing w:line="360" w:lineRule="auto"/>
      </w:pPr>
    </w:p>
    <w:p w:rsidR="007D4658" w:rsidRDefault="007D4658" w:rsidP="007D4658">
      <w:pPr>
        <w:pStyle w:val="NoSpacing"/>
        <w:spacing w:line="360" w:lineRule="auto"/>
      </w:pPr>
      <w:r>
        <w:t xml:space="preserve">This </w:t>
      </w:r>
      <w:r w:rsidRPr="00A07AAA">
        <w:rPr>
          <w:i/>
        </w:rPr>
        <w:t>Spring 2009</w:t>
      </w:r>
      <w:r>
        <w:t xml:space="preserve"> issue leads off with the second part</w:t>
      </w:r>
      <w:r w:rsidR="00A07AAA">
        <w:rPr>
          <w:rStyle w:val="FootnoteReference"/>
        </w:rPr>
        <w:footnoteReference w:id="1"/>
      </w:r>
      <w:r>
        <w:t xml:space="preserve"> of Anselm Eldergill’s</w:t>
      </w:r>
      <w:r w:rsidR="00A07AAA">
        <w:t xml:space="preserve"> consideration of mental health </w:t>
      </w:r>
      <w:r>
        <w:t xml:space="preserve">law in the Republic of Ireland – </w:t>
      </w:r>
      <w:r w:rsidRPr="00A07AAA">
        <w:rPr>
          <w:b/>
        </w:rPr>
        <w:t>‘The Best is the Enemy of the G</w:t>
      </w:r>
      <w:r w:rsidR="00A07AAA" w:rsidRPr="00A07AAA">
        <w:rPr>
          <w:b/>
        </w:rPr>
        <w:t xml:space="preserve">ood: the Mental Health Act 2001 </w:t>
      </w:r>
      <w:r w:rsidRPr="00A07AAA">
        <w:rPr>
          <w:b/>
        </w:rPr>
        <w:t>(Part 2)’</w:t>
      </w:r>
      <w:r>
        <w:t>. As I’ve stated on previous occasions, the JMHL’s Editorial Board i</w:t>
      </w:r>
      <w:r w:rsidR="00A07AAA">
        <w:t xml:space="preserve">s very keen to publish articles </w:t>
      </w:r>
      <w:r>
        <w:t>about other jurisdictions, and these two contributions from Professor Elder</w:t>
      </w:r>
      <w:r w:rsidR="00A07AAA">
        <w:t xml:space="preserve">gill (Visiting Professor to the </w:t>
      </w:r>
      <w:r>
        <w:t>Law School at Northumbria University) are very welcome.</w:t>
      </w:r>
    </w:p>
    <w:p w:rsidR="00A07AAA" w:rsidRDefault="00A07AAA" w:rsidP="007D4658">
      <w:pPr>
        <w:pStyle w:val="NoSpacing"/>
        <w:spacing w:line="360" w:lineRule="auto"/>
      </w:pPr>
    </w:p>
    <w:p w:rsidR="007D4658" w:rsidRDefault="007D4658" w:rsidP="007D4658">
      <w:pPr>
        <w:pStyle w:val="NoSpacing"/>
        <w:spacing w:line="360" w:lineRule="auto"/>
      </w:pPr>
      <w:r>
        <w:t>The month of April sees the implementation of the much-anticipated Deprivation of Liberty safeguards</w:t>
      </w:r>
      <w:r w:rsidR="00A07AAA">
        <w:rPr>
          <w:rStyle w:val="FootnoteReference"/>
        </w:rPr>
        <w:footnoteReference w:id="2"/>
      </w:r>
      <w:r w:rsidR="00A07AAA">
        <w:t xml:space="preserve">, </w:t>
      </w:r>
      <w:r>
        <w:t>more than four years after the European Court of Human Rights ruled against the Government</w:t>
      </w:r>
      <w:r w:rsidR="00A07AAA">
        <w:rPr>
          <w:rStyle w:val="FootnoteReference"/>
        </w:rPr>
        <w:footnoteReference w:id="3"/>
      </w:r>
      <w:r w:rsidR="00A07AAA">
        <w:t xml:space="preserve">, and </w:t>
      </w:r>
      <w:r>
        <w:t xml:space="preserve">more than eleven years since the </w:t>
      </w:r>
      <w:r w:rsidRPr="00653A2F">
        <w:rPr>
          <w:i/>
        </w:rPr>
        <w:t>Bournewood</w:t>
      </w:r>
      <w:r>
        <w:t xml:space="preserve"> litigation was first embarked upon</w:t>
      </w:r>
      <w:r w:rsidR="00A07AAA">
        <w:rPr>
          <w:rStyle w:val="FootnoteReference"/>
        </w:rPr>
        <w:footnoteReference w:id="4"/>
      </w:r>
      <w:r w:rsidR="00A07AAA">
        <w:t xml:space="preserve">. As Best Interest </w:t>
      </w:r>
      <w:r>
        <w:t>Assessors and Mental Health Assessors get to grips with their new roles and</w:t>
      </w:r>
      <w:r w:rsidR="00A07AAA">
        <w:t xml:space="preserve"> responsibilities, no doubt one </w:t>
      </w:r>
      <w:r>
        <w:t>question dominates their training sessions – ‘</w:t>
      </w:r>
      <w:r w:rsidRPr="00653A2F">
        <w:rPr>
          <w:b/>
        </w:rPr>
        <w:t>Restricting Movement or</w:t>
      </w:r>
      <w:r w:rsidR="00A07AAA" w:rsidRPr="00653A2F">
        <w:rPr>
          <w:b/>
        </w:rPr>
        <w:t xml:space="preserve"> Depriving Liberty?</w:t>
      </w:r>
      <w:r w:rsidR="00A07AAA">
        <w:t xml:space="preserve">’ Neil Allen </w:t>
      </w:r>
      <w:r>
        <w:t>(Barrister and Teaching Fellow at Manchester University) provides</w:t>
      </w:r>
      <w:r w:rsidR="00A07AAA">
        <w:t xml:space="preserve"> some timely assistance when he </w:t>
      </w:r>
      <w:r>
        <w:t>addresses this very question within his article.</w:t>
      </w:r>
    </w:p>
    <w:p w:rsidR="00A07AAA" w:rsidRDefault="00A07AAA" w:rsidP="007D4658">
      <w:pPr>
        <w:pStyle w:val="NoSpacing"/>
        <w:spacing w:line="360" w:lineRule="auto"/>
      </w:pPr>
    </w:p>
    <w:p w:rsidR="009D04DB" w:rsidRDefault="007D4658" w:rsidP="007D4658">
      <w:pPr>
        <w:pStyle w:val="NoSpacing"/>
        <w:spacing w:line="360" w:lineRule="auto"/>
      </w:pPr>
      <w:r>
        <w:t xml:space="preserve">Welcome amendments made by the </w:t>
      </w:r>
      <w:r w:rsidRPr="00653A2F">
        <w:rPr>
          <w:i/>
        </w:rPr>
        <w:t>Mental Health Act 2007</w:t>
      </w:r>
      <w:r>
        <w:t xml:space="preserve"> to the </w:t>
      </w:r>
      <w:r w:rsidRPr="00653A2F">
        <w:rPr>
          <w:i/>
        </w:rPr>
        <w:t>Ment</w:t>
      </w:r>
      <w:r w:rsidR="00A47F3B" w:rsidRPr="00653A2F">
        <w:rPr>
          <w:i/>
        </w:rPr>
        <w:t>al Health Act 1983</w:t>
      </w:r>
      <w:r w:rsidR="00A47F3B">
        <w:t xml:space="preserve"> have enabled </w:t>
      </w:r>
      <w:r>
        <w:t>the possibility of a lawful transfer of someone from one place of safety to another, following the application</w:t>
      </w:r>
      <w:r w:rsidR="00A47F3B">
        <w:t xml:space="preserve"> </w:t>
      </w:r>
      <w:r>
        <w:t>of powers contained within sections 135(1) and 136</w:t>
      </w:r>
      <w:r w:rsidR="009C78CD">
        <w:rPr>
          <w:rStyle w:val="FootnoteReference"/>
        </w:rPr>
        <w:footnoteReference w:id="5"/>
      </w:r>
      <w:r>
        <w:t xml:space="preserve">. Clearly this will assist </w:t>
      </w:r>
      <w:r>
        <w:lastRenderedPageBreak/>
        <w:t>where an inappropriate place</w:t>
      </w:r>
      <w:r w:rsidR="00A47F3B">
        <w:t xml:space="preserve"> </w:t>
      </w:r>
      <w:r>
        <w:t>of safety has been chosen at the outset. The ‘new’ Code of Practice t</w:t>
      </w:r>
      <w:r w:rsidR="009C78CD">
        <w:t xml:space="preserve">o the MHA 1983 makes clear what </w:t>
      </w:r>
      <w:r>
        <w:t>has been recognised for some time, namely that “a police station should be</w:t>
      </w:r>
      <w:r w:rsidR="009C78CD">
        <w:t xml:space="preserve"> used as a place of safety only </w:t>
      </w:r>
      <w:r>
        <w:t>on an exceptional basis”</w:t>
      </w:r>
      <w:r w:rsidR="009C78CD">
        <w:rPr>
          <w:rStyle w:val="FootnoteReference"/>
        </w:rPr>
        <w:footnoteReference w:id="6"/>
      </w:r>
      <w:r>
        <w:t xml:space="preserve">. But what is the reality? Maria Docking, </w:t>
      </w:r>
      <w:r w:rsidR="00C97443">
        <w:t xml:space="preserve">Senior Research Officer for the </w:t>
      </w:r>
      <w:r>
        <w:t xml:space="preserve">Independent Police Complaints </w:t>
      </w:r>
      <w:r w:rsidR="00C97443">
        <w:t>Commission</w:t>
      </w:r>
      <w:r>
        <w:t xml:space="preserve"> addresses this question in</w:t>
      </w:r>
      <w:r w:rsidR="00C97443">
        <w:t xml:space="preserve"> her summary of the recent IPCC </w:t>
      </w:r>
      <w:r>
        <w:t>research into ‘</w:t>
      </w:r>
      <w:r w:rsidRPr="00695450">
        <w:rPr>
          <w:b/>
        </w:rPr>
        <w:t>The use of section 136 to detain people in polic</w:t>
      </w:r>
      <w:r w:rsidR="00C97443" w:rsidRPr="00695450">
        <w:rPr>
          <w:b/>
        </w:rPr>
        <w:t>e custody</w:t>
      </w:r>
      <w:r w:rsidR="00C97443">
        <w:t xml:space="preserve">’. The findings of the </w:t>
      </w:r>
      <w:r>
        <w:t>research give considerable cause for concern – hopefully local trus</w:t>
      </w:r>
      <w:r w:rsidR="00C97443">
        <w:t xml:space="preserve">ts and other NHS providers will </w:t>
      </w:r>
      <w:r>
        <w:t>recognise, as Ms. Docking urges, that they “should look at ways to addre</w:t>
      </w:r>
      <w:r w:rsidR="00C97443">
        <w:t xml:space="preserve">ss the situation as a matter of </w:t>
      </w:r>
      <w:r w:rsidR="009D04DB">
        <w:t>urgency”</w:t>
      </w:r>
      <w:r w:rsidR="00C97443">
        <w:t>.</w:t>
      </w:r>
      <w:r w:rsidR="009D04DB">
        <w:t xml:space="preserve"> </w:t>
      </w:r>
    </w:p>
    <w:p w:rsidR="009D04DB" w:rsidRDefault="009D04DB" w:rsidP="007D4658">
      <w:pPr>
        <w:pStyle w:val="NoSpacing"/>
        <w:spacing w:line="360" w:lineRule="auto"/>
      </w:pPr>
    </w:p>
    <w:p w:rsidR="0053535D" w:rsidRDefault="007D4658" w:rsidP="007D4658">
      <w:pPr>
        <w:pStyle w:val="NoSpacing"/>
        <w:spacing w:line="360" w:lineRule="auto"/>
      </w:pPr>
      <w:r>
        <w:t xml:space="preserve">As no doubt many readers of this Journal will be fully aware, the case of </w:t>
      </w:r>
      <w:r w:rsidRPr="00782F41">
        <w:rPr>
          <w:i/>
        </w:rPr>
        <w:t>Tara</w:t>
      </w:r>
      <w:r w:rsidR="00782F41" w:rsidRPr="00782F41">
        <w:rPr>
          <w:i/>
        </w:rPr>
        <w:t xml:space="preserve">soff v Regents of University of </w:t>
      </w:r>
      <w:r w:rsidRPr="00782F41">
        <w:rPr>
          <w:i/>
        </w:rPr>
        <w:t>California (1976)</w:t>
      </w:r>
      <w:r w:rsidR="00782F41">
        <w:rPr>
          <w:rStyle w:val="FootnoteReference"/>
          <w:i/>
        </w:rPr>
        <w:footnoteReference w:id="7"/>
      </w:r>
      <w:r>
        <w:t xml:space="preserve"> has been at the forefront of the debate about medical confidentiality for many years.</w:t>
      </w:r>
    </w:p>
    <w:p w:rsidR="00782F41" w:rsidRDefault="00782F41" w:rsidP="007D4658">
      <w:pPr>
        <w:pStyle w:val="NoSpacing"/>
        <w:spacing w:line="360" w:lineRule="auto"/>
      </w:pPr>
    </w:p>
    <w:p w:rsidR="00782F41" w:rsidRDefault="00782F41" w:rsidP="00782F41">
      <w:pPr>
        <w:pStyle w:val="NoSpacing"/>
        <w:spacing w:line="360" w:lineRule="auto"/>
      </w:pPr>
      <w:r>
        <w:t>Michael Thomas, a solicitor based in Auckland, New Zealand, courageously revisits the decision in</w:t>
      </w:r>
    </w:p>
    <w:p w:rsidR="00782F41" w:rsidRDefault="00782F41" w:rsidP="00782F41">
      <w:pPr>
        <w:pStyle w:val="NoSpacing"/>
        <w:spacing w:line="360" w:lineRule="auto"/>
      </w:pPr>
      <w:r>
        <w:t>‘</w:t>
      </w:r>
      <w:r w:rsidRPr="00782F41">
        <w:rPr>
          <w:b/>
        </w:rPr>
        <w:t xml:space="preserve">Expanded Liability for Psychiatrists: </w:t>
      </w:r>
      <w:r w:rsidRPr="00782F41">
        <w:rPr>
          <w:b/>
          <w:i/>
        </w:rPr>
        <w:t>Tarasoff</w:t>
      </w:r>
      <w:r w:rsidRPr="00782F41">
        <w:rPr>
          <w:b/>
        </w:rPr>
        <w:t xml:space="preserve"> Gone Crazy</w:t>
      </w:r>
      <w:r>
        <w:t>’. His article aims to enlighten all of us</w:t>
      </w:r>
    </w:p>
    <w:p w:rsidR="00782F41" w:rsidRDefault="00782F41" w:rsidP="00782F41">
      <w:pPr>
        <w:pStyle w:val="NoSpacing"/>
        <w:spacing w:line="360" w:lineRule="auto"/>
      </w:pPr>
      <w:r>
        <w:t xml:space="preserve">(not only those psychiatrists for whom </w:t>
      </w:r>
      <w:r w:rsidRPr="00782F41">
        <w:t>h</w:t>
      </w:r>
      <w:r>
        <w:t xml:space="preserve">e states his paper is intended!) </w:t>
      </w:r>
      <w:proofErr w:type="gramStart"/>
      <w:r>
        <w:t>on</w:t>
      </w:r>
      <w:proofErr w:type="gramEnd"/>
      <w:r>
        <w:t xml:space="preserve"> developments of the </w:t>
      </w:r>
      <w:r w:rsidRPr="00782F41">
        <w:rPr>
          <w:i/>
        </w:rPr>
        <w:t>Tarasoff</w:t>
      </w:r>
      <w:r>
        <w:t xml:space="preserve"> </w:t>
      </w:r>
      <w:r>
        <w:t>doctrine both in the United Sates and the United Kingdom.</w:t>
      </w:r>
    </w:p>
    <w:p w:rsidR="00782F41" w:rsidRDefault="00782F41" w:rsidP="00782F41">
      <w:pPr>
        <w:pStyle w:val="NoSpacing"/>
        <w:spacing w:line="360" w:lineRule="auto"/>
      </w:pPr>
    </w:p>
    <w:p w:rsidR="00782F41" w:rsidRDefault="00782F41" w:rsidP="00782F41">
      <w:pPr>
        <w:pStyle w:val="NoSpacing"/>
        <w:spacing w:line="360" w:lineRule="auto"/>
      </w:pPr>
      <w:r>
        <w:t>On previous occasions the JMHL has contained articles about Homicide</w:t>
      </w:r>
      <w:r>
        <w:t xml:space="preserve"> Inquiries, both generally</w:t>
      </w:r>
      <w:r w:rsidR="00E90AD9">
        <w:rPr>
          <w:rStyle w:val="FootnoteReference"/>
        </w:rPr>
        <w:footnoteReference w:id="8"/>
      </w:r>
      <w:r>
        <w:t xml:space="preserve"> and </w:t>
      </w:r>
      <w:r>
        <w:t>in relation to specific inquiries</w:t>
      </w:r>
      <w:r>
        <w:rPr>
          <w:rStyle w:val="FootnoteReference"/>
        </w:rPr>
        <w:footnoteReference w:id="9"/>
      </w:r>
      <w:r>
        <w:t>. I am pleased that this issue contains ano</w:t>
      </w:r>
      <w:r>
        <w:t xml:space="preserve">ther article on the subject. In </w:t>
      </w:r>
      <w:r>
        <w:t>‘</w:t>
      </w:r>
      <w:r w:rsidRPr="00782F41">
        <w:rPr>
          <w:b/>
        </w:rPr>
        <w:t>Learning Lessons: Using Inquiries for Change</w:t>
      </w:r>
      <w:r>
        <w:t>’, Gillian Downha</w:t>
      </w:r>
      <w:r>
        <w:t xml:space="preserve">m and Richard Lingham use their </w:t>
      </w:r>
      <w:r>
        <w:t>considerable experience as members of Inquiry Panels, to consider the con</w:t>
      </w:r>
      <w:r>
        <w:t xml:space="preserve">troversial issue of the Panel’s </w:t>
      </w:r>
      <w:r>
        <w:t>role (if any) post-publication of the Inquiry Report. They put forward a set</w:t>
      </w:r>
      <w:r>
        <w:t xml:space="preserve"> of principles to be applied to </w:t>
      </w:r>
      <w:r>
        <w:t>the post-Inquiry stage “which may be applicable to other types of indepe</w:t>
      </w:r>
      <w:r>
        <w:t xml:space="preserve">ndent inquiry in the health and </w:t>
      </w:r>
      <w:r>
        <w:t>social care sector”.</w:t>
      </w:r>
    </w:p>
    <w:p w:rsidR="00782F41" w:rsidRDefault="00782F41" w:rsidP="00782F41">
      <w:pPr>
        <w:pStyle w:val="NoSpacing"/>
        <w:spacing w:line="360" w:lineRule="auto"/>
      </w:pPr>
    </w:p>
    <w:p w:rsidR="00782F41" w:rsidRPr="004D4537" w:rsidRDefault="00782F41" w:rsidP="00782F41">
      <w:pPr>
        <w:pStyle w:val="NoSpacing"/>
        <w:spacing w:line="360" w:lineRule="auto"/>
        <w:rPr>
          <w:b/>
        </w:rPr>
      </w:pPr>
      <w:r>
        <w:t>The final article is by Laura Davidson, Barrister. In ‘</w:t>
      </w:r>
      <w:r w:rsidRPr="004D4537">
        <w:rPr>
          <w:b/>
        </w:rPr>
        <w:t>Nearest Relative Consultation and the Avoidant</w:t>
      </w:r>
    </w:p>
    <w:p w:rsidR="00782F41" w:rsidRDefault="00782F41" w:rsidP="00782F41">
      <w:pPr>
        <w:pStyle w:val="NoSpacing"/>
        <w:spacing w:line="360" w:lineRule="auto"/>
      </w:pPr>
      <w:r w:rsidRPr="004D4537">
        <w:rPr>
          <w:b/>
        </w:rPr>
        <w:t>Approved Mental Health Professional</w:t>
      </w:r>
      <w:r>
        <w:t>’, Dr. Davison considers three rece</w:t>
      </w:r>
      <w:r w:rsidR="00475F5A">
        <w:t xml:space="preserve">nt cases arising out of alleged </w:t>
      </w:r>
      <w:r>
        <w:t>failures to comply with various provisions relating to nearest relatives wit</w:t>
      </w:r>
      <w:r w:rsidR="00475F5A">
        <w:t xml:space="preserve">hin the </w:t>
      </w:r>
      <w:r w:rsidR="00475F5A" w:rsidRPr="004D4537">
        <w:rPr>
          <w:i/>
        </w:rPr>
        <w:t>Mental Health Act 1983</w:t>
      </w:r>
      <w:r w:rsidR="00475F5A">
        <w:t xml:space="preserve">. </w:t>
      </w:r>
      <w:r>
        <w:t>These provisions will surely be the subject of more litigation in the years</w:t>
      </w:r>
      <w:r w:rsidR="00475F5A">
        <w:t xml:space="preserve"> ahead, and </w:t>
      </w:r>
      <w:r w:rsidR="00475F5A">
        <w:lastRenderedPageBreak/>
        <w:t xml:space="preserve">so no doubt will be </w:t>
      </w:r>
      <w:r>
        <w:t>subjected to further scrutiny in the Casenotes section of future issues of the Journal.</w:t>
      </w:r>
    </w:p>
    <w:p w:rsidR="00E90AD9" w:rsidRDefault="00E90AD9" w:rsidP="00782F41">
      <w:pPr>
        <w:pStyle w:val="NoSpacing"/>
        <w:spacing w:line="360" w:lineRule="auto"/>
      </w:pPr>
    </w:p>
    <w:p w:rsidR="00782F41" w:rsidRDefault="00782F41" w:rsidP="00782F41">
      <w:pPr>
        <w:pStyle w:val="NoSpacing"/>
        <w:spacing w:line="360" w:lineRule="auto"/>
      </w:pPr>
      <w:r>
        <w:t>On this occasion, the Casenotes section highlights three cases.</w:t>
      </w:r>
    </w:p>
    <w:p w:rsidR="00782F41" w:rsidRDefault="00782F41" w:rsidP="00782F41">
      <w:pPr>
        <w:pStyle w:val="NoSpacing"/>
        <w:spacing w:line="360" w:lineRule="auto"/>
      </w:pPr>
      <w:r>
        <w:t>• Kris Gledhill (Senior Lecturer, University of Auckland Law School) has speedily and generously</w:t>
      </w:r>
    </w:p>
    <w:p w:rsidR="00782F41" w:rsidRPr="00E90AD9" w:rsidRDefault="00782F41" w:rsidP="00782F41">
      <w:pPr>
        <w:pStyle w:val="NoSpacing"/>
        <w:spacing w:line="360" w:lineRule="auto"/>
        <w:rPr>
          <w:i/>
        </w:rPr>
      </w:pPr>
      <w:r>
        <w:t xml:space="preserve">considered the first case of the Upper Tribunal’s Administrative Appeals Chamber, </w:t>
      </w:r>
      <w:r w:rsidRPr="00E90AD9">
        <w:rPr>
          <w:i/>
        </w:rPr>
        <w:t>Dorset Healthcare</w:t>
      </w:r>
    </w:p>
    <w:p w:rsidR="00782F41" w:rsidRPr="00E90AD9" w:rsidRDefault="00782F41" w:rsidP="00782F41">
      <w:pPr>
        <w:pStyle w:val="NoSpacing"/>
        <w:spacing w:line="360" w:lineRule="auto"/>
        <w:rPr>
          <w:b/>
        </w:rPr>
      </w:pPr>
      <w:r w:rsidRPr="00E90AD9">
        <w:rPr>
          <w:i/>
        </w:rPr>
        <w:t>NHS Foundation Trust v MH</w:t>
      </w:r>
      <w:r>
        <w:t xml:space="preserve"> (2009)</w:t>
      </w:r>
      <w:r w:rsidR="00E90AD9">
        <w:rPr>
          <w:rStyle w:val="FootnoteReference"/>
        </w:rPr>
        <w:footnoteReference w:id="10"/>
      </w:r>
      <w:r>
        <w:t>, in ‘</w:t>
      </w:r>
      <w:r w:rsidRPr="00E90AD9">
        <w:rPr>
          <w:b/>
        </w:rPr>
        <w:t>The First Flight of the Fledgling: the Upper Tribunal’s</w:t>
      </w:r>
    </w:p>
    <w:p w:rsidR="00E90AD9" w:rsidRDefault="00782F41" w:rsidP="00782F41">
      <w:pPr>
        <w:pStyle w:val="NoSpacing"/>
        <w:spacing w:line="360" w:lineRule="auto"/>
      </w:pPr>
      <w:r w:rsidRPr="00E90AD9">
        <w:rPr>
          <w:b/>
        </w:rPr>
        <w:t>Substantive Debut</w:t>
      </w:r>
      <w:r>
        <w:t>’.</w:t>
      </w:r>
    </w:p>
    <w:p w:rsidR="00782F41" w:rsidRDefault="00782F41" w:rsidP="00782F41">
      <w:pPr>
        <w:pStyle w:val="NoSpacing"/>
        <w:spacing w:line="360" w:lineRule="auto"/>
      </w:pPr>
      <w:r>
        <w:t>• In ‘</w:t>
      </w:r>
      <w:r w:rsidRPr="00E90AD9">
        <w:rPr>
          <w:b/>
        </w:rPr>
        <w:t>Between a Rock and a Hard Place</w:t>
      </w:r>
      <w:r>
        <w:t>’, Paul McKeown (Solicitor/Tutor, Law School, Northumbria</w:t>
      </w:r>
    </w:p>
    <w:p w:rsidR="00782F41" w:rsidRDefault="00782F41" w:rsidP="00782F41">
      <w:pPr>
        <w:pStyle w:val="NoSpacing"/>
        <w:spacing w:line="360" w:lineRule="auto"/>
      </w:pPr>
      <w:r>
        <w:t xml:space="preserve">University) analyses the House of Lords decision in </w:t>
      </w:r>
      <w:r w:rsidRPr="00E90AD9">
        <w:rPr>
          <w:i/>
        </w:rPr>
        <w:t>Lewisham LBC v Malcolm</w:t>
      </w:r>
      <w:r>
        <w:t xml:space="preserve"> (2008)</w:t>
      </w:r>
      <w:r w:rsidR="00E90AD9">
        <w:rPr>
          <w:rStyle w:val="FootnoteReference"/>
        </w:rPr>
        <w:footnoteReference w:id="11"/>
      </w:r>
      <w:r>
        <w:t>, a housing case</w:t>
      </w:r>
    </w:p>
    <w:p w:rsidR="00782F41" w:rsidRDefault="00782F41" w:rsidP="00782F41">
      <w:pPr>
        <w:pStyle w:val="NoSpacing"/>
        <w:spacing w:line="360" w:lineRule="auto"/>
      </w:pPr>
      <w:r>
        <w:t>which, given the issues which arose in the case, will be of considerable interest to readers of the</w:t>
      </w:r>
    </w:p>
    <w:p w:rsidR="00782F41" w:rsidRDefault="00782F41" w:rsidP="00782F41">
      <w:pPr>
        <w:pStyle w:val="NoSpacing"/>
        <w:spacing w:line="360" w:lineRule="auto"/>
      </w:pPr>
      <w:r>
        <w:t>Journal.</w:t>
      </w:r>
    </w:p>
    <w:p w:rsidR="00782F41" w:rsidRPr="00E90AD9" w:rsidRDefault="00782F41" w:rsidP="00782F41">
      <w:pPr>
        <w:pStyle w:val="NoSpacing"/>
        <w:spacing w:line="360" w:lineRule="auto"/>
        <w:rPr>
          <w:b/>
        </w:rPr>
      </w:pPr>
      <w:r>
        <w:t>• Section 136 is considered once more in this issue. In ‘“</w:t>
      </w:r>
      <w:r w:rsidRPr="00E90AD9">
        <w:rPr>
          <w:b/>
        </w:rPr>
        <w:t>She took no reasoning”: Enticing Someone</w:t>
      </w:r>
    </w:p>
    <w:p w:rsidR="00782F41" w:rsidRDefault="00782F41" w:rsidP="00782F41">
      <w:pPr>
        <w:pStyle w:val="NoSpacing"/>
        <w:spacing w:line="360" w:lineRule="auto"/>
      </w:pPr>
      <w:r w:rsidRPr="00E90AD9">
        <w:rPr>
          <w:b/>
        </w:rPr>
        <w:t>into a Public Place</w:t>
      </w:r>
      <w:r>
        <w:t>’, David Hewitt (Visiting Fellow to the Law School at Northumbria University)</w:t>
      </w:r>
    </w:p>
    <w:p w:rsidR="00782F41" w:rsidRDefault="00782F41" w:rsidP="00782F41">
      <w:pPr>
        <w:pStyle w:val="NoSpacing"/>
        <w:spacing w:line="360" w:lineRule="auto"/>
      </w:pPr>
      <w:r>
        <w:t xml:space="preserve">looks at the criminal law case of </w:t>
      </w:r>
      <w:r w:rsidRPr="00E90AD9">
        <w:rPr>
          <w:i/>
        </w:rPr>
        <w:t>McMillan v Crown Prosecution Service</w:t>
      </w:r>
      <w:r>
        <w:t xml:space="preserve"> (2008)</w:t>
      </w:r>
      <w:r w:rsidR="00E90AD9">
        <w:rPr>
          <w:rStyle w:val="FootnoteReference"/>
        </w:rPr>
        <w:footnoteReference w:id="12"/>
      </w:r>
      <w:r w:rsidR="00E90AD9">
        <w:t xml:space="preserve">, and strongly suggests </w:t>
      </w:r>
      <w:r>
        <w:t>that it has implications for the use of section 136.</w:t>
      </w:r>
    </w:p>
    <w:p w:rsidR="00E90AD9" w:rsidRDefault="00E90AD9" w:rsidP="00782F41">
      <w:pPr>
        <w:pStyle w:val="NoSpacing"/>
        <w:spacing w:line="360" w:lineRule="auto"/>
      </w:pPr>
    </w:p>
    <w:p w:rsidR="00782F41" w:rsidRDefault="00782F41" w:rsidP="00782F41">
      <w:pPr>
        <w:pStyle w:val="NoSpacing"/>
        <w:spacing w:line="360" w:lineRule="auto"/>
      </w:pPr>
      <w:r>
        <w:t xml:space="preserve">There are no book reviews in this issue – however we shall make amends in the </w:t>
      </w:r>
      <w:r w:rsidRPr="00E15E4D">
        <w:rPr>
          <w:i/>
        </w:rPr>
        <w:t>Autumn</w:t>
      </w:r>
      <w:r>
        <w:t xml:space="preserve"> issue, </w:t>
      </w:r>
      <w:r w:rsidR="003A37CB">
        <w:t xml:space="preserve">as there </w:t>
      </w:r>
      <w:r>
        <w:t>are a number of books published in recent months which deserve consideration.</w:t>
      </w:r>
    </w:p>
    <w:p w:rsidR="003A37CB" w:rsidRDefault="003A37CB" w:rsidP="00782F41">
      <w:pPr>
        <w:pStyle w:val="NoSpacing"/>
        <w:spacing w:line="360" w:lineRule="auto"/>
      </w:pPr>
    </w:p>
    <w:p w:rsidR="00782F41" w:rsidRDefault="00782F41" w:rsidP="00782F41">
      <w:pPr>
        <w:pStyle w:val="NoSpacing"/>
        <w:spacing w:line="360" w:lineRule="auto"/>
      </w:pPr>
      <w:r>
        <w:t>As always, I am very grateful to each of the contributors to this issue of the JMHL.</w:t>
      </w:r>
      <w:bookmarkStart w:id="0" w:name="_GoBack"/>
      <w:bookmarkEnd w:id="0"/>
    </w:p>
    <w:p w:rsidR="003A37CB" w:rsidRDefault="003A37CB" w:rsidP="00782F41">
      <w:pPr>
        <w:pStyle w:val="NoSpacing"/>
        <w:spacing w:line="360" w:lineRule="auto"/>
      </w:pPr>
    </w:p>
    <w:p w:rsidR="00782F41" w:rsidRPr="003A37CB" w:rsidRDefault="00782F41" w:rsidP="00782F41">
      <w:pPr>
        <w:pStyle w:val="NoSpacing"/>
        <w:spacing w:line="360" w:lineRule="auto"/>
        <w:rPr>
          <w:sz w:val="32"/>
          <w:szCs w:val="32"/>
        </w:rPr>
      </w:pPr>
      <w:r w:rsidRPr="003A37CB">
        <w:rPr>
          <w:sz w:val="32"/>
          <w:szCs w:val="32"/>
        </w:rPr>
        <w:t>John Horne</w:t>
      </w:r>
    </w:p>
    <w:p w:rsidR="00782F41" w:rsidRDefault="00782F41" w:rsidP="00782F41">
      <w:pPr>
        <w:pStyle w:val="NoSpacing"/>
        <w:spacing w:line="360" w:lineRule="auto"/>
      </w:pPr>
      <w:r>
        <w:t>Editor</w:t>
      </w:r>
    </w:p>
    <w:sectPr w:rsidR="00782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AA" w:rsidRDefault="00A07AAA" w:rsidP="00A07AAA">
      <w:pPr>
        <w:spacing w:after="0" w:line="240" w:lineRule="auto"/>
      </w:pPr>
      <w:r>
        <w:separator/>
      </w:r>
    </w:p>
  </w:endnote>
  <w:endnote w:type="continuationSeparator" w:id="0">
    <w:p w:rsidR="00A07AAA" w:rsidRDefault="00A07AAA" w:rsidP="00A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AA" w:rsidRDefault="00A07AAA" w:rsidP="00A07AAA">
      <w:pPr>
        <w:spacing w:after="0" w:line="240" w:lineRule="auto"/>
      </w:pPr>
      <w:r>
        <w:separator/>
      </w:r>
    </w:p>
  </w:footnote>
  <w:footnote w:type="continuationSeparator" w:id="0">
    <w:p w:rsidR="00A07AAA" w:rsidRDefault="00A07AAA" w:rsidP="00A07AAA">
      <w:pPr>
        <w:spacing w:after="0" w:line="240" w:lineRule="auto"/>
      </w:pPr>
      <w:r>
        <w:continuationSeparator/>
      </w:r>
    </w:p>
  </w:footnote>
  <w:footnote w:id="1">
    <w:p w:rsidR="00A07AAA" w:rsidRPr="00401EF3" w:rsidRDefault="00A07AAA" w:rsidP="00401EF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401EF3" w:rsidRPr="00401EF3">
        <w:rPr>
          <w:sz w:val="16"/>
        </w:rPr>
        <w:t>Part 1, ‘The Best is th</w:t>
      </w:r>
      <w:r w:rsidR="00401EF3">
        <w:rPr>
          <w:sz w:val="16"/>
        </w:rPr>
        <w:t xml:space="preserve">e Enemy of the Good: The Mental </w:t>
      </w:r>
      <w:r w:rsidR="00401EF3" w:rsidRPr="00401EF3">
        <w:rPr>
          <w:sz w:val="16"/>
        </w:rPr>
        <w:t>Health Act 2001’, ca</w:t>
      </w:r>
      <w:r w:rsidR="00401EF3">
        <w:rPr>
          <w:sz w:val="16"/>
        </w:rPr>
        <w:t xml:space="preserve">n be found at pp 21–37 JMHL May </w:t>
      </w:r>
      <w:r w:rsidR="00401EF3" w:rsidRPr="00401EF3">
        <w:rPr>
          <w:sz w:val="16"/>
        </w:rPr>
        <w:t>2008</w:t>
      </w:r>
    </w:p>
  </w:footnote>
  <w:footnote w:id="2">
    <w:p w:rsidR="00A07AAA" w:rsidRDefault="00A07AAA" w:rsidP="00401E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01EF3" w:rsidRPr="00401EF3">
        <w:rPr>
          <w:sz w:val="16"/>
        </w:rPr>
        <w:t>Section 50 Menta</w:t>
      </w:r>
      <w:r w:rsidR="00401EF3" w:rsidRPr="00401EF3">
        <w:rPr>
          <w:sz w:val="16"/>
        </w:rPr>
        <w:t xml:space="preserve">l Health Act 2007; Section 4A &amp; </w:t>
      </w:r>
      <w:r w:rsidR="00401EF3" w:rsidRPr="00401EF3">
        <w:rPr>
          <w:sz w:val="16"/>
        </w:rPr>
        <w:t>Schedule A1 Mental Capacity Act 2005</w:t>
      </w:r>
      <w:r w:rsidR="00401EF3">
        <w:t>.</w:t>
      </w:r>
    </w:p>
  </w:footnote>
  <w:footnote w:id="3">
    <w:p w:rsidR="00A07AAA" w:rsidRDefault="00A07A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01EF3" w:rsidRPr="00401EF3">
        <w:rPr>
          <w:sz w:val="16"/>
        </w:rPr>
        <w:t xml:space="preserve">HL v UK, </w:t>
      </w:r>
      <w:proofErr w:type="spellStart"/>
      <w:r w:rsidR="00401EF3" w:rsidRPr="00401EF3">
        <w:rPr>
          <w:sz w:val="16"/>
        </w:rPr>
        <w:t>ECtHR</w:t>
      </w:r>
      <w:proofErr w:type="spellEnd"/>
      <w:r w:rsidR="00401EF3" w:rsidRPr="00401EF3">
        <w:rPr>
          <w:sz w:val="16"/>
        </w:rPr>
        <w:t>, (4th October 2004) 40 E.H.R.R. 761</w:t>
      </w:r>
    </w:p>
  </w:footnote>
  <w:footnote w:id="4">
    <w:p w:rsidR="00A07AAA" w:rsidRDefault="00A07AAA" w:rsidP="00401E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01EF3" w:rsidRPr="00401EF3">
        <w:rPr>
          <w:sz w:val="16"/>
        </w:rPr>
        <w:t>The ‘first instance’ de</w:t>
      </w:r>
      <w:r w:rsidR="00401EF3" w:rsidRPr="00401EF3">
        <w:rPr>
          <w:sz w:val="16"/>
        </w:rPr>
        <w:t xml:space="preserve">cision was in the High Court by </w:t>
      </w:r>
      <w:r w:rsidR="00401EF3" w:rsidRPr="00401EF3">
        <w:rPr>
          <w:sz w:val="16"/>
        </w:rPr>
        <w:t>Owen J. on 9th October 1997.</w:t>
      </w:r>
    </w:p>
  </w:footnote>
  <w:footnote w:id="5">
    <w:p w:rsidR="009C78CD" w:rsidRDefault="009C78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C78CD">
        <w:rPr>
          <w:sz w:val="16"/>
        </w:rPr>
        <w:t>See section 135 (3A) and section 136 (3)</w:t>
      </w:r>
    </w:p>
  </w:footnote>
  <w:footnote w:id="6">
    <w:p w:rsidR="009C78CD" w:rsidRDefault="009C78CD" w:rsidP="00782F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82F41" w:rsidRPr="00782F41">
        <w:rPr>
          <w:sz w:val="16"/>
        </w:rPr>
        <w:t>Paragraph 10.21 Code</w:t>
      </w:r>
      <w:r w:rsidR="00782F41" w:rsidRPr="00782F41">
        <w:rPr>
          <w:sz w:val="16"/>
        </w:rPr>
        <w:t xml:space="preserve"> of Practice (Mental Health Act </w:t>
      </w:r>
      <w:r w:rsidR="00782F41" w:rsidRPr="00782F41">
        <w:rPr>
          <w:sz w:val="16"/>
        </w:rPr>
        <w:t>1983) (2008)</w:t>
      </w:r>
    </w:p>
  </w:footnote>
  <w:footnote w:id="7">
    <w:p w:rsidR="00782F41" w:rsidRDefault="00782F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2F41">
        <w:rPr>
          <w:sz w:val="16"/>
        </w:rPr>
        <w:t>(1976) 551 P.2d 334</w:t>
      </w:r>
    </w:p>
  </w:footnote>
  <w:footnote w:id="8">
    <w:p w:rsidR="00E90AD9" w:rsidRDefault="00E90A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90AD9">
        <w:rPr>
          <w:sz w:val="16"/>
        </w:rPr>
        <w:t>See ‘Reforming Inquiries following Homicides’ by Anselm Eldergill, JMHL October 1999 @ pp 111 – 136, and ‘Qualitative Analysis of Recommendations in 79 Inquiries after Homicide committed by Persons with Mental Illness’ by Melissa McGrath and Professor Femi Oyebode , JMHL December 2002 @ pp 262–282</w:t>
      </w:r>
    </w:p>
  </w:footnote>
  <w:footnote w:id="9">
    <w:p w:rsidR="00782F41" w:rsidRPr="00E90AD9" w:rsidRDefault="00782F41" w:rsidP="00E90A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90AD9" w:rsidRPr="00E90AD9">
        <w:rPr>
          <w:sz w:val="16"/>
        </w:rPr>
        <w:t>See ‘The Michael Stone In</w:t>
      </w:r>
      <w:r w:rsidR="00E90AD9" w:rsidRPr="00E90AD9">
        <w:rPr>
          <w:sz w:val="16"/>
        </w:rPr>
        <w:t xml:space="preserve">quiry – A Reflection’ by Robert </w:t>
      </w:r>
      <w:r w:rsidR="00E90AD9" w:rsidRPr="00E90AD9">
        <w:rPr>
          <w:sz w:val="16"/>
        </w:rPr>
        <w:t>Francis QC, JMHL May 2007 @ pp 41–49</w:t>
      </w:r>
    </w:p>
  </w:footnote>
  <w:footnote w:id="10">
    <w:p w:rsidR="00E90AD9" w:rsidRDefault="00E90A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A37CB" w:rsidRPr="003A37CB">
        <w:rPr>
          <w:sz w:val="16"/>
        </w:rPr>
        <w:t>[2009] UKUT 4 (AAC)</w:t>
      </w:r>
    </w:p>
  </w:footnote>
  <w:footnote w:id="11">
    <w:p w:rsidR="00E90AD9" w:rsidRDefault="00E90A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A37CB" w:rsidRPr="003A37CB">
        <w:rPr>
          <w:sz w:val="16"/>
        </w:rPr>
        <w:t>[2008] UKHL 43</w:t>
      </w:r>
    </w:p>
  </w:footnote>
  <w:footnote w:id="12">
    <w:p w:rsidR="00E90AD9" w:rsidRDefault="00E90A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A37CB" w:rsidRPr="003A37CB">
        <w:rPr>
          <w:sz w:val="16"/>
        </w:rPr>
        <w:t>[2008] EWHC 1457 (Admin)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58"/>
    <w:rsid w:val="0031082A"/>
    <w:rsid w:val="003A37CB"/>
    <w:rsid w:val="00401EF3"/>
    <w:rsid w:val="00475F5A"/>
    <w:rsid w:val="004D4537"/>
    <w:rsid w:val="0053535D"/>
    <w:rsid w:val="00653A2F"/>
    <w:rsid w:val="00695450"/>
    <w:rsid w:val="00782F41"/>
    <w:rsid w:val="007D4658"/>
    <w:rsid w:val="009C78CD"/>
    <w:rsid w:val="009D04DB"/>
    <w:rsid w:val="00A07AAA"/>
    <w:rsid w:val="00A47F3B"/>
    <w:rsid w:val="00C97443"/>
    <w:rsid w:val="00E15E4D"/>
    <w:rsid w:val="00E9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65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7A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7A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7A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65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7A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7A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7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2014-11-04T11:00:00Z</dcterms:created>
  <dcterms:modified xsi:type="dcterms:W3CDTF">2014-11-04T11:40:00Z</dcterms:modified>
</cp:coreProperties>
</file>