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EF6" w:rsidRDefault="00B33106" w:rsidP="0072779D">
      <w:pPr>
        <w:rPr>
          <w:sz w:val="56"/>
          <w:szCs w:val="56"/>
        </w:rPr>
      </w:pPr>
      <w:r>
        <w:rPr>
          <w:sz w:val="56"/>
          <w:szCs w:val="56"/>
        </w:rPr>
        <w:t xml:space="preserve">Restricting Movement or </w:t>
      </w:r>
      <w:r w:rsidR="0072779D" w:rsidRPr="00B33106">
        <w:rPr>
          <w:sz w:val="56"/>
          <w:szCs w:val="56"/>
        </w:rPr>
        <w:t>Depriving Liberty?</w:t>
      </w:r>
    </w:p>
    <w:p w:rsidR="002C454F" w:rsidRDefault="002C454F" w:rsidP="0072779D">
      <w:r>
        <w:t>Neil Allen</w:t>
      </w:r>
      <w:r>
        <w:rPr>
          <w:rStyle w:val="FootnoteReference"/>
        </w:rPr>
        <w:footnoteReference w:id="1"/>
      </w:r>
    </w:p>
    <w:p w:rsidR="00BC705C" w:rsidRPr="00C92341" w:rsidRDefault="00BC705C" w:rsidP="00C92341">
      <w:pPr>
        <w:spacing w:line="360" w:lineRule="auto"/>
        <w:ind w:left="284"/>
        <w:rPr>
          <w:i/>
        </w:rPr>
      </w:pPr>
      <w:r w:rsidRPr="00C92341">
        <w:rPr>
          <w:i/>
        </w:rPr>
        <w:t>“It is of course helpful to know that the question is one of degree and the matters which should be taken into account in answering it. But one also needs to be told what the question is. What is the criterion for deciding whether someone has been deprived of liberty or not?”</w:t>
      </w:r>
      <w:r w:rsidRPr="00C92341">
        <w:rPr>
          <w:rStyle w:val="FootnoteReference"/>
          <w:i/>
        </w:rPr>
        <w:footnoteReference w:id="2"/>
      </w:r>
    </w:p>
    <w:p w:rsidR="00EA6A6F" w:rsidRDefault="00EA6A6F" w:rsidP="00EA6A6F">
      <w:pPr>
        <w:pStyle w:val="NoSpacing"/>
        <w:spacing w:line="360" w:lineRule="auto"/>
      </w:pPr>
      <w:r>
        <w:t>This judicial appeal for clarity exposes a jurisprudential problem which threatens one of our most</w:t>
      </w:r>
    </w:p>
    <w:p w:rsidR="00EA6A6F" w:rsidRDefault="00EA6A6F" w:rsidP="00EA6A6F">
      <w:pPr>
        <w:pStyle w:val="NoSpacing"/>
        <w:spacing w:line="360" w:lineRule="auto"/>
      </w:pPr>
      <w:r>
        <w:t>fundamental human values; the right to liberty. For no-one really knows what it means to be “deprived” of one’s “liberty”. The extremities are straightforward. Prisoners are deprived; picnickers are not. But liberty deprivations may “take numerous other forms [whose] variety is being increased by developments in legal standards and in attitudes”.</w:t>
      </w:r>
      <w:r>
        <w:rPr>
          <w:rStyle w:val="FootnoteReference"/>
        </w:rPr>
        <w:footnoteReference w:id="3"/>
      </w:r>
      <w:r>
        <w:t xml:space="preserve"> Technology, too, has played its part in such developments by introducing novel ways of restricting movement beyond the paradigmatic lock and key. The more expansive those other forms, however, the greater the risk of legal uncertainty.</w:t>
      </w:r>
    </w:p>
    <w:p w:rsidR="00EA6A6F" w:rsidRDefault="00EA6A6F" w:rsidP="00EA6A6F">
      <w:pPr>
        <w:pStyle w:val="NoSpacing"/>
        <w:spacing w:line="360" w:lineRule="auto"/>
      </w:pPr>
    </w:p>
    <w:p w:rsidR="00EA6A6F" w:rsidRDefault="00EA6A6F" w:rsidP="00EA6A6F">
      <w:pPr>
        <w:pStyle w:val="NoSpacing"/>
        <w:spacing w:line="360" w:lineRule="auto"/>
      </w:pPr>
      <w:r>
        <w:t>The challenge in this paper is one of interpretation. Article 5 of the European Convention on Human</w:t>
      </w:r>
    </w:p>
    <w:p w:rsidR="00BC705C" w:rsidRDefault="00EA6A6F" w:rsidP="00EA6A6F">
      <w:pPr>
        <w:pStyle w:val="NoSpacing"/>
        <w:spacing w:line="360" w:lineRule="auto"/>
      </w:pPr>
      <w:r>
        <w:t>Rights 1950 protects the “liberty and security of person” which is said to have a “Council of Europe-wide meaning”.</w:t>
      </w:r>
      <w:r>
        <w:rPr>
          <w:rStyle w:val="FootnoteReference"/>
        </w:rPr>
        <w:footnoteReference w:id="4"/>
      </w:r>
      <w:r>
        <w:t xml:space="preserve"> </w:t>
      </w:r>
      <w:r w:rsidR="002C42DF">
        <w:t xml:space="preserve"> </w:t>
      </w:r>
      <w:r>
        <w:t xml:space="preserve">But how should this autonomous </w:t>
      </w:r>
      <w:r w:rsidR="002C42DF">
        <w:t xml:space="preserve">concept </w:t>
      </w:r>
      <w:proofErr w:type="gramStart"/>
      <w:r w:rsidR="002C42DF">
        <w:t>be</w:t>
      </w:r>
      <w:proofErr w:type="gramEnd"/>
      <w:r>
        <w:t xml:space="preserve"> transposed into English law? Adopting Berlin’s classic dichotomy,</w:t>
      </w:r>
      <w:r>
        <w:rPr>
          <w:rStyle w:val="FootnoteReference"/>
        </w:rPr>
        <w:footnoteReference w:id="5"/>
      </w:r>
      <w:r>
        <w:t xml:space="preserve"> does liberty relate to the absence of external barriers or constraints, where we enjoy it to the extent that no-one is preventing us from doing whatever we might want to do (negative liberty)? Or does it concern the presence of internal factors, where we enjoy liberty to the extent that we are able to take control of our lives and self-determine in our own interests (positive liberty)?</w:t>
      </w:r>
      <w:r>
        <w:rPr>
          <w:rStyle w:val="FootnoteReference"/>
        </w:rPr>
        <w:footnoteReference w:id="6"/>
      </w:r>
      <w:r>
        <w:t xml:space="preserve"> These complex philosophical perspectives cannot be ignored and are, to varying degrees, protected by other Convention articles.</w:t>
      </w:r>
      <w:r>
        <w:rPr>
          <w:rStyle w:val="FootnoteReference"/>
        </w:rPr>
        <w:footnoteReference w:id="7"/>
      </w:r>
      <w:r>
        <w:t xml:space="preserve"> But article 5 is not concerned with such </w:t>
      </w:r>
      <w:r>
        <w:lastRenderedPageBreak/>
        <w:t>broad notions of liberty because it contemplates liberty in its classic sense. That is, the physical liberty of the person.</w:t>
      </w:r>
      <w:r>
        <w:rPr>
          <w:rStyle w:val="FootnoteReference"/>
        </w:rPr>
        <w:footnoteReference w:id="8"/>
      </w:r>
    </w:p>
    <w:p w:rsidR="0020404C" w:rsidRDefault="0020404C" w:rsidP="00EA6A6F">
      <w:pPr>
        <w:pStyle w:val="NoSpacing"/>
        <w:spacing w:line="360" w:lineRule="auto"/>
      </w:pPr>
    </w:p>
    <w:p w:rsidR="0020404C" w:rsidRPr="0020404C" w:rsidRDefault="0020404C" w:rsidP="0020404C">
      <w:pPr>
        <w:pStyle w:val="NoSpacing"/>
        <w:spacing w:line="360" w:lineRule="auto"/>
        <w:rPr>
          <w:b/>
        </w:rPr>
      </w:pPr>
      <w:r>
        <w:t>The circumstances in which this particular type of liberty might be deprived go to the heart of this paper. Although the issue will be considered principally in the context of the forthcoming statutory safeguards for the detention of hospital and care home residents</w:t>
      </w:r>
      <w:r w:rsidR="002C42DF">
        <w:t xml:space="preserve">, </w:t>
      </w:r>
      <w:r>
        <w:rPr>
          <w:rStyle w:val="FootnoteReference"/>
        </w:rPr>
        <w:footnoteReference w:id="9"/>
      </w:r>
      <w:r>
        <w:t xml:space="preserve">what follows may be equally applicable to other forms of confinement. After outlining the distinction between simple and arbitrary detention, I shall critically evaluate the jurisprudence to identify potential cracks which threaten its future development. Finally, a fresh approach will be suggested which focuses upon the core elements of confinement and coercion in distinguishing restricted movement from deprived </w:t>
      </w:r>
      <w:r w:rsidRPr="0020404C">
        <w:t>liberty.</w:t>
      </w:r>
    </w:p>
    <w:p w:rsidR="0020404C" w:rsidRPr="0020404C" w:rsidRDefault="0020404C" w:rsidP="0020404C">
      <w:pPr>
        <w:pStyle w:val="NoSpacing"/>
        <w:spacing w:line="360" w:lineRule="auto"/>
        <w:rPr>
          <w:b/>
        </w:rPr>
      </w:pPr>
    </w:p>
    <w:p w:rsidR="0020404C" w:rsidRPr="0020404C" w:rsidRDefault="0020404C" w:rsidP="0020404C">
      <w:pPr>
        <w:pStyle w:val="NoSpacing"/>
        <w:spacing w:line="360" w:lineRule="auto"/>
        <w:rPr>
          <w:b/>
        </w:rPr>
      </w:pPr>
      <w:r w:rsidRPr="0020404C">
        <w:rPr>
          <w:b/>
        </w:rPr>
        <w:t>Detention and Arbitrariness</w:t>
      </w:r>
    </w:p>
    <w:p w:rsidR="0020404C" w:rsidRDefault="0020404C" w:rsidP="0020404C">
      <w:pPr>
        <w:pStyle w:val="NoSpacing"/>
        <w:spacing w:line="360" w:lineRule="auto"/>
      </w:pPr>
      <w:r>
        <w:t>The perceived dangers associated with psychiatric illness have long justified a person’s detention, whether under the prerogative powers,</w:t>
      </w:r>
      <w:r>
        <w:rPr>
          <w:rStyle w:val="FootnoteReference"/>
        </w:rPr>
        <w:footnoteReference w:id="10"/>
      </w:r>
      <w:r>
        <w:t xml:space="preserve"> at common law,</w:t>
      </w:r>
      <w:r>
        <w:rPr>
          <w:rStyle w:val="FootnoteReference"/>
        </w:rPr>
        <w:footnoteReference w:id="11"/>
      </w:r>
      <w:r>
        <w:t xml:space="preserve"> or statute.</w:t>
      </w:r>
      <w:r w:rsidR="00575C52">
        <w:rPr>
          <w:rStyle w:val="FootnoteReference"/>
        </w:rPr>
        <w:footnoteReference w:id="12"/>
      </w:r>
      <w:r>
        <w:t xml:space="preserve"> </w:t>
      </w:r>
      <w:r w:rsidR="00BD738C">
        <w:t xml:space="preserve"> </w:t>
      </w:r>
      <w:r>
        <w:t>It is not uncommon for these individuals to be subjected to physical, mechanical or chemical restraints, and varying degrees of social isolation, be it from family or fellow patients. But the very nature of detention is transforming as science and technology develop innovative ways of restricting our freedoms. Sensors, pressure pads, and controlled locks enable others to remotely monitor our movements at home and to control our ability to venture outside. They are seen by many as a less restrictive alternative to hospital or care home detention which promote independent, supported living. To others, such measures simply substitute one form of detention for another.</w:t>
      </w:r>
    </w:p>
    <w:p w:rsidR="0020404C" w:rsidRDefault="0020404C" w:rsidP="0020404C">
      <w:pPr>
        <w:pStyle w:val="NoSpacing"/>
        <w:spacing w:line="360" w:lineRule="auto"/>
      </w:pPr>
    </w:p>
    <w:p w:rsidR="0020404C" w:rsidRDefault="0020404C" w:rsidP="0020404C">
      <w:pPr>
        <w:pStyle w:val="NoSpacing"/>
        <w:spacing w:line="360" w:lineRule="auto"/>
      </w:pPr>
      <w:r>
        <w:t xml:space="preserve">Unsurprisingly, article 5 of the European Convention does not protect us from detention itself. Quite the contrary. For it expressly permits the lawful confinement of suspected and convicted criminals, </w:t>
      </w:r>
      <w:r>
        <w:lastRenderedPageBreak/>
        <w:t xml:space="preserve">illegal immigrants, truant children, alcoholics, drug addicts, vagrants, spreaders of infectious diseases and those of unsound mind. But article 5 may be violated even when the authorities have lawful grounds for detention. For the essence of the right to liberty is to safeguard individuals from arbitrary detention by requiring liberty deprivations to be made in accordance with </w:t>
      </w:r>
      <w:r w:rsidR="00575C52">
        <w:t>a procedure prescribed by law.</w:t>
      </w:r>
      <w:r w:rsidR="00575C52">
        <w:rPr>
          <w:rStyle w:val="FootnoteReference"/>
        </w:rPr>
        <w:footnoteReference w:id="13"/>
      </w:r>
    </w:p>
    <w:p w:rsidR="007B5C77" w:rsidRDefault="007B5C77" w:rsidP="0020404C">
      <w:pPr>
        <w:pStyle w:val="NoSpacing"/>
        <w:spacing w:line="360" w:lineRule="auto"/>
      </w:pPr>
    </w:p>
    <w:p w:rsidR="0020404C" w:rsidRDefault="0020404C" w:rsidP="0020404C">
      <w:pPr>
        <w:pStyle w:val="NoSpacing"/>
        <w:spacing w:line="360" w:lineRule="auto"/>
      </w:pPr>
      <w:r>
        <w:t xml:space="preserve">The distinction can clearly be seen in the </w:t>
      </w:r>
      <w:r w:rsidRPr="007B5C77">
        <w:rPr>
          <w:i/>
        </w:rPr>
        <w:t>Bournewood</w:t>
      </w:r>
      <w:r w:rsidR="007B5C77">
        <w:t xml:space="preserve"> case.</w:t>
      </w:r>
      <w:r w:rsidR="007B5C77">
        <w:rPr>
          <w:rStyle w:val="FootnoteReference"/>
        </w:rPr>
        <w:footnoteReference w:id="14"/>
      </w:r>
      <w:r>
        <w:t xml:space="preserve"> A compliant incapacitated man with autism</w:t>
      </w:r>
      <w:r w:rsidR="007B5C77">
        <w:t xml:space="preserve"> </w:t>
      </w:r>
      <w:r>
        <w:t>was informally admitted to the intensive behavioural unit of Bournewood Hospital; a place from which</w:t>
      </w:r>
      <w:r w:rsidR="007B5C77">
        <w:t xml:space="preserve"> </w:t>
      </w:r>
      <w:r>
        <w:t>he would have been prevented from leaving had he tried to do so. For the majority of the House of Lords,</w:t>
      </w:r>
      <w:r w:rsidR="007B5C77">
        <w:t xml:space="preserve"> </w:t>
      </w:r>
      <w:r>
        <w:t>Mr L was not detained for the purposes of the tort of false imprisonment. Lord Goff drew a distinction</w:t>
      </w:r>
      <w:r w:rsidR="007B5C77">
        <w:t xml:space="preserve"> </w:t>
      </w:r>
      <w:r>
        <w:t>between the actual restraint of a patient and restraint which was conditional upon them seeking to leave.</w:t>
      </w:r>
      <w:r w:rsidR="007B5C77">
        <w:t xml:space="preserve"> </w:t>
      </w:r>
      <w:r>
        <w:t>Placed on an unlocked ward, the patient was free to leave and was not restrained by any physical barriers</w:t>
      </w:r>
      <w:r w:rsidR="007B5C77">
        <w:t xml:space="preserve"> </w:t>
      </w:r>
      <w:r>
        <w:t>from choosing to do so. In those circumstances, he was not imprisoned unless he attempted to leave.</w:t>
      </w:r>
    </w:p>
    <w:p w:rsidR="00116A88" w:rsidRDefault="00116A88" w:rsidP="0020404C">
      <w:pPr>
        <w:pStyle w:val="NoSpacing"/>
        <w:spacing w:line="360" w:lineRule="auto"/>
      </w:pPr>
    </w:p>
    <w:p w:rsidR="00116A88" w:rsidRDefault="00116A88" w:rsidP="00116A88">
      <w:pPr>
        <w:pStyle w:val="NoSpacing"/>
        <w:spacing w:line="360" w:lineRule="auto"/>
      </w:pPr>
      <w:r>
        <w:t>The approach of the European Court of Human Rights (ECtHR) was quite different.</w:t>
      </w:r>
      <w:r>
        <w:rPr>
          <w:rStyle w:val="FootnoteReference"/>
        </w:rPr>
        <w:footnoteReference w:id="15"/>
      </w:r>
      <w:r>
        <w:t xml:space="preserve"> Article 5 was</w:t>
      </w:r>
    </w:p>
    <w:p w:rsidR="00116A88" w:rsidRDefault="00116A88" w:rsidP="00116A88">
      <w:pPr>
        <w:pStyle w:val="NoSpacing"/>
        <w:spacing w:line="360" w:lineRule="auto"/>
      </w:pPr>
      <w:r>
        <w:t>considered engaged mainly because the clinicians exercised complete and effective control over his care and movements and he was not free to leave. The common law doctrine of necessity could justify such detention. But the key, quite distinct, issue was whether that detention was arbitrary. It was unclear who could propose his informal admission and for what reasons. There was no procedure requiring medical or other assessments to justify the admission or detention thereafter. No one knew its exact purpose or for how long it could last. No one had to be nominated who might object or make applications on Mr L’s behalf. Furthermore, and because he lacked capacity, any treatment could be given in his best interests which, in 1997, was still being inappropriately determined according to the Bolam test for negligence.</w:t>
      </w:r>
      <w:r>
        <w:rPr>
          <w:rStyle w:val="FootnoteReference"/>
        </w:rPr>
        <w:footnoteReference w:id="16"/>
      </w:r>
      <w:r>
        <w:t xml:space="preserve"> Cumulatively, this total lack of procedural safeguards amounted to arbitrary detention.</w:t>
      </w:r>
      <w:r>
        <w:rPr>
          <w:rStyle w:val="FootnoteReference"/>
        </w:rPr>
        <w:footnoteReference w:id="17"/>
      </w:r>
    </w:p>
    <w:p w:rsidR="00854AEC" w:rsidRDefault="00854AEC" w:rsidP="00116A88">
      <w:pPr>
        <w:pStyle w:val="NoSpacing"/>
        <w:spacing w:line="360" w:lineRule="auto"/>
      </w:pPr>
    </w:p>
    <w:p w:rsidR="00854AEC" w:rsidRDefault="00854AEC" w:rsidP="00854AEC">
      <w:pPr>
        <w:pStyle w:val="NoSpacing"/>
        <w:spacing w:line="360" w:lineRule="auto"/>
      </w:pPr>
      <w:r>
        <w:lastRenderedPageBreak/>
        <w:t>The process of informal hospital admission was never originally intended to enable a deprivation of liberty to take place.</w:t>
      </w:r>
      <w:r>
        <w:rPr>
          <w:rStyle w:val="FootnoteReference"/>
        </w:rPr>
        <w:footnoteReference w:id="18"/>
      </w:r>
      <w:r>
        <w:t xml:space="preserve"> Indeed, its common law basis was previously recognised</w:t>
      </w:r>
      <w:r>
        <w:rPr>
          <w:rStyle w:val="FootnoteReference"/>
        </w:rPr>
        <w:footnoteReference w:id="19"/>
      </w:r>
      <w:r>
        <w:t xml:space="preserve"> as being unsystematic, full of glaring gaps and not resting upon clear or modern foundations of principle. In order to conform with its international obligations, the government now had to plug this legal hiatus left in the wake of the ECtHR’s ruling. Using the Mental Health Act 2007, a complex set of deprivation of liberty safeguards (DoLS) have been added to the Mental Capacity Act 2005 so as to avoid such arbitrariness. They require managers of publicly and privately funded</w:t>
      </w:r>
      <w:r w:rsidR="00E10B06">
        <w:rPr>
          <w:rStyle w:val="FootnoteReference"/>
        </w:rPr>
        <w:footnoteReference w:id="20"/>
      </w:r>
      <w:r>
        <w:t xml:space="preserve"> hospitals and care homes to identify incapacitated and mentally disordered adults who are at risk of having their liberty deprived. A detailed assessment process is then undertaken by the respective primary care trust or local authority to determine whether the person’s best interests warrant their deprivation of li</w:t>
      </w:r>
      <w:r w:rsidR="00E10B06">
        <w:t>berty for up to twelve months.</w:t>
      </w:r>
      <w:r w:rsidR="00E10B06">
        <w:rPr>
          <w:rStyle w:val="FootnoteReference"/>
        </w:rPr>
        <w:footnoteReference w:id="21"/>
      </w:r>
    </w:p>
    <w:p w:rsidR="00FA6BB7" w:rsidRDefault="00FA6BB7" w:rsidP="00854AEC">
      <w:pPr>
        <w:pStyle w:val="NoSpacing"/>
        <w:spacing w:line="360" w:lineRule="auto"/>
      </w:pPr>
    </w:p>
    <w:p w:rsidR="00FA6BB7" w:rsidRDefault="00FA6BB7" w:rsidP="00FA6BB7">
      <w:pPr>
        <w:pStyle w:val="NoSpacing"/>
        <w:spacing w:line="360" w:lineRule="auto"/>
      </w:pPr>
      <w:r>
        <w:t>At the heart of these safeguards is the deprivation of liberty concept.</w:t>
      </w:r>
      <w:r>
        <w:rPr>
          <w:rStyle w:val="FootnoteReference"/>
        </w:rPr>
        <w:footnoteReference w:id="22"/>
      </w:r>
      <w:r>
        <w:t xml:space="preserve"> The Joint Committee on Human Rights proposed a statutory definition, whereby “if it is known that a person will be taken from their home to a place where they will be prevented from leaving, and complete and effective control will be exercised over their movements, that person is deprived of their liberty from the point of removal from their home.”</w:t>
      </w:r>
      <w:r>
        <w:rPr>
          <w:rStyle w:val="FootnoteReference"/>
        </w:rPr>
        <w:footnoteReference w:id="23"/>
      </w:r>
      <w:r>
        <w:t xml:space="preserve"> However, this was rejected by the government which preferred to rely upon the jurisprudence of article 5 to determine the issue. Regrettably perhaps, the DoLS thus provide a complex answer to what remains a largely hitherto unknown question.</w:t>
      </w:r>
    </w:p>
    <w:p w:rsidR="001860F1" w:rsidRDefault="001860F1" w:rsidP="00FA6BB7">
      <w:pPr>
        <w:pStyle w:val="NoSpacing"/>
        <w:spacing w:line="360" w:lineRule="auto"/>
      </w:pPr>
    </w:p>
    <w:p w:rsidR="001860F1" w:rsidRPr="00B05E17" w:rsidRDefault="001860F1" w:rsidP="001860F1">
      <w:pPr>
        <w:pStyle w:val="NoSpacing"/>
        <w:spacing w:line="360" w:lineRule="auto"/>
        <w:rPr>
          <w:b/>
        </w:rPr>
      </w:pPr>
      <w:r w:rsidRPr="00B05E17">
        <w:rPr>
          <w:b/>
        </w:rPr>
        <w:t>Guiding Principles from Strasbourg to London</w:t>
      </w:r>
    </w:p>
    <w:p w:rsidR="001860F1" w:rsidRDefault="001860F1" w:rsidP="001860F1">
      <w:pPr>
        <w:pStyle w:val="NoSpacing"/>
        <w:spacing w:line="360" w:lineRule="auto"/>
      </w:pPr>
      <w:r>
        <w:t>Although it is “perilous to transpose the outcome of one case to another where the facts are different”,</w:t>
      </w:r>
      <w:r>
        <w:rPr>
          <w:rStyle w:val="FootnoteReference"/>
        </w:rPr>
        <w:footnoteReference w:id="24"/>
      </w:r>
      <w:r>
        <w:t xml:space="preserve"> the domestic courts must “take into account” the jurisprudence of the Strasbourg court.</w:t>
      </w:r>
      <w:r>
        <w:rPr>
          <w:rStyle w:val="FootnoteReference"/>
        </w:rPr>
        <w:footnoteReference w:id="25"/>
      </w:r>
      <w:r>
        <w:t xml:space="preserve"> In particular, the principles laid down in Guzzardi</w:t>
      </w:r>
      <w:r>
        <w:rPr>
          <w:rStyle w:val="FootnoteReference"/>
        </w:rPr>
        <w:footnoteReference w:id="26"/>
      </w:r>
      <w:r>
        <w:t xml:space="preserve"> and Engel.</w:t>
      </w:r>
      <w:r>
        <w:rPr>
          <w:rStyle w:val="FootnoteReference"/>
        </w:rPr>
        <w:footnoteReference w:id="27"/>
      </w:r>
      <w:r>
        <w:t xml:space="preserve"> The government is yet to ratify article 2 of protocol 4</w:t>
      </w:r>
      <w:r w:rsidR="00B05E17">
        <w:t xml:space="preserve"> </w:t>
      </w:r>
      <w:r>
        <w:t xml:space="preserve">which provides a right to liberty of movement and the freedom to </w:t>
      </w:r>
      <w:r>
        <w:lastRenderedPageBreak/>
        <w:t>choose one’s residence.</w:t>
      </w:r>
      <w:r>
        <w:rPr>
          <w:rStyle w:val="FootnoteReference"/>
        </w:rPr>
        <w:footnoteReference w:id="28"/>
      </w:r>
      <w:r>
        <w:t xml:space="preserve"> Yet its very existence assists in our interpretation of article 5. The distinction between them is said to be merely one of degree or intensity, not nature or substance. However, determining whether there has been a liberty deprivation “sometimes proves to be no easy task in that some borderline cases are a matter of pure opinion”.</w:t>
      </w:r>
      <w:r>
        <w:rPr>
          <w:rStyle w:val="FootnoteReference"/>
        </w:rPr>
        <w:footnoteReference w:id="29"/>
      </w:r>
    </w:p>
    <w:p w:rsidR="002234CB" w:rsidRDefault="002234CB" w:rsidP="001860F1">
      <w:pPr>
        <w:pStyle w:val="NoSpacing"/>
        <w:spacing w:line="360" w:lineRule="auto"/>
      </w:pPr>
    </w:p>
    <w:p w:rsidR="002234CB" w:rsidRDefault="002234CB" w:rsidP="002234CB">
      <w:pPr>
        <w:pStyle w:val="NoSpacing"/>
        <w:spacing w:line="360" w:lineRule="auto"/>
      </w:pPr>
      <w:r>
        <w:t xml:space="preserve">It is significant to note that the ECtHR has so far applied these principles consistently to each of the six detention grounds listed in article 5(1). In </w:t>
      </w:r>
      <w:r w:rsidRPr="002234CB">
        <w:rPr>
          <w:i/>
        </w:rPr>
        <w:t>Guzzardi</w:t>
      </w:r>
      <w:r>
        <w:t>, for example, a residence order confined a mafia member to a makeshift camp on a small part of the Asinara island, off the Sardinian coast. He lived with his family but was subject to a 9 hour curfew. He was able to move about the 2½ squared kilometre settlement during the rest of the day, could get permission to journey beyond its boundaries from time to time – although only under strict police supervision – and he had to report to the police station twice a day. Moreover, he was not free to make social contact with the outside world. In deciding that these measures constituted a deprivation of liberty, the majority of the Court adopted the same approach in their consideration of grounds (a), (b), (c) and (e).</w:t>
      </w:r>
    </w:p>
    <w:p w:rsidR="00746C48" w:rsidRDefault="00746C48" w:rsidP="002234CB">
      <w:pPr>
        <w:pStyle w:val="NoSpacing"/>
        <w:spacing w:line="360" w:lineRule="auto"/>
      </w:pPr>
    </w:p>
    <w:p w:rsidR="00746C48" w:rsidRDefault="00746C48" w:rsidP="00746C48">
      <w:pPr>
        <w:pStyle w:val="NoSpacing"/>
        <w:spacing w:line="360" w:lineRule="auto"/>
      </w:pPr>
      <w:r>
        <w:t>Transferring a person under house arrest (article 5(1) (c)) to a psychiatric clinic for assessment (article 5(1) (e)) requires separate consideration to be given to the separate grounds for detention that have been relied upon.</w:t>
      </w:r>
      <w:r>
        <w:rPr>
          <w:rStyle w:val="FootnoteReference"/>
        </w:rPr>
        <w:footnoteReference w:id="30"/>
      </w:r>
      <w:r>
        <w:t xml:space="preserve">  Whether that person is deprived of liberty in the first place, however, is resolved using the same guiding principles.</w:t>
      </w:r>
      <w:r>
        <w:rPr>
          <w:rStyle w:val="FootnoteReference"/>
        </w:rPr>
        <w:footnoteReference w:id="31"/>
      </w:r>
      <w:r>
        <w:t>Those of unsound mind may thus be deprived of liberty in a hospital.</w:t>
      </w:r>
      <w:r>
        <w:rPr>
          <w:rStyle w:val="FootnoteReference"/>
        </w:rPr>
        <w:footnoteReference w:id="32"/>
      </w:r>
      <w:r>
        <w:t xml:space="preserve"> Or in a Polish sobering-up centre if alcoholic.</w:t>
      </w:r>
      <w:r>
        <w:rPr>
          <w:rStyle w:val="FootnoteReference"/>
        </w:rPr>
        <w:footnoteReference w:id="33"/>
      </w:r>
      <w:r>
        <w:t xml:space="preserve"> Or within a French airport transit zone so as to prevent an unauthorised immigration entry.</w:t>
      </w:r>
      <w:r>
        <w:rPr>
          <w:rStyle w:val="FootnoteReference"/>
        </w:rPr>
        <w:footnoteReference w:id="34"/>
      </w:r>
      <w:r>
        <w:t xml:space="preserve"> The Guzzardi/Engel guidelines are equally applicable in cases where none of the exhaustive list of grounds is applicable. A ten day period of confinement in a Spanish hotel for “deprogramming” members of a sect is but one example.</w:t>
      </w:r>
      <w:r>
        <w:rPr>
          <w:rStyle w:val="FootnoteReference"/>
        </w:rPr>
        <w:footnoteReference w:id="35"/>
      </w:r>
      <w:r>
        <w:t xml:space="preserve"> Imposing non-derogatory control orders upon suspected terrorists would be another.</w:t>
      </w:r>
      <w:r>
        <w:rPr>
          <w:rStyle w:val="FootnoteReference"/>
        </w:rPr>
        <w:footnoteReference w:id="36"/>
      </w:r>
    </w:p>
    <w:p w:rsidR="002C544E" w:rsidRDefault="002C544E" w:rsidP="00746C48">
      <w:pPr>
        <w:pStyle w:val="NoSpacing"/>
        <w:spacing w:line="360" w:lineRule="auto"/>
      </w:pPr>
    </w:p>
    <w:p w:rsidR="002C544E" w:rsidRDefault="002C544E" w:rsidP="002C544E">
      <w:pPr>
        <w:pStyle w:val="NoSpacing"/>
        <w:spacing w:line="360" w:lineRule="auto"/>
      </w:pPr>
      <w:r>
        <w:lastRenderedPageBreak/>
        <w:t>A useful summary of these guiding principles was given in JE v DE and Surrey County Council.</w:t>
      </w:r>
      <w:r>
        <w:rPr>
          <w:rStyle w:val="FootnoteReference"/>
        </w:rPr>
        <w:footnoteReference w:id="37"/>
      </w:r>
      <w:r>
        <w:t xml:space="preserve"> An elderly blind man with dementia and impaired memory was confined to a residential care home. He had a significant degree of freedom within it, was also taken out for walks, and had regular telephone contact with his family and visits. However, staff would not accede to his repeated requests to return home and his wife was told that the police would be called if she attempted to remove him. Determining that his liberty was deprived, Munby J. outlined the following expansive approach taken by the ECtHR:</w:t>
      </w:r>
    </w:p>
    <w:p w:rsidR="004B6668" w:rsidRDefault="004B6668" w:rsidP="002C544E">
      <w:pPr>
        <w:pStyle w:val="NoSpacing"/>
        <w:spacing w:line="360" w:lineRule="auto"/>
      </w:pPr>
    </w:p>
    <w:p w:rsidR="004B6668" w:rsidRDefault="004B6668" w:rsidP="00BA6552">
      <w:pPr>
        <w:pStyle w:val="NoSpacing"/>
        <w:spacing w:line="360" w:lineRule="auto"/>
        <w:ind w:left="284" w:hanging="284"/>
      </w:pPr>
      <w:r>
        <w:t>1) There are three elements relevant to the question of whether in the case of an adult there has been a ‘deprivation’ of liberty engaging the state’s obligation under Article 5(1) (different considerations may apply in the case of a child where a parent or other person with parental authority has, in the proper exercise of that authority, authorised the child’s placement and thereby given a substituted consent):</w:t>
      </w:r>
    </w:p>
    <w:p w:rsidR="004B6668" w:rsidRDefault="004B6668" w:rsidP="004B6668">
      <w:pPr>
        <w:pStyle w:val="NoSpacing"/>
        <w:spacing w:line="360" w:lineRule="auto"/>
      </w:pPr>
      <w:r>
        <w:t>(a) An objective element of a person’s confinement in a particular restricted space for a not</w:t>
      </w:r>
    </w:p>
    <w:p w:rsidR="004B6668" w:rsidRDefault="004B6668" w:rsidP="000D5071">
      <w:pPr>
        <w:pStyle w:val="NoSpacing"/>
        <w:spacing w:line="360" w:lineRule="auto"/>
        <w:ind w:firstLine="284"/>
      </w:pPr>
      <w:r>
        <w:t>negligible length of time;</w:t>
      </w:r>
    </w:p>
    <w:p w:rsidR="004B6668" w:rsidRDefault="004B6668" w:rsidP="004B6668">
      <w:pPr>
        <w:pStyle w:val="NoSpacing"/>
        <w:spacing w:line="360" w:lineRule="auto"/>
      </w:pPr>
      <w:r>
        <w:t>(b) Subjective element, namely that the person has not validly consented to the confinement in</w:t>
      </w:r>
    </w:p>
    <w:p w:rsidR="004B6668" w:rsidRDefault="004B6668" w:rsidP="000D5071">
      <w:pPr>
        <w:pStyle w:val="NoSpacing"/>
        <w:spacing w:line="360" w:lineRule="auto"/>
        <w:ind w:firstLine="284"/>
      </w:pPr>
      <w:r>
        <w:t>question;</w:t>
      </w:r>
    </w:p>
    <w:p w:rsidR="004B6668" w:rsidRDefault="004B6668" w:rsidP="004B6668">
      <w:pPr>
        <w:pStyle w:val="NoSpacing"/>
        <w:spacing w:line="360" w:lineRule="auto"/>
      </w:pPr>
      <w:r>
        <w:t>(c) The deprivation of liberty must be imputable to the state.</w:t>
      </w:r>
    </w:p>
    <w:p w:rsidR="004B6668" w:rsidRDefault="004B6668" w:rsidP="004B6668">
      <w:pPr>
        <w:pStyle w:val="NoSpacing"/>
        <w:spacing w:line="360" w:lineRule="auto"/>
      </w:pPr>
    </w:p>
    <w:p w:rsidR="004B6668" w:rsidRDefault="004B6668" w:rsidP="004B6668">
      <w:pPr>
        <w:pStyle w:val="NoSpacing"/>
        <w:spacing w:line="360" w:lineRule="auto"/>
      </w:pPr>
      <w:r>
        <w:t>2) As regards the objective element:</w:t>
      </w:r>
    </w:p>
    <w:p w:rsidR="004B6668" w:rsidRDefault="004B6668" w:rsidP="004B6668">
      <w:pPr>
        <w:pStyle w:val="NoSpacing"/>
        <w:spacing w:line="360" w:lineRule="auto"/>
      </w:pPr>
      <w:r>
        <w:t>(a) The starting point must be the concrete situation of the individual concerned and account</w:t>
      </w:r>
    </w:p>
    <w:p w:rsidR="004B6668" w:rsidRDefault="004B6668" w:rsidP="000A7D8D">
      <w:pPr>
        <w:pStyle w:val="NoSpacing"/>
        <w:spacing w:line="360" w:lineRule="auto"/>
        <w:ind w:firstLine="284"/>
      </w:pPr>
      <w:r>
        <w:t>must be taken of a whole range of criteria such as the type, duration, effects and manner of</w:t>
      </w:r>
    </w:p>
    <w:p w:rsidR="004B6668" w:rsidRDefault="004B6668" w:rsidP="000A7D8D">
      <w:pPr>
        <w:pStyle w:val="NoSpacing"/>
        <w:spacing w:line="360" w:lineRule="auto"/>
        <w:ind w:firstLine="284"/>
      </w:pPr>
      <w:r>
        <w:t>implementation of the measure in question. The distinction between a deprivation of and a</w:t>
      </w:r>
    </w:p>
    <w:p w:rsidR="004B6668" w:rsidRDefault="004B6668" w:rsidP="000A7D8D">
      <w:pPr>
        <w:pStyle w:val="NoSpacing"/>
        <w:spacing w:line="360" w:lineRule="auto"/>
        <w:ind w:firstLine="284"/>
      </w:pPr>
      <w:r>
        <w:t>restriction upon liberty is merely one of degree or intensity and not one of nature or substance.</w:t>
      </w:r>
    </w:p>
    <w:p w:rsidR="004B6668" w:rsidRDefault="004B6668" w:rsidP="004B6668">
      <w:pPr>
        <w:pStyle w:val="NoSpacing"/>
        <w:spacing w:line="360" w:lineRule="auto"/>
      </w:pPr>
      <w:r>
        <w:t>(b) In [this] type of case, the key factor is whether the person is, or is not, free to leave. This may</w:t>
      </w:r>
    </w:p>
    <w:p w:rsidR="004B6668" w:rsidRDefault="004B6668" w:rsidP="000A7D8D">
      <w:pPr>
        <w:pStyle w:val="NoSpacing"/>
        <w:spacing w:line="360" w:lineRule="auto"/>
        <w:ind w:firstLine="284"/>
      </w:pPr>
      <w:r>
        <w:t>be tested by determining whether those treating and managing the person exercise complete</w:t>
      </w:r>
    </w:p>
    <w:p w:rsidR="004B6668" w:rsidRDefault="004B6668" w:rsidP="000A7D8D">
      <w:pPr>
        <w:pStyle w:val="NoSpacing"/>
        <w:spacing w:line="360" w:lineRule="auto"/>
        <w:ind w:firstLine="284"/>
      </w:pPr>
      <w:r>
        <w:t>and effective control over the person’s care and movements.</w:t>
      </w:r>
    </w:p>
    <w:p w:rsidR="004B6668" w:rsidRDefault="004B6668" w:rsidP="004B6668">
      <w:pPr>
        <w:pStyle w:val="NoSpacing"/>
        <w:spacing w:line="360" w:lineRule="auto"/>
      </w:pPr>
      <w:r>
        <w:t>(c) Whether the person is in a ward which is ‘locked’ or ‘lockable’ is relevant but not</w:t>
      </w:r>
    </w:p>
    <w:p w:rsidR="004B6668" w:rsidRDefault="004B6668" w:rsidP="000A7D8D">
      <w:pPr>
        <w:pStyle w:val="NoSpacing"/>
        <w:spacing w:line="360" w:lineRule="auto"/>
        <w:ind w:firstLine="284"/>
      </w:pPr>
      <w:r>
        <w:t>determinative.</w:t>
      </w:r>
    </w:p>
    <w:p w:rsidR="004B6668" w:rsidRDefault="004B6668" w:rsidP="004B6668">
      <w:pPr>
        <w:pStyle w:val="NoSpacing"/>
        <w:spacing w:line="360" w:lineRule="auto"/>
      </w:pPr>
      <w:r>
        <w:t xml:space="preserve">3) </w:t>
      </w:r>
      <w:proofErr w:type="gramStart"/>
      <w:r>
        <w:t>As</w:t>
      </w:r>
      <w:proofErr w:type="gramEnd"/>
      <w:r>
        <w:t xml:space="preserve"> regards the subjective element:</w:t>
      </w:r>
    </w:p>
    <w:p w:rsidR="004B6668" w:rsidRDefault="004B6668" w:rsidP="004B6668">
      <w:pPr>
        <w:pStyle w:val="NoSpacing"/>
        <w:spacing w:line="360" w:lineRule="auto"/>
      </w:pPr>
      <w:r>
        <w:t>(a) A person may give a valid consent to their confinement only if they have capacity to do so.</w:t>
      </w:r>
    </w:p>
    <w:p w:rsidR="004B6668" w:rsidRDefault="004B6668" w:rsidP="004B6668">
      <w:pPr>
        <w:pStyle w:val="NoSpacing"/>
        <w:spacing w:line="360" w:lineRule="auto"/>
      </w:pPr>
      <w:r>
        <w:t>(b) Where a person has capacity, consent to their confinement may be inferred from the fact that</w:t>
      </w:r>
    </w:p>
    <w:p w:rsidR="004B6668" w:rsidRDefault="004B6668" w:rsidP="00E35841">
      <w:pPr>
        <w:pStyle w:val="NoSpacing"/>
        <w:spacing w:line="360" w:lineRule="auto"/>
        <w:ind w:firstLine="284"/>
      </w:pPr>
      <w:r>
        <w:t>the person does not object.</w:t>
      </w:r>
    </w:p>
    <w:p w:rsidR="004B6668" w:rsidRDefault="004B6668" w:rsidP="004B6668">
      <w:pPr>
        <w:pStyle w:val="NoSpacing"/>
        <w:spacing w:line="360" w:lineRule="auto"/>
      </w:pPr>
      <w:r>
        <w:lastRenderedPageBreak/>
        <w:t>(c) No such conclusion may be drawn in the case of a patient lacking capacity to consent.</w:t>
      </w:r>
    </w:p>
    <w:p w:rsidR="004B6668" w:rsidRDefault="004B6668" w:rsidP="004B6668">
      <w:pPr>
        <w:pStyle w:val="NoSpacing"/>
        <w:spacing w:line="360" w:lineRule="auto"/>
      </w:pPr>
      <w:r>
        <w:t>(d) Express refusal of consent by a person who has capacity will be determinative of this aspect of</w:t>
      </w:r>
    </w:p>
    <w:p w:rsidR="004B6668" w:rsidRDefault="004B6668" w:rsidP="00177DD7">
      <w:pPr>
        <w:pStyle w:val="NoSpacing"/>
        <w:spacing w:line="360" w:lineRule="auto"/>
        <w:ind w:firstLine="284"/>
      </w:pPr>
      <w:r>
        <w:t>‘deprivation of liberty’.</w:t>
      </w:r>
    </w:p>
    <w:p w:rsidR="004B6668" w:rsidRDefault="004B6668" w:rsidP="004B6668">
      <w:pPr>
        <w:pStyle w:val="NoSpacing"/>
        <w:spacing w:line="360" w:lineRule="auto"/>
      </w:pPr>
      <w:r>
        <w:t>(e) The fact that the person may have given himself up to be taken into detention does not mean</w:t>
      </w:r>
    </w:p>
    <w:p w:rsidR="004B6668" w:rsidRDefault="004B6668" w:rsidP="00177DD7">
      <w:pPr>
        <w:pStyle w:val="NoSpacing"/>
        <w:spacing w:line="360" w:lineRule="auto"/>
        <w:ind w:firstLine="284"/>
      </w:pPr>
      <w:r>
        <w:t>that he has consented to his detention, whether he has capacity or not. The right to liberty is</w:t>
      </w:r>
    </w:p>
    <w:p w:rsidR="004B6668" w:rsidRDefault="004B6668" w:rsidP="00177DD7">
      <w:pPr>
        <w:pStyle w:val="NoSpacing"/>
        <w:spacing w:line="360" w:lineRule="auto"/>
        <w:ind w:firstLine="284"/>
      </w:pPr>
      <w:r>
        <w:t>too important in a democratic society for a person to lose the benefit of the Convention</w:t>
      </w:r>
    </w:p>
    <w:p w:rsidR="004B6668" w:rsidRDefault="004B6668" w:rsidP="00177DD7">
      <w:pPr>
        <w:pStyle w:val="NoSpacing"/>
        <w:spacing w:line="360" w:lineRule="auto"/>
        <w:ind w:firstLine="284"/>
      </w:pPr>
      <w:r>
        <w:t>protection for the single reason that he may have given himself up to be taken into detention.</w:t>
      </w:r>
    </w:p>
    <w:p w:rsidR="0010298A" w:rsidRDefault="0010298A" w:rsidP="00177DD7">
      <w:pPr>
        <w:pStyle w:val="NoSpacing"/>
        <w:spacing w:line="360" w:lineRule="auto"/>
        <w:ind w:firstLine="284"/>
      </w:pPr>
    </w:p>
    <w:p w:rsidR="0010298A" w:rsidRDefault="0010298A" w:rsidP="0010298A">
      <w:pPr>
        <w:pStyle w:val="NoSpacing"/>
        <w:spacing w:line="360" w:lineRule="auto"/>
      </w:pPr>
      <w:r>
        <w:t>This summary was not cited to the House of Lords when it was considering a number of related cases.</w:t>
      </w:r>
      <w:r>
        <w:rPr>
          <w:rStyle w:val="FootnoteReference"/>
        </w:rPr>
        <w:footnoteReference w:id="38"/>
      </w:r>
      <w:r>
        <w:t xml:space="preserve"> Control orders were imposed on those for whom there were reasonable grounds to suspect involvement in terrorism-related activity.</w:t>
      </w:r>
      <w:r>
        <w:rPr>
          <w:rStyle w:val="FootnoteReference"/>
        </w:rPr>
        <w:footnoteReference w:id="39"/>
      </w:r>
      <w:r>
        <w:t xml:space="preserve"> Individuals were electronically tagged and required to remain at home for 18 hours a day. The remaining 6 hours could be spent outside, but only within a designated urban area. Visitors were not generally allowed and unauthorised people could not be met outside. The police could conduct random searches and remove any items they wished. Their use of communications equipment was also restricted. The majority of the House of Lords adopted an expansive approach which foresaw numerous forms of liberty deprivation other than classic detention in prison. Deciding that these measures constituted a deprivation of liberty, their Lordships transposed the following principles into domestic law:</w:t>
      </w:r>
      <w:r>
        <w:rPr>
          <w:rStyle w:val="FootnoteReference"/>
        </w:rPr>
        <w:footnoteReference w:id="40"/>
      </w:r>
    </w:p>
    <w:p w:rsidR="00DE5F14" w:rsidRDefault="00DE5F14" w:rsidP="0010298A">
      <w:pPr>
        <w:pStyle w:val="NoSpacing"/>
        <w:spacing w:line="360" w:lineRule="auto"/>
      </w:pPr>
    </w:p>
    <w:p w:rsidR="00DE5F14" w:rsidRDefault="00DE5F14" w:rsidP="00DE5F14">
      <w:pPr>
        <w:pStyle w:val="NoSpacing"/>
        <w:spacing w:line="360" w:lineRule="auto"/>
      </w:pPr>
      <w:r>
        <w:t>1) There is no “bright line” separating deprivation of liberty from restriction on liberty with borderline cases falling within an area of “pure opinion”.</w:t>
      </w:r>
    </w:p>
    <w:p w:rsidR="00DE5F14" w:rsidRDefault="00DE5F14" w:rsidP="00DE5F14">
      <w:pPr>
        <w:pStyle w:val="NoSpacing"/>
        <w:spacing w:line="360" w:lineRule="auto"/>
      </w:pPr>
      <w:r>
        <w:t>2) The test is objective: the task of the Court is to assess the impact of the measures “on a person in</w:t>
      </w:r>
    </w:p>
    <w:p w:rsidR="00DE5F14" w:rsidRDefault="00DE5F14" w:rsidP="00DE5F14">
      <w:pPr>
        <w:pStyle w:val="NoSpacing"/>
        <w:spacing w:line="360" w:lineRule="auto"/>
      </w:pPr>
      <w:r>
        <w:t>the situation of the person subject to them”.</w:t>
      </w:r>
    </w:p>
    <w:p w:rsidR="00DE5F14" w:rsidRDefault="00DE5F14" w:rsidP="00DE5F14">
      <w:pPr>
        <w:pStyle w:val="NoSpacing"/>
        <w:spacing w:line="360" w:lineRule="auto"/>
      </w:pPr>
      <w:r>
        <w:t>3) Many relevant factors must be taken into account (e.g. the type, duration, effects and manner of</w:t>
      </w:r>
    </w:p>
    <w:p w:rsidR="00DE5F14" w:rsidRDefault="00DE5F14" w:rsidP="00DE5F14">
      <w:pPr>
        <w:pStyle w:val="NoSpacing"/>
        <w:spacing w:line="360" w:lineRule="auto"/>
      </w:pPr>
      <w:r>
        <w:t>implementation of the measures), but the starting point or “core element” is the length of the</w:t>
      </w:r>
    </w:p>
    <w:p w:rsidR="00DE5F14" w:rsidRDefault="00DE5F14" w:rsidP="00DE5F14">
      <w:pPr>
        <w:pStyle w:val="NoSpacing"/>
        <w:spacing w:line="360" w:lineRule="auto"/>
      </w:pPr>
      <w:r>
        <w:t>curfew.</w:t>
      </w:r>
    </w:p>
    <w:p w:rsidR="00DE5F14" w:rsidRDefault="00DE5F14" w:rsidP="00DE5F14">
      <w:pPr>
        <w:pStyle w:val="NoSpacing"/>
        <w:spacing w:line="360" w:lineRule="auto"/>
      </w:pPr>
      <w:r>
        <w:t>4) Social isolation is a significant factor, especially if it approaches solitary confinement during curfew periods.</w:t>
      </w:r>
    </w:p>
    <w:p w:rsidR="00DE5F14" w:rsidRDefault="00DE5F14" w:rsidP="00DE5F14">
      <w:pPr>
        <w:pStyle w:val="NoSpacing"/>
        <w:spacing w:line="360" w:lineRule="auto"/>
      </w:pPr>
      <w:r>
        <w:t xml:space="preserve">Those dissenting guarded against an over-expansive interpretation of the deprivation of liberty concept so as to maintain the necessary distinction between article 5 and article 2 of protocol 4. </w:t>
      </w:r>
      <w:r>
        <w:lastRenderedPageBreak/>
        <w:t>Preferring a narrower construction, which departs from the Strasbourg jurisprudence, Lord Hoffmann noted how imprisonment was the paradigm case for article 5 engagement, althou</w:t>
      </w:r>
      <w:r w:rsidR="004C0770">
        <w:t xml:space="preserve">gh “one may have some degree of </w:t>
      </w:r>
      <w:r>
        <w:t>deviation … without it ceasing to be … a deprivation”.</w:t>
      </w:r>
      <w:r w:rsidR="004C0770">
        <w:rPr>
          <w:rStyle w:val="FootnoteReference"/>
        </w:rPr>
        <w:footnoteReference w:id="41"/>
      </w:r>
      <w:r>
        <w:t xml:space="preserve"> The esse</w:t>
      </w:r>
      <w:r w:rsidR="004C0770">
        <w:t xml:space="preserve">ntial question was “whether his </w:t>
      </w:r>
      <w:r>
        <w:t>situation approximates sufficiently closely to being in prison”.</w:t>
      </w:r>
      <w:r w:rsidR="004C0770">
        <w:rPr>
          <w:rStyle w:val="FootnoteReference"/>
        </w:rPr>
        <w:footnoteReference w:id="42"/>
      </w:r>
      <w:r>
        <w:t xml:space="preserve"> Similarly, </w:t>
      </w:r>
      <w:r w:rsidR="004C0770">
        <w:t xml:space="preserve">for Lord Carswell the criterion </w:t>
      </w:r>
      <w:r>
        <w:t>for a liberty deprivation was “illegitimate imprisonment, or confinement so</w:t>
      </w:r>
      <w:r w:rsidR="004C0770">
        <w:t xml:space="preserve"> close as to amount to the same </w:t>
      </w:r>
      <w:r>
        <w:t>thing”.</w:t>
      </w:r>
      <w:r w:rsidR="004C0770">
        <w:rPr>
          <w:rStyle w:val="FootnoteReference"/>
        </w:rPr>
        <w:footnoteReference w:id="43"/>
      </w:r>
      <w:r>
        <w:t xml:space="preserve"> Such divergence of judicial opinion does not bode well for the </w:t>
      </w:r>
      <w:r w:rsidR="004C0770">
        <w:t xml:space="preserve">implementation of DoLS. Indeed, </w:t>
      </w:r>
      <w:r>
        <w:t>the following are amongst a number of issues which are likely to be exposed in forthcoming litigation.</w:t>
      </w:r>
    </w:p>
    <w:p w:rsidR="00FE24C8" w:rsidRPr="00FE24C8" w:rsidRDefault="00FE24C8" w:rsidP="00DE5F14">
      <w:pPr>
        <w:pStyle w:val="NoSpacing"/>
        <w:spacing w:line="360" w:lineRule="auto"/>
        <w:rPr>
          <w:b/>
        </w:rPr>
      </w:pPr>
    </w:p>
    <w:p w:rsidR="00FE24C8" w:rsidRPr="00FE24C8" w:rsidRDefault="00FE24C8" w:rsidP="00FE24C8">
      <w:pPr>
        <w:pStyle w:val="NoSpacing"/>
        <w:spacing w:line="360" w:lineRule="auto"/>
        <w:rPr>
          <w:b/>
        </w:rPr>
      </w:pPr>
      <w:r w:rsidRPr="00FE24C8">
        <w:rPr>
          <w:b/>
        </w:rPr>
        <w:t>Jurisprudential Cracks</w:t>
      </w:r>
    </w:p>
    <w:p w:rsidR="00FE24C8" w:rsidRPr="00FE24C8" w:rsidRDefault="00FE24C8" w:rsidP="00FE24C8">
      <w:pPr>
        <w:pStyle w:val="NoSpacing"/>
        <w:spacing w:line="360" w:lineRule="auto"/>
        <w:rPr>
          <w:b/>
        </w:rPr>
      </w:pPr>
      <w:r w:rsidRPr="00FE24C8">
        <w:rPr>
          <w:b/>
        </w:rPr>
        <w:t>(a) A question of degree, not substance?</w:t>
      </w:r>
    </w:p>
    <w:p w:rsidR="00FE24C8" w:rsidRDefault="00FE24C8" w:rsidP="00FE24C8">
      <w:pPr>
        <w:pStyle w:val="NoSpacing"/>
        <w:spacing w:line="360" w:lineRule="auto"/>
      </w:pPr>
      <w:r>
        <w:t>The ECtHR has never explained or justified why the difference between restricted movement and</w:t>
      </w:r>
    </w:p>
    <w:p w:rsidR="00FE24C8" w:rsidRDefault="00FE24C8" w:rsidP="00FE24C8">
      <w:pPr>
        <w:pStyle w:val="NoSpacing"/>
        <w:spacing w:line="360" w:lineRule="auto"/>
      </w:pPr>
      <w:r>
        <w:t>deprived liberty should be one of intensity or degree, rather than nature or substance, or indeed a</w:t>
      </w:r>
    </w:p>
    <w:p w:rsidR="00FE24C8" w:rsidRDefault="00FE24C8" w:rsidP="00FE24C8">
      <w:pPr>
        <w:pStyle w:val="NoSpacing"/>
        <w:spacing w:line="360" w:lineRule="auto"/>
      </w:pPr>
      <w:r>
        <w:t>combination of the two. Neither has this approach been doubted in English law. But the dichotomy is not easily drawn. A disciplinary measure for example, which would usually deprive a civilian of their liberty, may not necessarily deprive a serviceman if it does not sufficiently deviate from the ‘normal conditions’ of military life.</w:t>
      </w:r>
      <w:r>
        <w:rPr>
          <w:rStyle w:val="FootnoteReference"/>
        </w:rPr>
        <w:footnoteReference w:id="44"/>
      </w:r>
      <w:r>
        <w:t xml:space="preserve"> Is this because the measure is more intense for the civilian? Or is it because of the nature of military life? Or both?</w:t>
      </w:r>
    </w:p>
    <w:p w:rsidR="00FE24C8" w:rsidRDefault="00FE24C8" w:rsidP="00FE24C8">
      <w:pPr>
        <w:pStyle w:val="NoSpacing"/>
        <w:spacing w:line="360" w:lineRule="auto"/>
      </w:pPr>
    </w:p>
    <w:p w:rsidR="001A65AF" w:rsidRDefault="00FE24C8" w:rsidP="001A65AF">
      <w:pPr>
        <w:pStyle w:val="NoSpacing"/>
        <w:spacing w:line="360" w:lineRule="auto"/>
      </w:pPr>
      <w:r>
        <w:t xml:space="preserve">Such dichotomous ambivalence can clearly be seen in </w:t>
      </w:r>
      <w:r w:rsidRPr="005A70B1">
        <w:rPr>
          <w:i/>
        </w:rPr>
        <w:t>Ashingdane v Unit</w:t>
      </w:r>
      <w:r w:rsidR="005A70B1" w:rsidRPr="005A70B1">
        <w:rPr>
          <w:i/>
        </w:rPr>
        <w:t>ed Kingdom</w:t>
      </w:r>
      <w:r w:rsidR="005A70B1">
        <w:t>.</w:t>
      </w:r>
      <w:r w:rsidR="005A70B1">
        <w:rPr>
          <w:rStyle w:val="FootnoteReference"/>
        </w:rPr>
        <w:footnoteReference w:id="45"/>
      </w:r>
      <w:r w:rsidR="005A70B1">
        <w:t xml:space="preserve"> A patient subject </w:t>
      </w:r>
      <w:r>
        <w:t>to an indefinite restricted hospital order was transferred from Bro</w:t>
      </w:r>
      <w:r w:rsidR="005A70B1">
        <w:t xml:space="preserve">admoor to Oakwood hospital. The </w:t>
      </w:r>
      <w:r>
        <w:t>intensity of the security regimes differed dramatically. The former had b</w:t>
      </w:r>
      <w:r w:rsidR="005A70B1">
        <w:t xml:space="preserve">arred windows, a high perimeter </w:t>
      </w:r>
      <w:r>
        <w:t xml:space="preserve">wall, and locked hospital blocks and outer gates. With such conditions </w:t>
      </w:r>
      <w:r w:rsidR="005A70B1">
        <w:t xml:space="preserve">of high security, Mr Ashingdane </w:t>
      </w:r>
      <w:r>
        <w:t>was permitted only two escorted periods of leave during his nine yea</w:t>
      </w:r>
      <w:r w:rsidR="005A70B1">
        <w:t xml:space="preserve">r stay. Oakwood hospital had no </w:t>
      </w:r>
      <w:r>
        <w:t>surrounding wall. Neither its main entrance nor reception area was loc</w:t>
      </w:r>
      <w:r w:rsidR="005A70B1">
        <w:t xml:space="preserve">ked and he was given unescorted </w:t>
      </w:r>
      <w:r>
        <w:t>leave to go home every weekend from Thursday till Sunday. Moreo</w:t>
      </w:r>
      <w:r w:rsidR="005A70B1">
        <w:t xml:space="preserve">ver, he could come and go as he </w:t>
      </w:r>
      <w:r>
        <w:t>pleased from Monday to Wednesday, provided only that he returned</w:t>
      </w:r>
      <w:r w:rsidR="005A70B1">
        <w:t xml:space="preserve"> to the ward at night. And yet, </w:t>
      </w:r>
      <w:r>
        <w:t>according to the ECtHR, the differences between these regimes “were not such as to change the</w:t>
      </w:r>
      <w:r w:rsidR="005A70B1">
        <w:t xml:space="preserve"> character of his deprivation of liberty as a mental </w:t>
      </w:r>
      <w:r w:rsidR="005A70B1">
        <w:lastRenderedPageBreak/>
        <w:t>patient”.</w:t>
      </w:r>
      <w:r w:rsidR="001A65AF">
        <w:rPr>
          <w:rStyle w:val="FootnoteReference"/>
        </w:rPr>
        <w:footnoteReference w:id="46"/>
      </w:r>
      <w:r w:rsidR="001A65AF">
        <w:t xml:space="preserve"> Such a conclusion is difficult to draw if we focus solely upon the intensity of the measures without considering their nature.</w:t>
      </w:r>
    </w:p>
    <w:p w:rsidR="001A65AF" w:rsidRDefault="001A65AF" w:rsidP="001A65AF">
      <w:pPr>
        <w:pStyle w:val="NoSpacing"/>
        <w:spacing w:line="360" w:lineRule="auto"/>
      </w:pPr>
    </w:p>
    <w:p w:rsidR="001A65AF" w:rsidRDefault="001A65AF" w:rsidP="001A65AF">
      <w:pPr>
        <w:pStyle w:val="NoSpacing"/>
        <w:spacing w:line="360" w:lineRule="auto"/>
      </w:pPr>
      <w:r>
        <w:t>The European jurisprudence considers both the nature of the detention and the degree of the liberty</w:t>
      </w:r>
    </w:p>
    <w:p w:rsidR="001A65AF" w:rsidRDefault="001A65AF" w:rsidP="001A65AF">
      <w:pPr>
        <w:pStyle w:val="NoSpacing"/>
        <w:spacing w:line="360" w:lineRule="auto"/>
      </w:pPr>
      <w:r>
        <w:t>restrictions in other article 5 contexts. Where an individual is transferred from lawful house arrest into hospital detention, for example, nature and degree is relevant in determining whether separate</w:t>
      </w:r>
    </w:p>
    <w:p w:rsidR="001A65AF" w:rsidRDefault="001A65AF" w:rsidP="001A65AF">
      <w:pPr>
        <w:pStyle w:val="NoSpacing"/>
        <w:spacing w:line="360" w:lineRule="auto"/>
      </w:pPr>
      <w:r>
        <w:t>justification under article 5(1</w:t>
      </w:r>
      <w:proofErr w:type="gramStart"/>
      <w:r>
        <w:t>)(</w:t>
      </w:r>
      <w:proofErr w:type="gramEnd"/>
      <w:r>
        <w:t>e) is required for the latter.</w:t>
      </w:r>
      <w:r>
        <w:rPr>
          <w:rStyle w:val="FootnoteReference"/>
        </w:rPr>
        <w:footnoteReference w:id="47"/>
      </w:r>
      <w:r>
        <w:t xml:space="preserve"> Why, then, should the test for determining whether liberty is deprived be any different?</w:t>
      </w:r>
    </w:p>
    <w:p w:rsidR="002C3709" w:rsidRPr="002C3709" w:rsidRDefault="002C3709" w:rsidP="001A65AF">
      <w:pPr>
        <w:pStyle w:val="NoSpacing"/>
        <w:spacing w:line="360" w:lineRule="auto"/>
        <w:rPr>
          <w:b/>
        </w:rPr>
      </w:pPr>
    </w:p>
    <w:p w:rsidR="002C3709" w:rsidRPr="002C3709" w:rsidRDefault="002C3709" w:rsidP="002C3709">
      <w:pPr>
        <w:pStyle w:val="NoSpacing"/>
        <w:spacing w:line="360" w:lineRule="auto"/>
        <w:rPr>
          <w:b/>
        </w:rPr>
      </w:pPr>
      <w:r w:rsidRPr="002C3709">
        <w:rPr>
          <w:b/>
        </w:rPr>
        <w:t>(b) Motives behind the measures</w:t>
      </w:r>
    </w:p>
    <w:p w:rsidR="002C3709" w:rsidRDefault="002C3709" w:rsidP="002C3709">
      <w:pPr>
        <w:pStyle w:val="NoSpacing"/>
        <w:spacing w:line="360" w:lineRule="auto"/>
      </w:pPr>
      <w:r>
        <w:t xml:space="preserve">Our physical liberty may be restricted for a variety of reasons. The confinement could be therapeutic, preventative, rehabilitative, or punitive in nature, or a combination thereof. Should the confiner’s motives be relevant? Might therapeutic detention be less likely to deprive liberty than its retributive equivalent? In </w:t>
      </w:r>
      <w:r w:rsidRPr="002C3709">
        <w:rPr>
          <w:i/>
        </w:rPr>
        <w:t>HM v Switzerland</w:t>
      </w:r>
      <w:r>
        <w:t>,</w:t>
      </w:r>
      <w:r>
        <w:rPr>
          <w:rStyle w:val="FootnoteReference"/>
        </w:rPr>
        <w:footnoteReference w:id="48"/>
      </w:r>
      <w:r>
        <w:t xml:space="preserve"> an 84 year-old widow with a disputed diagnosis of senile dementia was placed in a foster home on account of serious neglect at home. Reference was made to the fact that this was in her own interests so that she would be provided with the necessary medical care and satisfactory living and hygiene conditions.</w:t>
      </w:r>
    </w:p>
    <w:p w:rsidR="002C3709" w:rsidRDefault="002C3709" w:rsidP="002C3709">
      <w:pPr>
        <w:pStyle w:val="NoSpacing"/>
        <w:spacing w:line="360" w:lineRule="auto"/>
      </w:pPr>
    </w:p>
    <w:p w:rsidR="002C3709" w:rsidRDefault="002C3709" w:rsidP="002C3709">
      <w:pPr>
        <w:pStyle w:val="NoSpacing"/>
        <w:spacing w:line="360" w:lineRule="auto"/>
      </w:pPr>
      <w:r>
        <w:t xml:space="preserve">In </w:t>
      </w:r>
      <w:r w:rsidRPr="00186660">
        <w:rPr>
          <w:i/>
        </w:rPr>
        <w:t>JJ</w:t>
      </w:r>
      <w:r>
        <w:t>, there was judicial disagreement over this issue, even amongst the majority. According to Lord</w:t>
      </w:r>
    </w:p>
    <w:p w:rsidR="00186660" w:rsidRDefault="002C3709" w:rsidP="00186660">
      <w:pPr>
        <w:pStyle w:val="NoSpacing"/>
        <w:spacing w:line="360" w:lineRule="auto"/>
      </w:pPr>
      <w:r>
        <w:t>Brown, “[t]he borderline between deprivation of liberty and restrictio</w:t>
      </w:r>
      <w:r w:rsidR="00186660">
        <w:t xml:space="preserve">n of liberty of movement cannot </w:t>
      </w:r>
      <w:r>
        <w:t>vary according to the particular interests sought to be served by the restr</w:t>
      </w:r>
      <w:r w:rsidR="00186660">
        <w:t>aints imposed.”</w:t>
      </w:r>
      <w:r w:rsidR="00186660">
        <w:rPr>
          <w:rStyle w:val="FootnoteReference"/>
        </w:rPr>
        <w:footnoteReference w:id="49"/>
      </w:r>
      <w:r w:rsidR="00186660">
        <w:t xml:space="preserve">Such a stance </w:t>
      </w:r>
      <w:r>
        <w:t>resonates with Berlin’s concept of negative liberty by taking an objective look at the measures and their</w:t>
      </w:r>
      <w:r w:rsidR="00186660">
        <w:t xml:space="preserve"> impact upon a person who finds themselves in the situation of the person subject to them. Whereas for Baroness Hale, “restrictions designed, at least in part, for the benefit of the person concerned are less likely to be considered a deprivation of liberty than are restrictions designed for the protection of society”.</w:t>
      </w:r>
      <w:r w:rsidR="00186660">
        <w:rPr>
          <w:rStyle w:val="FootnoteReference"/>
        </w:rPr>
        <w:footnoteReference w:id="50"/>
      </w:r>
      <w:r w:rsidR="00186660">
        <w:t xml:space="preserve"> This perspective conforms more to the philosophy of positive liberty with its more paternalistic undertones towards those lacking capacity. It takes account of the </w:t>
      </w:r>
      <w:r w:rsidR="00186660" w:rsidRPr="00532CEA">
        <w:rPr>
          <w:i/>
        </w:rPr>
        <w:t xml:space="preserve">subjective </w:t>
      </w:r>
      <w:r w:rsidR="00186660">
        <w:t xml:space="preserve">characteristics of </w:t>
      </w:r>
      <w:r w:rsidR="00186660" w:rsidRPr="00532CEA">
        <w:rPr>
          <w:i/>
        </w:rPr>
        <w:t xml:space="preserve">the </w:t>
      </w:r>
      <w:r w:rsidR="00186660">
        <w:t>person and the motives behind the measures, coupled with their effects upon that individual.</w:t>
      </w:r>
    </w:p>
    <w:p w:rsidR="00186660" w:rsidRDefault="00186660" w:rsidP="00186660">
      <w:pPr>
        <w:pStyle w:val="NoSpacing"/>
        <w:spacing w:line="360" w:lineRule="auto"/>
      </w:pPr>
    </w:p>
    <w:p w:rsidR="00532CEA" w:rsidRDefault="00186660" w:rsidP="00186660">
      <w:pPr>
        <w:pStyle w:val="NoSpacing"/>
        <w:spacing w:line="360" w:lineRule="auto"/>
      </w:pPr>
      <w:r>
        <w:lastRenderedPageBreak/>
        <w:t xml:space="preserve">This jurisprudential crack has been fully exposed in </w:t>
      </w:r>
      <w:r w:rsidRPr="00532CEA">
        <w:rPr>
          <w:i/>
        </w:rPr>
        <w:t>Austin v Commissioner of Police of the Metropolis</w:t>
      </w:r>
      <w:r>
        <w:t>.</w:t>
      </w:r>
      <w:r>
        <w:rPr>
          <w:rStyle w:val="FootnoteReference"/>
        </w:rPr>
        <w:footnoteReference w:id="51"/>
      </w:r>
      <w:r>
        <w:t xml:space="preserve"> The House of Lords cautiously held that measures of crowd control taken in the interests of public safety would not infringe article 5 rights, provided they were proportionate, taken in good faith and enforced for no longer than was reasonably necessary. The purpose behind the restrictions was an additional factor to take into account, at least where article 5(1) did not permit the deprivation of liberty to be justified.</w:t>
      </w:r>
    </w:p>
    <w:p w:rsidR="00532CEA" w:rsidRDefault="00532CEA" w:rsidP="00186660">
      <w:pPr>
        <w:pStyle w:val="NoSpacing"/>
        <w:spacing w:line="360" w:lineRule="auto"/>
      </w:pPr>
    </w:p>
    <w:p w:rsidR="00532CEA" w:rsidRPr="00532CEA" w:rsidRDefault="00532CEA" w:rsidP="00532CEA">
      <w:pPr>
        <w:pStyle w:val="NoSpacing"/>
        <w:spacing w:line="360" w:lineRule="auto"/>
        <w:rPr>
          <w:b/>
        </w:rPr>
      </w:pPr>
      <w:r w:rsidRPr="00532CEA">
        <w:rPr>
          <w:b/>
        </w:rPr>
        <w:t>(c) Freedom to leave</w:t>
      </w:r>
    </w:p>
    <w:p w:rsidR="00532CEA" w:rsidRDefault="00532CEA" w:rsidP="00532CEA">
      <w:pPr>
        <w:pStyle w:val="NoSpacing"/>
        <w:spacing w:line="360" w:lineRule="auto"/>
      </w:pPr>
      <w:r>
        <w:t>Whether Mr L and Mr DE were free to leave their respective hospital and</w:t>
      </w:r>
      <w:r w:rsidR="006929A8">
        <w:t xml:space="preserve"> care home was considered to be </w:t>
      </w:r>
      <w:r>
        <w:t xml:space="preserve">the “key factor”. But it has not featured elsewhere. Asylum seekers kept </w:t>
      </w:r>
      <w:r w:rsidR="006929A8">
        <w:t xml:space="preserve">in an airport transit zone, for </w:t>
      </w:r>
      <w:r>
        <w:t>example, were held to be deprived of their liberty despite being (at least t</w:t>
      </w:r>
      <w:r w:rsidR="006929A8">
        <w:t>heoretically) free to leave the country at any time.</w:t>
      </w:r>
      <w:r w:rsidR="006929A8">
        <w:rPr>
          <w:rStyle w:val="FootnoteReference"/>
        </w:rPr>
        <w:footnoteReference w:id="52"/>
      </w:r>
      <w:r>
        <w:t xml:space="preserve"> Moreover, in JJ the suspected terrorists were free to </w:t>
      </w:r>
      <w:r w:rsidR="006929A8">
        <w:t xml:space="preserve">leave their homes daily between </w:t>
      </w:r>
      <w:r>
        <w:t>10am and 4pm, provided they remained within a designated area. Similarly</w:t>
      </w:r>
      <w:r w:rsidR="006929A8">
        <w:t xml:space="preserve">, in </w:t>
      </w:r>
      <w:r w:rsidR="006929A8" w:rsidRPr="006929A8">
        <w:rPr>
          <w:i/>
        </w:rPr>
        <w:t>Ashingdane</w:t>
      </w:r>
      <w:r w:rsidR="006929A8">
        <w:t xml:space="preserve"> the patient was </w:t>
      </w:r>
      <w:r>
        <w:t>free to leave the unsecured hospital for most of the week and yet remained deprived of his liberty.</w:t>
      </w:r>
    </w:p>
    <w:p w:rsidR="006929A8" w:rsidRDefault="006929A8" w:rsidP="00532CEA">
      <w:pPr>
        <w:pStyle w:val="NoSpacing"/>
        <w:spacing w:line="360" w:lineRule="auto"/>
      </w:pPr>
    </w:p>
    <w:p w:rsidR="00532CEA" w:rsidRDefault="00532CEA" w:rsidP="00532CEA">
      <w:pPr>
        <w:pStyle w:val="NoSpacing"/>
        <w:spacing w:line="360" w:lineRule="auto"/>
      </w:pPr>
      <w:r>
        <w:t xml:space="preserve">Whilst one’s freedom to leave a particular location is a useful indicator of the </w:t>
      </w:r>
      <w:r w:rsidR="006929A8">
        <w:t xml:space="preserve">restrictive regime’s intensity, </w:t>
      </w:r>
      <w:r>
        <w:t xml:space="preserve">it may suffer from definitional problems. For example, if care home staff </w:t>
      </w:r>
      <w:r w:rsidR="006929A8">
        <w:t xml:space="preserve">position an otherwise wandering </w:t>
      </w:r>
      <w:r>
        <w:t xml:space="preserve">resident in a deep bean bag, is he “free to leave” through the open door </w:t>
      </w:r>
      <w:r w:rsidR="006929A8">
        <w:t xml:space="preserve">before him if he cannot get up? </w:t>
      </w:r>
      <w:r>
        <w:t>Munby J. defined being free to leave “in the sense of removing [onesel</w:t>
      </w:r>
      <w:r w:rsidR="006929A8">
        <w:t xml:space="preserve">f] permanently in order to live </w:t>
      </w:r>
      <w:r>
        <w:t>where and with whom [one] chooses.”</w:t>
      </w:r>
      <w:r w:rsidR="006929A8">
        <w:rPr>
          <w:rStyle w:val="FootnoteReference"/>
        </w:rPr>
        <w:footnoteReference w:id="53"/>
      </w:r>
      <w:r>
        <w:t xml:space="preserve"> Can a resident ever be free to per</w:t>
      </w:r>
      <w:r w:rsidR="006929A8">
        <w:t xml:space="preserve">manently leave their </w:t>
      </w:r>
      <w:r>
        <w:t>accommodation when they lack the capacity to make that decision? Ap</w:t>
      </w:r>
      <w:r w:rsidR="006929A8">
        <w:t xml:space="preserve">plying such reasoning to JJ, it </w:t>
      </w:r>
      <w:r>
        <w:t xml:space="preserve">would follow that anyone subject to a control order, </w:t>
      </w:r>
      <w:r w:rsidRPr="006929A8">
        <w:rPr>
          <w:i/>
        </w:rPr>
        <w:t>regardless of the lengt</w:t>
      </w:r>
      <w:r w:rsidR="006929A8" w:rsidRPr="006929A8">
        <w:rPr>
          <w:i/>
        </w:rPr>
        <w:t>h of curfew</w:t>
      </w:r>
      <w:r w:rsidR="006929A8">
        <w:t xml:space="preserve">, would not be “free </w:t>
      </w:r>
      <w:r>
        <w:t>to leave”.</w:t>
      </w:r>
    </w:p>
    <w:p w:rsidR="006929A8" w:rsidRDefault="006929A8" w:rsidP="00532CEA">
      <w:pPr>
        <w:pStyle w:val="NoSpacing"/>
        <w:spacing w:line="360" w:lineRule="auto"/>
      </w:pPr>
    </w:p>
    <w:p w:rsidR="00532CEA" w:rsidRDefault="00532CEA" w:rsidP="00532CEA">
      <w:pPr>
        <w:pStyle w:val="NoSpacing"/>
        <w:spacing w:line="360" w:lineRule="auto"/>
      </w:pPr>
      <w:r>
        <w:t>One’s freedom to leave “</w:t>
      </w:r>
      <w:r w:rsidRPr="00545B6F">
        <w:rPr>
          <w:i/>
        </w:rPr>
        <w:t>may</w:t>
      </w:r>
      <w:r>
        <w:t xml:space="preserve"> be tested by determining whether those t</w:t>
      </w:r>
      <w:r w:rsidR="00545B6F">
        <w:t xml:space="preserve">reating and managing the person </w:t>
      </w:r>
      <w:r>
        <w:t>exercise complete and effective control over [their] care and movements”</w:t>
      </w:r>
      <w:r w:rsidR="00545B6F">
        <w:t>.</w:t>
      </w:r>
      <w:r w:rsidR="00545B6F">
        <w:rPr>
          <w:rStyle w:val="FootnoteReference"/>
        </w:rPr>
        <w:footnoteReference w:id="54"/>
      </w:r>
      <w:r w:rsidR="00545B6F">
        <w:t xml:space="preserve"> Is this the </w:t>
      </w:r>
      <w:r w:rsidR="00545B6F" w:rsidRPr="00545B6F">
        <w:rPr>
          <w:i/>
        </w:rPr>
        <w:t xml:space="preserve">only </w:t>
      </w:r>
      <w:r w:rsidR="00545B6F">
        <w:t xml:space="preserve">way? Might </w:t>
      </w:r>
      <w:r>
        <w:t>the individual’s disabling condition, for example, satisfy this “key factor”? I</w:t>
      </w:r>
      <w:r w:rsidR="00545B6F">
        <w:t xml:space="preserve">n relation to the right to life </w:t>
      </w:r>
      <w:r>
        <w:t>as protected by article 2 of the Convention, Baroness Hale recently comm</w:t>
      </w:r>
      <w:r w:rsidR="00545B6F">
        <w:t xml:space="preserve">ented, </w:t>
      </w:r>
      <w:r w:rsidR="00545B6F" w:rsidRPr="00545B6F">
        <w:rPr>
          <w:i/>
        </w:rPr>
        <w:t>obiter</w:t>
      </w:r>
      <w:r w:rsidR="00545B6F">
        <w:t xml:space="preserve">, that whilst some </w:t>
      </w:r>
      <w:r>
        <w:t xml:space="preserve">patients are deprived of their liberty by the law, others like Mr L “are </w:t>
      </w:r>
      <w:r>
        <w:lastRenderedPageBreak/>
        <w:t>deprived of their liberty by their ow</w:t>
      </w:r>
      <w:r w:rsidR="00545B6F">
        <w:t>n condition.”</w:t>
      </w:r>
      <w:r w:rsidR="00545B6F">
        <w:rPr>
          <w:rStyle w:val="FootnoteReference"/>
        </w:rPr>
        <w:footnoteReference w:id="55"/>
      </w:r>
      <w:r>
        <w:t xml:space="preserve"> If the physical liberty of a person can be deprived by t</w:t>
      </w:r>
      <w:r w:rsidR="00545B6F">
        <w:t xml:space="preserve">heir own immobility, this would </w:t>
      </w:r>
      <w:r>
        <w:t>radically broaden the scope of article 5. Not only would the law take accou</w:t>
      </w:r>
      <w:r w:rsidR="00545B6F">
        <w:t xml:space="preserve">nt of the </w:t>
      </w:r>
      <w:r w:rsidR="00545B6F" w:rsidRPr="00525916">
        <w:rPr>
          <w:i/>
        </w:rPr>
        <w:t>external</w:t>
      </w:r>
      <w:r w:rsidR="00545B6F">
        <w:t xml:space="preserve"> restrictions </w:t>
      </w:r>
      <w:r>
        <w:t>being implemented by the managing authority. Consideration would also b</w:t>
      </w:r>
      <w:r w:rsidR="00545B6F">
        <w:t xml:space="preserve">e given to otherwise liberating </w:t>
      </w:r>
      <w:r>
        <w:t xml:space="preserve">measures that the authority failed to implement to help the person overcome their </w:t>
      </w:r>
      <w:r w:rsidRPr="00525916">
        <w:rPr>
          <w:i/>
        </w:rPr>
        <w:t>internal</w:t>
      </w:r>
      <w:r>
        <w:t xml:space="preserve"> restrictions.</w:t>
      </w:r>
    </w:p>
    <w:p w:rsidR="004F6F79" w:rsidRPr="004F6F79" w:rsidRDefault="004F6F79" w:rsidP="00532CEA">
      <w:pPr>
        <w:pStyle w:val="NoSpacing"/>
        <w:spacing w:line="360" w:lineRule="auto"/>
        <w:rPr>
          <w:b/>
        </w:rPr>
      </w:pPr>
    </w:p>
    <w:p w:rsidR="004F6F79" w:rsidRPr="004F6F79" w:rsidRDefault="004F6F79" w:rsidP="004F6F79">
      <w:pPr>
        <w:pStyle w:val="NoSpacing"/>
        <w:spacing w:line="360" w:lineRule="auto"/>
        <w:rPr>
          <w:b/>
        </w:rPr>
      </w:pPr>
      <w:r w:rsidRPr="004F6F79">
        <w:rPr>
          <w:b/>
        </w:rPr>
        <w:t>(d) Consensual confinement</w:t>
      </w:r>
    </w:p>
    <w:p w:rsidR="004F6F79" w:rsidRDefault="004F6F79" w:rsidP="004F6F79">
      <w:pPr>
        <w:pStyle w:val="NoSpacing"/>
        <w:spacing w:line="360" w:lineRule="auto"/>
      </w:pPr>
      <w:r>
        <w:t>We consent to restrictions on our liberty on a daily basis. Airplane passeng</w:t>
      </w:r>
      <w:r w:rsidR="00FC1679">
        <w:t xml:space="preserve">ers, for example, cannot insist </w:t>
      </w:r>
      <w:r>
        <w:t>on being allowed to get off in mid-flight. Football crowds are often con</w:t>
      </w:r>
      <w:r w:rsidR="00FC1679">
        <w:t xml:space="preserve">tained for periods before being </w:t>
      </w:r>
      <w:r>
        <w:t>permitted to leave the ground. Members of religious orders choose to liv</w:t>
      </w:r>
      <w:r w:rsidR="00FC1679">
        <w:t xml:space="preserve">e eremitic lives. The extent to </w:t>
      </w:r>
      <w:r>
        <w:t>which consent should influence the engagement of article 5 h</w:t>
      </w:r>
      <w:r w:rsidR="00FC1679">
        <w:t xml:space="preserve">as witnessed a somewhat seismic </w:t>
      </w:r>
      <w:r>
        <w:t>jurisprudential shift. The ECtHR’s former view was that “[d]etenti</w:t>
      </w:r>
      <w:r w:rsidR="00FC1679">
        <w:t xml:space="preserve">on might violate Article 5 even </w:t>
      </w:r>
      <w:r>
        <w:t>although [sic] the person concerned might have agreed to it”.</w:t>
      </w:r>
      <w:r w:rsidR="00FC1679">
        <w:rPr>
          <w:rStyle w:val="FootnoteReference"/>
        </w:rPr>
        <w:footnoteReference w:id="56"/>
      </w:r>
      <w:r>
        <w:t xml:space="preserve"> In </w:t>
      </w:r>
      <w:r w:rsidRPr="00FC1679">
        <w:rPr>
          <w:i/>
        </w:rPr>
        <w:t>HL v Un</w:t>
      </w:r>
      <w:r w:rsidR="00FC1679" w:rsidRPr="00FC1679">
        <w:rPr>
          <w:i/>
        </w:rPr>
        <w:t>ited Kingdom</w:t>
      </w:r>
      <w:r w:rsidR="00FC1679">
        <w:rPr>
          <w:rStyle w:val="FootnoteReference"/>
          <w:i/>
        </w:rPr>
        <w:footnoteReference w:id="57"/>
      </w:r>
      <w:r w:rsidR="00FC1679">
        <w:t xml:space="preserve"> it recalled that </w:t>
      </w:r>
      <w:r>
        <w:t>“the right to liberty is too important in a democratic society for a person to</w:t>
      </w:r>
      <w:r w:rsidR="00FC1679">
        <w:t xml:space="preserve"> lose the benefit of Convention </w:t>
      </w:r>
      <w:r>
        <w:t>protection for the single reason that he may have given himself up to be tak</w:t>
      </w:r>
      <w:r w:rsidR="00FC1679">
        <w:t xml:space="preserve">en into detention”. It was held </w:t>
      </w:r>
      <w:r>
        <w:t xml:space="preserve">in </w:t>
      </w:r>
      <w:r w:rsidRPr="00FC1679">
        <w:rPr>
          <w:i/>
        </w:rPr>
        <w:t>Storck v Germany</w:t>
      </w:r>
      <w:r>
        <w:t>, however, that “[</w:t>
      </w:r>
      <w:proofErr w:type="spellStart"/>
      <w:r>
        <w:t>i</w:t>
      </w:r>
      <w:proofErr w:type="spellEnd"/>
      <w:r>
        <w:t xml:space="preserve">]ndividuals can only be considered as </w:t>
      </w:r>
      <w:r w:rsidR="00FC1679">
        <w:t xml:space="preserve">being deprived of their liberty </w:t>
      </w:r>
      <w:r>
        <w:t>if, as an additional subjective element, they have not validly consented to the confin</w:t>
      </w:r>
      <w:r w:rsidR="00FC1679">
        <w:t>ement in question”.</w:t>
      </w:r>
      <w:r w:rsidR="00FC1679">
        <w:rPr>
          <w:rStyle w:val="FootnoteReference"/>
        </w:rPr>
        <w:footnoteReference w:id="58"/>
      </w:r>
      <w:r w:rsidR="00FC1679">
        <w:t xml:space="preserve"> </w:t>
      </w:r>
      <w:r>
        <w:t>Furthermore, where a person is legally capable of expressing an opinion, t</w:t>
      </w:r>
      <w:r w:rsidR="00FC1679">
        <w:t xml:space="preserve">heir consent can be inferred if </w:t>
      </w:r>
      <w:r>
        <w:t>they are undecided as to whe</w:t>
      </w:r>
      <w:r w:rsidR="00FC1679">
        <w:t>ther or not they wish to stay.</w:t>
      </w:r>
      <w:r w:rsidR="00FC1679">
        <w:rPr>
          <w:rStyle w:val="FootnoteReference"/>
        </w:rPr>
        <w:footnoteReference w:id="59"/>
      </w:r>
    </w:p>
    <w:p w:rsidR="00FC1679" w:rsidRDefault="00FC1679" w:rsidP="004F6F79">
      <w:pPr>
        <w:pStyle w:val="NoSpacing"/>
        <w:spacing w:line="360" w:lineRule="auto"/>
      </w:pPr>
    </w:p>
    <w:p w:rsidR="004F6F79" w:rsidRDefault="004F6F79" w:rsidP="004F6F79">
      <w:pPr>
        <w:pStyle w:val="NoSpacing"/>
        <w:spacing w:line="360" w:lineRule="auto"/>
      </w:pPr>
      <w:r>
        <w:t>In relation to hospital and care home detention, if an otherwise detained</w:t>
      </w:r>
      <w:r w:rsidR="00BA7980">
        <w:t xml:space="preserve"> person’s capacitous consent is </w:t>
      </w:r>
      <w:r>
        <w:t>to preclude the engagement of article 5, no authorisation would have to</w:t>
      </w:r>
      <w:r w:rsidR="00BA7980">
        <w:t xml:space="preserve"> be sought from the supervisory </w:t>
      </w:r>
      <w:r>
        <w:t>body. As a result, a substantial number would not be safeguarded against a</w:t>
      </w:r>
      <w:r w:rsidR="00BA7980">
        <w:t xml:space="preserve">rbitrary detention. Indeed, the </w:t>
      </w:r>
      <w:r>
        <w:t>underlying aims of the Mental Capacity Act 2005, to promote autonom</w:t>
      </w:r>
      <w:r w:rsidR="00BA7980">
        <w:t xml:space="preserve">y and empower individuals, make </w:t>
      </w:r>
      <w:r>
        <w:t>this more likely, for every patient and resident must be assumed to</w:t>
      </w:r>
      <w:r w:rsidR="00BA7980">
        <w:t xml:space="preserve"> have capacity according to the </w:t>
      </w:r>
      <w:r>
        <w:t>statutory principles. Moreover, the capacity assessment under DoLS ne</w:t>
      </w:r>
      <w:r w:rsidR="00BA7980">
        <w:t xml:space="preserve">ed not be performed by a doctor </w:t>
      </w:r>
      <w:r>
        <w:t>or approved mental health professional.</w:t>
      </w:r>
      <w:r w:rsidR="00BA7980">
        <w:rPr>
          <w:rStyle w:val="FootnoteReference"/>
        </w:rPr>
        <w:footnoteReference w:id="60"/>
      </w:r>
      <w:r>
        <w:t xml:space="preserve"> In those circumstances, sh</w:t>
      </w:r>
      <w:r w:rsidR="00BA7980">
        <w:t xml:space="preserve">ould the presence or absence of </w:t>
      </w:r>
      <w:r>
        <w:t>consent play such a decisive role in determining their right to liberty?</w:t>
      </w:r>
    </w:p>
    <w:p w:rsidR="004E739F" w:rsidRDefault="004E739F" w:rsidP="004E739F">
      <w:pPr>
        <w:pStyle w:val="NoSpacing"/>
        <w:spacing w:line="360" w:lineRule="auto"/>
      </w:pPr>
      <w:r>
        <w:lastRenderedPageBreak/>
        <w:t>(e) Assessing capacity</w:t>
      </w:r>
    </w:p>
    <w:p w:rsidR="004E739F" w:rsidRDefault="004E739F" w:rsidP="004E739F">
      <w:pPr>
        <w:pStyle w:val="NoSpacing"/>
        <w:spacing w:line="360" w:lineRule="auto"/>
      </w:pPr>
      <w:r>
        <w:t>The matter is compounded by uncertainty surrounding the issue of capacity. If the absence of consent is to be a necessary additional element to a liberty deprivation, the individual must have capacity to give that consent. According to the Act,</w:t>
      </w:r>
      <w:r>
        <w:rPr>
          <w:rStyle w:val="FootnoteReference"/>
        </w:rPr>
        <w:footnoteReference w:id="61"/>
      </w:r>
      <w:r>
        <w:t xml:space="preserve"> they must lack capacity “in relation to the question whether or not he should be accommodated in the relevant hospital or care home for the purpose of being given the relevant care or treatment”. However, making that assessment may be far from straightforward.</w:t>
      </w:r>
      <w:r>
        <w:rPr>
          <w:rStyle w:val="FootnoteReference"/>
        </w:rPr>
        <w:footnoteReference w:id="62"/>
      </w:r>
      <w:r>
        <w:t xml:space="preserve"> The DoLS Code of Practice is silent on this issue. For no guidance is given as to what relevant information a resident must be able to understand, retain and use when deciding whether to consent to going into such accommodation.</w:t>
      </w:r>
    </w:p>
    <w:p w:rsidR="004E739F" w:rsidRDefault="004E739F" w:rsidP="004E739F">
      <w:pPr>
        <w:pStyle w:val="NoSpacing"/>
        <w:spacing w:line="360" w:lineRule="auto"/>
      </w:pPr>
    </w:p>
    <w:p w:rsidR="004E739F" w:rsidRDefault="004E739F" w:rsidP="004E739F">
      <w:pPr>
        <w:pStyle w:val="NoSpacing"/>
        <w:spacing w:line="360" w:lineRule="auto"/>
      </w:pPr>
      <w:r>
        <w:t xml:space="preserve">Across the Atlantic, in response to the US Supreme Court’s decision in </w:t>
      </w:r>
      <w:r w:rsidRPr="004E739F">
        <w:rPr>
          <w:i/>
        </w:rPr>
        <w:t>Zinermon v Burch</w:t>
      </w:r>
      <w:r>
        <w:t>,</w:t>
      </w:r>
      <w:r>
        <w:rPr>
          <w:rStyle w:val="FootnoteReference"/>
        </w:rPr>
        <w:footnoteReference w:id="63"/>
      </w:r>
      <w:r>
        <w:t xml:space="preserve"> which</w:t>
      </w:r>
    </w:p>
    <w:p w:rsidR="00532CEA" w:rsidRDefault="004E739F" w:rsidP="007E3C62">
      <w:pPr>
        <w:pStyle w:val="NoSpacing"/>
        <w:spacing w:line="360" w:lineRule="auto"/>
      </w:pPr>
      <w:r>
        <w:t xml:space="preserve">touched upon issues similar to those in </w:t>
      </w:r>
      <w:r w:rsidRPr="004E739F">
        <w:rPr>
          <w:i/>
        </w:rPr>
        <w:t>Bournewood</w:t>
      </w:r>
      <w:r>
        <w:t>, the American Psychiatric Association favoured what they considered to be a lenient but meaningful test.</w:t>
      </w:r>
      <w:r>
        <w:rPr>
          <w:rStyle w:val="FootnoteReference"/>
        </w:rPr>
        <w:footnoteReference w:id="64"/>
      </w:r>
      <w:r>
        <w:t xml:space="preserve"> This would require a person to understand that (a)</w:t>
      </w:r>
      <w:r w:rsidR="007E3C62">
        <w:t xml:space="preserve"> they were being admitted to a psychiatric hospital for treatment; (b) their release may not be automatic; and (c) they could get help from staff to initiate procedures for release. However, such a low capacity threshold, reinforced by the statutory presumption of capacity in the 2005 Act, would result in more compliant patients being </w:t>
      </w:r>
      <w:r w:rsidR="007E3C62" w:rsidRPr="007E3C62">
        <w:rPr>
          <w:i/>
        </w:rPr>
        <w:t>de facto</w:t>
      </w:r>
      <w:r w:rsidR="007E3C62">
        <w:t xml:space="preserve"> detained without the protection of article 5.</w:t>
      </w:r>
    </w:p>
    <w:p w:rsidR="00B04488" w:rsidRPr="00B04488" w:rsidRDefault="00B04488" w:rsidP="007E3C62">
      <w:pPr>
        <w:pStyle w:val="NoSpacing"/>
        <w:spacing w:line="360" w:lineRule="auto"/>
        <w:rPr>
          <w:b/>
        </w:rPr>
      </w:pPr>
    </w:p>
    <w:p w:rsidR="00B04488" w:rsidRPr="00B04488" w:rsidRDefault="00B04488" w:rsidP="00B04488">
      <w:pPr>
        <w:pStyle w:val="NoSpacing"/>
        <w:spacing w:line="360" w:lineRule="auto"/>
        <w:rPr>
          <w:b/>
        </w:rPr>
      </w:pPr>
      <w:r w:rsidRPr="00B04488">
        <w:rPr>
          <w:b/>
        </w:rPr>
        <w:t>(f) The inherent jurisdiction</w:t>
      </w:r>
    </w:p>
    <w:p w:rsidR="00B04488" w:rsidRDefault="00B04488" w:rsidP="00B04488">
      <w:pPr>
        <w:pStyle w:val="NoSpacing"/>
        <w:spacing w:line="360" w:lineRule="auto"/>
      </w:pPr>
      <w:r>
        <w:t>Since Mr L’s proceedings concluded in Strasbourg, the domestic legal lan</w:t>
      </w:r>
      <w:r w:rsidR="00252659">
        <w:t xml:space="preserve">dscape has changed dramatically </w:t>
      </w:r>
      <w:r>
        <w:t>in the sphere of substitute decision-making as the courts have striven to pl</w:t>
      </w:r>
      <w:r w:rsidR="00252659">
        <w:t>ug the Bournewood gap.</w:t>
      </w:r>
      <w:r w:rsidR="00252659">
        <w:rPr>
          <w:rStyle w:val="FootnoteReference"/>
        </w:rPr>
        <w:footnoteReference w:id="65"/>
      </w:r>
      <w:r w:rsidR="00252659">
        <w:t xml:space="preserve"> The </w:t>
      </w:r>
      <w:r>
        <w:t>High Court is transforming its inherent jurisdiction by developing a “pro</w:t>
      </w:r>
      <w:r w:rsidR="00252659">
        <w:t xml:space="preserve">tective jurisdiction” over both </w:t>
      </w:r>
      <w:r>
        <w:t>mentally</w:t>
      </w:r>
      <w:r w:rsidR="00E1003F">
        <w:t xml:space="preserve"> incapacitated and “vulnerable”</w:t>
      </w:r>
      <w:r w:rsidR="00E1003F">
        <w:rPr>
          <w:rStyle w:val="FootnoteReference"/>
        </w:rPr>
        <w:footnoteReference w:id="66"/>
      </w:r>
      <w:r>
        <w:t xml:space="preserve"> adults that enables the </w:t>
      </w:r>
      <w:r>
        <w:lastRenderedPageBreak/>
        <w:t>regulati</w:t>
      </w:r>
      <w:r w:rsidR="00E1003F">
        <w:t xml:space="preserve">on of “everything that conduces </w:t>
      </w:r>
      <w:r>
        <w:t>to [their] welfare and happiness”.</w:t>
      </w:r>
      <w:r w:rsidR="00E1003F">
        <w:rPr>
          <w:rStyle w:val="FootnoteReference"/>
        </w:rPr>
        <w:footnoteReference w:id="67"/>
      </w:r>
      <w:r>
        <w:t xml:space="preserve"> This includes the power to authorise b</w:t>
      </w:r>
      <w:r w:rsidR="00E1003F">
        <w:t xml:space="preserve">oth their detention and the use </w:t>
      </w:r>
      <w:r>
        <w:t>of reasonable force</w:t>
      </w:r>
      <w:r w:rsidR="00E1003F">
        <w:t xml:space="preserve"> should they attempt to leave.</w:t>
      </w:r>
      <w:r w:rsidR="00E1003F">
        <w:rPr>
          <w:rStyle w:val="FootnoteReference"/>
        </w:rPr>
        <w:footnoteReference w:id="68"/>
      </w:r>
    </w:p>
    <w:p w:rsidR="00E1003F" w:rsidRDefault="00E1003F" w:rsidP="00B04488">
      <w:pPr>
        <w:pStyle w:val="NoSpacing"/>
        <w:spacing w:line="360" w:lineRule="auto"/>
      </w:pPr>
    </w:p>
    <w:p w:rsidR="00B04488" w:rsidRDefault="00B04488" w:rsidP="00B04488">
      <w:pPr>
        <w:pStyle w:val="NoSpacing"/>
        <w:spacing w:line="360" w:lineRule="auto"/>
      </w:pPr>
      <w:r>
        <w:t>At this early stage it is unclear how the inherent and statutory jurisdictions will interface. Could the</w:t>
      </w:r>
    </w:p>
    <w:p w:rsidR="00B04488" w:rsidRDefault="00B04488" w:rsidP="00B04488">
      <w:pPr>
        <w:pStyle w:val="NoSpacing"/>
        <w:spacing w:line="360" w:lineRule="auto"/>
      </w:pPr>
      <w:r>
        <w:t>former be invoked to detain those who do not qualify for the latter? Or wo</w:t>
      </w:r>
      <w:r w:rsidR="007E1E4E">
        <w:t xml:space="preserve">uld this undermine Parliament’s </w:t>
      </w:r>
      <w:r>
        <w:t>intentions? Early judicial signs indicate that the Mental Capacity Act 200</w:t>
      </w:r>
      <w:r w:rsidR="007E1E4E">
        <w:t xml:space="preserve">5 exists alongside, and has not </w:t>
      </w:r>
      <w:r>
        <w:t>impliedly negated, the common law.</w:t>
      </w:r>
      <w:r w:rsidR="00AA77C0">
        <w:rPr>
          <w:rStyle w:val="FootnoteReference"/>
        </w:rPr>
        <w:footnoteReference w:id="69"/>
      </w:r>
      <w:r>
        <w:t xml:space="preserve"> It therefore appears likely that the</w:t>
      </w:r>
      <w:r w:rsidR="007E1E4E">
        <w:t xml:space="preserve"> statutory authority to deprive </w:t>
      </w:r>
      <w:r>
        <w:t>liberty will operate in tandem with the common law power to detain whic</w:t>
      </w:r>
      <w:r w:rsidR="007E1E4E">
        <w:t xml:space="preserve">h may not develop into the most </w:t>
      </w:r>
      <w:r>
        <w:t>harmonious of relationships.</w:t>
      </w:r>
    </w:p>
    <w:p w:rsidR="000D2044" w:rsidRDefault="000D2044" w:rsidP="00B04488">
      <w:pPr>
        <w:pStyle w:val="NoSpacing"/>
        <w:spacing w:line="360" w:lineRule="auto"/>
      </w:pPr>
    </w:p>
    <w:p w:rsidR="000D2044" w:rsidRPr="000D2044" w:rsidRDefault="000D2044" w:rsidP="000D2044">
      <w:pPr>
        <w:pStyle w:val="NoSpacing"/>
        <w:spacing w:line="360" w:lineRule="auto"/>
        <w:rPr>
          <w:b/>
        </w:rPr>
      </w:pPr>
      <w:r w:rsidRPr="000D2044">
        <w:rPr>
          <w:b/>
        </w:rPr>
        <w:t>A Fresh Approach? The Theory of Coerced Confinement</w:t>
      </w:r>
    </w:p>
    <w:p w:rsidR="000D2044" w:rsidRDefault="000D2044" w:rsidP="000D2044">
      <w:pPr>
        <w:pStyle w:val="NoSpacing"/>
        <w:spacing w:line="360" w:lineRule="auto"/>
      </w:pPr>
      <w:r>
        <w:t xml:space="preserve">We know that article 5 is concerned with a particular type of liberty; the </w:t>
      </w:r>
      <w:r>
        <w:t xml:space="preserve">physical liberty of a person to </w:t>
      </w:r>
      <w:r>
        <w:t>move from one place to another. Opinions may differ as to whether a given</w:t>
      </w:r>
      <w:r w:rsidR="009E12A3">
        <w:t xml:space="preserve"> set of measures are sufficient </w:t>
      </w:r>
      <w:r>
        <w:t>to cross the line that distinguishes restricted movement from a depriva</w:t>
      </w:r>
      <w:r w:rsidR="009E12A3">
        <w:t xml:space="preserve">tion of liberty. On two points, </w:t>
      </w:r>
      <w:r>
        <w:t>however, a degree of consensus may exist. The reported judgments reveal two</w:t>
      </w:r>
      <w:r w:rsidR="009E12A3">
        <w:t xml:space="preserve"> common themes, or core </w:t>
      </w:r>
      <w:r>
        <w:t xml:space="preserve">elements, when article 5 has been engaged. Firstly, the individual is always </w:t>
      </w:r>
      <w:r w:rsidR="009E12A3">
        <w:t xml:space="preserve">confined in a particular place, </w:t>
      </w:r>
      <w:r>
        <w:t>where they do not choose to be, for more than a negligible period o</w:t>
      </w:r>
      <w:r w:rsidR="009E12A3">
        <w:t xml:space="preserve">f time. And, secondly, there is </w:t>
      </w:r>
      <w:r>
        <w:t xml:space="preserve">something extra, some additional factor present, which distinguishes </w:t>
      </w:r>
      <w:r w:rsidR="009E12A3">
        <w:t xml:space="preserve">simple detention from a liberty </w:t>
      </w:r>
      <w:r>
        <w:t>deprivation.</w:t>
      </w:r>
    </w:p>
    <w:p w:rsidR="009E12A3" w:rsidRPr="009E12A3" w:rsidRDefault="009E12A3" w:rsidP="000D2044">
      <w:pPr>
        <w:pStyle w:val="NoSpacing"/>
        <w:spacing w:line="360" w:lineRule="auto"/>
        <w:rPr>
          <w:b/>
        </w:rPr>
      </w:pPr>
    </w:p>
    <w:p w:rsidR="000D2044" w:rsidRPr="009E12A3" w:rsidRDefault="000D2044" w:rsidP="000D2044">
      <w:pPr>
        <w:pStyle w:val="NoSpacing"/>
        <w:spacing w:line="360" w:lineRule="auto"/>
        <w:rPr>
          <w:b/>
        </w:rPr>
      </w:pPr>
      <w:r w:rsidRPr="009E12A3">
        <w:rPr>
          <w:b/>
        </w:rPr>
        <w:t>(a) A requirement for confinement</w:t>
      </w:r>
    </w:p>
    <w:p w:rsidR="000D2044" w:rsidRDefault="000D2044" w:rsidP="000D2044">
      <w:pPr>
        <w:pStyle w:val="NoSpacing"/>
        <w:spacing w:line="360" w:lineRule="auto"/>
      </w:pPr>
      <w:r>
        <w:t>The diverse range of circumstances in which article 5 might be triggered does not lend itself to legal</w:t>
      </w:r>
    </w:p>
    <w:p w:rsidR="000D2044" w:rsidRDefault="000D2044" w:rsidP="000D2044">
      <w:pPr>
        <w:pStyle w:val="NoSpacing"/>
        <w:spacing w:line="360" w:lineRule="auto"/>
      </w:pPr>
      <w:r>
        <w:t>certainty. What does seem certain is that judicial references to the “concrete situation”, “objective</w:t>
      </w:r>
    </w:p>
    <w:p w:rsidR="000D2044" w:rsidRDefault="000D2044" w:rsidP="00A2747D">
      <w:pPr>
        <w:pStyle w:val="NoSpacing"/>
        <w:spacing w:line="360" w:lineRule="auto"/>
      </w:pPr>
      <w:r>
        <w:t>element” or “starting point” are indicative of a requirement for some fo</w:t>
      </w:r>
      <w:r w:rsidR="00171394">
        <w:t xml:space="preserve">rm of confinement. Applying the </w:t>
      </w:r>
      <w:r>
        <w:t>Guzzardi criteria, different types of measures may restrict liberty, whose duration may vary as much as the</w:t>
      </w:r>
      <w:r w:rsidR="00A2747D">
        <w:t xml:space="preserve"> </w:t>
      </w:r>
      <w:r w:rsidR="00A2747D">
        <w:t>manner in which they are implemented. But cumulatively they mu</w:t>
      </w:r>
      <w:r w:rsidR="00A2747D">
        <w:t xml:space="preserve">st amount to confinement. Being </w:t>
      </w:r>
      <w:r w:rsidR="00A2747D">
        <w:t>surrounded by four walls is certainly not a prerequisite; after all, the s</w:t>
      </w:r>
      <w:r w:rsidR="00A2747D">
        <w:t xml:space="preserve">uspected mafiosa was bounded on </w:t>
      </w:r>
      <w:r w:rsidR="00A2747D">
        <w:t>one side by the sea.</w:t>
      </w:r>
    </w:p>
    <w:p w:rsidR="00655B15" w:rsidRDefault="00655B15" w:rsidP="00A2747D">
      <w:pPr>
        <w:pStyle w:val="NoSpacing"/>
        <w:spacing w:line="360" w:lineRule="auto"/>
      </w:pPr>
    </w:p>
    <w:p w:rsidR="00655B15" w:rsidRDefault="00655B15" w:rsidP="00655B15">
      <w:pPr>
        <w:pStyle w:val="NoSpacing"/>
        <w:spacing w:line="360" w:lineRule="auto"/>
      </w:pPr>
      <w:r>
        <w:t>In relation to hospital and care home detention, possible indicators of a liberty deprivation include the</w:t>
      </w:r>
      <w:r>
        <w:t xml:space="preserve"> </w:t>
      </w:r>
    </w:p>
    <w:p w:rsidR="00655B15" w:rsidRDefault="00655B15" w:rsidP="00655B15">
      <w:pPr>
        <w:pStyle w:val="NoSpacing"/>
        <w:spacing w:line="360" w:lineRule="auto"/>
      </w:pPr>
      <w:r>
        <w:lastRenderedPageBreak/>
        <w:t xml:space="preserve">use of physical and chemical restraint, staff control over assessments, </w:t>
      </w:r>
      <w:r>
        <w:t xml:space="preserve">treatments, social contacts and </w:t>
      </w:r>
      <w:r>
        <w:t>residence and the loss of autonomy resulting from continuous supervisio</w:t>
      </w:r>
      <w:r>
        <w:t>n.</w:t>
      </w:r>
      <w:r w:rsidR="00DB59DA">
        <w:rPr>
          <w:rStyle w:val="FootnoteReference"/>
        </w:rPr>
        <w:footnoteReference w:id="70"/>
      </w:r>
      <w:r>
        <w:t xml:space="preserve"> Other relevant factors may </w:t>
      </w:r>
      <w:r>
        <w:t>include a high staff to resident ratio, locked or lockable doors, a remote</w:t>
      </w:r>
      <w:r>
        <w:t xml:space="preserve"> geographical location, and the </w:t>
      </w:r>
      <w:r>
        <w:t>use of subterfuge and electronic surveillance.</w:t>
      </w:r>
    </w:p>
    <w:p w:rsidR="00DB59DA" w:rsidRDefault="00DB59DA" w:rsidP="00655B15">
      <w:pPr>
        <w:pStyle w:val="NoSpacing"/>
        <w:spacing w:line="360" w:lineRule="auto"/>
      </w:pPr>
    </w:p>
    <w:p w:rsidR="00DB59DA" w:rsidRDefault="00DB59DA" w:rsidP="00DB59DA">
      <w:pPr>
        <w:pStyle w:val="NoSpacing"/>
        <w:spacing w:line="360" w:lineRule="auto"/>
      </w:pPr>
      <w:r>
        <w:t>There are a number of ways in which the relativist requirement for co</w:t>
      </w:r>
      <w:r>
        <w:t xml:space="preserve">nfinement might be more clearly </w:t>
      </w:r>
      <w:r>
        <w:t>defined. Firstly, a better approach may be to consider it as a question of both</w:t>
      </w:r>
      <w:r>
        <w:t xml:space="preserve"> intensity or degree and nature </w:t>
      </w:r>
      <w:r>
        <w:t xml:space="preserve">or substance. Solitary confinement, for example, is by its very nature a </w:t>
      </w:r>
      <w:r>
        <w:t xml:space="preserve">particularly intensive measure, </w:t>
      </w:r>
      <w:r>
        <w:t>even for short periods of time. Whereas being kept in hospital is less so,</w:t>
      </w:r>
      <w:r>
        <w:t xml:space="preserve"> even for long periods. But the </w:t>
      </w:r>
      <w:r>
        <w:t>necessary degree of intensity may derive from the accumulation of other, more restrictive,</w:t>
      </w:r>
      <w:r>
        <w:t xml:space="preserve"> measures such </w:t>
      </w:r>
      <w:r>
        <w:t>as being prevented from having contact with one’s carers. Similarly, havi</w:t>
      </w:r>
      <w:r>
        <w:t xml:space="preserve">ng to remain in a hotel for ten </w:t>
      </w:r>
      <w:r>
        <w:t>days with one’s family is perhaps less intensive than a locked hospital</w:t>
      </w:r>
      <w:r>
        <w:t xml:space="preserve"> ward; but being subjected to a </w:t>
      </w:r>
      <w:r>
        <w:t>psychological process of “deprogramming” changes t</w:t>
      </w:r>
      <w:r>
        <w:t>he nature of that confinement.</w:t>
      </w:r>
      <w:r>
        <w:rPr>
          <w:rStyle w:val="FootnoteReference"/>
        </w:rPr>
        <w:footnoteReference w:id="71"/>
      </w:r>
    </w:p>
    <w:p w:rsidR="00DB59DA" w:rsidRDefault="00DB59DA" w:rsidP="00DB59DA">
      <w:pPr>
        <w:pStyle w:val="NoSpacing"/>
        <w:spacing w:line="360" w:lineRule="auto"/>
      </w:pPr>
    </w:p>
    <w:p w:rsidR="00DB59DA" w:rsidRDefault="00DB59DA" w:rsidP="00DB59DA">
      <w:pPr>
        <w:pStyle w:val="NoSpacing"/>
        <w:spacing w:line="360" w:lineRule="auto"/>
      </w:pPr>
      <w:r>
        <w:t>Secondly, it may be helpful to consider the circumstances enjoyed by the individual prior to the</w:t>
      </w:r>
    </w:p>
    <w:p w:rsidR="00DB59DA" w:rsidRDefault="00DB59DA" w:rsidP="00DB59DA">
      <w:pPr>
        <w:pStyle w:val="NoSpacing"/>
        <w:spacing w:line="360" w:lineRule="auto"/>
      </w:pPr>
      <w:r>
        <w:t xml:space="preserve">restrictions being implemented. It could be argued, for example, that the </w:t>
      </w:r>
      <w:r>
        <w:t xml:space="preserve">more familiar the nature of the </w:t>
      </w:r>
      <w:r>
        <w:t xml:space="preserve">surroundings, the more intensive must be the other measures before </w:t>
      </w:r>
      <w:r>
        <w:t xml:space="preserve">the circumstances can amount to </w:t>
      </w:r>
      <w:r>
        <w:t>confinement. This might go some way towards explaining why a 24 hour ho</w:t>
      </w:r>
      <w:r>
        <w:t xml:space="preserve">use arrest would engage article </w:t>
      </w:r>
      <w:r>
        <w:t>5,</w:t>
      </w:r>
      <w:r>
        <w:rPr>
          <w:rStyle w:val="FootnoteReference"/>
        </w:rPr>
        <w:footnoteReference w:id="72"/>
      </w:r>
      <w:r>
        <w:t xml:space="preserve"> whereas a 12 hour home curfew each weekday and throughout th</w:t>
      </w:r>
      <w:r>
        <w:t>e weekend would not;</w:t>
      </w:r>
      <w:r>
        <w:rPr>
          <w:rStyle w:val="FootnoteReference"/>
        </w:rPr>
        <w:footnoteReference w:id="73"/>
      </w:r>
      <w:r>
        <w:t xml:space="preserve"> nor a 10 </w:t>
      </w:r>
      <w:r>
        <w:t>hour curfew with a requirement not to leave home without informing the police.</w:t>
      </w:r>
      <w:r>
        <w:rPr>
          <w:rStyle w:val="FootnoteReference"/>
        </w:rPr>
        <w:footnoteReference w:id="74"/>
      </w:r>
    </w:p>
    <w:p w:rsidR="00DB59DA" w:rsidRDefault="00DB59DA" w:rsidP="00DB59DA">
      <w:pPr>
        <w:pStyle w:val="NoSpacing"/>
        <w:spacing w:line="360" w:lineRule="auto"/>
      </w:pPr>
    </w:p>
    <w:p w:rsidR="00DB59DA" w:rsidRDefault="00DB59DA" w:rsidP="00DB59DA">
      <w:pPr>
        <w:pStyle w:val="NoSpacing"/>
        <w:spacing w:line="360" w:lineRule="auto"/>
      </w:pPr>
      <w:r>
        <w:t xml:space="preserve">Thirdly, the person’s freedom to leave should be but one factor in what is </w:t>
      </w:r>
      <w:r>
        <w:t xml:space="preserve">a complex equation. In general, </w:t>
      </w:r>
      <w:r>
        <w:t>the freer they are to leave, the less likely they can be said to be confined. B</w:t>
      </w:r>
      <w:r>
        <w:t xml:space="preserve">ut not being free to leave does </w:t>
      </w:r>
      <w:r>
        <w:t>not necessarily equate to a deprivation of liberty; for a person may not b</w:t>
      </w:r>
      <w:r>
        <w:t xml:space="preserve">e free whilst their movement is </w:t>
      </w:r>
      <w:r>
        <w:t>being merely restricted. Thus, to overly rely upon this factor could potentially threaten the basic</w:t>
      </w:r>
      <w:r>
        <w:t xml:space="preserve"> </w:t>
      </w:r>
      <w:r>
        <w:t>distinction between restricted movement and depriving liberty. Moreover, their ability to leave must be</w:t>
      </w:r>
      <w:r>
        <w:t xml:space="preserve"> </w:t>
      </w:r>
      <w:r>
        <w:t>more than a theoretical possibility. A care home resident may face an ope</w:t>
      </w:r>
      <w:r>
        <w:t xml:space="preserve">n </w:t>
      </w:r>
      <w:r>
        <w:lastRenderedPageBreak/>
        <w:t xml:space="preserve">door through which he is free </w:t>
      </w:r>
      <w:r>
        <w:t>to walk. But he is not free to leave if staff are ready to bring him back in</w:t>
      </w:r>
      <w:r>
        <w:t xml:space="preserve">. Similarly, an asylum seeker’s </w:t>
      </w:r>
      <w:r>
        <w:t>ability to leave a country “becomes theoretical if no other country offeri</w:t>
      </w:r>
      <w:r>
        <w:t xml:space="preserve">ng protection comparable to the </w:t>
      </w:r>
      <w:r>
        <w:t>protection they expect to find in the country where they are seeking asylum is inclined o</w:t>
      </w:r>
      <w:r>
        <w:t xml:space="preserve">r prepared to take </w:t>
      </w:r>
      <w:r>
        <w:t>them in.”</w:t>
      </w:r>
      <w:r>
        <w:rPr>
          <w:rStyle w:val="FootnoteReference"/>
        </w:rPr>
        <w:footnoteReference w:id="75"/>
      </w:r>
      <w:r>
        <w:t xml:space="preserve"> This may explain why, according to the DoLS Code of Pra</w:t>
      </w:r>
      <w:r>
        <w:t xml:space="preserve">ctice, to prevent a person from </w:t>
      </w:r>
      <w:r>
        <w:t>leaving, so as to guard against immediate harm, is unlikely without mo</w:t>
      </w:r>
      <w:r>
        <w:t>re to amount to a deprivation.</w:t>
      </w:r>
      <w:r>
        <w:rPr>
          <w:rStyle w:val="FootnoteReference"/>
        </w:rPr>
        <w:footnoteReference w:id="76"/>
      </w:r>
      <w:r>
        <w:t xml:space="preserve"> </w:t>
      </w:r>
    </w:p>
    <w:p w:rsidR="00DB59DA" w:rsidRDefault="00DB59DA" w:rsidP="00DB59DA">
      <w:pPr>
        <w:pStyle w:val="NoSpacing"/>
        <w:spacing w:line="360" w:lineRule="auto"/>
      </w:pPr>
    </w:p>
    <w:p w:rsidR="00DB59DA" w:rsidRDefault="00DB59DA" w:rsidP="00DB59DA">
      <w:pPr>
        <w:pStyle w:val="NoSpacing"/>
        <w:spacing w:line="360" w:lineRule="auto"/>
      </w:pPr>
      <w:r>
        <w:t>As for the role of consent, fourthly, imagine an altruistic man with tuberculosis who consents to his</w:t>
      </w:r>
    </w:p>
    <w:p w:rsidR="00DB59DA" w:rsidRDefault="00DB59DA" w:rsidP="00DB59DA">
      <w:pPr>
        <w:pStyle w:val="NoSpacing"/>
        <w:spacing w:line="360" w:lineRule="auto"/>
      </w:pPr>
      <w:r>
        <w:t xml:space="preserve">therapeutic detention </w:t>
      </w:r>
      <w:r>
        <w:t>in order to protect the public.</w:t>
      </w:r>
      <w:r>
        <w:rPr>
          <w:rStyle w:val="FootnoteReference"/>
        </w:rPr>
        <w:footnoteReference w:id="77"/>
      </w:r>
      <w:r>
        <w:t xml:space="preserve"> Can he be said to be “deprived” of something</w:t>
      </w:r>
    </w:p>
    <w:p w:rsidR="00DB59DA" w:rsidRDefault="00DB59DA" w:rsidP="00DB59DA">
      <w:pPr>
        <w:pStyle w:val="NoSpacing"/>
        <w:spacing w:line="360" w:lineRule="auto"/>
      </w:pPr>
      <w:r>
        <w:t>which he is happy to give away? Presumably not. But what is the position if those responsible for his</w:t>
      </w:r>
    </w:p>
    <w:p w:rsidR="00DB59DA" w:rsidRDefault="00DB59DA" w:rsidP="00DB59DA">
      <w:pPr>
        <w:pStyle w:val="NoSpacing"/>
        <w:spacing w:line="360" w:lineRule="auto"/>
      </w:pPr>
      <w:r>
        <w:t>detention go beyond the restrictive measures to which he has agreed? Wo</w:t>
      </w:r>
      <w:r>
        <w:t xml:space="preserve">uld his consent still mean that </w:t>
      </w:r>
      <w:r>
        <w:t xml:space="preserve">he was not then deprived? Or is this subjective element dependent upon </w:t>
      </w:r>
      <w:r>
        <w:t xml:space="preserve">the terms to which he initially </w:t>
      </w:r>
      <w:r>
        <w:t xml:space="preserve">consented? Rather than imposing an absolute embargo upon there being a </w:t>
      </w:r>
      <w:r>
        <w:t xml:space="preserve">deprivation of liberty, perhaps </w:t>
      </w:r>
      <w:r>
        <w:t>consent should be relevant to the intensity and nature of the objective ele</w:t>
      </w:r>
      <w:r>
        <w:t xml:space="preserve">ment. It would also be relevant </w:t>
      </w:r>
      <w:r>
        <w:t>to the second feature of a deprivation.</w:t>
      </w:r>
    </w:p>
    <w:p w:rsidR="00233F40" w:rsidRDefault="00233F40" w:rsidP="00DB59DA">
      <w:pPr>
        <w:pStyle w:val="NoSpacing"/>
        <w:spacing w:line="360" w:lineRule="auto"/>
      </w:pPr>
    </w:p>
    <w:p w:rsidR="00233F40" w:rsidRPr="00233F40" w:rsidRDefault="00233F40" w:rsidP="00233F40">
      <w:pPr>
        <w:pStyle w:val="NoSpacing"/>
        <w:spacing w:line="360" w:lineRule="auto"/>
        <w:rPr>
          <w:b/>
        </w:rPr>
      </w:pPr>
      <w:r w:rsidRPr="00233F40">
        <w:rPr>
          <w:b/>
        </w:rPr>
        <w:t>(b) The missing ingredient</w:t>
      </w:r>
    </w:p>
    <w:p w:rsidR="00233F40" w:rsidRDefault="00233F40" w:rsidP="00233F40">
      <w:pPr>
        <w:pStyle w:val="NoSpacing"/>
        <w:spacing w:line="360" w:lineRule="auto"/>
      </w:pPr>
      <w:r>
        <w:t>Confinement alone will not trigger the procedural due process required by</w:t>
      </w:r>
      <w:r>
        <w:t xml:space="preserve"> article 5.</w:t>
      </w:r>
      <w:r>
        <w:rPr>
          <w:rStyle w:val="FootnoteReference"/>
        </w:rPr>
        <w:footnoteReference w:id="78"/>
      </w:r>
      <w:r>
        <w:t xml:space="preserve"> Something more is </w:t>
      </w:r>
      <w:r>
        <w:t>required. If the concrete situation is merely the “starting point”, what considerations should follow?</w:t>
      </w:r>
    </w:p>
    <w:p w:rsidR="00233F40" w:rsidRDefault="00233F40" w:rsidP="00233F40">
      <w:pPr>
        <w:pStyle w:val="NoSpacing"/>
        <w:spacing w:line="360" w:lineRule="auto"/>
      </w:pPr>
      <w:r>
        <w:t>Baroness Hale captured the dilemma:</w:t>
      </w:r>
    </w:p>
    <w:p w:rsidR="00233F40" w:rsidRDefault="00233F40" w:rsidP="00233F40">
      <w:pPr>
        <w:pStyle w:val="NoSpacing"/>
        <w:spacing w:line="360" w:lineRule="auto"/>
        <w:ind w:left="426"/>
      </w:pPr>
      <w:r w:rsidRPr="00233F40">
        <w:rPr>
          <w:i/>
        </w:rPr>
        <w:t>“My Lords, what does it mean to be deprived of one’s liberty? Not, we ar</w:t>
      </w:r>
      <w:r w:rsidRPr="00233F40">
        <w:rPr>
          <w:i/>
        </w:rPr>
        <w:t xml:space="preserve">e all agreed, to be deprived of </w:t>
      </w:r>
      <w:r w:rsidRPr="00233F40">
        <w:rPr>
          <w:i/>
        </w:rPr>
        <w:t>the freedom to live one’s life as one pleases. It means to be deprived of on</w:t>
      </w:r>
      <w:r w:rsidRPr="00233F40">
        <w:rPr>
          <w:i/>
        </w:rPr>
        <w:t xml:space="preserve">e’s physical liberty … And what </w:t>
      </w:r>
      <w:r w:rsidRPr="00233F40">
        <w:rPr>
          <w:i/>
        </w:rPr>
        <w:t>does this mean? It must mean being forced or obliged to be at a part</w:t>
      </w:r>
      <w:r w:rsidRPr="00233F40">
        <w:rPr>
          <w:i/>
        </w:rPr>
        <w:t xml:space="preserve">icular place where one does not </w:t>
      </w:r>
      <w:r w:rsidRPr="00233F40">
        <w:rPr>
          <w:i/>
        </w:rPr>
        <w:t>choose to be … But even that is not always enough, because merely being required to live at a particu</w:t>
      </w:r>
      <w:r w:rsidRPr="00233F40">
        <w:rPr>
          <w:i/>
        </w:rPr>
        <w:t xml:space="preserve">lar </w:t>
      </w:r>
      <w:r w:rsidRPr="00233F40">
        <w:rPr>
          <w:i/>
        </w:rPr>
        <w:t>address or to keep within a particular geographical area does not, withou</w:t>
      </w:r>
      <w:r w:rsidRPr="00233F40">
        <w:rPr>
          <w:i/>
        </w:rPr>
        <w:t xml:space="preserve">t more, amount to a deprivation </w:t>
      </w:r>
      <w:r w:rsidRPr="00233F40">
        <w:rPr>
          <w:i/>
        </w:rPr>
        <w:t>of liberty. There must be a greater degree of control over one’s phys</w:t>
      </w:r>
      <w:r w:rsidRPr="00233F40">
        <w:rPr>
          <w:i/>
        </w:rPr>
        <w:t xml:space="preserve">ical liberty than that. But how </w:t>
      </w:r>
      <w:r w:rsidRPr="00233F40">
        <w:rPr>
          <w:i/>
        </w:rPr>
        <w:t>much?”</w:t>
      </w:r>
      <w:r>
        <w:rPr>
          <w:rStyle w:val="FootnoteReference"/>
          <w:i/>
        </w:rPr>
        <w:footnoteReference w:id="79"/>
      </w:r>
    </w:p>
    <w:p w:rsidR="00233F40" w:rsidRDefault="00233F40" w:rsidP="00233F40">
      <w:pPr>
        <w:pStyle w:val="NoSpacing"/>
        <w:spacing w:line="360" w:lineRule="auto"/>
      </w:pPr>
      <w:r>
        <w:t xml:space="preserve">In </w:t>
      </w:r>
      <w:r w:rsidRPr="007D7171">
        <w:rPr>
          <w:i/>
        </w:rPr>
        <w:t>HL v United Kingdom</w:t>
      </w:r>
      <w:r>
        <w:t>, it was the clinicians’ “complete and effective control” over Mr L’s care and</w:t>
      </w:r>
    </w:p>
    <w:p w:rsidR="00233F40" w:rsidRDefault="00233F40" w:rsidP="00233F40">
      <w:pPr>
        <w:pStyle w:val="NoSpacing"/>
        <w:spacing w:line="360" w:lineRule="auto"/>
      </w:pPr>
      <w:r>
        <w:lastRenderedPageBreak/>
        <w:t>movements which ultimately tipped the balance. Would this threshold sa</w:t>
      </w:r>
      <w:r w:rsidR="00AA0CC2">
        <w:t xml:space="preserve">tisfy the horns of the dilemma? </w:t>
      </w:r>
      <w:r>
        <w:t xml:space="preserve">It would appear to sit uncomfortably with the </w:t>
      </w:r>
      <w:r w:rsidRPr="00AA0CC2">
        <w:rPr>
          <w:i/>
        </w:rPr>
        <w:t>Ashingdane</w:t>
      </w:r>
      <w:r>
        <w:t xml:space="preserve"> decision. T</w:t>
      </w:r>
      <w:r w:rsidR="00AA0CC2">
        <w:t xml:space="preserve">here, the detaining authorities </w:t>
      </w:r>
      <w:r>
        <w:t>certainly exercised a degree of control in permitting weekend leave and in</w:t>
      </w:r>
      <w:r w:rsidR="00AA0CC2">
        <w:t xml:space="preserve"> requiring him to return to the </w:t>
      </w:r>
      <w:r>
        <w:t>ward during the remainder of the week. But would it not stretch ordina</w:t>
      </w:r>
      <w:r w:rsidR="00AA0CC2">
        <w:t xml:space="preserve">ry language to describe that as </w:t>
      </w:r>
      <w:r>
        <w:t xml:space="preserve">“complete and effective” control? Moreover, what do the terms mean </w:t>
      </w:r>
      <w:r w:rsidR="00AA0CC2">
        <w:t xml:space="preserve">and how do they differ? In what </w:t>
      </w:r>
      <w:r>
        <w:t>circumstances might complete control be ineffective and effective co</w:t>
      </w:r>
      <w:r w:rsidR="00AA0CC2">
        <w:t xml:space="preserve">ntrol incomplete? There is also </w:t>
      </w:r>
      <w:r>
        <w:t>uncertainty regarding the proper approach to be taken. Is it a single or du</w:t>
      </w:r>
      <w:r w:rsidR="00AA0CC2">
        <w:t xml:space="preserve">alist approach? That is to say, </w:t>
      </w:r>
      <w:r>
        <w:t>should the presence and degree of control be part and parcel of the con</w:t>
      </w:r>
      <w:r w:rsidR="00AA0CC2">
        <w:t xml:space="preserve">finement issue; or should it be </w:t>
      </w:r>
      <w:r>
        <w:t>tackled after the concrete situation has already been established?</w:t>
      </w:r>
    </w:p>
    <w:p w:rsidR="00AA0CC2" w:rsidRDefault="00AA0CC2" w:rsidP="00233F40">
      <w:pPr>
        <w:pStyle w:val="NoSpacing"/>
        <w:spacing w:line="360" w:lineRule="auto"/>
      </w:pPr>
    </w:p>
    <w:p w:rsidR="00233F40" w:rsidRDefault="00233F40" w:rsidP="00233F40">
      <w:pPr>
        <w:pStyle w:val="NoSpacing"/>
        <w:spacing w:line="360" w:lineRule="auto"/>
      </w:pPr>
      <w:r>
        <w:t>Confinement distinguishes restricted movement from detention. Perhaps</w:t>
      </w:r>
      <w:r w:rsidR="00AA0CC2">
        <w:t xml:space="preserve"> a concept of coercion might be </w:t>
      </w:r>
      <w:r>
        <w:t>used to distinguish detention from a deprivation of liberty. After all, “[</w:t>
      </w:r>
      <w:proofErr w:type="spellStart"/>
      <w:r>
        <w:t>i</w:t>
      </w:r>
      <w:proofErr w:type="spellEnd"/>
      <w:r>
        <w:t>]n</w:t>
      </w:r>
      <w:r w:rsidR="00AA0CC2">
        <w:t xml:space="preserve"> many respects human rights law </w:t>
      </w:r>
      <w:r>
        <w:t>is all about the protection of the individual from undue coercion.”</w:t>
      </w:r>
      <w:r w:rsidR="00AA0CC2">
        <w:rPr>
          <w:rStyle w:val="FootnoteReference"/>
        </w:rPr>
        <w:footnoteReference w:id="80"/>
      </w:r>
      <w:r>
        <w:t xml:space="preserve"> It could be a</w:t>
      </w:r>
      <w:r w:rsidR="00AA0CC2">
        <w:t xml:space="preserve">rgued that neither </w:t>
      </w:r>
      <w:r>
        <w:t xml:space="preserve">confinement without coercion, nor coercion without confinement, can </w:t>
      </w:r>
      <w:r w:rsidR="00AA0CC2">
        <w:t xml:space="preserve">deprive liberty. The former may </w:t>
      </w:r>
      <w:r>
        <w:t>justify an action for habeas corpus and false imprisonment; the latter may i</w:t>
      </w:r>
      <w:r w:rsidR="00AA0CC2">
        <w:t xml:space="preserve">nterfere with other articles of </w:t>
      </w:r>
      <w:r>
        <w:t>the European Convention. But both features could be required to be con</w:t>
      </w:r>
      <w:r w:rsidR="00AA0CC2">
        <w:t xml:space="preserve">temporaneously present in order </w:t>
      </w:r>
      <w:r>
        <w:t>to engage article 5.</w:t>
      </w:r>
    </w:p>
    <w:p w:rsidR="00285BCB" w:rsidRDefault="00285BCB" w:rsidP="00233F40">
      <w:pPr>
        <w:pStyle w:val="NoSpacing"/>
        <w:spacing w:line="360" w:lineRule="auto"/>
      </w:pPr>
    </w:p>
    <w:p w:rsidR="00285BCB" w:rsidRDefault="00285BCB" w:rsidP="00285BCB">
      <w:pPr>
        <w:pStyle w:val="NoSpacing"/>
        <w:spacing w:line="360" w:lineRule="auto"/>
      </w:pPr>
      <w:r>
        <w:t xml:space="preserve">Such an approach may explain the decision in </w:t>
      </w:r>
      <w:r w:rsidRPr="00285BCB">
        <w:rPr>
          <w:i/>
        </w:rPr>
        <w:t>HM v Switzerland</w:t>
      </w:r>
      <w:r>
        <w:t xml:space="preserve"> where there was coercion without</w:t>
      </w:r>
    </w:p>
    <w:p w:rsidR="00285BCB" w:rsidRDefault="00285BCB" w:rsidP="00285BCB">
      <w:pPr>
        <w:pStyle w:val="NoSpacing"/>
        <w:spacing w:line="360" w:lineRule="auto"/>
      </w:pPr>
      <w:r>
        <w:t>confinement, followed by confinement without coercion. A court order,</w:t>
      </w:r>
      <w:r>
        <w:t xml:space="preserve"> implemented by the police, was </w:t>
      </w:r>
      <w:r>
        <w:t>used to convey the elderly widow to the nursing home. Although the war</w:t>
      </w:r>
      <w:r>
        <w:t xml:space="preserve">d was open, she was not free to </w:t>
      </w:r>
      <w:r>
        <w:t>leave and wa</w:t>
      </w:r>
      <w:r>
        <w:t>s arguably held in confinement.</w:t>
      </w:r>
      <w:r>
        <w:rPr>
          <w:rStyle w:val="FootnoteReference"/>
        </w:rPr>
        <w:footnoteReference w:id="81"/>
      </w:r>
      <w:r>
        <w:t xml:space="preserve"> But there was little in the</w:t>
      </w:r>
      <w:r>
        <w:t xml:space="preserve"> way of coercion on the part of </w:t>
      </w:r>
      <w:r>
        <w:t xml:space="preserve">the detaining authorities </w:t>
      </w:r>
      <w:r w:rsidRPr="00566DEE">
        <w:rPr>
          <w:i/>
        </w:rPr>
        <w:t>after</w:t>
      </w:r>
      <w:r>
        <w:t xml:space="preserve"> her admission. She had freedom of m</w:t>
      </w:r>
      <w:r>
        <w:t xml:space="preserve">ovement, was encouraged to have </w:t>
      </w:r>
      <w:r>
        <w:t>contact with the outside word and hardly felt the effects of her stay. Fu</w:t>
      </w:r>
      <w:r>
        <w:t xml:space="preserve">rthermore, she was undecided as </w:t>
      </w:r>
      <w:r>
        <w:t>to whether or not she wanted to stay but, within weeks of being there, agreed to stay.</w:t>
      </w:r>
    </w:p>
    <w:p w:rsidR="00566DEE" w:rsidRDefault="00566DEE" w:rsidP="00285BCB">
      <w:pPr>
        <w:pStyle w:val="NoSpacing"/>
        <w:spacing w:line="360" w:lineRule="auto"/>
      </w:pPr>
    </w:p>
    <w:p w:rsidR="00566DEE" w:rsidRDefault="00566DEE" w:rsidP="00566DEE">
      <w:pPr>
        <w:pStyle w:val="NoSpacing"/>
        <w:spacing w:line="360" w:lineRule="auto"/>
      </w:pPr>
      <w:r>
        <w:t>A lack of coercion may also exp</w:t>
      </w:r>
      <w:r>
        <w:t xml:space="preserve">lain why, in </w:t>
      </w:r>
      <w:r w:rsidRPr="00566DEE">
        <w:rPr>
          <w:i/>
        </w:rPr>
        <w:t>Nielsen v Denmark</w:t>
      </w:r>
      <w:r>
        <w:t>,</w:t>
      </w:r>
      <w:r>
        <w:rPr>
          <w:rStyle w:val="FootnoteReference"/>
        </w:rPr>
        <w:footnoteReference w:id="82"/>
      </w:r>
      <w:r>
        <w:t xml:space="preserve"> the lock</w:t>
      </w:r>
      <w:r>
        <w:t xml:space="preserve">ed confinement of a 12 year-old </w:t>
      </w:r>
      <w:r>
        <w:t>boy in a psychiatric hospital for five and a half months was held not to amount to a deprivation of liberty.</w:t>
      </w:r>
      <w:r>
        <w:t xml:space="preserve"> </w:t>
      </w:r>
      <w:r>
        <w:t>The ward was “as similar as possible to a real home”; he was permitted to attend libraries, playgrounds,</w:t>
      </w:r>
      <w:r>
        <w:t xml:space="preserve"> </w:t>
      </w:r>
      <w:r>
        <w:t xml:space="preserve">museums, was able to visit his family regularly; and, towards the end </w:t>
      </w:r>
      <w:r>
        <w:lastRenderedPageBreak/>
        <w:t xml:space="preserve">of his stay, went back </w:t>
      </w:r>
      <w:r>
        <w:t xml:space="preserve">to school. </w:t>
      </w:r>
      <w:r>
        <w:t xml:space="preserve">Similarly in </w:t>
      </w:r>
      <w:r w:rsidRPr="00566DEE">
        <w:rPr>
          <w:i/>
        </w:rPr>
        <w:t>Storck v Germany</w:t>
      </w:r>
      <w:r>
        <w:rPr>
          <w:rStyle w:val="FootnoteReference"/>
        </w:rPr>
        <w:footnoteReference w:id="83"/>
      </w:r>
      <w:r>
        <w:t xml:space="preserve"> in relation to the patient’s </w:t>
      </w:r>
      <w:r w:rsidRPr="00566DEE">
        <w:rPr>
          <w:i/>
        </w:rPr>
        <w:t>second</w:t>
      </w:r>
      <w:r>
        <w:t xml:space="preserve"> stay on the locked ward of the </w:t>
      </w:r>
      <w:r>
        <w:t xml:space="preserve">psychiatric clinic. She presented of her own motion, remained there for </w:t>
      </w:r>
      <w:r>
        <w:t xml:space="preserve">four months and did not attempt </w:t>
      </w:r>
      <w:r>
        <w:t xml:space="preserve">to flee. Thus, although there was confinement, there was little evidence </w:t>
      </w:r>
      <w:r>
        <w:t xml:space="preserve">of coercion. She was assumed to </w:t>
      </w:r>
      <w:r>
        <w:t>be capable of validly consenting and accepted that she had “to a certain e</w:t>
      </w:r>
      <w:r>
        <w:t xml:space="preserve">xtent voluntarily” consented to </w:t>
      </w:r>
      <w:r>
        <w:t>her stay due to her need for treatment. After all, coercion can hardly be said to exist</w:t>
      </w:r>
      <w:r>
        <w:t xml:space="preserve"> if the person </w:t>
      </w:r>
      <w:r>
        <w:t>capacitously consents to all of the terms of their confinement.</w:t>
      </w:r>
    </w:p>
    <w:p w:rsidR="002702E6" w:rsidRDefault="002702E6" w:rsidP="00566DEE">
      <w:pPr>
        <w:pStyle w:val="NoSpacing"/>
        <w:spacing w:line="360" w:lineRule="auto"/>
      </w:pPr>
    </w:p>
    <w:p w:rsidR="002702E6" w:rsidRDefault="002702E6" w:rsidP="002702E6">
      <w:pPr>
        <w:pStyle w:val="NoSpacing"/>
        <w:spacing w:line="360" w:lineRule="auto"/>
      </w:pPr>
      <w:r>
        <w:t>If coercion were to feature as one of the two core components of a liberty deprivation, further</w:t>
      </w:r>
    </w:p>
    <w:p w:rsidR="002702E6" w:rsidRDefault="002702E6" w:rsidP="002702E6">
      <w:pPr>
        <w:pStyle w:val="NoSpacing"/>
        <w:spacing w:line="360" w:lineRule="auto"/>
      </w:pPr>
      <w:r>
        <w:t>consideration would have to be given to its meaning. Prior to the 1970s, mainstream philosophical</w:t>
      </w:r>
    </w:p>
    <w:p w:rsidR="002702E6" w:rsidRDefault="002702E6" w:rsidP="002702E6">
      <w:pPr>
        <w:pStyle w:val="NoSpacing"/>
        <w:spacing w:line="360" w:lineRule="auto"/>
      </w:pPr>
      <w:r>
        <w:t>thought suggested that A coerced B when he used, or threatened to use, force or violence. Coercion</w:t>
      </w:r>
    </w:p>
    <w:p w:rsidR="002702E6" w:rsidRDefault="002702E6" w:rsidP="002702E6">
      <w:pPr>
        <w:pStyle w:val="NoSpacing"/>
        <w:spacing w:line="360" w:lineRule="auto"/>
      </w:pPr>
      <w:r>
        <w:t>thereby resembled A’s ability to implement and enforce decisions over B</w:t>
      </w:r>
      <w:r>
        <w:t>’s activities.</w:t>
      </w:r>
      <w:r>
        <w:rPr>
          <w:rStyle w:val="FootnoteReference"/>
        </w:rPr>
        <w:footnoteReference w:id="84"/>
      </w:r>
      <w:r>
        <w:t xml:space="preserve"> Although there </w:t>
      </w:r>
      <w:r>
        <w:t>remains no single definition, recent attempts have been made to partic</w:t>
      </w:r>
      <w:r>
        <w:t>ularise the concept.</w:t>
      </w:r>
      <w:r>
        <w:rPr>
          <w:rStyle w:val="FootnoteReference"/>
        </w:rPr>
        <w:footnoteReference w:id="85"/>
      </w:r>
      <w:r>
        <w:t xml:space="preserve"> Szmukler </w:t>
      </w:r>
      <w:r>
        <w:t>and Appelbaum helpfully describe a “spectrum of pressures” in the cont</w:t>
      </w:r>
      <w:r>
        <w:t xml:space="preserve">ext of treatment which could be </w:t>
      </w:r>
      <w:r w:rsidR="00A8122F">
        <w:t>applied to confinement.</w:t>
      </w:r>
      <w:r w:rsidR="00A8122F">
        <w:rPr>
          <w:rStyle w:val="FootnoteReference"/>
        </w:rPr>
        <w:footnoteReference w:id="86"/>
      </w:r>
      <w:r>
        <w:t xml:space="preserve"> It ranges from persuasion, interpersonal leverage, and inducemen</w:t>
      </w:r>
      <w:r>
        <w:t xml:space="preserve">ts or offers, </w:t>
      </w:r>
      <w:r>
        <w:t>through to threats and the use of compulsion. At s</w:t>
      </w:r>
      <w:bookmarkStart w:id="0" w:name="_GoBack"/>
      <w:bookmarkEnd w:id="0"/>
      <w:r>
        <w:t>ome point along t</w:t>
      </w:r>
      <w:r>
        <w:t xml:space="preserve">hat continuum, coercion will be </w:t>
      </w:r>
      <w:r>
        <w:t>exercised either on the will or body of the coercee.</w:t>
      </w:r>
    </w:p>
    <w:p w:rsidR="00685DEB" w:rsidRDefault="00685DEB" w:rsidP="002702E6">
      <w:pPr>
        <w:pStyle w:val="NoSpacing"/>
        <w:spacing w:line="360" w:lineRule="auto"/>
      </w:pPr>
    </w:p>
    <w:p w:rsidR="00685DEB" w:rsidRPr="00685DEB" w:rsidRDefault="00685DEB" w:rsidP="00685DEB">
      <w:pPr>
        <w:pStyle w:val="NoSpacing"/>
        <w:spacing w:line="360" w:lineRule="auto"/>
        <w:rPr>
          <w:b/>
        </w:rPr>
      </w:pPr>
      <w:r w:rsidRPr="00685DEB">
        <w:rPr>
          <w:b/>
        </w:rPr>
        <w:t>Conclusions</w:t>
      </w:r>
    </w:p>
    <w:p w:rsidR="00685DEB" w:rsidRDefault="00685DEB" w:rsidP="00685DEB">
      <w:pPr>
        <w:pStyle w:val="NoSpacing"/>
        <w:spacing w:line="360" w:lineRule="auto"/>
      </w:pPr>
      <w:r>
        <w:t>Interpreting the scope of article 5 demonstrates that, even in an area of such supreme imp</w:t>
      </w:r>
      <w:r>
        <w:t xml:space="preserve">ortance as </w:t>
      </w:r>
      <w:r>
        <w:t>personal liberty, the law is not an exact science. Transposing the Europe</w:t>
      </w:r>
      <w:r>
        <w:t xml:space="preserve">an concept into English law has </w:t>
      </w:r>
      <w:r>
        <w:t xml:space="preserve">proved troublesome, even before DoLS have come into force. The </w:t>
      </w:r>
      <w:r>
        <w:t xml:space="preserve">expansive approach, embraced by </w:t>
      </w:r>
      <w:r>
        <w:t xml:space="preserve">Munby J. in </w:t>
      </w:r>
      <w:r w:rsidRPr="00685DEB">
        <w:rPr>
          <w:i/>
        </w:rPr>
        <w:t xml:space="preserve">JE </w:t>
      </w:r>
      <w:r>
        <w:t xml:space="preserve">and by the majority in </w:t>
      </w:r>
      <w:r w:rsidRPr="00685DEB">
        <w:rPr>
          <w:i/>
        </w:rPr>
        <w:t>JJ</w:t>
      </w:r>
      <w:r>
        <w:t xml:space="preserve">, certainly provides significant </w:t>
      </w:r>
      <w:r>
        <w:t>judicial elbow-room to flexibly protect</w:t>
      </w:r>
      <w:r>
        <w:t xml:space="preserve"> the right to liberty. But this is at the cost of legal certainty, w</w:t>
      </w:r>
      <w:r>
        <w:t xml:space="preserve">ith borderline cases becoming a </w:t>
      </w:r>
      <w:r>
        <w:t>matter of pure opinion. The literal approach, preferred by Lords Hoffmann and Carswell, p</w:t>
      </w:r>
      <w:r>
        <w:t xml:space="preserve">romotes legal </w:t>
      </w:r>
      <w:r>
        <w:t>certainty but narrows the scope of article 5 protection and contradicts European jurisprudence.</w:t>
      </w:r>
    </w:p>
    <w:p w:rsidR="002702E6" w:rsidRDefault="002702E6" w:rsidP="00566DEE">
      <w:pPr>
        <w:pStyle w:val="NoSpacing"/>
        <w:spacing w:line="360" w:lineRule="auto"/>
      </w:pPr>
    </w:p>
    <w:p w:rsidR="00D77666" w:rsidRDefault="00D77666" w:rsidP="00D77666">
      <w:pPr>
        <w:pStyle w:val="NoSpacing"/>
        <w:spacing w:line="360" w:lineRule="auto"/>
      </w:pPr>
      <w:r>
        <w:t>The unenviable task of resolving these issues may madden those seeking some legal litmus test to</w:t>
      </w:r>
    </w:p>
    <w:p w:rsidR="00D77666" w:rsidRDefault="00D77666" w:rsidP="00D77666">
      <w:pPr>
        <w:pStyle w:val="NoSpacing"/>
        <w:spacing w:line="360" w:lineRule="auto"/>
      </w:pPr>
      <w:r>
        <w:lastRenderedPageBreak/>
        <w:t>distinguish the “deprived” from the “restricted”. However, given the di</w:t>
      </w:r>
      <w:r>
        <w:t xml:space="preserve">verse range of circumstances to </w:t>
      </w:r>
      <w:r>
        <w:t>which article 5 might apply, it is not surprising that the ECtHR has opted for a relativist approach.</w:t>
      </w:r>
    </w:p>
    <w:p w:rsidR="00D77666" w:rsidRDefault="00D77666" w:rsidP="00D77666">
      <w:pPr>
        <w:pStyle w:val="NoSpacing"/>
        <w:spacing w:line="360" w:lineRule="auto"/>
      </w:pPr>
      <w:r>
        <w:t>Detention, in conventional terms, is transforming as technology develops. Liberty deprivations may</w:t>
      </w:r>
    </w:p>
    <w:p w:rsidR="002702E6" w:rsidRDefault="00D77666" w:rsidP="00D77666">
      <w:pPr>
        <w:pStyle w:val="NoSpacing"/>
        <w:spacing w:line="360" w:lineRule="auto"/>
      </w:pPr>
      <w:r>
        <w:t>become more commonplace, particularly if an individual’s condition is in</w:t>
      </w:r>
      <w:r>
        <w:t xml:space="preserve">cluded in the complex equation. </w:t>
      </w:r>
      <w:r>
        <w:t>Given the jurisprudential cracks that arise from applying the same guiding principles to</w:t>
      </w:r>
      <w:r>
        <w:t xml:space="preserve"> the six detention </w:t>
      </w:r>
      <w:r>
        <w:t>grounds, perhaps a fresh approach is required to tackle developments in le</w:t>
      </w:r>
      <w:r>
        <w:t xml:space="preserve">gal standards and in attitudes. </w:t>
      </w:r>
      <w:r>
        <w:t>One option might be to equate the deprivation of liberty concept with a</w:t>
      </w:r>
      <w:r>
        <w:t xml:space="preserve"> theory of coerced confinement. </w:t>
      </w:r>
      <w:r>
        <w:t xml:space="preserve">Whilst it may not provide all the answers, it certainly helps to clarify </w:t>
      </w:r>
      <w:r>
        <w:t xml:space="preserve">the issues but requires further </w:t>
      </w:r>
      <w:r>
        <w:t>deliberation. Perhaps, in the end, the answer lies in our philosophical stance o</w:t>
      </w:r>
      <w:r>
        <w:t xml:space="preserve">n liberty. After all, the truth </w:t>
      </w:r>
      <w:r>
        <w:t>is that “out of the crooked timber of humanity no straight thing wa</w:t>
      </w:r>
      <w:r>
        <w:t>s ever made.”</w:t>
      </w:r>
      <w:r>
        <w:rPr>
          <w:rStyle w:val="FootnoteReference"/>
        </w:rPr>
        <w:footnoteReference w:id="87"/>
      </w:r>
    </w:p>
    <w:sectPr w:rsidR="002702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488" w:rsidRDefault="00B04488" w:rsidP="002C454F">
      <w:pPr>
        <w:spacing w:after="0" w:line="240" w:lineRule="auto"/>
      </w:pPr>
      <w:r>
        <w:separator/>
      </w:r>
    </w:p>
  </w:endnote>
  <w:endnote w:type="continuationSeparator" w:id="0">
    <w:p w:rsidR="00B04488" w:rsidRDefault="00B04488" w:rsidP="002C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488" w:rsidRDefault="00B04488" w:rsidP="002C454F">
      <w:pPr>
        <w:spacing w:after="0" w:line="240" w:lineRule="auto"/>
      </w:pPr>
      <w:r>
        <w:separator/>
      </w:r>
    </w:p>
  </w:footnote>
  <w:footnote w:type="continuationSeparator" w:id="0">
    <w:p w:rsidR="00B04488" w:rsidRDefault="00B04488" w:rsidP="002C454F">
      <w:pPr>
        <w:spacing w:after="0" w:line="240" w:lineRule="auto"/>
      </w:pPr>
      <w:r>
        <w:continuationSeparator/>
      </w:r>
    </w:p>
  </w:footnote>
  <w:footnote w:id="1">
    <w:p w:rsidR="00B04488" w:rsidRPr="00E42B45" w:rsidRDefault="00B04488" w:rsidP="00E42B45">
      <w:pPr>
        <w:pStyle w:val="FootnoteText"/>
        <w:rPr>
          <w:sz w:val="16"/>
        </w:rPr>
      </w:pPr>
      <w:r>
        <w:rPr>
          <w:rStyle w:val="FootnoteReference"/>
        </w:rPr>
        <w:footnoteRef/>
      </w:r>
      <w:r>
        <w:t xml:space="preserve"> </w:t>
      </w:r>
      <w:r w:rsidRPr="00E42B45">
        <w:rPr>
          <w:sz w:val="16"/>
        </w:rPr>
        <w:t>Barrister, Young Street</w:t>
      </w:r>
      <w:r>
        <w:rPr>
          <w:sz w:val="16"/>
        </w:rPr>
        <w:t xml:space="preserve"> Chambers and the University of </w:t>
      </w:r>
      <w:r w:rsidRPr="00E42B45">
        <w:rPr>
          <w:sz w:val="16"/>
        </w:rPr>
        <w:t>Manchester. The au</w:t>
      </w:r>
      <w:r>
        <w:rPr>
          <w:sz w:val="16"/>
        </w:rPr>
        <w:t xml:space="preserve">thor would like to thank his </w:t>
      </w:r>
      <w:r w:rsidRPr="00E42B45">
        <w:rPr>
          <w:sz w:val="16"/>
        </w:rPr>
        <w:t>colleagues at the I</w:t>
      </w:r>
      <w:r>
        <w:rPr>
          <w:sz w:val="16"/>
        </w:rPr>
        <w:t xml:space="preserve">nstitute of Science, Ethics and </w:t>
      </w:r>
      <w:r w:rsidRPr="00E42B45">
        <w:rPr>
          <w:sz w:val="16"/>
        </w:rPr>
        <w:t>Innovation for their comments.</w:t>
      </w:r>
    </w:p>
  </w:footnote>
  <w:footnote w:id="2">
    <w:p w:rsidR="00B04488" w:rsidRPr="00E42B45" w:rsidRDefault="00B04488" w:rsidP="00E42B45">
      <w:pPr>
        <w:pStyle w:val="FootnoteText"/>
        <w:rPr>
          <w:iCs/>
          <w:sz w:val="16"/>
        </w:rPr>
      </w:pPr>
      <w:r>
        <w:rPr>
          <w:rStyle w:val="FootnoteReference"/>
        </w:rPr>
        <w:footnoteRef/>
      </w:r>
      <w:r>
        <w:t xml:space="preserve"> </w:t>
      </w:r>
      <w:r w:rsidRPr="00E42B45">
        <w:rPr>
          <w:iCs/>
          <w:sz w:val="16"/>
        </w:rPr>
        <w:t>Secretary of State for th</w:t>
      </w:r>
      <w:r>
        <w:rPr>
          <w:iCs/>
          <w:sz w:val="16"/>
        </w:rPr>
        <w:t xml:space="preserve">e Home Department v JJ [2008] 1 </w:t>
      </w:r>
      <w:r w:rsidRPr="00E42B45">
        <w:rPr>
          <w:iCs/>
          <w:sz w:val="16"/>
        </w:rPr>
        <w:t>AC 385 at para 39 per Lord Hoffmann.</w:t>
      </w:r>
    </w:p>
  </w:footnote>
  <w:footnote w:id="3">
    <w:p w:rsidR="00B04488" w:rsidRDefault="00B04488">
      <w:pPr>
        <w:pStyle w:val="FootnoteText"/>
      </w:pPr>
      <w:r>
        <w:rPr>
          <w:rStyle w:val="FootnoteReference"/>
        </w:rPr>
        <w:footnoteRef/>
      </w:r>
      <w:r>
        <w:t xml:space="preserve"> </w:t>
      </w:r>
      <w:r w:rsidRPr="00E42B45">
        <w:rPr>
          <w:sz w:val="16"/>
        </w:rPr>
        <w:t>Guzzardi v Italy (1980) 3 EHRR 333 at para 95.</w:t>
      </w:r>
    </w:p>
  </w:footnote>
  <w:footnote w:id="4">
    <w:p w:rsidR="00B04488" w:rsidRDefault="00B04488">
      <w:pPr>
        <w:pStyle w:val="FootnoteText"/>
      </w:pPr>
      <w:r>
        <w:rPr>
          <w:rStyle w:val="FootnoteReference"/>
        </w:rPr>
        <w:footnoteRef/>
      </w:r>
      <w:r>
        <w:t xml:space="preserve"> </w:t>
      </w:r>
      <w:r w:rsidRPr="00E42B45">
        <w:rPr>
          <w:sz w:val="16"/>
        </w:rPr>
        <w:t>Ibid n.2 at para 13 per Lord Bingham</w:t>
      </w:r>
      <w:r w:rsidRPr="00E42B45">
        <w:t>.</w:t>
      </w:r>
    </w:p>
  </w:footnote>
  <w:footnote w:id="5">
    <w:p w:rsidR="00B04488" w:rsidRPr="00E42B45" w:rsidRDefault="00B04488" w:rsidP="00E42B45">
      <w:pPr>
        <w:pStyle w:val="FootnoteText"/>
        <w:rPr>
          <w:sz w:val="16"/>
        </w:rPr>
      </w:pPr>
      <w:r>
        <w:rPr>
          <w:rStyle w:val="FootnoteReference"/>
        </w:rPr>
        <w:footnoteRef/>
      </w:r>
      <w:r>
        <w:t xml:space="preserve"> </w:t>
      </w:r>
      <w:r w:rsidRPr="00E42B45">
        <w:rPr>
          <w:sz w:val="16"/>
        </w:rPr>
        <w:t>I. Berlin, ‘Two Concept</w:t>
      </w:r>
      <w:r>
        <w:rPr>
          <w:sz w:val="16"/>
        </w:rPr>
        <w:t xml:space="preserve">s of Liberty’ in Four Essays on </w:t>
      </w:r>
      <w:r w:rsidRPr="00E42B45">
        <w:rPr>
          <w:sz w:val="16"/>
        </w:rPr>
        <w:t>Liberty (Oxford: OUP, 1969).</w:t>
      </w:r>
    </w:p>
  </w:footnote>
  <w:footnote w:id="6">
    <w:p w:rsidR="00B04488" w:rsidRPr="005C70E4" w:rsidRDefault="00B04488" w:rsidP="00E42B45">
      <w:pPr>
        <w:pStyle w:val="FootnoteText"/>
        <w:rPr>
          <w:sz w:val="16"/>
        </w:rPr>
      </w:pPr>
      <w:r>
        <w:rPr>
          <w:rStyle w:val="FootnoteReference"/>
        </w:rPr>
        <w:footnoteRef/>
      </w:r>
      <w:r>
        <w:t xml:space="preserve"> </w:t>
      </w:r>
      <w:r w:rsidRPr="005C70E4">
        <w:rPr>
          <w:sz w:val="16"/>
        </w:rPr>
        <w:t>The notion of autonomy can be derived from this concept of positive liberty; see I. Kant, Fundamental Principles</w:t>
      </w:r>
    </w:p>
    <w:p w:rsidR="00B04488" w:rsidRPr="005C70E4" w:rsidRDefault="00B04488" w:rsidP="00E42B45">
      <w:pPr>
        <w:pStyle w:val="FootnoteText"/>
        <w:rPr>
          <w:sz w:val="16"/>
        </w:rPr>
      </w:pPr>
      <w:r w:rsidRPr="005C70E4">
        <w:rPr>
          <w:sz w:val="16"/>
        </w:rPr>
        <w:t xml:space="preserve">(1785); G. </w:t>
      </w:r>
      <w:proofErr w:type="spellStart"/>
      <w:r w:rsidRPr="005C70E4">
        <w:rPr>
          <w:sz w:val="16"/>
        </w:rPr>
        <w:t>Dw</w:t>
      </w:r>
      <w:r>
        <w:rPr>
          <w:sz w:val="16"/>
        </w:rPr>
        <w:t>orkin</w:t>
      </w:r>
      <w:proofErr w:type="spellEnd"/>
      <w:r>
        <w:rPr>
          <w:sz w:val="16"/>
        </w:rPr>
        <w:t xml:space="preserve">, A Theory and Practice of </w:t>
      </w:r>
      <w:r w:rsidRPr="005C70E4">
        <w:rPr>
          <w:sz w:val="16"/>
        </w:rPr>
        <w:t>Autonomy (Cam</w:t>
      </w:r>
      <w:r>
        <w:rPr>
          <w:sz w:val="16"/>
        </w:rPr>
        <w:t xml:space="preserve">bridge: CUP, 1999); J. </w:t>
      </w:r>
      <w:proofErr w:type="spellStart"/>
      <w:r>
        <w:rPr>
          <w:sz w:val="16"/>
        </w:rPr>
        <w:t>Raz</w:t>
      </w:r>
      <w:proofErr w:type="spellEnd"/>
      <w:r>
        <w:rPr>
          <w:sz w:val="16"/>
        </w:rPr>
        <w:t xml:space="preserve">, </w:t>
      </w:r>
      <w:proofErr w:type="gramStart"/>
      <w:r>
        <w:rPr>
          <w:sz w:val="16"/>
        </w:rPr>
        <w:t>The</w:t>
      </w:r>
      <w:proofErr w:type="gramEnd"/>
      <w:r>
        <w:rPr>
          <w:sz w:val="16"/>
        </w:rPr>
        <w:t xml:space="preserve"> </w:t>
      </w:r>
      <w:r w:rsidRPr="005C70E4">
        <w:rPr>
          <w:sz w:val="16"/>
        </w:rPr>
        <w:t>Morality of Freedom (Oxf</w:t>
      </w:r>
      <w:r>
        <w:rPr>
          <w:sz w:val="16"/>
        </w:rPr>
        <w:t xml:space="preserve">ord: Clarendon Press, 1986); J. </w:t>
      </w:r>
      <w:r w:rsidRPr="005C70E4">
        <w:rPr>
          <w:sz w:val="16"/>
        </w:rPr>
        <w:t>Rawls, A Theory of Justice (Oxford: OUP, 1971).</w:t>
      </w:r>
    </w:p>
  </w:footnote>
  <w:footnote w:id="7">
    <w:p w:rsidR="00B04488" w:rsidRPr="005C70E4" w:rsidRDefault="00B04488" w:rsidP="005C70E4">
      <w:pPr>
        <w:pStyle w:val="FootnoteText"/>
        <w:rPr>
          <w:sz w:val="16"/>
        </w:rPr>
      </w:pPr>
      <w:r>
        <w:rPr>
          <w:rStyle w:val="FootnoteReference"/>
        </w:rPr>
        <w:footnoteRef/>
      </w:r>
      <w:r>
        <w:t xml:space="preserve"> </w:t>
      </w:r>
      <w:r w:rsidRPr="005C70E4">
        <w:rPr>
          <w:sz w:val="16"/>
        </w:rPr>
        <w:t>For example, see N. A</w:t>
      </w:r>
      <w:r>
        <w:rPr>
          <w:sz w:val="16"/>
        </w:rPr>
        <w:t xml:space="preserve">llen, ‘A human right to smoke?’ </w:t>
      </w:r>
      <w:r w:rsidRPr="005C70E4">
        <w:rPr>
          <w:sz w:val="16"/>
        </w:rPr>
        <w:t>(2008) 158 New Law Jour</w:t>
      </w:r>
      <w:r>
        <w:rPr>
          <w:sz w:val="16"/>
        </w:rPr>
        <w:t xml:space="preserve">nal 886 for a discussion of the </w:t>
      </w:r>
      <w:r w:rsidRPr="005C70E4">
        <w:rPr>
          <w:sz w:val="16"/>
        </w:rPr>
        <w:t>extent to which the Heal</w:t>
      </w:r>
      <w:r>
        <w:rPr>
          <w:sz w:val="16"/>
        </w:rPr>
        <w:t xml:space="preserve">th Act 2006 interferes with our </w:t>
      </w:r>
      <w:r w:rsidRPr="005C70E4">
        <w:rPr>
          <w:sz w:val="16"/>
        </w:rPr>
        <w:t>liberty to smoke in t</w:t>
      </w:r>
      <w:r>
        <w:rPr>
          <w:sz w:val="16"/>
        </w:rPr>
        <w:t xml:space="preserve">he context of article 8 of the </w:t>
      </w:r>
      <w:r w:rsidRPr="005C70E4">
        <w:rPr>
          <w:sz w:val="16"/>
        </w:rPr>
        <w:t>Convention.</w:t>
      </w:r>
    </w:p>
  </w:footnote>
  <w:footnote w:id="8">
    <w:p w:rsidR="00B04488" w:rsidRPr="000B0F6E" w:rsidRDefault="00B04488" w:rsidP="000B0F6E">
      <w:pPr>
        <w:pStyle w:val="FootnoteText"/>
        <w:rPr>
          <w:sz w:val="16"/>
        </w:rPr>
      </w:pPr>
      <w:r>
        <w:rPr>
          <w:rStyle w:val="FootnoteReference"/>
        </w:rPr>
        <w:footnoteRef/>
      </w:r>
      <w:r>
        <w:t xml:space="preserve"> </w:t>
      </w:r>
      <w:r w:rsidRPr="000B0F6E">
        <w:rPr>
          <w:sz w:val="16"/>
        </w:rPr>
        <w:t>Ibid n.3 at para 92; s</w:t>
      </w:r>
      <w:r>
        <w:rPr>
          <w:sz w:val="16"/>
        </w:rPr>
        <w:t xml:space="preserve">ee also Engel v The Netherlands </w:t>
      </w:r>
      <w:r w:rsidRPr="000B0F6E">
        <w:rPr>
          <w:sz w:val="16"/>
        </w:rPr>
        <w:t>(No 1) (1976) 1 EHRR 6</w:t>
      </w:r>
      <w:r>
        <w:rPr>
          <w:sz w:val="16"/>
        </w:rPr>
        <w:t xml:space="preserve">47 at para 58. The reference to  </w:t>
      </w:r>
      <w:r w:rsidRPr="000B0F6E">
        <w:rPr>
          <w:sz w:val="16"/>
        </w:rPr>
        <w:t>“security of person” in</w:t>
      </w:r>
      <w:r>
        <w:rPr>
          <w:sz w:val="16"/>
        </w:rPr>
        <w:t xml:space="preserve"> article 5 does not provide any </w:t>
      </w:r>
      <w:r w:rsidRPr="000B0F6E">
        <w:rPr>
          <w:sz w:val="16"/>
        </w:rPr>
        <w:t xml:space="preserve">separate interpretation from the right to liberty; </w:t>
      </w:r>
      <w:r>
        <w:rPr>
          <w:sz w:val="16"/>
        </w:rPr>
        <w:t xml:space="preserve">see Altun </w:t>
      </w:r>
      <w:r w:rsidRPr="000B0F6E">
        <w:rPr>
          <w:sz w:val="16"/>
        </w:rPr>
        <w:t>v Turkey (Application no. 24561/94, 1 June 2004) at</w:t>
      </w:r>
    </w:p>
    <w:p w:rsidR="00B04488" w:rsidRPr="000B0F6E" w:rsidRDefault="00B04488" w:rsidP="000B0F6E">
      <w:pPr>
        <w:pStyle w:val="FootnoteText"/>
        <w:rPr>
          <w:sz w:val="16"/>
        </w:rPr>
      </w:pPr>
      <w:proofErr w:type="gramStart"/>
      <w:r w:rsidRPr="000B0F6E">
        <w:rPr>
          <w:sz w:val="16"/>
        </w:rPr>
        <w:t>para</w:t>
      </w:r>
      <w:proofErr w:type="gramEnd"/>
      <w:r w:rsidRPr="000B0F6E">
        <w:rPr>
          <w:sz w:val="16"/>
        </w:rPr>
        <w:t xml:space="preserve"> 57. Contrast this with</w:t>
      </w:r>
      <w:r>
        <w:rPr>
          <w:sz w:val="16"/>
        </w:rPr>
        <w:t xml:space="preserve"> the interpretation afforded to </w:t>
      </w:r>
      <w:r w:rsidRPr="000B0F6E">
        <w:rPr>
          <w:sz w:val="16"/>
        </w:rPr>
        <w:t xml:space="preserve">analogous provisions </w:t>
      </w:r>
      <w:r>
        <w:rPr>
          <w:sz w:val="16"/>
        </w:rPr>
        <w:t xml:space="preserve">in the Universal Declaration of </w:t>
      </w:r>
      <w:r w:rsidRPr="000B0F6E">
        <w:rPr>
          <w:sz w:val="16"/>
        </w:rPr>
        <w:t>Human Rights (article 3)</w:t>
      </w:r>
      <w:r>
        <w:rPr>
          <w:sz w:val="16"/>
        </w:rPr>
        <w:t xml:space="preserve">, the International Covenant on </w:t>
      </w:r>
      <w:r w:rsidRPr="000B0F6E">
        <w:rPr>
          <w:sz w:val="16"/>
        </w:rPr>
        <w:t>Civil and Political Rights</w:t>
      </w:r>
      <w:r>
        <w:rPr>
          <w:sz w:val="16"/>
        </w:rPr>
        <w:t xml:space="preserve"> (article 9), and the American </w:t>
      </w:r>
      <w:r w:rsidRPr="000B0F6E">
        <w:rPr>
          <w:sz w:val="16"/>
        </w:rPr>
        <w:t>Declaration on the Rights and Duties of Man (article 1).</w:t>
      </w:r>
    </w:p>
  </w:footnote>
  <w:footnote w:id="9">
    <w:p w:rsidR="00B04488" w:rsidRPr="00575C52" w:rsidRDefault="00B04488" w:rsidP="00575C52">
      <w:pPr>
        <w:pStyle w:val="FootnoteText"/>
        <w:rPr>
          <w:sz w:val="16"/>
        </w:rPr>
      </w:pPr>
      <w:r>
        <w:rPr>
          <w:rStyle w:val="FootnoteReference"/>
        </w:rPr>
        <w:footnoteRef/>
      </w:r>
      <w:r>
        <w:t xml:space="preserve"> </w:t>
      </w:r>
      <w:r w:rsidRPr="00575C52">
        <w:rPr>
          <w:sz w:val="16"/>
        </w:rPr>
        <w:t>Pursuant to Schedules A</w:t>
      </w:r>
      <w:r>
        <w:rPr>
          <w:sz w:val="16"/>
        </w:rPr>
        <w:t xml:space="preserve">1 and 1A of the Mental Capacity </w:t>
      </w:r>
      <w:r w:rsidRPr="00575C52">
        <w:rPr>
          <w:sz w:val="16"/>
        </w:rPr>
        <w:t>Act 2005 as inserted by the Mental Health Act 2007.</w:t>
      </w:r>
    </w:p>
  </w:footnote>
  <w:footnote w:id="10">
    <w:p w:rsidR="00B04488" w:rsidRPr="00D13B3A" w:rsidRDefault="00B04488" w:rsidP="00D13B3A">
      <w:pPr>
        <w:pStyle w:val="FootnoteText"/>
        <w:rPr>
          <w:sz w:val="16"/>
        </w:rPr>
      </w:pPr>
      <w:r>
        <w:rPr>
          <w:rStyle w:val="FootnoteReference"/>
        </w:rPr>
        <w:footnoteRef/>
      </w:r>
      <w:r>
        <w:t xml:space="preserve"> </w:t>
      </w:r>
      <w:r w:rsidRPr="00D13B3A">
        <w:rPr>
          <w:sz w:val="16"/>
        </w:rPr>
        <w:t xml:space="preserve">The duty of the monarch as </w:t>
      </w:r>
      <w:r>
        <w:rPr>
          <w:sz w:val="16"/>
        </w:rPr>
        <w:t xml:space="preserve">parent of the people, or </w:t>
      </w:r>
      <w:proofErr w:type="spellStart"/>
      <w:r>
        <w:rPr>
          <w:sz w:val="16"/>
        </w:rPr>
        <w:t>parens</w:t>
      </w:r>
      <w:proofErr w:type="spellEnd"/>
      <w:r>
        <w:rPr>
          <w:sz w:val="16"/>
        </w:rPr>
        <w:t xml:space="preserve"> </w:t>
      </w:r>
      <w:proofErr w:type="spellStart"/>
      <w:r w:rsidRPr="00D13B3A">
        <w:rPr>
          <w:sz w:val="16"/>
        </w:rPr>
        <w:t>patriae</w:t>
      </w:r>
      <w:proofErr w:type="spellEnd"/>
      <w:r w:rsidRPr="00D13B3A">
        <w:rPr>
          <w:sz w:val="16"/>
        </w:rPr>
        <w:t>, to protect persons unable to care for themselves or</w:t>
      </w:r>
    </w:p>
    <w:p w:rsidR="00B04488" w:rsidRPr="00D13B3A" w:rsidRDefault="00B04488" w:rsidP="00D13B3A">
      <w:pPr>
        <w:pStyle w:val="FootnoteText"/>
        <w:rPr>
          <w:sz w:val="16"/>
        </w:rPr>
      </w:pPr>
      <w:proofErr w:type="gramStart"/>
      <w:r w:rsidRPr="00D13B3A">
        <w:rPr>
          <w:sz w:val="16"/>
        </w:rPr>
        <w:t>their</w:t>
      </w:r>
      <w:proofErr w:type="gramEnd"/>
      <w:r w:rsidRPr="00D13B3A">
        <w:rPr>
          <w:sz w:val="16"/>
        </w:rPr>
        <w:t xml:space="preserve"> property dates back</w:t>
      </w:r>
      <w:r>
        <w:rPr>
          <w:sz w:val="16"/>
        </w:rPr>
        <w:t xml:space="preserve"> to the De Prerogativa Regis of </w:t>
      </w:r>
      <w:r w:rsidRPr="00D13B3A">
        <w:rPr>
          <w:sz w:val="16"/>
        </w:rPr>
        <w:t>1324. See Eyre v Coun</w:t>
      </w:r>
      <w:r>
        <w:rPr>
          <w:sz w:val="16"/>
        </w:rPr>
        <w:t xml:space="preserve">tess of Shaftesbury (1725) </w:t>
      </w:r>
      <w:proofErr w:type="spellStart"/>
      <w:r>
        <w:rPr>
          <w:sz w:val="16"/>
        </w:rPr>
        <w:t>Gilb</w:t>
      </w:r>
      <w:proofErr w:type="spellEnd"/>
      <w:r>
        <w:rPr>
          <w:sz w:val="16"/>
        </w:rPr>
        <w:t xml:space="preserve"> </w:t>
      </w:r>
      <w:proofErr w:type="spellStart"/>
      <w:r w:rsidRPr="00D13B3A">
        <w:rPr>
          <w:sz w:val="16"/>
        </w:rPr>
        <w:t>Ch</w:t>
      </w:r>
      <w:proofErr w:type="spellEnd"/>
      <w:r w:rsidRPr="00D13B3A">
        <w:rPr>
          <w:sz w:val="16"/>
        </w:rPr>
        <w:t xml:space="preserve"> 172; Smith v Smith</w:t>
      </w:r>
      <w:r>
        <w:rPr>
          <w:sz w:val="16"/>
        </w:rPr>
        <w:t xml:space="preserve"> (1745) 3 </w:t>
      </w:r>
      <w:proofErr w:type="spellStart"/>
      <w:r>
        <w:rPr>
          <w:sz w:val="16"/>
        </w:rPr>
        <w:t>Atk</w:t>
      </w:r>
      <w:proofErr w:type="spellEnd"/>
      <w:r>
        <w:rPr>
          <w:sz w:val="16"/>
        </w:rPr>
        <w:t xml:space="preserve">. 204; Wellesley v </w:t>
      </w:r>
      <w:r w:rsidRPr="00D13B3A">
        <w:rPr>
          <w:sz w:val="16"/>
        </w:rPr>
        <w:t>Beaufort (1829) 2 Russ 1.</w:t>
      </w:r>
    </w:p>
  </w:footnote>
  <w:footnote w:id="11">
    <w:p w:rsidR="00B04488" w:rsidRPr="00D13B3A" w:rsidRDefault="00B04488" w:rsidP="00D13B3A">
      <w:pPr>
        <w:pStyle w:val="FootnoteText"/>
        <w:rPr>
          <w:sz w:val="16"/>
        </w:rPr>
      </w:pPr>
      <w:r>
        <w:rPr>
          <w:rStyle w:val="FootnoteReference"/>
        </w:rPr>
        <w:footnoteRef/>
      </w:r>
      <w:r>
        <w:t xml:space="preserve"> </w:t>
      </w:r>
      <w:r w:rsidRPr="00D13B3A">
        <w:rPr>
          <w:sz w:val="16"/>
        </w:rPr>
        <w:t xml:space="preserve">See </w:t>
      </w:r>
      <w:proofErr w:type="spellStart"/>
      <w:r w:rsidRPr="00D13B3A">
        <w:rPr>
          <w:sz w:val="16"/>
        </w:rPr>
        <w:t>Brookshaw</w:t>
      </w:r>
      <w:proofErr w:type="spellEnd"/>
      <w:r w:rsidRPr="00D13B3A">
        <w:rPr>
          <w:sz w:val="16"/>
        </w:rPr>
        <w:t xml:space="preserve"> v Hopki</w:t>
      </w:r>
      <w:r>
        <w:rPr>
          <w:sz w:val="16"/>
        </w:rPr>
        <w:t xml:space="preserve">ns (1772) </w:t>
      </w:r>
      <w:proofErr w:type="spellStart"/>
      <w:r>
        <w:rPr>
          <w:sz w:val="16"/>
        </w:rPr>
        <w:t>Lofft</w:t>
      </w:r>
      <w:proofErr w:type="spellEnd"/>
      <w:r>
        <w:rPr>
          <w:sz w:val="16"/>
        </w:rPr>
        <w:t xml:space="preserve"> 240 at 243; R v </w:t>
      </w:r>
      <w:proofErr w:type="spellStart"/>
      <w:r w:rsidRPr="00D13B3A">
        <w:rPr>
          <w:sz w:val="16"/>
        </w:rPr>
        <w:t>Coate</w:t>
      </w:r>
      <w:proofErr w:type="spellEnd"/>
      <w:r w:rsidRPr="00D13B3A">
        <w:rPr>
          <w:sz w:val="16"/>
        </w:rPr>
        <w:t xml:space="preserve"> and others (1</w:t>
      </w:r>
      <w:r>
        <w:rPr>
          <w:sz w:val="16"/>
        </w:rPr>
        <w:t xml:space="preserve">772) </w:t>
      </w:r>
      <w:proofErr w:type="spellStart"/>
      <w:r>
        <w:rPr>
          <w:sz w:val="16"/>
        </w:rPr>
        <w:t>Lofft</w:t>
      </w:r>
      <w:proofErr w:type="spellEnd"/>
      <w:r>
        <w:rPr>
          <w:sz w:val="16"/>
        </w:rPr>
        <w:t xml:space="preserve"> 73 at 75; Anderdon v </w:t>
      </w:r>
      <w:r w:rsidRPr="00D13B3A">
        <w:rPr>
          <w:sz w:val="16"/>
        </w:rPr>
        <w:t xml:space="preserve">Burrows (1830) 4 C </w:t>
      </w:r>
      <w:r>
        <w:rPr>
          <w:sz w:val="16"/>
        </w:rPr>
        <w:t xml:space="preserve">&amp; P 210 at 213; Re </w:t>
      </w:r>
      <w:proofErr w:type="spellStart"/>
      <w:r>
        <w:rPr>
          <w:sz w:val="16"/>
        </w:rPr>
        <w:t>Shuttleworth</w:t>
      </w:r>
      <w:proofErr w:type="spellEnd"/>
      <w:r>
        <w:rPr>
          <w:sz w:val="16"/>
        </w:rPr>
        <w:t xml:space="preserve"> </w:t>
      </w:r>
      <w:r w:rsidRPr="00D13B3A">
        <w:rPr>
          <w:sz w:val="16"/>
        </w:rPr>
        <w:t xml:space="preserve">(1846) 9 QB 651; </w:t>
      </w:r>
      <w:proofErr w:type="spellStart"/>
      <w:r w:rsidRPr="00D13B3A">
        <w:rPr>
          <w:sz w:val="16"/>
        </w:rPr>
        <w:t>N</w:t>
      </w:r>
      <w:r>
        <w:rPr>
          <w:sz w:val="16"/>
        </w:rPr>
        <w:t>ottidge</w:t>
      </w:r>
      <w:proofErr w:type="spellEnd"/>
      <w:r>
        <w:rPr>
          <w:sz w:val="16"/>
        </w:rPr>
        <w:t xml:space="preserve"> v Ripley (1850) 14 LTOS </w:t>
      </w:r>
      <w:r w:rsidRPr="00D13B3A">
        <w:rPr>
          <w:sz w:val="16"/>
        </w:rPr>
        <w:t xml:space="preserve">445; R v </w:t>
      </w:r>
      <w:proofErr w:type="spellStart"/>
      <w:r w:rsidRPr="00D13B3A">
        <w:rPr>
          <w:sz w:val="16"/>
        </w:rPr>
        <w:t>Pinder</w:t>
      </w:r>
      <w:proofErr w:type="spellEnd"/>
      <w:r w:rsidRPr="00D13B3A">
        <w:rPr>
          <w:sz w:val="16"/>
        </w:rPr>
        <w:t>, R</w:t>
      </w:r>
      <w:r>
        <w:rPr>
          <w:sz w:val="16"/>
        </w:rPr>
        <w:t xml:space="preserve">e Greenwood (1855) 24 LJQB 148; </w:t>
      </w:r>
      <w:r w:rsidRPr="00D13B3A">
        <w:rPr>
          <w:sz w:val="16"/>
        </w:rPr>
        <w:t>Fletcher v Fletcher (1859</w:t>
      </w:r>
      <w:r>
        <w:rPr>
          <w:sz w:val="16"/>
        </w:rPr>
        <w:t xml:space="preserve">) 1 El &amp; El 420 at 423–4; Scott </w:t>
      </w:r>
      <w:r w:rsidRPr="00D13B3A">
        <w:rPr>
          <w:sz w:val="16"/>
        </w:rPr>
        <w:t xml:space="preserve">v </w:t>
      </w:r>
      <w:proofErr w:type="spellStart"/>
      <w:r w:rsidRPr="00D13B3A">
        <w:rPr>
          <w:sz w:val="16"/>
        </w:rPr>
        <w:t>Wakem</w:t>
      </w:r>
      <w:proofErr w:type="spellEnd"/>
      <w:r w:rsidRPr="00D13B3A">
        <w:rPr>
          <w:sz w:val="16"/>
        </w:rPr>
        <w:t xml:space="preserve"> (1862) 3 F </w:t>
      </w:r>
      <w:r>
        <w:rPr>
          <w:sz w:val="16"/>
        </w:rPr>
        <w:t xml:space="preserve">and F 328 at 333; </w:t>
      </w:r>
      <w:proofErr w:type="spellStart"/>
      <w:r>
        <w:rPr>
          <w:sz w:val="16"/>
        </w:rPr>
        <w:t>Symm</w:t>
      </w:r>
      <w:proofErr w:type="spellEnd"/>
      <w:r>
        <w:rPr>
          <w:sz w:val="16"/>
        </w:rPr>
        <w:t xml:space="preserve"> v Fraser </w:t>
      </w:r>
      <w:r w:rsidRPr="00D13B3A">
        <w:rPr>
          <w:sz w:val="16"/>
        </w:rPr>
        <w:t>(1863) 3 F and F 85</w:t>
      </w:r>
      <w:r>
        <w:rPr>
          <w:sz w:val="16"/>
        </w:rPr>
        <w:t xml:space="preserve">9 at 883; and R v Whitfield, ex </w:t>
      </w:r>
      <w:r w:rsidRPr="00D13B3A">
        <w:rPr>
          <w:sz w:val="16"/>
        </w:rPr>
        <w:t>parte Hillman (1885) 15 QBD 122 at 132.</w:t>
      </w:r>
    </w:p>
  </w:footnote>
  <w:footnote w:id="12">
    <w:p w:rsidR="00B04488" w:rsidRPr="00764F95" w:rsidRDefault="00B04488" w:rsidP="00764F95">
      <w:pPr>
        <w:pStyle w:val="FootnoteText"/>
        <w:rPr>
          <w:sz w:val="16"/>
        </w:rPr>
      </w:pPr>
      <w:r>
        <w:rPr>
          <w:rStyle w:val="FootnoteReference"/>
        </w:rPr>
        <w:footnoteRef/>
      </w:r>
      <w:r>
        <w:t xml:space="preserve"> </w:t>
      </w:r>
      <w:r w:rsidRPr="00764F95">
        <w:rPr>
          <w:sz w:val="16"/>
        </w:rPr>
        <w:t xml:space="preserve">See, for example, the </w:t>
      </w:r>
      <w:r>
        <w:rPr>
          <w:sz w:val="16"/>
        </w:rPr>
        <w:t xml:space="preserve">Vagrancy Acts of 1714 and 1744; </w:t>
      </w:r>
      <w:r w:rsidRPr="00764F95">
        <w:rPr>
          <w:sz w:val="16"/>
        </w:rPr>
        <w:t>Madhouses Act 17</w:t>
      </w:r>
      <w:r>
        <w:rPr>
          <w:sz w:val="16"/>
        </w:rPr>
        <w:t xml:space="preserve">74; Criminal Lunatics Act 1800; </w:t>
      </w:r>
      <w:r w:rsidRPr="00764F95">
        <w:rPr>
          <w:sz w:val="16"/>
        </w:rPr>
        <w:t>County Asylums Acts of 18</w:t>
      </w:r>
      <w:r>
        <w:rPr>
          <w:sz w:val="16"/>
        </w:rPr>
        <w:t xml:space="preserve">08, 1811, 1815, 1828, 1845, </w:t>
      </w:r>
      <w:r w:rsidRPr="00764F95">
        <w:rPr>
          <w:sz w:val="16"/>
        </w:rPr>
        <w:t>and 1846; Care and Trea</w:t>
      </w:r>
      <w:r>
        <w:rPr>
          <w:sz w:val="16"/>
        </w:rPr>
        <w:t xml:space="preserve">tment of Lunatics Acts of 1828, </w:t>
      </w:r>
      <w:r w:rsidRPr="00764F95">
        <w:rPr>
          <w:sz w:val="16"/>
        </w:rPr>
        <w:t>1842, and 1845; Lunatic Asylums Inspection Act 1842;</w:t>
      </w:r>
    </w:p>
    <w:p w:rsidR="00B04488" w:rsidRPr="00764F95" w:rsidRDefault="00B04488" w:rsidP="00764F95">
      <w:pPr>
        <w:pStyle w:val="FootnoteText"/>
        <w:rPr>
          <w:sz w:val="16"/>
        </w:rPr>
      </w:pPr>
      <w:r w:rsidRPr="00764F95">
        <w:rPr>
          <w:sz w:val="16"/>
        </w:rPr>
        <w:t>Lunatic Asylums Act</w:t>
      </w:r>
      <w:r>
        <w:rPr>
          <w:sz w:val="16"/>
        </w:rPr>
        <w:t xml:space="preserve">s of 1853 and 1863; Lunacy Acts </w:t>
      </w:r>
      <w:r w:rsidRPr="00764F95">
        <w:rPr>
          <w:sz w:val="16"/>
        </w:rPr>
        <w:t xml:space="preserve">Amendment Acts of </w:t>
      </w:r>
      <w:r>
        <w:rPr>
          <w:sz w:val="16"/>
        </w:rPr>
        <w:t xml:space="preserve">1862, 1885 and 1889; Lunacy Act </w:t>
      </w:r>
      <w:r w:rsidRPr="00764F95">
        <w:rPr>
          <w:sz w:val="16"/>
        </w:rPr>
        <w:t>1890; Medical Treatme</w:t>
      </w:r>
      <w:r>
        <w:rPr>
          <w:sz w:val="16"/>
        </w:rPr>
        <w:t xml:space="preserve">nt Act 1930; Mental Health Acts </w:t>
      </w:r>
      <w:r w:rsidRPr="00764F95">
        <w:rPr>
          <w:sz w:val="16"/>
        </w:rPr>
        <w:t>of 1959, 1983 and 2007.</w:t>
      </w:r>
    </w:p>
  </w:footnote>
  <w:footnote w:id="13">
    <w:p w:rsidR="00B04488" w:rsidRDefault="00B04488">
      <w:pPr>
        <w:pStyle w:val="FootnoteText"/>
      </w:pPr>
      <w:r>
        <w:rPr>
          <w:rStyle w:val="FootnoteReference"/>
        </w:rPr>
        <w:footnoteRef/>
      </w:r>
      <w:r>
        <w:t xml:space="preserve"> </w:t>
      </w:r>
      <w:r w:rsidRPr="00A54B47">
        <w:rPr>
          <w:sz w:val="16"/>
        </w:rPr>
        <w:t>Kurt v Turkey (1998) 27 EHRR 373 at para 122.</w:t>
      </w:r>
    </w:p>
  </w:footnote>
  <w:footnote w:id="14">
    <w:p w:rsidR="00B04488" w:rsidRDefault="00B04488" w:rsidP="00A54B47">
      <w:pPr>
        <w:pStyle w:val="FootnoteText"/>
      </w:pPr>
      <w:r>
        <w:rPr>
          <w:rStyle w:val="FootnoteReference"/>
        </w:rPr>
        <w:footnoteRef/>
      </w:r>
      <w:r>
        <w:t xml:space="preserve"> </w:t>
      </w:r>
      <w:r w:rsidRPr="00A54B47">
        <w:rPr>
          <w:sz w:val="16"/>
        </w:rPr>
        <w:t>R v Bournewood Community and Mental Health NHS Trust, ex p L [1999] 1 AC 458.</w:t>
      </w:r>
    </w:p>
  </w:footnote>
  <w:footnote w:id="15">
    <w:p w:rsidR="00B04488" w:rsidRPr="00116A88" w:rsidRDefault="00B04488" w:rsidP="00116A88">
      <w:pPr>
        <w:pStyle w:val="FootnoteText"/>
        <w:rPr>
          <w:sz w:val="16"/>
        </w:rPr>
      </w:pPr>
      <w:r>
        <w:rPr>
          <w:rStyle w:val="FootnoteReference"/>
        </w:rPr>
        <w:footnoteRef/>
      </w:r>
      <w:r>
        <w:t xml:space="preserve"> </w:t>
      </w:r>
      <w:r w:rsidRPr="00116A88">
        <w:rPr>
          <w:sz w:val="16"/>
        </w:rPr>
        <w:t>HL v United Kingdom</w:t>
      </w:r>
      <w:r>
        <w:rPr>
          <w:sz w:val="16"/>
        </w:rPr>
        <w:t xml:space="preserve"> (2004) 40 EHRR 761 at para 91. </w:t>
      </w:r>
      <w:r w:rsidRPr="00116A88">
        <w:rPr>
          <w:sz w:val="16"/>
        </w:rPr>
        <w:t>For an excellent sum</w:t>
      </w:r>
      <w:r>
        <w:rPr>
          <w:sz w:val="16"/>
        </w:rPr>
        <w:t xml:space="preserve">mary of the proceedings, see K. </w:t>
      </w:r>
      <w:proofErr w:type="spellStart"/>
      <w:r w:rsidRPr="00116A88">
        <w:rPr>
          <w:sz w:val="16"/>
        </w:rPr>
        <w:t>Keywood</w:t>
      </w:r>
      <w:proofErr w:type="spellEnd"/>
      <w:r w:rsidRPr="00116A88">
        <w:rPr>
          <w:sz w:val="16"/>
        </w:rPr>
        <w:t>, ‘Detaining menta</w:t>
      </w:r>
      <w:r>
        <w:rPr>
          <w:sz w:val="16"/>
        </w:rPr>
        <w:t xml:space="preserve">lly disordered patients lacking </w:t>
      </w:r>
      <w:r w:rsidRPr="00116A88">
        <w:rPr>
          <w:sz w:val="16"/>
        </w:rPr>
        <w:t>capacity: The arbitrarines</w:t>
      </w:r>
      <w:r>
        <w:rPr>
          <w:sz w:val="16"/>
        </w:rPr>
        <w:t xml:space="preserve">s of informal detention and the </w:t>
      </w:r>
      <w:r w:rsidRPr="00116A88">
        <w:rPr>
          <w:sz w:val="16"/>
        </w:rPr>
        <w:t>common law doctrine of necessity’ (2005) 13 Medica</w:t>
      </w:r>
      <w:r>
        <w:rPr>
          <w:sz w:val="16"/>
        </w:rPr>
        <w:t xml:space="preserve">l </w:t>
      </w:r>
      <w:r w:rsidRPr="00116A88">
        <w:rPr>
          <w:sz w:val="16"/>
        </w:rPr>
        <w:t>Law Review 108.</w:t>
      </w:r>
    </w:p>
  </w:footnote>
  <w:footnote w:id="16">
    <w:p w:rsidR="00B04488" w:rsidRPr="00116A88" w:rsidRDefault="00B04488" w:rsidP="00116A88">
      <w:pPr>
        <w:pStyle w:val="FootnoteText"/>
        <w:rPr>
          <w:sz w:val="16"/>
        </w:rPr>
      </w:pPr>
      <w:r>
        <w:rPr>
          <w:rStyle w:val="FootnoteReference"/>
        </w:rPr>
        <w:footnoteRef/>
      </w:r>
      <w:r>
        <w:t xml:space="preserve"> </w:t>
      </w:r>
      <w:r w:rsidRPr="00116A88">
        <w:rPr>
          <w:sz w:val="16"/>
        </w:rPr>
        <w:t xml:space="preserve">See Bolam v </w:t>
      </w:r>
      <w:proofErr w:type="spellStart"/>
      <w:r w:rsidRPr="00116A88">
        <w:rPr>
          <w:sz w:val="16"/>
        </w:rPr>
        <w:t>Frier</w:t>
      </w:r>
      <w:r>
        <w:rPr>
          <w:sz w:val="16"/>
        </w:rPr>
        <w:t>n</w:t>
      </w:r>
      <w:proofErr w:type="spellEnd"/>
      <w:r>
        <w:rPr>
          <w:sz w:val="16"/>
        </w:rPr>
        <w:t xml:space="preserve"> Hospital Management Committee </w:t>
      </w:r>
      <w:r w:rsidRPr="00116A88">
        <w:rPr>
          <w:sz w:val="16"/>
        </w:rPr>
        <w:t>[1957] 1 WLR 582, 587.</w:t>
      </w:r>
    </w:p>
  </w:footnote>
  <w:footnote w:id="17">
    <w:p w:rsidR="00B04488" w:rsidRPr="00116A88" w:rsidRDefault="00B04488" w:rsidP="00116A88">
      <w:pPr>
        <w:pStyle w:val="FootnoteText"/>
        <w:rPr>
          <w:sz w:val="16"/>
        </w:rPr>
      </w:pPr>
      <w:r>
        <w:rPr>
          <w:rStyle w:val="FootnoteReference"/>
        </w:rPr>
        <w:footnoteRef/>
      </w:r>
      <w:r>
        <w:t xml:space="preserve"> </w:t>
      </w:r>
      <w:r w:rsidRPr="00116A88">
        <w:rPr>
          <w:sz w:val="16"/>
        </w:rPr>
        <w:t>Ibid n.15 at para 120.</w:t>
      </w:r>
      <w:r>
        <w:rPr>
          <w:sz w:val="16"/>
        </w:rPr>
        <w:t xml:space="preserve"> Article 5(4) was also violated </w:t>
      </w:r>
      <w:r w:rsidRPr="00116A88">
        <w:rPr>
          <w:sz w:val="16"/>
        </w:rPr>
        <w:t>because neither ha</w:t>
      </w:r>
      <w:r>
        <w:rPr>
          <w:sz w:val="16"/>
        </w:rPr>
        <w:t xml:space="preserve">beas corpus nor judicial review  </w:t>
      </w:r>
      <w:r w:rsidRPr="00116A88">
        <w:rPr>
          <w:sz w:val="16"/>
        </w:rPr>
        <w:t>proceedings prior to</w:t>
      </w:r>
      <w:r>
        <w:rPr>
          <w:sz w:val="16"/>
        </w:rPr>
        <w:t xml:space="preserve"> the Human Rights Act 1998 were </w:t>
      </w:r>
      <w:r w:rsidRPr="00116A88">
        <w:rPr>
          <w:sz w:val="16"/>
        </w:rPr>
        <w:t xml:space="preserve">sufficient to adequately </w:t>
      </w:r>
      <w:r>
        <w:rPr>
          <w:sz w:val="16"/>
        </w:rPr>
        <w:t xml:space="preserve">examine the Winterwerp criteria </w:t>
      </w:r>
      <w:r w:rsidRPr="00116A88">
        <w:rPr>
          <w:sz w:val="16"/>
        </w:rPr>
        <w:t>for detentio</w:t>
      </w:r>
      <w:r>
        <w:rPr>
          <w:sz w:val="16"/>
        </w:rPr>
        <w:t xml:space="preserve">n (see Winterwerp v Netherlands </w:t>
      </w:r>
      <w:r w:rsidRPr="00116A88">
        <w:rPr>
          <w:sz w:val="16"/>
        </w:rPr>
        <w:t>(1979–1980) 2 EHRR 387 at para 39).</w:t>
      </w:r>
    </w:p>
  </w:footnote>
  <w:footnote w:id="18">
    <w:p w:rsidR="00B04488" w:rsidRPr="00E10B06" w:rsidRDefault="00B04488" w:rsidP="00E10B06">
      <w:pPr>
        <w:pStyle w:val="FootnoteText"/>
        <w:rPr>
          <w:sz w:val="16"/>
        </w:rPr>
      </w:pPr>
      <w:r>
        <w:rPr>
          <w:rStyle w:val="FootnoteReference"/>
        </w:rPr>
        <w:footnoteRef/>
      </w:r>
      <w:r>
        <w:t xml:space="preserve"> </w:t>
      </w:r>
      <w:r w:rsidRPr="00E10B06">
        <w:rPr>
          <w:sz w:val="16"/>
        </w:rPr>
        <w:t>Royal Commission on the</w:t>
      </w:r>
      <w:r>
        <w:rPr>
          <w:sz w:val="16"/>
        </w:rPr>
        <w:t xml:space="preserve"> Law Relating to Mental Illness </w:t>
      </w:r>
      <w:r w:rsidRPr="00E10B06">
        <w:rPr>
          <w:sz w:val="16"/>
        </w:rPr>
        <w:t>and Mental Deficien</w:t>
      </w:r>
      <w:r>
        <w:rPr>
          <w:sz w:val="16"/>
        </w:rPr>
        <w:t xml:space="preserve">cy, 1954–1957 (Report </w:t>
      </w:r>
      <w:proofErr w:type="spellStart"/>
      <w:r>
        <w:rPr>
          <w:sz w:val="16"/>
        </w:rPr>
        <w:t>Cmnd</w:t>
      </w:r>
      <w:proofErr w:type="spellEnd"/>
      <w:r>
        <w:rPr>
          <w:sz w:val="16"/>
        </w:rPr>
        <w:t xml:space="preserve"> 169, </w:t>
      </w:r>
      <w:r w:rsidRPr="00E10B06">
        <w:rPr>
          <w:sz w:val="16"/>
        </w:rPr>
        <w:t>HMSO, 1957) at paras</w:t>
      </w:r>
      <w:r>
        <w:rPr>
          <w:sz w:val="16"/>
        </w:rPr>
        <w:t xml:space="preserve"> 290–291. See N. Morris, (1958) </w:t>
      </w:r>
      <w:r w:rsidRPr="00E10B06">
        <w:rPr>
          <w:sz w:val="16"/>
        </w:rPr>
        <w:t>21(1) Modern Law Review 63.</w:t>
      </w:r>
    </w:p>
  </w:footnote>
  <w:footnote w:id="19">
    <w:p w:rsidR="00B04488" w:rsidRPr="00E10B06" w:rsidRDefault="00B04488" w:rsidP="00E10B06">
      <w:pPr>
        <w:pStyle w:val="FootnoteText"/>
        <w:rPr>
          <w:sz w:val="16"/>
        </w:rPr>
      </w:pPr>
      <w:r>
        <w:rPr>
          <w:rStyle w:val="FootnoteReference"/>
        </w:rPr>
        <w:footnoteRef/>
      </w:r>
      <w:r>
        <w:t xml:space="preserve"> </w:t>
      </w:r>
      <w:r w:rsidRPr="00E10B06">
        <w:rPr>
          <w:sz w:val="16"/>
        </w:rPr>
        <w:t xml:space="preserve">Law Commission, </w:t>
      </w:r>
      <w:r>
        <w:rPr>
          <w:sz w:val="16"/>
        </w:rPr>
        <w:t xml:space="preserve">Mental Incapacity (Law Com. No. </w:t>
      </w:r>
      <w:r w:rsidRPr="00E10B06">
        <w:rPr>
          <w:sz w:val="16"/>
        </w:rPr>
        <w:t xml:space="preserve">231, London, HMSO, </w:t>
      </w:r>
      <w:r>
        <w:rPr>
          <w:sz w:val="16"/>
        </w:rPr>
        <w:t xml:space="preserve">1995) at para 1.1. See also the </w:t>
      </w:r>
      <w:r w:rsidRPr="00E10B06">
        <w:rPr>
          <w:sz w:val="16"/>
        </w:rPr>
        <w:t>judicial observ</w:t>
      </w:r>
      <w:r>
        <w:rPr>
          <w:sz w:val="16"/>
        </w:rPr>
        <w:t xml:space="preserve">ations in Re F (Mental Patient: </w:t>
      </w:r>
      <w:r w:rsidRPr="00E10B06">
        <w:rPr>
          <w:sz w:val="16"/>
        </w:rPr>
        <w:t>Sterilisation) [1990] 2 AC 1 at 51 and 71.</w:t>
      </w:r>
    </w:p>
  </w:footnote>
  <w:footnote w:id="20">
    <w:p w:rsidR="00B04488" w:rsidRPr="00E10B06" w:rsidRDefault="00B04488" w:rsidP="00E10B06">
      <w:pPr>
        <w:pStyle w:val="FootnoteText"/>
        <w:rPr>
          <w:sz w:val="16"/>
        </w:rPr>
      </w:pPr>
      <w:r>
        <w:rPr>
          <w:rStyle w:val="FootnoteReference"/>
        </w:rPr>
        <w:footnoteRef/>
      </w:r>
      <w:r>
        <w:t xml:space="preserve"> </w:t>
      </w:r>
      <w:r w:rsidRPr="00E10B06">
        <w:rPr>
          <w:sz w:val="16"/>
        </w:rPr>
        <w:t xml:space="preserve">Mental Capacity Act </w:t>
      </w:r>
      <w:r>
        <w:rPr>
          <w:sz w:val="16"/>
        </w:rPr>
        <w:t xml:space="preserve">2005 s.64 (6) as inserted by the </w:t>
      </w:r>
      <w:r w:rsidRPr="00E10B06">
        <w:rPr>
          <w:sz w:val="16"/>
        </w:rPr>
        <w:t>Mental Health Act 2007 Schedule 9, para 10(4).</w:t>
      </w:r>
    </w:p>
  </w:footnote>
  <w:footnote w:id="21">
    <w:p w:rsidR="00B04488" w:rsidRDefault="00B04488">
      <w:pPr>
        <w:pStyle w:val="FootnoteText"/>
      </w:pPr>
      <w:r>
        <w:rPr>
          <w:rStyle w:val="FootnoteReference"/>
        </w:rPr>
        <w:footnoteRef/>
      </w:r>
      <w:r>
        <w:t xml:space="preserve"> </w:t>
      </w:r>
      <w:r w:rsidRPr="00E10B06">
        <w:rPr>
          <w:sz w:val="16"/>
        </w:rPr>
        <w:t>Mental Capacity Act 2005 Schedules A1 and 1A.</w:t>
      </w:r>
    </w:p>
  </w:footnote>
  <w:footnote w:id="22">
    <w:p w:rsidR="00B04488" w:rsidRPr="0063795A" w:rsidRDefault="00B04488" w:rsidP="0063795A">
      <w:pPr>
        <w:pStyle w:val="FootnoteText"/>
        <w:rPr>
          <w:sz w:val="16"/>
        </w:rPr>
      </w:pPr>
      <w:r>
        <w:rPr>
          <w:rStyle w:val="FootnoteReference"/>
        </w:rPr>
        <w:footnoteRef/>
      </w:r>
      <w:r>
        <w:t xml:space="preserve"> </w:t>
      </w:r>
      <w:r w:rsidRPr="0063795A">
        <w:rPr>
          <w:sz w:val="16"/>
        </w:rPr>
        <w:t>Ibid Schedule A1 para 1(1)</w:t>
      </w:r>
      <w:r>
        <w:rPr>
          <w:sz w:val="16"/>
        </w:rPr>
        <w:t xml:space="preserve"> refers to being “detained … in </w:t>
      </w:r>
      <w:r w:rsidRPr="0063795A">
        <w:rPr>
          <w:sz w:val="16"/>
        </w:rPr>
        <w:t>circumstances which amount</w:t>
      </w:r>
      <w:r>
        <w:rPr>
          <w:sz w:val="16"/>
        </w:rPr>
        <w:t xml:space="preserve"> to deprivation of the person’s </w:t>
      </w:r>
      <w:r w:rsidRPr="0063795A">
        <w:rPr>
          <w:sz w:val="16"/>
        </w:rPr>
        <w:t>liberty” which has “the s</w:t>
      </w:r>
      <w:r>
        <w:rPr>
          <w:sz w:val="16"/>
        </w:rPr>
        <w:t xml:space="preserve">ame meaning as in Article 5(1)” </w:t>
      </w:r>
      <w:r w:rsidRPr="0063795A">
        <w:rPr>
          <w:sz w:val="16"/>
        </w:rPr>
        <w:t>according to s.64 (5).</w:t>
      </w:r>
    </w:p>
  </w:footnote>
  <w:footnote w:id="23">
    <w:p w:rsidR="00B04488" w:rsidRPr="0063795A" w:rsidRDefault="00B04488" w:rsidP="0063795A">
      <w:pPr>
        <w:pStyle w:val="FootnoteText"/>
        <w:rPr>
          <w:sz w:val="16"/>
        </w:rPr>
      </w:pPr>
      <w:r>
        <w:rPr>
          <w:rStyle w:val="FootnoteReference"/>
        </w:rPr>
        <w:footnoteRef/>
      </w:r>
      <w:r>
        <w:t xml:space="preserve"> </w:t>
      </w:r>
      <w:r w:rsidRPr="0063795A">
        <w:rPr>
          <w:sz w:val="16"/>
        </w:rPr>
        <w:t>Legislative Scrutin</w:t>
      </w:r>
      <w:r>
        <w:rPr>
          <w:sz w:val="16"/>
        </w:rPr>
        <w:t xml:space="preserve">y: Mental Health Bill (HL 40/HC </w:t>
      </w:r>
      <w:r w:rsidRPr="0063795A">
        <w:rPr>
          <w:sz w:val="16"/>
        </w:rPr>
        <w:t>288), 4th February 2007 at para 89.</w:t>
      </w:r>
    </w:p>
  </w:footnote>
  <w:footnote w:id="24">
    <w:p w:rsidR="00B04488" w:rsidRPr="001860F1" w:rsidRDefault="00B04488" w:rsidP="001860F1">
      <w:pPr>
        <w:pStyle w:val="FootnoteText"/>
        <w:rPr>
          <w:sz w:val="16"/>
        </w:rPr>
      </w:pPr>
      <w:r>
        <w:rPr>
          <w:rStyle w:val="FootnoteReference"/>
        </w:rPr>
        <w:footnoteRef/>
      </w:r>
      <w:r>
        <w:t xml:space="preserve"> </w:t>
      </w:r>
      <w:r w:rsidRPr="001860F1">
        <w:rPr>
          <w:sz w:val="16"/>
        </w:rPr>
        <w:t>R (</w:t>
      </w:r>
      <w:proofErr w:type="spellStart"/>
      <w:r w:rsidRPr="001860F1">
        <w:rPr>
          <w:sz w:val="16"/>
        </w:rPr>
        <w:t>Gillan</w:t>
      </w:r>
      <w:proofErr w:type="spellEnd"/>
      <w:r w:rsidRPr="001860F1">
        <w:rPr>
          <w:sz w:val="16"/>
        </w:rPr>
        <w:t>) v Commissio</w:t>
      </w:r>
      <w:r>
        <w:rPr>
          <w:sz w:val="16"/>
        </w:rPr>
        <w:t xml:space="preserve">ner of Police of the Metropolis </w:t>
      </w:r>
      <w:r w:rsidRPr="001860F1">
        <w:rPr>
          <w:sz w:val="16"/>
        </w:rPr>
        <w:t>[2006] 2 AC 307 at para 23 per Lord Bingham.</w:t>
      </w:r>
    </w:p>
  </w:footnote>
  <w:footnote w:id="25">
    <w:p w:rsidR="00B04488" w:rsidRDefault="00B04488">
      <w:pPr>
        <w:pStyle w:val="FootnoteText"/>
      </w:pPr>
      <w:r>
        <w:rPr>
          <w:rStyle w:val="FootnoteReference"/>
        </w:rPr>
        <w:footnoteRef/>
      </w:r>
      <w:r>
        <w:t xml:space="preserve"> </w:t>
      </w:r>
      <w:r w:rsidRPr="001860F1">
        <w:rPr>
          <w:sz w:val="16"/>
        </w:rPr>
        <w:t>Human Rights Act 1998 s.2.</w:t>
      </w:r>
    </w:p>
  </w:footnote>
  <w:footnote w:id="26">
    <w:p w:rsidR="00B04488" w:rsidRDefault="00B04488">
      <w:pPr>
        <w:pStyle w:val="FootnoteText"/>
      </w:pPr>
      <w:r>
        <w:rPr>
          <w:rStyle w:val="FootnoteReference"/>
        </w:rPr>
        <w:footnoteRef/>
      </w:r>
      <w:r>
        <w:t xml:space="preserve"> </w:t>
      </w:r>
      <w:r w:rsidRPr="001860F1">
        <w:rPr>
          <w:sz w:val="16"/>
        </w:rPr>
        <w:t>Ibid n.3.</w:t>
      </w:r>
    </w:p>
  </w:footnote>
  <w:footnote w:id="27">
    <w:p w:rsidR="00B04488" w:rsidRDefault="00B04488">
      <w:pPr>
        <w:pStyle w:val="FootnoteText"/>
      </w:pPr>
      <w:r>
        <w:rPr>
          <w:rStyle w:val="FootnoteReference"/>
        </w:rPr>
        <w:footnoteRef/>
      </w:r>
      <w:r>
        <w:t xml:space="preserve"> </w:t>
      </w:r>
      <w:r w:rsidRPr="001860F1">
        <w:rPr>
          <w:sz w:val="16"/>
        </w:rPr>
        <w:t>Ibid n.8.</w:t>
      </w:r>
    </w:p>
  </w:footnote>
  <w:footnote w:id="28">
    <w:p w:rsidR="00B04488" w:rsidRPr="001860F1" w:rsidRDefault="00B04488" w:rsidP="001860F1">
      <w:pPr>
        <w:pStyle w:val="FootnoteText"/>
        <w:rPr>
          <w:sz w:val="16"/>
        </w:rPr>
      </w:pPr>
      <w:r>
        <w:rPr>
          <w:rStyle w:val="FootnoteReference"/>
        </w:rPr>
        <w:footnoteRef/>
      </w:r>
      <w:r>
        <w:t xml:space="preserve"> </w:t>
      </w:r>
      <w:r w:rsidRPr="001860F1">
        <w:rPr>
          <w:sz w:val="16"/>
        </w:rPr>
        <w:t>Being a qualified right,</w:t>
      </w:r>
      <w:r>
        <w:rPr>
          <w:sz w:val="16"/>
        </w:rPr>
        <w:t xml:space="preserve"> it can be lawfully restricted, </w:t>
      </w:r>
      <w:r w:rsidRPr="001860F1">
        <w:rPr>
          <w:sz w:val="16"/>
        </w:rPr>
        <w:t>provided the state’s interference is in accordance with th</w:t>
      </w:r>
      <w:r>
        <w:rPr>
          <w:sz w:val="16"/>
        </w:rPr>
        <w:t xml:space="preserve">e </w:t>
      </w:r>
      <w:r w:rsidRPr="001860F1">
        <w:rPr>
          <w:sz w:val="16"/>
        </w:rPr>
        <w:t>law, pursues a legiti</w:t>
      </w:r>
      <w:r>
        <w:rPr>
          <w:sz w:val="16"/>
        </w:rPr>
        <w:t xml:space="preserve">mate aim, and is necessary in a </w:t>
      </w:r>
      <w:r w:rsidRPr="001860F1">
        <w:rPr>
          <w:sz w:val="16"/>
        </w:rPr>
        <w:t>democratic society;</w:t>
      </w:r>
      <w:r>
        <w:rPr>
          <w:sz w:val="16"/>
        </w:rPr>
        <w:t xml:space="preserve"> see Raimondo v Italy (1994) 18 </w:t>
      </w:r>
      <w:r w:rsidRPr="001860F1">
        <w:rPr>
          <w:sz w:val="16"/>
        </w:rPr>
        <w:t>EHRR 237 at par</w:t>
      </w:r>
      <w:r>
        <w:rPr>
          <w:sz w:val="16"/>
        </w:rPr>
        <w:t>a 39 and Hajibeyli v Azerbaijan</w:t>
      </w:r>
      <w:r w:rsidRPr="001860F1">
        <w:rPr>
          <w:sz w:val="16"/>
        </w:rPr>
        <w:t>(Application no. 16528/05, 10 July 2008) at para 58.</w:t>
      </w:r>
    </w:p>
  </w:footnote>
  <w:footnote w:id="29">
    <w:p w:rsidR="00B04488" w:rsidRDefault="00B04488">
      <w:pPr>
        <w:pStyle w:val="FootnoteText"/>
      </w:pPr>
      <w:r>
        <w:rPr>
          <w:rStyle w:val="FootnoteReference"/>
        </w:rPr>
        <w:footnoteRef/>
      </w:r>
      <w:r>
        <w:t xml:space="preserve"> </w:t>
      </w:r>
      <w:r w:rsidRPr="002234CB">
        <w:rPr>
          <w:sz w:val="16"/>
        </w:rPr>
        <w:t>Ibid n.3 at para 93.</w:t>
      </w:r>
    </w:p>
  </w:footnote>
  <w:footnote w:id="30">
    <w:p w:rsidR="00B04488" w:rsidRDefault="00B04488" w:rsidP="00151529">
      <w:pPr>
        <w:pStyle w:val="FootnoteText"/>
      </w:pPr>
      <w:r>
        <w:rPr>
          <w:rStyle w:val="FootnoteReference"/>
        </w:rPr>
        <w:footnoteRef/>
      </w:r>
      <w:r>
        <w:t xml:space="preserve"> </w:t>
      </w:r>
      <w:r w:rsidRPr="00151529">
        <w:rPr>
          <w:sz w:val="16"/>
        </w:rPr>
        <w:t>See Atanasov v Bulgaria (Application no. 73281/01, 6 November 2008) at paras 71–72.</w:t>
      </w:r>
    </w:p>
  </w:footnote>
  <w:footnote w:id="31">
    <w:p w:rsidR="00B04488" w:rsidRDefault="00B04488" w:rsidP="00151529">
      <w:pPr>
        <w:pStyle w:val="FootnoteText"/>
      </w:pPr>
      <w:r>
        <w:rPr>
          <w:rStyle w:val="FootnoteReference"/>
        </w:rPr>
        <w:footnoteRef/>
      </w:r>
      <w:r>
        <w:t xml:space="preserve"> </w:t>
      </w:r>
      <w:r w:rsidRPr="00151529">
        <w:rPr>
          <w:sz w:val="16"/>
        </w:rPr>
        <w:t>For example, see Mancini v Italy (Application no. 44955/98, 12 December 2001) where the Guzzardi principles were applied to article 5(1)</w:t>
      </w:r>
      <w:r>
        <w:rPr>
          <w:sz w:val="16"/>
        </w:rPr>
        <w:t xml:space="preserve"> </w:t>
      </w:r>
      <w:r w:rsidRPr="00151529">
        <w:rPr>
          <w:sz w:val="16"/>
        </w:rPr>
        <w:t>(c).</w:t>
      </w:r>
    </w:p>
  </w:footnote>
  <w:footnote w:id="32">
    <w:p w:rsidR="00B04488" w:rsidRPr="00151529" w:rsidRDefault="00B04488" w:rsidP="00151529">
      <w:pPr>
        <w:pStyle w:val="FootnoteText"/>
        <w:rPr>
          <w:sz w:val="16"/>
        </w:rPr>
      </w:pPr>
      <w:r>
        <w:rPr>
          <w:rStyle w:val="FootnoteReference"/>
        </w:rPr>
        <w:footnoteRef/>
      </w:r>
      <w:r>
        <w:t xml:space="preserve"> </w:t>
      </w:r>
      <w:r w:rsidRPr="00151529">
        <w:rPr>
          <w:sz w:val="16"/>
        </w:rPr>
        <w:t>HL v United Kingdom ibid</w:t>
      </w:r>
      <w:r>
        <w:rPr>
          <w:sz w:val="16"/>
        </w:rPr>
        <w:t xml:space="preserve"> n.15 (lockable ward); see also </w:t>
      </w:r>
      <w:r w:rsidRPr="00151529">
        <w:rPr>
          <w:sz w:val="16"/>
        </w:rPr>
        <w:t>Storck v Germany</w:t>
      </w:r>
      <w:r>
        <w:rPr>
          <w:sz w:val="16"/>
        </w:rPr>
        <w:t xml:space="preserve"> (2005) 43 EHRR 96 (clinic); </w:t>
      </w:r>
      <w:r w:rsidRPr="00151529">
        <w:rPr>
          <w:sz w:val="16"/>
        </w:rPr>
        <w:t>Ashingdane v U</w:t>
      </w:r>
      <w:r>
        <w:rPr>
          <w:sz w:val="16"/>
        </w:rPr>
        <w:t xml:space="preserve">nited Kingdom (1985) 7 EHRR 528 </w:t>
      </w:r>
      <w:r w:rsidRPr="00151529">
        <w:rPr>
          <w:sz w:val="16"/>
        </w:rPr>
        <w:t xml:space="preserve">(open ward); </w:t>
      </w:r>
      <w:proofErr w:type="spellStart"/>
      <w:r w:rsidRPr="00151529">
        <w:rPr>
          <w:sz w:val="16"/>
        </w:rPr>
        <w:t>Shtuka</w:t>
      </w:r>
      <w:r>
        <w:rPr>
          <w:sz w:val="16"/>
        </w:rPr>
        <w:t>turov</w:t>
      </w:r>
      <w:proofErr w:type="spellEnd"/>
      <w:r>
        <w:rPr>
          <w:sz w:val="16"/>
        </w:rPr>
        <w:t xml:space="preserve"> v Russia (Application no. </w:t>
      </w:r>
      <w:r w:rsidRPr="00151529">
        <w:rPr>
          <w:sz w:val="16"/>
        </w:rPr>
        <w:t>44009/05, 27 March 2008) (locked ward).</w:t>
      </w:r>
    </w:p>
  </w:footnote>
  <w:footnote w:id="33">
    <w:p w:rsidR="00B04488" w:rsidRPr="00151529" w:rsidRDefault="00B04488">
      <w:pPr>
        <w:pStyle w:val="FootnoteText"/>
        <w:rPr>
          <w:sz w:val="16"/>
        </w:rPr>
      </w:pPr>
      <w:r>
        <w:rPr>
          <w:rStyle w:val="FootnoteReference"/>
        </w:rPr>
        <w:footnoteRef/>
      </w:r>
      <w:r w:rsidRPr="00151529">
        <w:rPr>
          <w:sz w:val="16"/>
        </w:rPr>
        <w:t xml:space="preserve"> Litwa v Poland (2001) 33 EHRR 53.</w:t>
      </w:r>
    </w:p>
  </w:footnote>
  <w:footnote w:id="34">
    <w:p w:rsidR="00B04488" w:rsidRDefault="00B04488">
      <w:pPr>
        <w:pStyle w:val="FootnoteText"/>
      </w:pPr>
      <w:r>
        <w:rPr>
          <w:rStyle w:val="FootnoteReference"/>
        </w:rPr>
        <w:footnoteRef/>
      </w:r>
      <w:r>
        <w:t xml:space="preserve"> </w:t>
      </w:r>
      <w:r w:rsidRPr="00151529">
        <w:rPr>
          <w:sz w:val="16"/>
        </w:rPr>
        <w:t>Amuur v France (1996) 22 EHRR 533.</w:t>
      </w:r>
    </w:p>
  </w:footnote>
  <w:footnote w:id="35">
    <w:p w:rsidR="00B04488" w:rsidRDefault="00B04488">
      <w:pPr>
        <w:pStyle w:val="FootnoteText"/>
      </w:pPr>
      <w:r>
        <w:rPr>
          <w:rStyle w:val="FootnoteReference"/>
        </w:rPr>
        <w:footnoteRef/>
      </w:r>
      <w:r>
        <w:t xml:space="preserve"> </w:t>
      </w:r>
      <w:r w:rsidRPr="00151529">
        <w:rPr>
          <w:sz w:val="16"/>
        </w:rPr>
        <w:t>Blume and others v Spain (2000) 30 EHRR 632</w:t>
      </w:r>
    </w:p>
  </w:footnote>
  <w:footnote w:id="36">
    <w:p w:rsidR="00B04488" w:rsidRDefault="00B04488">
      <w:pPr>
        <w:pStyle w:val="FootnoteText"/>
      </w:pPr>
      <w:r>
        <w:rPr>
          <w:rStyle w:val="FootnoteReference"/>
        </w:rPr>
        <w:footnoteRef/>
      </w:r>
      <w:r>
        <w:t xml:space="preserve"> </w:t>
      </w:r>
      <w:r w:rsidRPr="00151529">
        <w:rPr>
          <w:sz w:val="16"/>
        </w:rPr>
        <w:t>Ibid n.2.</w:t>
      </w:r>
    </w:p>
  </w:footnote>
  <w:footnote w:id="37">
    <w:p w:rsidR="00B04488" w:rsidRPr="00195F74" w:rsidRDefault="00B04488" w:rsidP="00195F74">
      <w:pPr>
        <w:pStyle w:val="FootnoteText"/>
        <w:rPr>
          <w:sz w:val="16"/>
        </w:rPr>
      </w:pPr>
      <w:r>
        <w:rPr>
          <w:rStyle w:val="FootnoteReference"/>
        </w:rPr>
        <w:footnoteRef/>
      </w:r>
      <w:r>
        <w:t xml:space="preserve"> </w:t>
      </w:r>
      <w:r w:rsidRPr="00195F74">
        <w:rPr>
          <w:sz w:val="16"/>
        </w:rPr>
        <w:t>[2006] EWHC 3459</w:t>
      </w:r>
      <w:r>
        <w:rPr>
          <w:sz w:val="16"/>
        </w:rPr>
        <w:t xml:space="preserve"> at para 77. See also LLBC v TG </w:t>
      </w:r>
      <w:r w:rsidRPr="00195F74">
        <w:rPr>
          <w:sz w:val="16"/>
        </w:rPr>
        <w:t xml:space="preserve">and others [2007] </w:t>
      </w:r>
      <w:r>
        <w:rPr>
          <w:sz w:val="16"/>
        </w:rPr>
        <w:t>EWHC 2640 (</w:t>
      </w:r>
      <w:proofErr w:type="gramStart"/>
      <w:r>
        <w:rPr>
          <w:sz w:val="16"/>
        </w:rPr>
        <w:t>Fam</w:t>
      </w:r>
      <w:proofErr w:type="gramEnd"/>
      <w:r>
        <w:rPr>
          <w:sz w:val="16"/>
        </w:rPr>
        <w:t xml:space="preserve">); A Primary Care </w:t>
      </w:r>
      <w:r w:rsidRPr="00195F74">
        <w:rPr>
          <w:sz w:val="16"/>
        </w:rPr>
        <w:t>Trust and P v AH an</w:t>
      </w:r>
      <w:r>
        <w:rPr>
          <w:sz w:val="16"/>
        </w:rPr>
        <w:t xml:space="preserve">d a Local Authority [2008] EWHC </w:t>
      </w:r>
      <w:r w:rsidRPr="00195F74">
        <w:rPr>
          <w:sz w:val="16"/>
        </w:rPr>
        <w:t>1403 (Fam); and Salfo</w:t>
      </w:r>
      <w:r>
        <w:rPr>
          <w:sz w:val="16"/>
        </w:rPr>
        <w:t>rd City Council v GJ and others [</w:t>
      </w:r>
      <w:r w:rsidRPr="00195F74">
        <w:rPr>
          <w:sz w:val="16"/>
        </w:rPr>
        <w:t>2008] EWHC 1097 (Fam).</w:t>
      </w:r>
    </w:p>
  </w:footnote>
  <w:footnote w:id="38">
    <w:p w:rsidR="00B04488" w:rsidRPr="00DE5F14" w:rsidRDefault="00B04488" w:rsidP="00DE5F14">
      <w:pPr>
        <w:pStyle w:val="FootnoteText"/>
        <w:rPr>
          <w:sz w:val="16"/>
        </w:rPr>
      </w:pPr>
      <w:r>
        <w:rPr>
          <w:rStyle w:val="FootnoteReference"/>
        </w:rPr>
        <w:footnoteRef/>
      </w:r>
      <w:r>
        <w:t xml:space="preserve"> </w:t>
      </w:r>
      <w:r w:rsidRPr="00DE5F14">
        <w:rPr>
          <w:sz w:val="16"/>
        </w:rPr>
        <w:t xml:space="preserve">Ibid n.2; see also </w:t>
      </w:r>
      <w:r>
        <w:rPr>
          <w:sz w:val="16"/>
        </w:rPr>
        <w:t xml:space="preserve">Secretary of State for the Home </w:t>
      </w:r>
      <w:r w:rsidRPr="00DE5F14">
        <w:rPr>
          <w:sz w:val="16"/>
        </w:rPr>
        <w:t>Departmen</w:t>
      </w:r>
      <w:r>
        <w:rPr>
          <w:sz w:val="16"/>
        </w:rPr>
        <w:t xml:space="preserve">t v GG [2009] EWHC 142 (Admin); </w:t>
      </w:r>
      <w:r w:rsidRPr="00DE5F14">
        <w:rPr>
          <w:sz w:val="16"/>
        </w:rPr>
        <w:t>Secretary of Sta</w:t>
      </w:r>
      <w:r>
        <w:rPr>
          <w:sz w:val="16"/>
        </w:rPr>
        <w:t xml:space="preserve">te for the Home Department v AU </w:t>
      </w:r>
      <w:r w:rsidRPr="00DE5F14">
        <w:rPr>
          <w:sz w:val="16"/>
        </w:rPr>
        <w:t>[2009] EWHC 49 (Admi</w:t>
      </w:r>
      <w:r>
        <w:rPr>
          <w:sz w:val="16"/>
        </w:rPr>
        <w:t xml:space="preserve">n); AH v Secretary of State for </w:t>
      </w:r>
      <w:r w:rsidRPr="00DE5F14">
        <w:rPr>
          <w:sz w:val="16"/>
        </w:rPr>
        <w:t>the Home Department [2008] EWHC 1018 (Admin);</w:t>
      </w:r>
    </w:p>
    <w:p w:rsidR="00B04488" w:rsidRPr="00DE5F14" w:rsidRDefault="00B04488" w:rsidP="00DE5F14">
      <w:pPr>
        <w:pStyle w:val="FootnoteText"/>
        <w:rPr>
          <w:sz w:val="16"/>
        </w:rPr>
      </w:pPr>
      <w:r w:rsidRPr="00DE5F14">
        <w:rPr>
          <w:sz w:val="16"/>
        </w:rPr>
        <w:t xml:space="preserve">Secretary of State for </w:t>
      </w:r>
      <w:r>
        <w:rPr>
          <w:sz w:val="16"/>
        </w:rPr>
        <w:t xml:space="preserve">the Home Department v AP [2008] </w:t>
      </w:r>
      <w:r w:rsidRPr="00DE5F14">
        <w:rPr>
          <w:sz w:val="16"/>
        </w:rPr>
        <w:t xml:space="preserve">EWHC 2001 (Admin); </w:t>
      </w:r>
      <w:r>
        <w:rPr>
          <w:sz w:val="16"/>
        </w:rPr>
        <w:t xml:space="preserve">Secretary of State for the Home </w:t>
      </w:r>
      <w:r w:rsidRPr="00DE5F14">
        <w:rPr>
          <w:sz w:val="16"/>
        </w:rPr>
        <w:t>Department v E [20</w:t>
      </w:r>
      <w:r>
        <w:rPr>
          <w:sz w:val="16"/>
        </w:rPr>
        <w:t xml:space="preserve">08] EWHC 585 (Admin); Secretary </w:t>
      </w:r>
      <w:r w:rsidRPr="00DE5F14">
        <w:rPr>
          <w:sz w:val="16"/>
        </w:rPr>
        <w:t>of State for the H</w:t>
      </w:r>
      <w:r>
        <w:rPr>
          <w:sz w:val="16"/>
        </w:rPr>
        <w:t xml:space="preserve">ome Department v MB [2008] 1 AC </w:t>
      </w:r>
      <w:r w:rsidRPr="00DE5F14">
        <w:rPr>
          <w:sz w:val="16"/>
        </w:rPr>
        <w:t>440. For a use</w:t>
      </w:r>
      <w:r>
        <w:rPr>
          <w:sz w:val="16"/>
        </w:rPr>
        <w:t xml:space="preserve">ful commentary, see D. Feldman, </w:t>
      </w:r>
      <w:r w:rsidRPr="00DE5F14">
        <w:rPr>
          <w:sz w:val="16"/>
        </w:rPr>
        <w:t>‘Deprivation of liberty in a</w:t>
      </w:r>
      <w:r>
        <w:rPr>
          <w:sz w:val="16"/>
        </w:rPr>
        <w:t xml:space="preserve">nti-terrorism law’ (2008) 67(1) </w:t>
      </w:r>
      <w:r w:rsidRPr="00DE5F14">
        <w:rPr>
          <w:sz w:val="16"/>
        </w:rPr>
        <w:t>Cambridge Law Journal 4.</w:t>
      </w:r>
    </w:p>
  </w:footnote>
  <w:footnote w:id="39">
    <w:p w:rsidR="00B04488" w:rsidRPr="00DE5F14" w:rsidRDefault="00B04488" w:rsidP="00DE5F14">
      <w:pPr>
        <w:pStyle w:val="FootnoteText"/>
        <w:rPr>
          <w:sz w:val="16"/>
        </w:rPr>
      </w:pPr>
      <w:r>
        <w:rPr>
          <w:rStyle w:val="FootnoteReference"/>
        </w:rPr>
        <w:footnoteRef/>
      </w:r>
      <w:r>
        <w:t xml:space="preserve"> </w:t>
      </w:r>
      <w:r w:rsidRPr="00DE5F14">
        <w:rPr>
          <w:sz w:val="16"/>
        </w:rPr>
        <w:t>The Prevention of Terr</w:t>
      </w:r>
      <w:r>
        <w:rPr>
          <w:sz w:val="16"/>
        </w:rPr>
        <w:t xml:space="preserve">orism Act 2005 has replaced the </w:t>
      </w:r>
      <w:r w:rsidRPr="00DE5F14">
        <w:rPr>
          <w:sz w:val="16"/>
        </w:rPr>
        <w:t>Anti-terrorism, Cr</w:t>
      </w:r>
      <w:r>
        <w:rPr>
          <w:sz w:val="16"/>
        </w:rPr>
        <w:t xml:space="preserve">ime and Security Act 2001 whose </w:t>
      </w:r>
      <w:r w:rsidRPr="00DE5F14">
        <w:rPr>
          <w:sz w:val="16"/>
        </w:rPr>
        <w:t>provisions enabling the</w:t>
      </w:r>
      <w:r>
        <w:rPr>
          <w:sz w:val="16"/>
        </w:rPr>
        <w:t xml:space="preserve"> detention of foreign nationals </w:t>
      </w:r>
      <w:r w:rsidRPr="00DE5F14">
        <w:rPr>
          <w:sz w:val="16"/>
        </w:rPr>
        <w:t xml:space="preserve">without trial was held to </w:t>
      </w:r>
      <w:r>
        <w:rPr>
          <w:sz w:val="16"/>
        </w:rPr>
        <w:t xml:space="preserve">be unlawful in A v Secretary of </w:t>
      </w:r>
      <w:r w:rsidRPr="00DE5F14">
        <w:rPr>
          <w:sz w:val="16"/>
        </w:rPr>
        <w:t>State for the Home Department [2005] AC 68.</w:t>
      </w:r>
    </w:p>
  </w:footnote>
  <w:footnote w:id="40">
    <w:p w:rsidR="00B04488" w:rsidRPr="00DE5F14" w:rsidRDefault="00B04488" w:rsidP="00DE5F14">
      <w:pPr>
        <w:pStyle w:val="FootnoteText"/>
        <w:rPr>
          <w:sz w:val="16"/>
        </w:rPr>
      </w:pPr>
      <w:r>
        <w:rPr>
          <w:rStyle w:val="FootnoteReference"/>
        </w:rPr>
        <w:footnoteRef/>
      </w:r>
      <w:r>
        <w:t xml:space="preserve"> </w:t>
      </w:r>
      <w:r w:rsidRPr="00DE5F14">
        <w:rPr>
          <w:sz w:val="16"/>
        </w:rPr>
        <w:t xml:space="preserve">As summarised in </w:t>
      </w:r>
      <w:r>
        <w:rPr>
          <w:sz w:val="16"/>
        </w:rPr>
        <w:t xml:space="preserve">Secretary of State for the Home </w:t>
      </w:r>
      <w:r w:rsidRPr="00DE5F14">
        <w:rPr>
          <w:sz w:val="16"/>
        </w:rPr>
        <w:t>Department v</w:t>
      </w:r>
      <w:r>
        <w:rPr>
          <w:sz w:val="16"/>
        </w:rPr>
        <w:t xml:space="preserve"> AH [2008] EWHC 1018 (Admin) at </w:t>
      </w:r>
      <w:r w:rsidRPr="00DE5F14">
        <w:rPr>
          <w:sz w:val="16"/>
        </w:rPr>
        <w:t>para 21.</w:t>
      </w:r>
    </w:p>
  </w:footnote>
  <w:footnote w:id="41">
    <w:p w:rsidR="00B04488" w:rsidRDefault="00B04488">
      <w:pPr>
        <w:pStyle w:val="FootnoteText"/>
      </w:pPr>
      <w:r>
        <w:rPr>
          <w:rStyle w:val="FootnoteReference"/>
        </w:rPr>
        <w:footnoteRef/>
      </w:r>
      <w:r>
        <w:t xml:space="preserve"> </w:t>
      </w:r>
      <w:r w:rsidRPr="00EB2244">
        <w:rPr>
          <w:sz w:val="16"/>
        </w:rPr>
        <w:t>Ibid n.2 at para 38.</w:t>
      </w:r>
    </w:p>
  </w:footnote>
  <w:footnote w:id="42">
    <w:p w:rsidR="00B04488" w:rsidRPr="00EB2244" w:rsidRDefault="00B04488" w:rsidP="00EB2244">
      <w:pPr>
        <w:pStyle w:val="FootnoteText"/>
        <w:rPr>
          <w:sz w:val="16"/>
        </w:rPr>
      </w:pPr>
      <w:r>
        <w:rPr>
          <w:rStyle w:val="FootnoteReference"/>
        </w:rPr>
        <w:footnoteRef/>
      </w:r>
      <w:r>
        <w:t xml:space="preserve"> </w:t>
      </w:r>
      <w:r w:rsidRPr="00EB2244">
        <w:rPr>
          <w:sz w:val="16"/>
        </w:rPr>
        <w:t>Ibid at para 43 relying</w:t>
      </w:r>
      <w:r>
        <w:rPr>
          <w:sz w:val="16"/>
        </w:rPr>
        <w:t xml:space="preserve"> on the dissenting judgments in </w:t>
      </w:r>
      <w:r w:rsidRPr="00EB2244">
        <w:rPr>
          <w:sz w:val="16"/>
        </w:rPr>
        <w:t>Guzzardi as adopted by th</w:t>
      </w:r>
      <w:r>
        <w:rPr>
          <w:sz w:val="16"/>
        </w:rPr>
        <w:t>e Court of Appeal in R (</w:t>
      </w:r>
      <w:proofErr w:type="spellStart"/>
      <w:r>
        <w:rPr>
          <w:sz w:val="16"/>
        </w:rPr>
        <w:t>Gillan</w:t>
      </w:r>
      <w:proofErr w:type="spellEnd"/>
      <w:r>
        <w:rPr>
          <w:sz w:val="16"/>
        </w:rPr>
        <w:t xml:space="preserve">) </w:t>
      </w:r>
      <w:r w:rsidRPr="00EB2244">
        <w:rPr>
          <w:sz w:val="16"/>
        </w:rPr>
        <w:t>v Commissioner of Pol</w:t>
      </w:r>
      <w:r>
        <w:rPr>
          <w:sz w:val="16"/>
        </w:rPr>
        <w:t xml:space="preserve">ice of the Metropolis [2005] QB </w:t>
      </w:r>
      <w:r w:rsidRPr="00EB2244">
        <w:rPr>
          <w:sz w:val="16"/>
        </w:rPr>
        <w:t>388, 406 and approved</w:t>
      </w:r>
      <w:r>
        <w:rPr>
          <w:sz w:val="16"/>
        </w:rPr>
        <w:t xml:space="preserve"> by the House of Lords [2006] 2 </w:t>
      </w:r>
      <w:r w:rsidRPr="00EB2244">
        <w:rPr>
          <w:sz w:val="16"/>
        </w:rPr>
        <w:t>AC 307, 343.</w:t>
      </w:r>
    </w:p>
  </w:footnote>
  <w:footnote w:id="43">
    <w:p w:rsidR="00B04488" w:rsidRDefault="00B04488">
      <w:pPr>
        <w:pStyle w:val="FootnoteText"/>
      </w:pPr>
      <w:r>
        <w:rPr>
          <w:rStyle w:val="FootnoteReference"/>
        </w:rPr>
        <w:footnoteRef/>
      </w:r>
      <w:r>
        <w:t xml:space="preserve"> </w:t>
      </w:r>
      <w:r w:rsidRPr="00EB2244">
        <w:rPr>
          <w:sz w:val="16"/>
        </w:rPr>
        <w:t>Ibid at para 79.</w:t>
      </w:r>
    </w:p>
  </w:footnote>
  <w:footnote w:id="44">
    <w:p w:rsidR="00B04488" w:rsidRPr="003C46ED" w:rsidRDefault="00B04488" w:rsidP="003C46ED">
      <w:pPr>
        <w:pStyle w:val="FootnoteText"/>
        <w:rPr>
          <w:sz w:val="16"/>
        </w:rPr>
      </w:pPr>
      <w:r>
        <w:rPr>
          <w:rStyle w:val="FootnoteReference"/>
        </w:rPr>
        <w:footnoteRef/>
      </w:r>
      <w:r>
        <w:t xml:space="preserve"> </w:t>
      </w:r>
      <w:r w:rsidRPr="003C46ED">
        <w:rPr>
          <w:sz w:val="16"/>
        </w:rPr>
        <w:t xml:space="preserve">Engel n.8. Deviation </w:t>
      </w:r>
      <w:r>
        <w:rPr>
          <w:sz w:val="16"/>
        </w:rPr>
        <w:t xml:space="preserve">from the norm explained why the </w:t>
      </w:r>
      <w:r w:rsidRPr="003C46ED">
        <w:rPr>
          <w:sz w:val="16"/>
        </w:rPr>
        <w:t>‘strict arrest’ of soldiers in locked cells engaged articl</w:t>
      </w:r>
      <w:r>
        <w:rPr>
          <w:sz w:val="16"/>
        </w:rPr>
        <w:t xml:space="preserve">e 5 </w:t>
      </w:r>
      <w:r w:rsidRPr="003C46ED">
        <w:rPr>
          <w:sz w:val="16"/>
        </w:rPr>
        <w:t>but their ‘aggravated arrest</w:t>
      </w:r>
      <w:r>
        <w:rPr>
          <w:sz w:val="16"/>
        </w:rPr>
        <w:t xml:space="preserve">’ in unlocked designated places </w:t>
      </w:r>
      <w:r w:rsidRPr="003C46ED">
        <w:rPr>
          <w:sz w:val="16"/>
        </w:rPr>
        <w:t>did not, despite not being free to leave.</w:t>
      </w:r>
    </w:p>
  </w:footnote>
  <w:footnote w:id="45">
    <w:p w:rsidR="00B04488" w:rsidRDefault="00B04488">
      <w:pPr>
        <w:pStyle w:val="FootnoteText"/>
      </w:pPr>
      <w:r>
        <w:rPr>
          <w:rStyle w:val="FootnoteReference"/>
        </w:rPr>
        <w:footnoteRef/>
      </w:r>
      <w:r>
        <w:t xml:space="preserve"> </w:t>
      </w:r>
    </w:p>
  </w:footnote>
  <w:footnote w:id="46">
    <w:p w:rsidR="00B04488" w:rsidRDefault="00B04488">
      <w:pPr>
        <w:pStyle w:val="FootnoteText"/>
      </w:pPr>
      <w:r>
        <w:rPr>
          <w:rStyle w:val="FootnoteReference"/>
        </w:rPr>
        <w:footnoteRef/>
      </w:r>
      <w:r>
        <w:t xml:space="preserve"> </w:t>
      </w:r>
      <w:r w:rsidRPr="001A65AF">
        <w:rPr>
          <w:sz w:val="16"/>
        </w:rPr>
        <w:t>Ibid at para 47.</w:t>
      </w:r>
    </w:p>
  </w:footnote>
  <w:footnote w:id="47">
    <w:p w:rsidR="00B04488" w:rsidRDefault="00B04488">
      <w:pPr>
        <w:pStyle w:val="FootnoteText"/>
      </w:pPr>
      <w:r>
        <w:rPr>
          <w:rStyle w:val="FootnoteReference"/>
        </w:rPr>
        <w:footnoteRef/>
      </w:r>
      <w:r>
        <w:t xml:space="preserve"> </w:t>
      </w:r>
      <w:r w:rsidRPr="001A65AF">
        <w:rPr>
          <w:sz w:val="16"/>
        </w:rPr>
        <w:t>See Atanasov v Bulgaria ibid n.30 at para 71–2.</w:t>
      </w:r>
    </w:p>
  </w:footnote>
  <w:footnote w:id="48">
    <w:p w:rsidR="00B04488" w:rsidRDefault="00B04488">
      <w:pPr>
        <w:pStyle w:val="FootnoteText"/>
      </w:pPr>
      <w:r>
        <w:rPr>
          <w:rStyle w:val="FootnoteReference"/>
        </w:rPr>
        <w:footnoteRef/>
      </w:r>
      <w:r>
        <w:t xml:space="preserve"> </w:t>
      </w:r>
      <w:r w:rsidRPr="00186660">
        <w:rPr>
          <w:sz w:val="16"/>
        </w:rPr>
        <w:t>(2004) 38 EHRR 17 at para 48.</w:t>
      </w:r>
    </w:p>
  </w:footnote>
  <w:footnote w:id="49">
    <w:p w:rsidR="00B04488" w:rsidRDefault="00B04488">
      <w:pPr>
        <w:pStyle w:val="FootnoteText"/>
      </w:pPr>
      <w:r>
        <w:rPr>
          <w:rStyle w:val="FootnoteReference"/>
        </w:rPr>
        <w:footnoteRef/>
      </w:r>
      <w:r>
        <w:t xml:space="preserve"> </w:t>
      </w:r>
      <w:r w:rsidRPr="00186660">
        <w:rPr>
          <w:sz w:val="16"/>
        </w:rPr>
        <w:t>Ibid n.2 at para 107.</w:t>
      </w:r>
    </w:p>
  </w:footnote>
  <w:footnote w:id="50">
    <w:p w:rsidR="00B04488" w:rsidRPr="00532CEA" w:rsidRDefault="00B04488" w:rsidP="00532CEA">
      <w:pPr>
        <w:pStyle w:val="FootnoteText"/>
        <w:rPr>
          <w:sz w:val="16"/>
        </w:rPr>
      </w:pPr>
      <w:r>
        <w:rPr>
          <w:rStyle w:val="FootnoteReference"/>
        </w:rPr>
        <w:footnoteRef/>
      </w:r>
      <w:r>
        <w:t xml:space="preserve"> </w:t>
      </w:r>
      <w:r w:rsidRPr="00532CEA">
        <w:rPr>
          <w:sz w:val="16"/>
        </w:rPr>
        <w:t>Ibid at para 58. See als</w:t>
      </w:r>
      <w:r>
        <w:rPr>
          <w:sz w:val="16"/>
        </w:rPr>
        <w:t xml:space="preserve">o R (Secretary of State for the </w:t>
      </w:r>
      <w:r w:rsidRPr="00532CEA">
        <w:rPr>
          <w:sz w:val="16"/>
        </w:rPr>
        <w:t xml:space="preserve">Home Department) </w:t>
      </w:r>
      <w:r>
        <w:rPr>
          <w:sz w:val="16"/>
        </w:rPr>
        <w:t xml:space="preserve">v Mental Health Review Tribunal </w:t>
      </w:r>
      <w:r w:rsidRPr="00532CEA">
        <w:rPr>
          <w:sz w:val="16"/>
        </w:rPr>
        <w:t>(PH) [2003] MHLR 202.</w:t>
      </w:r>
    </w:p>
  </w:footnote>
  <w:footnote w:id="51">
    <w:p w:rsidR="00B04488" w:rsidRPr="00206069" w:rsidRDefault="00B04488" w:rsidP="00206069">
      <w:pPr>
        <w:pStyle w:val="FootnoteText"/>
        <w:rPr>
          <w:sz w:val="16"/>
        </w:rPr>
      </w:pPr>
      <w:r>
        <w:rPr>
          <w:rStyle w:val="FootnoteReference"/>
        </w:rPr>
        <w:footnoteRef/>
      </w:r>
      <w:r>
        <w:t xml:space="preserve"> </w:t>
      </w:r>
      <w:r w:rsidRPr="00206069">
        <w:rPr>
          <w:sz w:val="16"/>
        </w:rPr>
        <w:t>[2009] 2 WLR 372</w:t>
      </w:r>
      <w:r>
        <w:rPr>
          <w:sz w:val="16"/>
        </w:rPr>
        <w:t xml:space="preserve">. For commentary see D. Hewitt, </w:t>
      </w:r>
      <w:r w:rsidRPr="00206069">
        <w:rPr>
          <w:sz w:val="16"/>
        </w:rPr>
        <w:t>‘Whose Liberty?’ (2009) 153(6) Solicitors Jour</w:t>
      </w:r>
      <w:r>
        <w:rPr>
          <w:sz w:val="16"/>
        </w:rPr>
        <w:t xml:space="preserve">nal 17. </w:t>
      </w:r>
      <w:r w:rsidRPr="00206069">
        <w:rPr>
          <w:sz w:val="16"/>
        </w:rPr>
        <w:t>The Appellate Com</w:t>
      </w:r>
      <w:r>
        <w:rPr>
          <w:sz w:val="16"/>
        </w:rPr>
        <w:t xml:space="preserve">mittee followed Lord Hoffmann’s </w:t>
      </w:r>
      <w:r w:rsidRPr="00206069">
        <w:rPr>
          <w:sz w:val="16"/>
        </w:rPr>
        <w:t>dissenting judgment in JJ</w:t>
      </w:r>
      <w:r>
        <w:rPr>
          <w:sz w:val="16"/>
        </w:rPr>
        <w:t xml:space="preserve">. Much reliance was also placed </w:t>
      </w:r>
      <w:r w:rsidRPr="00206069">
        <w:rPr>
          <w:sz w:val="16"/>
        </w:rPr>
        <w:t xml:space="preserve">on </w:t>
      </w:r>
      <w:proofErr w:type="spellStart"/>
      <w:r w:rsidRPr="00206069">
        <w:rPr>
          <w:sz w:val="16"/>
        </w:rPr>
        <w:t>Saadi</w:t>
      </w:r>
      <w:proofErr w:type="spellEnd"/>
      <w:r w:rsidRPr="00206069">
        <w:rPr>
          <w:sz w:val="16"/>
        </w:rPr>
        <w:t xml:space="preserve"> v United Kingdom (Application No 13229/03,</w:t>
      </w:r>
    </w:p>
    <w:p w:rsidR="00B04488" w:rsidRPr="00206069" w:rsidRDefault="00B04488" w:rsidP="00206069">
      <w:pPr>
        <w:pStyle w:val="FootnoteText"/>
        <w:rPr>
          <w:sz w:val="16"/>
        </w:rPr>
      </w:pPr>
      <w:r w:rsidRPr="00206069">
        <w:rPr>
          <w:sz w:val="16"/>
        </w:rPr>
        <w:t xml:space="preserve">29 January 2008) at </w:t>
      </w:r>
      <w:r>
        <w:rPr>
          <w:sz w:val="16"/>
        </w:rPr>
        <w:t xml:space="preserve">paras 68 and 74 which concerned </w:t>
      </w:r>
      <w:r w:rsidRPr="00206069">
        <w:rPr>
          <w:sz w:val="16"/>
        </w:rPr>
        <w:t>arbitrariness rather than deprivation of liberty.</w:t>
      </w:r>
    </w:p>
  </w:footnote>
  <w:footnote w:id="52">
    <w:p w:rsidR="00B04488" w:rsidRDefault="00B04488">
      <w:pPr>
        <w:pStyle w:val="FootnoteText"/>
      </w:pPr>
      <w:r>
        <w:rPr>
          <w:rStyle w:val="FootnoteReference"/>
        </w:rPr>
        <w:footnoteRef/>
      </w:r>
      <w:r>
        <w:t xml:space="preserve"> </w:t>
      </w:r>
      <w:r w:rsidRPr="00206069">
        <w:rPr>
          <w:sz w:val="16"/>
        </w:rPr>
        <w:t>Amuur v France ibid n.34.</w:t>
      </w:r>
    </w:p>
  </w:footnote>
  <w:footnote w:id="53">
    <w:p w:rsidR="00B04488" w:rsidRDefault="00B04488">
      <w:pPr>
        <w:pStyle w:val="FootnoteText"/>
      </w:pPr>
      <w:r>
        <w:rPr>
          <w:rStyle w:val="FootnoteReference"/>
        </w:rPr>
        <w:footnoteRef/>
      </w:r>
      <w:r>
        <w:t xml:space="preserve"> </w:t>
      </w:r>
      <w:r w:rsidRPr="00206069">
        <w:rPr>
          <w:sz w:val="16"/>
        </w:rPr>
        <w:t>Ibid n.37 at para 115.</w:t>
      </w:r>
    </w:p>
  </w:footnote>
  <w:footnote w:id="54">
    <w:p w:rsidR="00B04488" w:rsidRPr="00206069" w:rsidRDefault="00B04488" w:rsidP="00206069">
      <w:pPr>
        <w:pStyle w:val="FootnoteText"/>
        <w:rPr>
          <w:sz w:val="16"/>
        </w:rPr>
      </w:pPr>
      <w:r>
        <w:rPr>
          <w:rStyle w:val="FootnoteReference"/>
        </w:rPr>
        <w:footnoteRef/>
      </w:r>
      <w:r>
        <w:t xml:space="preserve"> </w:t>
      </w:r>
      <w:r w:rsidRPr="00206069">
        <w:rPr>
          <w:sz w:val="16"/>
        </w:rPr>
        <w:t>HL v United Kingdom ibid n.15 at para 91 (emphasis added).</w:t>
      </w:r>
    </w:p>
  </w:footnote>
  <w:footnote w:id="55">
    <w:p w:rsidR="00B04488" w:rsidRDefault="00B04488" w:rsidP="008D7F19">
      <w:pPr>
        <w:pStyle w:val="FootnoteText"/>
      </w:pPr>
      <w:r>
        <w:rPr>
          <w:rStyle w:val="FootnoteReference"/>
        </w:rPr>
        <w:footnoteRef/>
      </w:r>
      <w:r>
        <w:t xml:space="preserve"> </w:t>
      </w:r>
      <w:r w:rsidRPr="008D7F19">
        <w:rPr>
          <w:sz w:val="16"/>
        </w:rPr>
        <w:t>Savage v South Essex Partnership NHS Foundation Trust [2009] 2 WLR 115 at para 101.</w:t>
      </w:r>
    </w:p>
  </w:footnote>
  <w:footnote w:id="56">
    <w:p w:rsidR="00B04488" w:rsidRDefault="00B04488" w:rsidP="006A7E1F">
      <w:pPr>
        <w:pStyle w:val="FootnoteText"/>
      </w:pPr>
      <w:r>
        <w:rPr>
          <w:rStyle w:val="FootnoteReference"/>
        </w:rPr>
        <w:footnoteRef/>
      </w:r>
      <w:r>
        <w:t xml:space="preserve"> </w:t>
      </w:r>
      <w:r w:rsidRPr="006A7E1F">
        <w:rPr>
          <w:sz w:val="16"/>
        </w:rPr>
        <w:t xml:space="preserve">De Wilde, </w:t>
      </w:r>
      <w:proofErr w:type="spellStart"/>
      <w:r w:rsidRPr="006A7E1F">
        <w:rPr>
          <w:sz w:val="16"/>
        </w:rPr>
        <w:t>Ooms</w:t>
      </w:r>
      <w:proofErr w:type="spellEnd"/>
      <w:r w:rsidRPr="006A7E1F">
        <w:rPr>
          <w:sz w:val="16"/>
        </w:rPr>
        <w:t xml:space="preserve"> and Versyp v Belgium (No. 1) (1971) 1n EHRR 373 at para 65.</w:t>
      </w:r>
    </w:p>
  </w:footnote>
  <w:footnote w:id="57">
    <w:p w:rsidR="00B04488" w:rsidRDefault="00B04488">
      <w:pPr>
        <w:pStyle w:val="FootnoteText"/>
      </w:pPr>
      <w:r>
        <w:rPr>
          <w:rStyle w:val="FootnoteReference"/>
        </w:rPr>
        <w:footnoteRef/>
      </w:r>
      <w:r>
        <w:t xml:space="preserve"> </w:t>
      </w:r>
      <w:r w:rsidRPr="006A7E1F">
        <w:rPr>
          <w:sz w:val="16"/>
        </w:rPr>
        <w:t>Ibid n.15 at para 90.</w:t>
      </w:r>
    </w:p>
  </w:footnote>
  <w:footnote w:id="58">
    <w:p w:rsidR="00B04488" w:rsidRDefault="00B04488">
      <w:pPr>
        <w:pStyle w:val="FootnoteText"/>
      </w:pPr>
      <w:r>
        <w:rPr>
          <w:rStyle w:val="FootnoteReference"/>
        </w:rPr>
        <w:footnoteRef/>
      </w:r>
      <w:r>
        <w:t xml:space="preserve"> </w:t>
      </w:r>
      <w:r w:rsidRPr="006A7E1F">
        <w:rPr>
          <w:sz w:val="16"/>
        </w:rPr>
        <w:t>Ibid n.32 at para 74.</w:t>
      </w:r>
    </w:p>
  </w:footnote>
  <w:footnote w:id="59">
    <w:p w:rsidR="00B04488" w:rsidRDefault="00B04488">
      <w:pPr>
        <w:pStyle w:val="FootnoteText"/>
      </w:pPr>
      <w:r>
        <w:rPr>
          <w:rStyle w:val="FootnoteReference"/>
        </w:rPr>
        <w:footnoteRef/>
      </w:r>
      <w:r w:rsidRPr="006A7E1F">
        <w:rPr>
          <w:sz w:val="16"/>
        </w:rPr>
        <w:t xml:space="preserve"> Ibid at para 77.</w:t>
      </w:r>
    </w:p>
  </w:footnote>
  <w:footnote w:id="60">
    <w:p w:rsidR="00B04488" w:rsidRPr="006A7E1F" w:rsidRDefault="00B04488" w:rsidP="006A7E1F">
      <w:pPr>
        <w:pStyle w:val="FootnoteText"/>
        <w:rPr>
          <w:sz w:val="16"/>
        </w:rPr>
      </w:pPr>
      <w:r>
        <w:rPr>
          <w:rStyle w:val="FootnoteReference"/>
        </w:rPr>
        <w:footnoteRef/>
      </w:r>
      <w:r>
        <w:t xml:space="preserve"> </w:t>
      </w:r>
      <w:r w:rsidRPr="006A7E1F">
        <w:rPr>
          <w:sz w:val="16"/>
        </w:rPr>
        <w:t>It can be undertaken by</w:t>
      </w:r>
      <w:r>
        <w:rPr>
          <w:sz w:val="16"/>
        </w:rPr>
        <w:t xml:space="preserve"> a best interests assessor; see </w:t>
      </w:r>
      <w:r w:rsidRPr="006A7E1F">
        <w:rPr>
          <w:sz w:val="16"/>
        </w:rPr>
        <w:t>Mental Capacity (D</w:t>
      </w:r>
      <w:r>
        <w:rPr>
          <w:sz w:val="16"/>
        </w:rPr>
        <w:t xml:space="preserve">eprivation of Liberty: Standard </w:t>
      </w:r>
      <w:r w:rsidRPr="006A7E1F">
        <w:rPr>
          <w:sz w:val="16"/>
        </w:rPr>
        <w:t>Authorisations, Asse</w:t>
      </w:r>
      <w:r>
        <w:rPr>
          <w:sz w:val="16"/>
        </w:rPr>
        <w:t xml:space="preserve">ssments and Ordinary Residence) </w:t>
      </w:r>
      <w:r w:rsidRPr="006A7E1F">
        <w:rPr>
          <w:sz w:val="16"/>
        </w:rPr>
        <w:t>Regulations (SI 2008/1858) regulation 6.</w:t>
      </w:r>
    </w:p>
  </w:footnote>
  <w:footnote w:id="61">
    <w:p w:rsidR="00B04488" w:rsidRDefault="00B04488">
      <w:pPr>
        <w:pStyle w:val="FootnoteText"/>
      </w:pPr>
      <w:r>
        <w:rPr>
          <w:rStyle w:val="FootnoteReference"/>
        </w:rPr>
        <w:footnoteRef/>
      </w:r>
      <w:r>
        <w:t xml:space="preserve"> </w:t>
      </w:r>
      <w:r w:rsidRPr="000204AB">
        <w:rPr>
          <w:sz w:val="16"/>
        </w:rPr>
        <w:t>Mental Capacity Act 2005 Schedule A1 para 15.</w:t>
      </w:r>
    </w:p>
  </w:footnote>
  <w:footnote w:id="62">
    <w:p w:rsidR="00B04488" w:rsidRPr="000204AB" w:rsidRDefault="00B04488" w:rsidP="000204AB">
      <w:pPr>
        <w:pStyle w:val="FootnoteText"/>
        <w:rPr>
          <w:sz w:val="16"/>
        </w:rPr>
      </w:pPr>
      <w:r>
        <w:rPr>
          <w:rStyle w:val="FootnoteReference"/>
        </w:rPr>
        <w:footnoteRef/>
      </w:r>
      <w:r>
        <w:t xml:space="preserve"> </w:t>
      </w:r>
      <w:r w:rsidRPr="000204AB">
        <w:rPr>
          <w:sz w:val="16"/>
        </w:rPr>
        <w:t>For an interesting discuss</w:t>
      </w:r>
      <w:r>
        <w:rPr>
          <w:sz w:val="16"/>
        </w:rPr>
        <w:t xml:space="preserve">ion of the legal issues, see P. </w:t>
      </w:r>
      <w:r w:rsidRPr="000204AB">
        <w:rPr>
          <w:sz w:val="16"/>
        </w:rPr>
        <w:t>Bartlett, ‘</w:t>
      </w:r>
      <w:proofErr w:type="gramStart"/>
      <w:r w:rsidRPr="000204AB">
        <w:rPr>
          <w:sz w:val="16"/>
        </w:rPr>
        <w:t>The</w:t>
      </w:r>
      <w:proofErr w:type="gramEnd"/>
      <w:r w:rsidRPr="000204AB">
        <w:rPr>
          <w:sz w:val="16"/>
        </w:rPr>
        <w:t xml:space="preserve"> test of compulsion i</w:t>
      </w:r>
      <w:r>
        <w:rPr>
          <w:sz w:val="16"/>
        </w:rPr>
        <w:t xml:space="preserve">n mental health law: </w:t>
      </w:r>
      <w:r w:rsidRPr="000204AB">
        <w:rPr>
          <w:sz w:val="16"/>
        </w:rPr>
        <w:t>Capacity, therapeut</w:t>
      </w:r>
      <w:r>
        <w:rPr>
          <w:sz w:val="16"/>
        </w:rPr>
        <w:t xml:space="preserve">ic benefit and dangerousness as </w:t>
      </w:r>
      <w:r w:rsidRPr="000204AB">
        <w:rPr>
          <w:sz w:val="16"/>
        </w:rPr>
        <w:t>possible criteria’ (200</w:t>
      </w:r>
      <w:r>
        <w:rPr>
          <w:sz w:val="16"/>
        </w:rPr>
        <w:t xml:space="preserve">3) 11 Medical Law Review 326 at </w:t>
      </w:r>
      <w:r w:rsidRPr="000204AB">
        <w:rPr>
          <w:sz w:val="16"/>
        </w:rPr>
        <w:t xml:space="preserve">336–344. See also Owen </w:t>
      </w:r>
      <w:r>
        <w:rPr>
          <w:sz w:val="16"/>
        </w:rPr>
        <w:t xml:space="preserve">et al, ‘Mental capacity to make </w:t>
      </w:r>
      <w:r w:rsidRPr="000204AB">
        <w:rPr>
          <w:sz w:val="16"/>
        </w:rPr>
        <w:t>decisions on treatment in</w:t>
      </w:r>
      <w:r>
        <w:rPr>
          <w:sz w:val="16"/>
        </w:rPr>
        <w:t xml:space="preserve"> people admitted to psychiatric </w:t>
      </w:r>
      <w:r w:rsidRPr="000204AB">
        <w:rPr>
          <w:sz w:val="16"/>
        </w:rPr>
        <w:t>hospitals: cross sectiona</w:t>
      </w:r>
      <w:r>
        <w:rPr>
          <w:sz w:val="16"/>
        </w:rPr>
        <w:t xml:space="preserve">l study’ (2008) British Medical </w:t>
      </w:r>
      <w:r w:rsidRPr="000204AB">
        <w:rPr>
          <w:sz w:val="16"/>
        </w:rPr>
        <w:t>Journal 337.</w:t>
      </w:r>
    </w:p>
  </w:footnote>
  <w:footnote w:id="63">
    <w:p w:rsidR="00B04488" w:rsidRDefault="00B04488">
      <w:pPr>
        <w:pStyle w:val="FootnoteText"/>
      </w:pPr>
      <w:r>
        <w:rPr>
          <w:rStyle w:val="FootnoteReference"/>
        </w:rPr>
        <w:footnoteRef/>
      </w:r>
      <w:r>
        <w:t xml:space="preserve"> </w:t>
      </w:r>
      <w:r w:rsidRPr="000204AB">
        <w:rPr>
          <w:sz w:val="16"/>
        </w:rPr>
        <w:t>(1990) 494 US 113.</w:t>
      </w:r>
    </w:p>
  </w:footnote>
  <w:footnote w:id="64">
    <w:p w:rsidR="00B04488" w:rsidRDefault="00B04488" w:rsidP="000204AB">
      <w:pPr>
        <w:pStyle w:val="FootnoteText"/>
      </w:pPr>
      <w:r>
        <w:rPr>
          <w:rStyle w:val="FootnoteReference"/>
        </w:rPr>
        <w:footnoteRef/>
      </w:r>
      <w:r>
        <w:t xml:space="preserve"> </w:t>
      </w:r>
      <w:r w:rsidRPr="000204AB">
        <w:rPr>
          <w:sz w:val="16"/>
        </w:rPr>
        <w:t>‘Consent to Voluntary Hospitalisation’, Task Force Report 34 (APA, 1992).</w:t>
      </w:r>
    </w:p>
  </w:footnote>
  <w:footnote w:id="65">
    <w:p w:rsidR="00252659" w:rsidRPr="00685D65" w:rsidRDefault="00252659" w:rsidP="00685D65">
      <w:pPr>
        <w:pStyle w:val="FootnoteText"/>
        <w:rPr>
          <w:sz w:val="16"/>
        </w:rPr>
      </w:pPr>
      <w:r>
        <w:rPr>
          <w:rStyle w:val="FootnoteReference"/>
        </w:rPr>
        <w:footnoteRef/>
      </w:r>
      <w:r>
        <w:t xml:space="preserve"> </w:t>
      </w:r>
      <w:r w:rsidR="00685D65" w:rsidRPr="00685D65">
        <w:rPr>
          <w:sz w:val="16"/>
        </w:rPr>
        <w:t xml:space="preserve">As </w:t>
      </w:r>
      <w:proofErr w:type="spellStart"/>
      <w:r w:rsidR="00685D65" w:rsidRPr="00685D65">
        <w:rPr>
          <w:sz w:val="16"/>
        </w:rPr>
        <w:t>Sedley</w:t>
      </w:r>
      <w:proofErr w:type="spellEnd"/>
      <w:r w:rsidR="00685D65" w:rsidRPr="00685D65">
        <w:rPr>
          <w:sz w:val="16"/>
        </w:rPr>
        <w:t xml:space="preserve"> LJ noted in Re </w:t>
      </w:r>
      <w:r w:rsidR="00685D65">
        <w:rPr>
          <w:sz w:val="16"/>
        </w:rPr>
        <w:t xml:space="preserve">F (Adult: Court’s Jurisdiction) </w:t>
      </w:r>
      <w:r w:rsidR="00685D65" w:rsidRPr="00685D65">
        <w:rPr>
          <w:sz w:val="16"/>
        </w:rPr>
        <w:t>[2000] 2 FLR 512 at 532</w:t>
      </w:r>
      <w:r w:rsidR="00685D65">
        <w:rPr>
          <w:sz w:val="16"/>
        </w:rPr>
        <w:t xml:space="preserve">, “the court itself can do much </w:t>
      </w:r>
      <w:r w:rsidR="00685D65" w:rsidRPr="00685D65">
        <w:rPr>
          <w:sz w:val="16"/>
        </w:rPr>
        <w:t>to close the so-called Bournewood ga</w:t>
      </w:r>
      <w:r w:rsidR="00685D65">
        <w:rPr>
          <w:sz w:val="16"/>
        </w:rPr>
        <w:t xml:space="preserve">p in the protection of </w:t>
      </w:r>
      <w:r w:rsidR="00685D65" w:rsidRPr="00685D65">
        <w:rPr>
          <w:sz w:val="16"/>
        </w:rPr>
        <w:t>those without capacity.”</w:t>
      </w:r>
    </w:p>
  </w:footnote>
  <w:footnote w:id="66">
    <w:p w:rsidR="00D237C3" w:rsidRPr="00D237C3" w:rsidRDefault="00E1003F" w:rsidP="00D237C3">
      <w:pPr>
        <w:pStyle w:val="FootnoteText"/>
        <w:rPr>
          <w:sz w:val="16"/>
        </w:rPr>
      </w:pPr>
      <w:r>
        <w:rPr>
          <w:rStyle w:val="FootnoteReference"/>
        </w:rPr>
        <w:footnoteRef/>
      </w:r>
      <w:r>
        <w:t xml:space="preserve"> </w:t>
      </w:r>
      <w:r w:rsidR="00D237C3" w:rsidRPr="00D237C3">
        <w:rPr>
          <w:sz w:val="16"/>
        </w:rPr>
        <w:t>The latter group extends</w:t>
      </w:r>
      <w:r w:rsidR="00D237C3">
        <w:rPr>
          <w:sz w:val="16"/>
        </w:rPr>
        <w:t xml:space="preserve"> beyond the remit of the Mental </w:t>
      </w:r>
      <w:r w:rsidR="00D237C3" w:rsidRPr="00D237C3">
        <w:rPr>
          <w:sz w:val="16"/>
        </w:rPr>
        <w:t>Capacity Act 2005 to incl</w:t>
      </w:r>
      <w:r w:rsidR="00D237C3">
        <w:rPr>
          <w:sz w:val="16"/>
        </w:rPr>
        <w:t xml:space="preserve">ude those who are incapacitated </w:t>
      </w:r>
      <w:r w:rsidR="00D237C3" w:rsidRPr="00D237C3">
        <w:rPr>
          <w:sz w:val="16"/>
        </w:rPr>
        <w:t>‘by reason of such things</w:t>
      </w:r>
      <w:r w:rsidR="00D237C3">
        <w:rPr>
          <w:sz w:val="16"/>
        </w:rPr>
        <w:t xml:space="preserve"> as constraint, coercion, undue </w:t>
      </w:r>
      <w:r w:rsidR="00D237C3" w:rsidRPr="00D237C3">
        <w:rPr>
          <w:sz w:val="16"/>
        </w:rPr>
        <w:t>influence or other vitiat</w:t>
      </w:r>
      <w:r w:rsidR="00D237C3">
        <w:rPr>
          <w:sz w:val="16"/>
        </w:rPr>
        <w:t xml:space="preserve">ing factors’ (Re SA (vulnerable </w:t>
      </w:r>
      <w:r w:rsidR="00D237C3" w:rsidRPr="00D237C3">
        <w:rPr>
          <w:sz w:val="16"/>
        </w:rPr>
        <w:t>adult with capacity: mar</w:t>
      </w:r>
      <w:r w:rsidR="00D237C3">
        <w:rPr>
          <w:sz w:val="16"/>
        </w:rPr>
        <w:t xml:space="preserve">riage) [2006] 1 FLR 867 at para </w:t>
      </w:r>
      <w:r w:rsidR="00D237C3" w:rsidRPr="00D237C3">
        <w:rPr>
          <w:sz w:val="16"/>
        </w:rPr>
        <w:t>79 per Munby J). See M</w:t>
      </w:r>
      <w:r w:rsidR="00D237C3">
        <w:rPr>
          <w:sz w:val="16"/>
        </w:rPr>
        <w:t xml:space="preserve">. C. Dunn et al, ‘To empower or </w:t>
      </w:r>
      <w:r w:rsidR="00D237C3" w:rsidRPr="00D237C3">
        <w:rPr>
          <w:sz w:val="16"/>
        </w:rPr>
        <w:t>to protect? Constructing the ‘vulnerable adult’ in English</w:t>
      </w:r>
    </w:p>
    <w:p w:rsidR="00E1003F" w:rsidRDefault="00D237C3" w:rsidP="00D237C3">
      <w:pPr>
        <w:pStyle w:val="FootnoteText"/>
      </w:pPr>
      <w:r w:rsidRPr="00D237C3">
        <w:rPr>
          <w:sz w:val="16"/>
        </w:rPr>
        <w:t>law and public policy’ (2008) 28(2) Legal Studies 234.</w:t>
      </w:r>
    </w:p>
  </w:footnote>
  <w:footnote w:id="67">
    <w:p w:rsidR="00E1003F" w:rsidRPr="00560279" w:rsidRDefault="00E1003F" w:rsidP="00560279">
      <w:pPr>
        <w:pStyle w:val="FootnoteText"/>
        <w:rPr>
          <w:sz w:val="16"/>
        </w:rPr>
      </w:pPr>
      <w:r>
        <w:rPr>
          <w:rStyle w:val="FootnoteReference"/>
        </w:rPr>
        <w:footnoteRef/>
      </w:r>
      <w:r>
        <w:t xml:space="preserve"> </w:t>
      </w:r>
      <w:r w:rsidR="00560279" w:rsidRPr="00560279">
        <w:rPr>
          <w:sz w:val="16"/>
        </w:rPr>
        <w:t xml:space="preserve">Re SA ibid at para 45. </w:t>
      </w:r>
      <w:r w:rsidR="00560279">
        <w:rPr>
          <w:sz w:val="16"/>
        </w:rPr>
        <w:t xml:space="preserve">See also Ealing LBC v KS [2008] </w:t>
      </w:r>
      <w:r w:rsidR="00560279" w:rsidRPr="00560279">
        <w:rPr>
          <w:sz w:val="16"/>
        </w:rPr>
        <w:t>EWHC 636 (</w:t>
      </w:r>
      <w:proofErr w:type="gramStart"/>
      <w:r w:rsidR="00560279" w:rsidRPr="00560279">
        <w:rPr>
          <w:sz w:val="16"/>
        </w:rPr>
        <w:t>Fam</w:t>
      </w:r>
      <w:proofErr w:type="gramEnd"/>
      <w:r w:rsidR="00560279">
        <w:rPr>
          <w:sz w:val="16"/>
        </w:rPr>
        <w:t xml:space="preserve">); Westminster City Council v C </w:t>
      </w:r>
      <w:r w:rsidR="00560279" w:rsidRPr="00560279">
        <w:rPr>
          <w:sz w:val="16"/>
        </w:rPr>
        <w:t xml:space="preserve">[2008] EWCA </w:t>
      </w:r>
      <w:proofErr w:type="spellStart"/>
      <w:r w:rsidR="00560279" w:rsidRPr="00560279">
        <w:rPr>
          <w:sz w:val="16"/>
        </w:rPr>
        <w:t>Civ</w:t>
      </w:r>
      <w:proofErr w:type="spellEnd"/>
      <w:r w:rsidR="00560279" w:rsidRPr="00560279">
        <w:rPr>
          <w:sz w:val="16"/>
        </w:rPr>
        <w:t xml:space="preserve"> 1</w:t>
      </w:r>
      <w:r w:rsidR="00560279">
        <w:rPr>
          <w:sz w:val="16"/>
        </w:rPr>
        <w:t xml:space="preserve">98; X City Council v MB, NB and </w:t>
      </w:r>
      <w:r w:rsidR="00560279" w:rsidRPr="00560279">
        <w:rPr>
          <w:sz w:val="16"/>
        </w:rPr>
        <w:t>MAB [2006] EWHC</w:t>
      </w:r>
      <w:r w:rsidR="00560279">
        <w:rPr>
          <w:sz w:val="16"/>
        </w:rPr>
        <w:t xml:space="preserve"> 168 (Fam); Local Authority X v </w:t>
      </w:r>
      <w:r w:rsidR="00560279" w:rsidRPr="00560279">
        <w:rPr>
          <w:sz w:val="16"/>
        </w:rPr>
        <w:t>MM (By the Official Solicitor) and K</w:t>
      </w:r>
      <w:r w:rsidR="00560279">
        <w:rPr>
          <w:sz w:val="16"/>
        </w:rPr>
        <w:t xml:space="preserve">M [2007] EWHC </w:t>
      </w:r>
      <w:r w:rsidR="00560279" w:rsidRPr="00560279">
        <w:rPr>
          <w:sz w:val="16"/>
        </w:rPr>
        <w:t>2003 (Fam).</w:t>
      </w:r>
    </w:p>
  </w:footnote>
  <w:footnote w:id="68">
    <w:p w:rsidR="00E1003F" w:rsidRDefault="00E1003F" w:rsidP="00862F53">
      <w:pPr>
        <w:pStyle w:val="FootnoteText"/>
      </w:pPr>
      <w:r>
        <w:rPr>
          <w:rStyle w:val="FootnoteReference"/>
        </w:rPr>
        <w:footnoteRef/>
      </w:r>
      <w:r>
        <w:t xml:space="preserve"> </w:t>
      </w:r>
      <w:r w:rsidR="00862F53" w:rsidRPr="00862F53">
        <w:rPr>
          <w:sz w:val="16"/>
        </w:rPr>
        <w:t>City of Sunderlan</w:t>
      </w:r>
      <w:r w:rsidR="00862F53" w:rsidRPr="00862F53">
        <w:rPr>
          <w:sz w:val="16"/>
        </w:rPr>
        <w:t>d v PS [2007] EWHC 623 (</w:t>
      </w:r>
      <w:proofErr w:type="gramStart"/>
      <w:r w:rsidR="00862F53" w:rsidRPr="00862F53">
        <w:rPr>
          <w:sz w:val="16"/>
        </w:rPr>
        <w:t>Fam</w:t>
      </w:r>
      <w:proofErr w:type="gramEnd"/>
      <w:r w:rsidR="00862F53" w:rsidRPr="00862F53">
        <w:rPr>
          <w:sz w:val="16"/>
        </w:rPr>
        <w:t xml:space="preserve">) at </w:t>
      </w:r>
      <w:r w:rsidR="00862F53" w:rsidRPr="00862F53">
        <w:rPr>
          <w:sz w:val="16"/>
        </w:rPr>
        <w:t>para 16</w:t>
      </w:r>
      <w:r w:rsidR="00862F53">
        <w:t>.</w:t>
      </w:r>
    </w:p>
  </w:footnote>
  <w:footnote w:id="69">
    <w:p w:rsidR="00862F53" w:rsidRPr="00862F53" w:rsidRDefault="00AA77C0" w:rsidP="00862F53">
      <w:pPr>
        <w:pStyle w:val="FootnoteText"/>
        <w:rPr>
          <w:sz w:val="16"/>
        </w:rPr>
      </w:pPr>
      <w:r>
        <w:rPr>
          <w:rStyle w:val="FootnoteReference"/>
        </w:rPr>
        <w:footnoteRef/>
      </w:r>
      <w:r w:rsidRPr="00862F53">
        <w:rPr>
          <w:sz w:val="16"/>
        </w:rPr>
        <w:t xml:space="preserve"> </w:t>
      </w:r>
      <w:r w:rsidR="00862F53" w:rsidRPr="00862F53">
        <w:rPr>
          <w:sz w:val="16"/>
        </w:rPr>
        <w:t>KC, NNC v City of</w:t>
      </w:r>
      <w:r w:rsidR="00862F53" w:rsidRPr="00862F53">
        <w:rPr>
          <w:sz w:val="16"/>
        </w:rPr>
        <w:t xml:space="preserve"> Westminster Social &amp; Community </w:t>
      </w:r>
      <w:r w:rsidR="00862F53" w:rsidRPr="00862F53">
        <w:rPr>
          <w:sz w:val="16"/>
        </w:rPr>
        <w:t>Services Department, IC (a protected party, by his</w:t>
      </w:r>
    </w:p>
    <w:p w:rsidR="00AA77C0" w:rsidRDefault="00862F53" w:rsidP="00862F53">
      <w:pPr>
        <w:pStyle w:val="FootnoteText"/>
      </w:pPr>
      <w:proofErr w:type="gramStart"/>
      <w:r w:rsidRPr="00862F53">
        <w:rPr>
          <w:sz w:val="16"/>
        </w:rPr>
        <w:t>litigation</w:t>
      </w:r>
      <w:proofErr w:type="gramEnd"/>
      <w:r w:rsidRPr="00862F53">
        <w:rPr>
          <w:sz w:val="16"/>
        </w:rPr>
        <w:t xml:space="preserve"> friend the Offi</w:t>
      </w:r>
      <w:r w:rsidRPr="00862F53">
        <w:rPr>
          <w:sz w:val="16"/>
        </w:rPr>
        <w:t xml:space="preserve">cial Solicitor) [2008] EWCA </w:t>
      </w:r>
      <w:proofErr w:type="spellStart"/>
      <w:r w:rsidRPr="00862F53">
        <w:rPr>
          <w:sz w:val="16"/>
        </w:rPr>
        <w:t>Civ</w:t>
      </w:r>
      <w:proofErr w:type="spellEnd"/>
      <w:r w:rsidRPr="00862F53">
        <w:rPr>
          <w:sz w:val="16"/>
        </w:rPr>
        <w:t xml:space="preserve"> </w:t>
      </w:r>
      <w:r w:rsidRPr="00862F53">
        <w:rPr>
          <w:sz w:val="16"/>
        </w:rPr>
        <w:t>198 para 54.</w:t>
      </w:r>
    </w:p>
  </w:footnote>
  <w:footnote w:id="70">
    <w:p w:rsidR="00DB59DA" w:rsidRPr="00DB59DA" w:rsidRDefault="00DB59DA" w:rsidP="00DB59DA">
      <w:pPr>
        <w:pStyle w:val="FootnoteText"/>
        <w:rPr>
          <w:sz w:val="16"/>
        </w:rPr>
      </w:pPr>
      <w:r>
        <w:rPr>
          <w:rStyle w:val="FootnoteReference"/>
        </w:rPr>
        <w:footnoteRef/>
      </w:r>
      <w:r>
        <w:t xml:space="preserve"> </w:t>
      </w:r>
      <w:r w:rsidRPr="00DB59DA">
        <w:rPr>
          <w:sz w:val="16"/>
        </w:rPr>
        <w:t xml:space="preserve">See Deprivation of liberty </w:t>
      </w:r>
      <w:r>
        <w:rPr>
          <w:sz w:val="16"/>
        </w:rPr>
        <w:t xml:space="preserve">safeguards: Code of Practice to </w:t>
      </w:r>
      <w:r w:rsidRPr="00DB59DA">
        <w:rPr>
          <w:sz w:val="16"/>
        </w:rPr>
        <w:t xml:space="preserve">supplement the main </w:t>
      </w:r>
      <w:r>
        <w:rPr>
          <w:sz w:val="16"/>
        </w:rPr>
        <w:t xml:space="preserve">Mental Capacity Act 2005 (2008) </w:t>
      </w:r>
      <w:r w:rsidRPr="00DB59DA">
        <w:rPr>
          <w:sz w:val="16"/>
        </w:rPr>
        <w:t>at para 2.5.</w:t>
      </w:r>
    </w:p>
  </w:footnote>
  <w:footnote w:id="71">
    <w:p w:rsidR="00DB59DA" w:rsidRDefault="00DB59DA">
      <w:pPr>
        <w:pStyle w:val="FootnoteText"/>
      </w:pPr>
      <w:r>
        <w:rPr>
          <w:rStyle w:val="FootnoteReference"/>
        </w:rPr>
        <w:footnoteRef/>
      </w:r>
      <w:r>
        <w:t xml:space="preserve"> </w:t>
      </w:r>
      <w:r w:rsidRPr="00DB59DA">
        <w:rPr>
          <w:sz w:val="16"/>
        </w:rPr>
        <w:t>Blume and others v Spain ibid n.35.</w:t>
      </w:r>
    </w:p>
  </w:footnote>
  <w:footnote w:id="72">
    <w:p w:rsidR="00DB59DA" w:rsidRPr="00DB59DA" w:rsidRDefault="00DB59DA" w:rsidP="00DB59DA">
      <w:pPr>
        <w:pStyle w:val="FootnoteText"/>
      </w:pPr>
      <w:r>
        <w:rPr>
          <w:rStyle w:val="FootnoteReference"/>
        </w:rPr>
        <w:footnoteRef/>
      </w:r>
      <w:r>
        <w:t xml:space="preserve"> </w:t>
      </w:r>
      <w:r>
        <w:t>NC v Italy (Appli</w:t>
      </w:r>
      <w:r>
        <w:t xml:space="preserve">cation no. 24952/94, 11 January </w:t>
      </w:r>
      <w:r w:rsidRPr="00DB59DA">
        <w:rPr>
          <w:sz w:val="16"/>
        </w:rPr>
        <w:t>2001), para 33; Mancini v Italy (Application no.</w:t>
      </w:r>
      <w:r>
        <w:t xml:space="preserve"> </w:t>
      </w:r>
      <w:r w:rsidRPr="00DB59DA">
        <w:rPr>
          <w:sz w:val="16"/>
        </w:rPr>
        <w:t xml:space="preserve">44955/98, 12 December 2001), para 17; </w:t>
      </w:r>
      <w:proofErr w:type="spellStart"/>
      <w:r w:rsidRPr="00DB59DA">
        <w:rPr>
          <w:sz w:val="16"/>
        </w:rPr>
        <w:t>Vacher</w:t>
      </w:r>
      <w:proofErr w:type="spellEnd"/>
      <w:r w:rsidRPr="00DB59DA">
        <w:rPr>
          <w:sz w:val="16"/>
        </w:rPr>
        <w:t xml:space="preserve"> v</w:t>
      </w:r>
      <w:r>
        <w:t xml:space="preserve"> </w:t>
      </w:r>
      <w:r w:rsidRPr="00DB59DA">
        <w:rPr>
          <w:sz w:val="16"/>
        </w:rPr>
        <w:t>Bulgaria (Application no. 42987/98, 8 October 2004),</w:t>
      </w:r>
      <w:r>
        <w:t xml:space="preserve"> </w:t>
      </w:r>
      <w:r w:rsidRPr="00DB59DA">
        <w:rPr>
          <w:sz w:val="16"/>
        </w:rPr>
        <w:t xml:space="preserve">para 64; </w:t>
      </w:r>
      <w:proofErr w:type="spellStart"/>
      <w:r w:rsidRPr="00DB59DA">
        <w:rPr>
          <w:sz w:val="16"/>
        </w:rPr>
        <w:t>Nikolova</w:t>
      </w:r>
      <w:proofErr w:type="spellEnd"/>
      <w:r w:rsidRPr="00DB59DA">
        <w:rPr>
          <w:sz w:val="16"/>
        </w:rPr>
        <w:t xml:space="preserve"> v Bulgaria (No 2) (Application no.</w:t>
      </w:r>
    </w:p>
    <w:p w:rsidR="00DB59DA" w:rsidRPr="00DB59DA" w:rsidRDefault="00DB59DA" w:rsidP="00DB59DA">
      <w:pPr>
        <w:pStyle w:val="FootnoteText"/>
        <w:rPr>
          <w:sz w:val="16"/>
        </w:rPr>
      </w:pPr>
      <w:r w:rsidRPr="00DB59DA">
        <w:rPr>
          <w:sz w:val="16"/>
        </w:rPr>
        <w:t>40896/98, 30 Dece</w:t>
      </w:r>
      <w:r>
        <w:rPr>
          <w:sz w:val="16"/>
        </w:rPr>
        <w:t xml:space="preserve">mber 2004), para 60; Trijonis v </w:t>
      </w:r>
      <w:r w:rsidRPr="00DB59DA">
        <w:rPr>
          <w:sz w:val="16"/>
        </w:rPr>
        <w:t>Lithuania (Applicati</w:t>
      </w:r>
      <w:r>
        <w:rPr>
          <w:sz w:val="16"/>
        </w:rPr>
        <w:t xml:space="preserve">on no. 2333/02, 17 March 2005); </w:t>
      </w:r>
      <w:proofErr w:type="spellStart"/>
      <w:r w:rsidRPr="00DB59DA">
        <w:rPr>
          <w:sz w:val="16"/>
        </w:rPr>
        <w:t>Pekov</w:t>
      </w:r>
      <w:proofErr w:type="spellEnd"/>
      <w:r w:rsidRPr="00DB59DA">
        <w:rPr>
          <w:sz w:val="16"/>
        </w:rPr>
        <w:t xml:space="preserve"> v Bulgaria (Ap</w:t>
      </w:r>
      <w:r>
        <w:rPr>
          <w:sz w:val="16"/>
        </w:rPr>
        <w:t xml:space="preserve">plication no. 50358/99, 30 June </w:t>
      </w:r>
      <w:r w:rsidRPr="00DB59DA">
        <w:rPr>
          <w:sz w:val="16"/>
        </w:rPr>
        <w:t>2006), para 73.</w:t>
      </w:r>
    </w:p>
  </w:footnote>
  <w:footnote w:id="73">
    <w:p w:rsidR="00DB59DA" w:rsidRDefault="00DB59DA" w:rsidP="00DB59DA">
      <w:pPr>
        <w:pStyle w:val="FootnoteText"/>
      </w:pPr>
      <w:r>
        <w:rPr>
          <w:rStyle w:val="FootnoteReference"/>
        </w:rPr>
        <w:footnoteRef/>
      </w:r>
      <w:r>
        <w:t xml:space="preserve"> </w:t>
      </w:r>
      <w:r w:rsidRPr="00DB59DA">
        <w:rPr>
          <w:sz w:val="16"/>
        </w:rPr>
        <w:t>Trijonis v Lithuania (Ap</w:t>
      </w:r>
      <w:r w:rsidRPr="00DB59DA">
        <w:rPr>
          <w:sz w:val="16"/>
        </w:rPr>
        <w:t xml:space="preserve">plication no. 2333/02, 17 March </w:t>
      </w:r>
      <w:r w:rsidRPr="00DB59DA">
        <w:rPr>
          <w:sz w:val="16"/>
        </w:rPr>
        <w:t>2005).</w:t>
      </w:r>
    </w:p>
  </w:footnote>
  <w:footnote w:id="74">
    <w:p w:rsidR="00DB59DA" w:rsidRDefault="00DB59DA">
      <w:pPr>
        <w:pStyle w:val="FootnoteText"/>
      </w:pPr>
      <w:r>
        <w:rPr>
          <w:rStyle w:val="FootnoteReference"/>
        </w:rPr>
        <w:footnoteRef/>
      </w:r>
      <w:r>
        <w:t xml:space="preserve"> </w:t>
      </w:r>
      <w:r w:rsidRPr="00DB59DA">
        <w:rPr>
          <w:sz w:val="16"/>
        </w:rPr>
        <w:t>Raimondo v Italy (1994) 18 EHRR 237.</w:t>
      </w:r>
    </w:p>
  </w:footnote>
  <w:footnote w:id="75">
    <w:p w:rsidR="00DB59DA" w:rsidRDefault="00DB59DA" w:rsidP="00DB59DA">
      <w:pPr>
        <w:pStyle w:val="FootnoteText"/>
      </w:pPr>
      <w:r>
        <w:rPr>
          <w:rStyle w:val="FootnoteReference"/>
        </w:rPr>
        <w:footnoteRef/>
      </w:r>
      <w:r>
        <w:t xml:space="preserve"> </w:t>
      </w:r>
      <w:r w:rsidRPr="00DB59DA">
        <w:rPr>
          <w:sz w:val="16"/>
        </w:rPr>
        <w:t>Amuur v France ibid n.34 at para 48.</w:t>
      </w:r>
      <w:r w:rsidRPr="00DB59DA">
        <w:rPr>
          <w:sz w:val="16"/>
        </w:rPr>
        <w:t xml:space="preserve"> Syria was not a </w:t>
      </w:r>
      <w:r w:rsidRPr="00DB59DA">
        <w:rPr>
          <w:sz w:val="16"/>
        </w:rPr>
        <w:t>signatory to the 1951 Refugee Convention.</w:t>
      </w:r>
    </w:p>
  </w:footnote>
  <w:footnote w:id="76">
    <w:p w:rsidR="00DB59DA" w:rsidRDefault="00DB59DA">
      <w:pPr>
        <w:pStyle w:val="FootnoteText"/>
      </w:pPr>
      <w:r>
        <w:rPr>
          <w:rStyle w:val="FootnoteReference"/>
        </w:rPr>
        <w:footnoteRef/>
      </w:r>
      <w:r>
        <w:t xml:space="preserve"> </w:t>
      </w:r>
      <w:r w:rsidRPr="00DB59DA">
        <w:rPr>
          <w:sz w:val="16"/>
        </w:rPr>
        <w:t>Ibid n.70 at para 2.10.</w:t>
      </w:r>
    </w:p>
  </w:footnote>
  <w:footnote w:id="77">
    <w:p w:rsidR="00DB59DA" w:rsidRPr="00F73BCC" w:rsidRDefault="00DB59DA" w:rsidP="00F73BCC">
      <w:pPr>
        <w:pStyle w:val="FootnoteText"/>
        <w:rPr>
          <w:sz w:val="16"/>
        </w:rPr>
      </w:pPr>
      <w:r>
        <w:rPr>
          <w:rStyle w:val="FootnoteReference"/>
        </w:rPr>
        <w:footnoteRef/>
      </w:r>
      <w:r>
        <w:t xml:space="preserve"> </w:t>
      </w:r>
      <w:r w:rsidR="00F73BCC" w:rsidRPr="00F73BCC">
        <w:rPr>
          <w:sz w:val="16"/>
        </w:rPr>
        <w:t xml:space="preserve">Austin v Commissioner of </w:t>
      </w:r>
      <w:r w:rsidR="00F73BCC">
        <w:rPr>
          <w:sz w:val="16"/>
        </w:rPr>
        <w:t xml:space="preserve">Police of the Metropolis [2008] </w:t>
      </w:r>
      <w:r w:rsidR="00F73BCC" w:rsidRPr="00F73BCC">
        <w:rPr>
          <w:sz w:val="16"/>
        </w:rPr>
        <w:t>QB 660 at paras 12 a</w:t>
      </w:r>
      <w:r w:rsidR="00F73BCC">
        <w:rPr>
          <w:sz w:val="16"/>
        </w:rPr>
        <w:t xml:space="preserve">nd 105. This was not doubted on </w:t>
      </w:r>
      <w:r w:rsidR="00F73BCC" w:rsidRPr="00F73BCC">
        <w:rPr>
          <w:sz w:val="16"/>
        </w:rPr>
        <w:t>appeal [2009] 2 W</w:t>
      </w:r>
      <w:r w:rsidR="00F73BCC">
        <w:rPr>
          <w:sz w:val="16"/>
        </w:rPr>
        <w:t xml:space="preserve">LR 372. For a discussion of the </w:t>
      </w:r>
      <w:r w:rsidR="00F73BCC" w:rsidRPr="00F73BCC">
        <w:rPr>
          <w:sz w:val="16"/>
        </w:rPr>
        <w:t xml:space="preserve">difference between being </w:t>
      </w:r>
      <w:r w:rsidR="00F73BCC">
        <w:rPr>
          <w:sz w:val="16"/>
        </w:rPr>
        <w:t xml:space="preserve">‘detained’ and ‘deprived of </w:t>
      </w:r>
      <w:r w:rsidR="00F73BCC" w:rsidRPr="00F73BCC">
        <w:rPr>
          <w:sz w:val="16"/>
        </w:rPr>
        <w:t>liberty’, see D. Hewitt, ‘</w:t>
      </w:r>
      <w:proofErr w:type="spellStart"/>
      <w:r w:rsidR="00F73BCC" w:rsidRPr="00F73BCC">
        <w:rPr>
          <w:sz w:val="16"/>
        </w:rPr>
        <w:t>Bournewouldn’t</w:t>
      </w:r>
      <w:proofErr w:type="spellEnd"/>
      <w:r w:rsidR="00F73BCC" w:rsidRPr="00F73BCC">
        <w:rPr>
          <w:sz w:val="16"/>
        </w:rPr>
        <w:t>’ (2007) 157 New</w:t>
      </w:r>
    </w:p>
  </w:footnote>
  <w:footnote w:id="78">
    <w:p w:rsidR="004F1251" w:rsidRPr="004F1251" w:rsidRDefault="00233F40" w:rsidP="004F1251">
      <w:pPr>
        <w:pStyle w:val="FootnoteText"/>
        <w:rPr>
          <w:sz w:val="16"/>
        </w:rPr>
      </w:pPr>
      <w:r>
        <w:rPr>
          <w:rStyle w:val="FootnoteReference"/>
        </w:rPr>
        <w:footnoteRef/>
      </w:r>
      <w:r>
        <w:t xml:space="preserve"> </w:t>
      </w:r>
      <w:r w:rsidR="004F1251" w:rsidRPr="004F1251">
        <w:rPr>
          <w:sz w:val="16"/>
        </w:rPr>
        <w:t xml:space="preserve">Austin v Commissioner of </w:t>
      </w:r>
      <w:r w:rsidR="004F1251">
        <w:rPr>
          <w:sz w:val="16"/>
        </w:rPr>
        <w:t xml:space="preserve">Police of the Metropolis [2008] </w:t>
      </w:r>
      <w:r w:rsidR="004F1251" w:rsidRPr="004F1251">
        <w:rPr>
          <w:sz w:val="16"/>
        </w:rPr>
        <w:t>QB 660 at paras 12 a</w:t>
      </w:r>
      <w:r w:rsidR="004F1251">
        <w:rPr>
          <w:sz w:val="16"/>
        </w:rPr>
        <w:t xml:space="preserve">nd 105. This was not doubted on </w:t>
      </w:r>
      <w:r w:rsidR="004F1251" w:rsidRPr="004F1251">
        <w:rPr>
          <w:sz w:val="16"/>
        </w:rPr>
        <w:t>appeal [2009] 2 W</w:t>
      </w:r>
      <w:r w:rsidR="004F1251">
        <w:rPr>
          <w:sz w:val="16"/>
        </w:rPr>
        <w:t xml:space="preserve">LR 372. For a discussion of the </w:t>
      </w:r>
      <w:r w:rsidR="004F1251" w:rsidRPr="004F1251">
        <w:rPr>
          <w:sz w:val="16"/>
        </w:rPr>
        <w:t>difference between be</w:t>
      </w:r>
      <w:r w:rsidR="004F1251">
        <w:rPr>
          <w:sz w:val="16"/>
        </w:rPr>
        <w:t xml:space="preserve">ing ‘detained’ and ‘deprived of </w:t>
      </w:r>
      <w:r w:rsidR="004F1251" w:rsidRPr="004F1251">
        <w:rPr>
          <w:sz w:val="16"/>
        </w:rPr>
        <w:t>liberty’, see D. Hewitt, ‘</w:t>
      </w:r>
      <w:proofErr w:type="spellStart"/>
      <w:r w:rsidR="004F1251" w:rsidRPr="004F1251">
        <w:rPr>
          <w:sz w:val="16"/>
        </w:rPr>
        <w:t>Bournewouldn’t</w:t>
      </w:r>
      <w:proofErr w:type="spellEnd"/>
      <w:r w:rsidR="004F1251" w:rsidRPr="004F1251">
        <w:rPr>
          <w:sz w:val="16"/>
        </w:rPr>
        <w:t>’ (2007) 157 New</w:t>
      </w:r>
    </w:p>
    <w:p w:rsidR="00233F40" w:rsidRDefault="004F1251" w:rsidP="004F1251">
      <w:pPr>
        <w:pStyle w:val="FootnoteText"/>
      </w:pPr>
      <w:r w:rsidRPr="004F1251">
        <w:rPr>
          <w:sz w:val="16"/>
        </w:rPr>
        <w:t>Law Journal 1600.</w:t>
      </w:r>
    </w:p>
  </w:footnote>
  <w:footnote w:id="79">
    <w:p w:rsidR="00233F40" w:rsidRDefault="00233F40">
      <w:pPr>
        <w:pStyle w:val="FootnoteText"/>
      </w:pPr>
      <w:r>
        <w:rPr>
          <w:rStyle w:val="FootnoteReference"/>
        </w:rPr>
        <w:footnoteRef/>
      </w:r>
      <w:r>
        <w:t xml:space="preserve"> </w:t>
      </w:r>
      <w:r w:rsidR="004F1251" w:rsidRPr="004F1251">
        <w:rPr>
          <w:sz w:val="16"/>
        </w:rPr>
        <w:t>Ibid n.2 at para 57.</w:t>
      </w:r>
    </w:p>
  </w:footnote>
  <w:footnote w:id="80">
    <w:p w:rsidR="00AA0CC2" w:rsidRPr="00AA0CC2" w:rsidRDefault="00AA0CC2" w:rsidP="00AA0CC2">
      <w:pPr>
        <w:pStyle w:val="FootnoteText"/>
        <w:rPr>
          <w:sz w:val="16"/>
        </w:rPr>
      </w:pPr>
      <w:r>
        <w:rPr>
          <w:rStyle w:val="FootnoteReference"/>
        </w:rPr>
        <w:footnoteRef/>
      </w:r>
      <w:r>
        <w:t xml:space="preserve"> </w:t>
      </w:r>
      <w:r w:rsidRPr="00AA0CC2">
        <w:rPr>
          <w:sz w:val="16"/>
        </w:rPr>
        <w:t>G. Richardson, ‘Coerci</w:t>
      </w:r>
      <w:r>
        <w:rPr>
          <w:sz w:val="16"/>
        </w:rPr>
        <w:t xml:space="preserve">on and human rights: A European </w:t>
      </w:r>
      <w:r w:rsidRPr="00AA0CC2">
        <w:rPr>
          <w:sz w:val="16"/>
        </w:rPr>
        <w:t>perspective’ (2008) 17(</w:t>
      </w:r>
      <w:r>
        <w:rPr>
          <w:sz w:val="16"/>
        </w:rPr>
        <w:t xml:space="preserve">3) Journal of Mental Health 245 </w:t>
      </w:r>
      <w:r w:rsidRPr="00AA0CC2">
        <w:rPr>
          <w:sz w:val="16"/>
        </w:rPr>
        <w:t>at 246. See also BJ Winic</w:t>
      </w:r>
      <w:r>
        <w:rPr>
          <w:sz w:val="16"/>
        </w:rPr>
        <w:t xml:space="preserve">k, ‘A therapeutic jurisprudence </w:t>
      </w:r>
      <w:r w:rsidRPr="00AA0CC2">
        <w:rPr>
          <w:sz w:val="16"/>
        </w:rPr>
        <w:t>approach to dealing wit</w:t>
      </w:r>
      <w:r>
        <w:rPr>
          <w:sz w:val="16"/>
        </w:rPr>
        <w:t xml:space="preserve">h coercion in the mental health </w:t>
      </w:r>
      <w:r w:rsidRPr="00AA0CC2">
        <w:rPr>
          <w:sz w:val="16"/>
        </w:rPr>
        <w:t>system’ (2008) 15 Psychiatry, Psychology and Law 25.</w:t>
      </w:r>
    </w:p>
  </w:footnote>
  <w:footnote w:id="81">
    <w:p w:rsidR="00285BCB" w:rsidRDefault="00285BCB">
      <w:pPr>
        <w:pStyle w:val="FootnoteText"/>
      </w:pPr>
      <w:r>
        <w:rPr>
          <w:rStyle w:val="FootnoteReference"/>
        </w:rPr>
        <w:footnoteRef/>
      </w:r>
      <w:r>
        <w:t xml:space="preserve"> </w:t>
      </w:r>
      <w:r w:rsidR="00EE57D1" w:rsidRPr="00EE57D1">
        <w:rPr>
          <w:sz w:val="16"/>
        </w:rPr>
        <w:t>See para O-I6.</w:t>
      </w:r>
    </w:p>
  </w:footnote>
  <w:footnote w:id="82">
    <w:p w:rsidR="00566DEE" w:rsidRPr="002702E6" w:rsidRDefault="00566DEE">
      <w:pPr>
        <w:pStyle w:val="FootnoteText"/>
        <w:rPr>
          <w:sz w:val="16"/>
        </w:rPr>
      </w:pPr>
      <w:r>
        <w:rPr>
          <w:rStyle w:val="FootnoteReference"/>
        </w:rPr>
        <w:footnoteRef/>
      </w:r>
      <w:r>
        <w:t xml:space="preserve"> </w:t>
      </w:r>
      <w:r w:rsidR="002702E6" w:rsidRPr="002702E6">
        <w:rPr>
          <w:sz w:val="16"/>
        </w:rPr>
        <w:t>(1988) 11 EHRR 175.</w:t>
      </w:r>
    </w:p>
  </w:footnote>
  <w:footnote w:id="83">
    <w:p w:rsidR="00566DEE" w:rsidRDefault="00566DEE">
      <w:pPr>
        <w:pStyle w:val="FootnoteText"/>
      </w:pPr>
      <w:r>
        <w:rPr>
          <w:rStyle w:val="FootnoteReference"/>
        </w:rPr>
        <w:footnoteRef/>
      </w:r>
      <w:r>
        <w:t xml:space="preserve"> </w:t>
      </w:r>
      <w:r w:rsidR="002702E6" w:rsidRPr="002702E6">
        <w:rPr>
          <w:sz w:val="16"/>
        </w:rPr>
        <w:t>Ibid n.32.</w:t>
      </w:r>
    </w:p>
  </w:footnote>
  <w:footnote w:id="84">
    <w:p w:rsidR="002702E6" w:rsidRPr="002702E6" w:rsidRDefault="002702E6" w:rsidP="002702E6">
      <w:pPr>
        <w:pStyle w:val="FootnoteText"/>
        <w:rPr>
          <w:sz w:val="16"/>
        </w:rPr>
      </w:pPr>
      <w:r>
        <w:rPr>
          <w:rStyle w:val="FootnoteReference"/>
        </w:rPr>
        <w:footnoteRef/>
      </w:r>
      <w:r>
        <w:t xml:space="preserve"> </w:t>
      </w:r>
      <w:r w:rsidRPr="002702E6">
        <w:rPr>
          <w:sz w:val="16"/>
        </w:rPr>
        <w:t>J. R. Lucas, The Princip</w:t>
      </w:r>
      <w:r>
        <w:rPr>
          <w:sz w:val="16"/>
        </w:rPr>
        <w:t xml:space="preserve">les of Politics (1966) (Oxford: </w:t>
      </w:r>
      <w:r w:rsidRPr="002702E6">
        <w:rPr>
          <w:sz w:val="16"/>
        </w:rPr>
        <w:t xml:space="preserve">Clarendon Press) at p57. </w:t>
      </w:r>
      <w:r>
        <w:rPr>
          <w:sz w:val="16"/>
        </w:rPr>
        <w:t xml:space="preserve">Coercion has more recently been </w:t>
      </w:r>
      <w:r w:rsidRPr="002702E6">
        <w:rPr>
          <w:sz w:val="16"/>
        </w:rPr>
        <w:t>defined as when “one perso</w:t>
      </w:r>
      <w:r>
        <w:rPr>
          <w:sz w:val="16"/>
        </w:rPr>
        <w:t xml:space="preserve">n intentionally uses a credible </w:t>
      </w:r>
      <w:r w:rsidRPr="002702E6">
        <w:rPr>
          <w:sz w:val="16"/>
        </w:rPr>
        <w:t xml:space="preserve">and severe threat of harm or </w:t>
      </w:r>
      <w:r>
        <w:rPr>
          <w:sz w:val="16"/>
        </w:rPr>
        <w:t xml:space="preserve">force to control another” in T. </w:t>
      </w:r>
      <w:r w:rsidRPr="002702E6">
        <w:rPr>
          <w:sz w:val="16"/>
        </w:rPr>
        <w:t xml:space="preserve">Beauchamp and J. Childress, </w:t>
      </w:r>
      <w:r>
        <w:rPr>
          <w:sz w:val="16"/>
        </w:rPr>
        <w:t xml:space="preserve">Principles of Biomedical Ethics </w:t>
      </w:r>
      <w:r w:rsidRPr="002702E6">
        <w:rPr>
          <w:sz w:val="16"/>
        </w:rPr>
        <w:t>(2001) 5th ed. (Oxford University Press, New York).</w:t>
      </w:r>
    </w:p>
  </w:footnote>
  <w:footnote w:id="85">
    <w:p w:rsidR="002702E6" w:rsidRPr="002702E6" w:rsidRDefault="002702E6" w:rsidP="002702E6">
      <w:pPr>
        <w:pStyle w:val="FootnoteText"/>
        <w:rPr>
          <w:sz w:val="16"/>
        </w:rPr>
      </w:pPr>
      <w:r>
        <w:rPr>
          <w:rStyle w:val="FootnoteReference"/>
        </w:rPr>
        <w:footnoteRef/>
      </w:r>
      <w:r>
        <w:t xml:space="preserve"> </w:t>
      </w:r>
      <w:r w:rsidRPr="002702E6">
        <w:rPr>
          <w:sz w:val="16"/>
        </w:rPr>
        <w:t>See S. Anders</w:t>
      </w:r>
      <w:r>
        <w:rPr>
          <w:sz w:val="16"/>
        </w:rPr>
        <w:t xml:space="preserve">on, Coercion (2006) in Stanford </w:t>
      </w:r>
      <w:r w:rsidRPr="002702E6">
        <w:rPr>
          <w:sz w:val="16"/>
        </w:rPr>
        <w:t>encyclope</w:t>
      </w:r>
      <w:r>
        <w:rPr>
          <w:sz w:val="16"/>
        </w:rPr>
        <w:t xml:space="preserve">dia of philosophy. Available at </w:t>
      </w:r>
      <w:r w:rsidRPr="002702E6">
        <w:rPr>
          <w:sz w:val="16"/>
        </w:rPr>
        <w:t>http://plato.stanford.edu/entries/coercion.</w:t>
      </w:r>
    </w:p>
  </w:footnote>
  <w:footnote w:id="86">
    <w:p w:rsidR="005B0014" w:rsidRPr="005B0014" w:rsidRDefault="00A8122F" w:rsidP="005B0014">
      <w:pPr>
        <w:pStyle w:val="FootnoteText"/>
        <w:rPr>
          <w:sz w:val="16"/>
        </w:rPr>
      </w:pPr>
      <w:r>
        <w:rPr>
          <w:rStyle w:val="FootnoteReference"/>
        </w:rPr>
        <w:footnoteRef/>
      </w:r>
      <w:r>
        <w:t xml:space="preserve"> </w:t>
      </w:r>
      <w:r w:rsidR="005B0014" w:rsidRPr="005B0014">
        <w:rPr>
          <w:sz w:val="16"/>
        </w:rPr>
        <w:t>G. Szmukler and P.S. A</w:t>
      </w:r>
      <w:r w:rsidR="005B0014">
        <w:rPr>
          <w:sz w:val="16"/>
        </w:rPr>
        <w:t xml:space="preserve">ppelbaum, ‘Treatment pressures, </w:t>
      </w:r>
      <w:r w:rsidR="005B0014" w:rsidRPr="005B0014">
        <w:rPr>
          <w:sz w:val="16"/>
        </w:rPr>
        <w:t>leverage, coercion, and compulsion in mental health care’</w:t>
      </w:r>
    </w:p>
    <w:p w:rsidR="00A8122F" w:rsidRPr="005B0014" w:rsidRDefault="005B0014" w:rsidP="005B0014">
      <w:pPr>
        <w:pStyle w:val="FootnoteText"/>
        <w:rPr>
          <w:sz w:val="16"/>
        </w:rPr>
      </w:pPr>
      <w:r w:rsidRPr="005B0014">
        <w:rPr>
          <w:sz w:val="16"/>
        </w:rPr>
        <w:t>(2008) 17(3) Journal of Mental Heal</w:t>
      </w:r>
      <w:r>
        <w:rPr>
          <w:sz w:val="16"/>
        </w:rPr>
        <w:t xml:space="preserve">th 233. See also R. </w:t>
      </w:r>
      <w:r w:rsidRPr="005B0014">
        <w:rPr>
          <w:sz w:val="16"/>
        </w:rPr>
        <w:t>Wynn, ‘Coercion in psychia</w:t>
      </w:r>
      <w:r>
        <w:rPr>
          <w:sz w:val="16"/>
        </w:rPr>
        <w:t xml:space="preserve">tric care: clinical, legal, and </w:t>
      </w:r>
      <w:r w:rsidRPr="005B0014">
        <w:rPr>
          <w:sz w:val="16"/>
        </w:rPr>
        <w:t>ethical controversies’ (20</w:t>
      </w:r>
      <w:r>
        <w:rPr>
          <w:sz w:val="16"/>
        </w:rPr>
        <w:t xml:space="preserve">06) 10(4) International Journal </w:t>
      </w:r>
      <w:r w:rsidRPr="005B0014">
        <w:rPr>
          <w:sz w:val="16"/>
        </w:rPr>
        <w:t>of Psychiatry in Clinical Practice 247</w:t>
      </w:r>
      <w:r>
        <w:t>.</w:t>
      </w:r>
    </w:p>
  </w:footnote>
  <w:footnote w:id="87">
    <w:p w:rsidR="00D77666" w:rsidRDefault="00D77666" w:rsidP="00D77666">
      <w:pPr>
        <w:pStyle w:val="FootnoteText"/>
      </w:pPr>
      <w:r>
        <w:rPr>
          <w:rStyle w:val="FootnoteReference"/>
        </w:rPr>
        <w:footnoteRef/>
      </w:r>
      <w:r>
        <w:t xml:space="preserve"> </w:t>
      </w:r>
      <w:r w:rsidRPr="00D77666">
        <w:rPr>
          <w:sz w:val="16"/>
        </w:rPr>
        <w:t xml:space="preserve">I. Berlin, The Crooked Timber of Humanity: Chapters in the History of Ideas (London: </w:t>
      </w:r>
      <w:r w:rsidRPr="00D77666">
        <w:rPr>
          <w:sz w:val="16"/>
        </w:rPr>
        <w:t xml:space="preserve">John Murray, 1990), p19 quoting </w:t>
      </w:r>
      <w:r w:rsidRPr="00D77666">
        <w:rPr>
          <w:sz w:val="16"/>
        </w:rPr>
        <w:t>I. Kant.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79D"/>
    <w:rsid w:val="000204AB"/>
    <w:rsid w:val="000542DA"/>
    <w:rsid w:val="000A7D8D"/>
    <w:rsid w:val="000B0F6E"/>
    <w:rsid w:val="000D2044"/>
    <w:rsid w:val="000D5071"/>
    <w:rsid w:val="0010298A"/>
    <w:rsid w:val="00116A88"/>
    <w:rsid w:val="00151529"/>
    <w:rsid w:val="00171394"/>
    <w:rsid w:val="00177DD7"/>
    <w:rsid w:val="001860F1"/>
    <w:rsid w:val="00186660"/>
    <w:rsid w:val="00195F74"/>
    <w:rsid w:val="001976A0"/>
    <w:rsid w:val="001A65AF"/>
    <w:rsid w:val="0020404C"/>
    <w:rsid w:val="00206069"/>
    <w:rsid w:val="002234CB"/>
    <w:rsid w:val="00233F40"/>
    <w:rsid w:val="00252659"/>
    <w:rsid w:val="002702E6"/>
    <w:rsid w:val="00275873"/>
    <w:rsid w:val="00285BCB"/>
    <w:rsid w:val="002C3709"/>
    <w:rsid w:val="002C42DF"/>
    <w:rsid w:val="002C454F"/>
    <w:rsid w:val="002C544E"/>
    <w:rsid w:val="003A71AA"/>
    <w:rsid w:val="003C46ED"/>
    <w:rsid w:val="004B6668"/>
    <w:rsid w:val="004C0770"/>
    <w:rsid w:val="004E739F"/>
    <w:rsid w:val="004F1251"/>
    <w:rsid w:val="004F6F79"/>
    <w:rsid w:val="00525916"/>
    <w:rsid w:val="00532CEA"/>
    <w:rsid w:val="00545B6F"/>
    <w:rsid w:val="00560279"/>
    <w:rsid w:val="00566DEE"/>
    <w:rsid w:val="00575C52"/>
    <w:rsid w:val="005A70B1"/>
    <w:rsid w:val="005B0014"/>
    <w:rsid w:val="005C1BB4"/>
    <w:rsid w:val="005C70E4"/>
    <w:rsid w:val="0063795A"/>
    <w:rsid w:val="00655B15"/>
    <w:rsid w:val="00685D65"/>
    <w:rsid w:val="00685DEB"/>
    <w:rsid w:val="006929A8"/>
    <w:rsid w:val="006A7E1F"/>
    <w:rsid w:val="0072779D"/>
    <w:rsid w:val="00746C48"/>
    <w:rsid w:val="00757A89"/>
    <w:rsid w:val="00764F95"/>
    <w:rsid w:val="007B5C77"/>
    <w:rsid w:val="007D7171"/>
    <w:rsid w:val="007E1E4E"/>
    <w:rsid w:val="007E3C62"/>
    <w:rsid w:val="00854AEC"/>
    <w:rsid w:val="00862F53"/>
    <w:rsid w:val="0087719C"/>
    <w:rsid w:val="008D7F19"/>
    <w:rsid w:val="00986840"/>
    <w:rsid w:val="009E12A3"/>
    <w:rsid w:val="009E5836"/>
    <w:rsid w:val="00A2747D"/>
    <w:rsid w:val="00A54B47"/>
    <w:rsid w:val="00A8122F"/>
    <w:rsid w:val="00AA0CC2"/>
    <w:rsid w:val="00AA2EF6"/>
    <w:rsid w:val="00AA77C0"/>
    <w:rsid w:val="00B04488"/>
    <w:rsid w:val="00B05E17"/>
    <w:rsid w:val="00B33106"/>
    <w:rsid w:val="00BA6552"/>
    <w:rsid w:val="00BA7980"/>
    <w:rsid w:val="00BC705C"/>
    <w:rsid w:val="00BD738C"/>
    <w:rsid w:val="00C34E05"/>
    <w:rsid w:val="00C37626"/>
    <w:rsid w:val="00C92341"/>
    <w:rsid w:val="00D13B3A"/>
    <w:rsid w:val="00D237C3"/>
    <w:rsid w:val="00D77666"/>
    <w:rsid w:val="00DB59DA"/>
    <w:rsid w:val="00DE5F14"/>
    <w:rsid w:val="00E1003F"/>
    <w:rsid w:val="00E10B06"/>
    <w:rsid w:val="00E35841"/>
    <w:rsid w:val="00E42B45"/>
    <w:rsid w:val="00EA6A6F"/>
    <w:rsid w:val="00EB2244"/>
    <w:rsid w:val="00EE57D1"/>
    <w:rsid w:val="00EF0B0D"/>
    <w:rsid w:val="00F423A5"/>
    <w:rsid w:val="00F73BCC"/>
    <w:rsid w:val="00FA6BB7"/>
    <w:rsid w:val="00FC1679"/>
    <w:rsid w:val="00FE2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45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454F"/>
    <w:rPr>
      <w:sz w:val="20"/>
      <w:szCs w:val="20"/>
    </w:rPr>
  </w:style>
  <w:style w:type="character" w:styleId="FootnoteReference">
    <w:name w:val="footnote reference"/>
    <w:basedOn w:val="DefaultParagraphFont"/>
    <w:uiPriority w:val="99"/>
    <w:semiHidden/>
    <w:unhideWhenUsed/>
    <w:rsid w:val="002C454F"/>
    <w:rPr>
      <w:vertAlign w:val="superscript"/>
    </w:rPr>
  </w:style>
  <w:style w:type="paragraph" w:styleId="NoSpacing">
    <w:name w:val="No Spacing"/>
    <w:uiPriority w:val="1"/>
    <w:qFormat/>
    <w:rsid w:val="00EA6A6F"/>
    <w:pPr>
      <w:spacing w:after="0" w:line="240" w:lineRule="auto"/>
    </w:pPr>
  </w:style>
  <w:style w:type="paragraph" w:styleId="EndnoteText">
    <w:name w:val="endnote text"/>
    <w:basedOn w:val="Normal"/>
    <w:link w:val="EndnoteTextChar"/>
    <w:uiPriority w:val="99"/>
    <w:semiHidden/>
    <w:unhideWhenUsed/>
    <w:rsid w:val="005A70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70B1"/>
    <w:rPr>
      <w:sz w:val="20"/>
      <w:szCs w:val="20"/>
    </w:rPr>
  </w:style>
  <w:style w:type="character" w:styleId="EndnoteReference">
    <w:name w:val="endnote reference"/>
    <w:basedOn w:val="DefaultParagraphFont"/>
    <w:uiPriority w:val="99"/>
    <w:semiHidden/>
    <w:unhideWhenUsed/>
    <w:rsid w:val="005A70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45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454F"/>
    <w:rPr>
      <w:sz w:val="20"/>
      <w:szCs w:val="20"/>
    </w:rPr>
  </w:style>
  <w:style w:type="character" w:styleId="FootnoteReference">
    <w:name w:val="footnote reference"/>
    <w:basedOn w:val="DefaultParagraphFont"/>
    <w:uiPriority w:val="99"/>
    <w:semiHidden/>
    <w:unhideWhenUsed/>
    <w:rsid w:val="002C454F"/>
    <w:rPr>
      <w:vertAlign w:val="superscript"/>
    </w:rPr>
  </w:style>
  <w:style w:type="paragraph" w:styleId="NoSpacing">
    <w:name w:val="No Spacing"/>
    <w:uiPriority w:val="1"/>
    <w:qFormat/>
    <w:rsid w:val="00EA6A6F"/>
    <w:pPr>
      <w:spacing w:after="0" w:line="240" w:lineRule="auto"/>
    </w:pPr>
  </w:style>
  <w:style w:type="paragraph" w:styleId="EndnoteText">
    <w:name w:val="endnote text"/>
    <w:basedOn w:val="Normal"/>
    <w:link w:val="EndnoteTextChar"/>
    <w:uiPriority w:val="99"/>
    <w:semiHidden/>
    <w:unhideWhenUsed/>
    <w:rsid w:val="005A70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70B1"/>
    <w:rPr>
      <w:sz w:val="20"/>
      <w:szCs w:val="20"/>
    </w:rPr>
  </w:style>
  <w:style w:type="character" w:styleId="EndnoteReference">
    <w:name w:val="endnote reference"/>
    <w:basedOn w:val="DefaultParagraphFont"/>
    <w:uiPriority w:val="99"/>
    <w:semiHidden/>
    <w:unhideWhenUsed/>
    <w:rsid w:val="005A70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18</Pages>
  <Words>5856</Words>
  <Characters>33380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100</cp:revision>
  <dcterms:created xsi:type="dcterms:W3CDTF">2014-11-10T16:07:00Z</dcterms:created>
  <dcterms:modified xsi:type="dcterms:W3CDTF">2014-11-11T15:31:00Z</dcterms:modified>
</cp:coreProperties>
</file>