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FF" w:rsidRDefault="007A2ED1" w:rsidP="007A2ED1">
      <w:pPr>
        <w:rPr>
          <w:sz w:val="56"/>
          <w:szCs w:val="56"/>
        </w:rPr>
      </w:pPr>
      <w:r>
        <w:rPr>
          <w:sz w:val="56"/>
          <w:szCs w:val="56"/>
        </w:rPr>
        <w:t xml:space="preserve">Expanded Liability for Psychiatrists: </w:t>
      </w:r>
      <w:r w:rsidRPr="007A2ED1">
        <w:rPr>
          <w:i/>
          <w:sz w:val="56"/>
          <w:szCs w:val="56"/>
        </w:rPr>
        <w:t>Tarasoff</w:t>
      </w:r>
      <w:r>
        <w:rPr>
          <w:sz w:val="56"/>
          <w:szCs w:val="56"/>
        </w:rPr>
        <w:t xml:space="preserve"> Gone Crazy?</w:t>
      </w:r>
      <w:r w:rsidRPr="007A2ED1">
        <w:rPr>
          <w:rStyle w:val="FootnoteReference"/>
          <w:sz w:val="40"/>
          <w:szCs w:val="40"/>
        </w:rPr>
        <w:footnoteReference w:id="1"/>
      </w:r>
    </w:p>
    <w:p w:rsidR="00A67624" w:rsidRDefault="00A67624" w:rsidP="007A2ED1">
      <w:r>
        <w:t>Michael Thomas</w:t>
      </w:r>
      <w:r>
        <w:rPr>
          <w:rStyle w:val="FootnoteReference"/>
        </w:rPr>
        <w:footnoteReference w:id="2"/>
      </w:r>
    </w:p>
    <w:p w:rsidR="0042136E" w:rsidRDefault="0042136E" w:rsidP="007A2ED1"/>
    <w:p w:rsidR="0042136E" w:rsidRPr="0042136E" w:rsidRDefault="0042136E" w:rsidP="0042136E">
      <w:pPr>
        <w:rPr>
          <w:b/>
        </w:rPr>
      </w:pPr>
      <w:r w:rsidRPr="0042136E">
        <w:rPr>
          <w:b/>
        </w:rPr>
        <w:t>INTRODUCTION</w:t>
      </w:r>
    </w:p>
    <w:p w:rsidR="0042136E" w:rsidRDefault="00E160D4" w:rsidP="0030282B">
      <w:pPr>
        <w:pStyle w:val="NoSpacing"/>
        <w:spacing w:line="360" w:lineRule="auto"/>
      </w:pPr>
      <w:r>
        <w:t xml:space="preserve">The </w:t>
      </w:r>
      <w:r w:rsidRPr="00E160D4">
        <w:rPr>
          <w:i/>
        </w:rPr>
        <w:t>Tarasoff</w:t>
      </w:r>
      <w:r w:rsidR="0042136E">
        <w:t xml:space="preserve"> </w:t>
      </w:r>
      <w:r>
        <w:rPr>
          <w:rStyle w:val="FootnoteReference"/>
        </w:rPr>
        <w:footnoteReference w:id="3"/>
      </w:r>
      <w:r>
        <w:t xml:space="preserve"> </w:t>
      </w:r>
      <w:r w:rsidR="0042136E">
        <w:t>decision has been branded “one of the most significant developments in medico-legal</w:t>
      </w:r>
    </w:p>
    <w:p w:rsidR="0030282B" w:rsidRDefault="0042136E" w:rsidP="0030282B">
      <w:pPr>
        <w:pStyle w:val="NoSpacing"/>
        <w:spacing w:line="360" w:lineRule="auto"/>
      </w:pPr>
      <w:r>
        <w:t>jurisprudence of the past century”.</w:t>
      </w:r>
      <w:r w:rsidR="00CE6B62">
        <w:rPr>
          <w:rStyle w:val="FootnoteReference"/>
        </w:rPr>
        <w:footnoteReference w:id="4"/>
      </w:r>
      <w:r>
        <w:t xml:space="preserve"> For the first time, a court held that psychotherapists have a </w:t>
      </w:r>
    </w:p>
    <w:p w:rsidR="0030282B" w:rsidRDefault="0030282B" w:rsidP="0030282B">
      <w:pPr>
        <w:pStyle w:val="NoSpacing"/>
        <w:spacing w:line="360" w:lineRule="auto"/>
      </w:pPr>
      <w:r>
        <w:t xml:space="preserve">duty to </w:t>
      </w:r>
      <w:r w:rsidR="0042136E">
        <w:t>protect third parties from patients who pose a serious danger of violence to others.</w:t>
      </w:r>
      <w:r w:rsidR="00CE6B62">
        <w:rPr>
          <w:rStyle w:val="FootnoteReference"/>
        </w:rPr>
        <w:footnoteReference w:id="5"/>
      </w:r>
      <w:r w:rsidR="0042136E">
        <w:t xml:space="preserve"> That </w:t>
      </w:r>
    </w:p>
    <w:p w:rsidR="0042136E" w:rsidRDefault="00E160D4" w:rsidP="0030282B">
      <w:pPr>
        <w:pStyle w:val="NoSpacing"/>
        <w:spacing w:line="360" w:lineRule="auto"/>
      </w:pPr>
      <w:r>
        <w:t xml:space="preserve">ruling of the </w:t>
      </w:r>
      <w:r w:rsidR="0042136E">
        <w:t>Supreme Court of California has generated a great deal of litigation a</w:t>
      </w:r>
      <w:r w:rsidR="00CE6B62">
        <w:t xml:space="preserve">nd controversy. Decision-makers </w:t>
      </w:r>
      <w:r w:rsidR="0042136E">
        <w:t>and commentators remain divided on the wisdom and proper application of Tarasoff.</w:t>
      </w:r>
      <w:r w:rsidR="00CE6B62">
        <w:rPr>
          <w:rStyle w:val="FootnoteReference"/>
        </w:rPr>
        <w:footnoteReference w:id="6"/>
      </w:r>
      <w:r w:rsidR="0042136E">
        <w:t xml:space="preserve"> The </w:t>
      </w:r>
      <w:r w:rsidR="00CE6B62">
        <w:t xml:space="preserve">decision </w:t>
      </w:r>
      <w:r w:rsidR="0042136E">
        <w:t>continues to be the subject of significant debate both within the United States and abroad.</w:t>
      </w:r>
    </w:p>
    <w:p w:rsidR="0030282B" w:rsidRDefault="0030282B" w:rsidP="0030282B">
      <w:pPr>
        <w:pStyle w:val="NoSpacing"/>
        <w:spacing w:line="360" w:lineRule="auto"/>
      </w:pPr>
    </w:p>
    <w:p w:rsidR="0042136E" w:rsidRDefault="0042136E" w:rsidP="0030282B">
      <w:pPr>
        <w:pStyle w:val="NoSpacing"/>
        <w:spacing w:line="360" w:lineRule="auto"/>
      </w:pPr>
      <w:r>
        <w:t xml:space="preserve">This paper is intended to serve as an update for psychiatrists on notable developments of the </w:t>
      </w:r>
      <w:r w:rsidRPr="00AB079C">
        <w:rPr>
          <w:i/>
        </w:rPr>
        <w:t>Tarasoff</w:t>
      </w:r>
      <w:r w:rsidR="00AB079C">
        <w:t xml:space="preserve"> </w:t>
      </w:r>
      <w:r>
        <w:t>doctrine in the United States and United Kingdom. Most clinicians will be f</w:t>
      </w:r>
      <w:r w:rsidR="00AB079C">
        <w:t xml:space="preserve">amiliar with the basic </w:t>
      </w:r>
      <w:r w:rsidR="00AB079C" w:rsidRPr="00AB079C">
        <w:rPr>
          <w:i/>
        </w:rPr>
        <w:t>Tarasoff</w:t>
      </w:r>
      <w:r w:rsidR="00AB079C">
        <w:t xml:space="preserve"> </w:t>
      </w:r>
      <w:r>
        <w:t>doctrine. However, the author suspects that many clinicians will be troubl</w:t>
      </w:r>
      <w:r w:rsidR="00AB079C">
        <w:t xml:space="preserve">ed to learn the extent to which </w:t>
      </w:r>
      <w:r w:rsidRPr="00AB079C">
        <w:rPr>
          <w:i/>
        </w:rPr>
        <w:t>Tarasoff</w:t>
      </w:r>
      <w:r>
        <w:t xml:space="preserve"> liability has extended in some jurisdictions.</w:t>
      </w:r>
    </w:p>
    <w:p w:rsidR="00AB079C" w:rsidRDefault="00AB079C" w:rsidP="0030282B">
      <w:pPr>
        <w:pStyle w:val="NoSpacing"/>
        <w:spacing w:line="360" w:lineRule="auto"/>
      </w:pPr>
    </w:p>
    <w:p w:rsidR="0042136E" w:rsidRDefault="0042136E" w:rsidP="0030282B">
      <w:pPr>
        <w:pStyle w:val="NoSpacing"/>
        <w:spacing w:line="360" w:lineRule="auto"/>
      </w:pPr>
      <w:r>
        <w:t>Accordingly, the first part of this paper addresses notable judicial treatme</w:t>
      </w:r>
      <w:r w:rsidR="009E4993">
        <w:t xml:space="preserve">nt of </w:t>
      </w:r>
      <w:r w:rsidR="009E4993" w:rsidRPr="009E4993">
        <w:rPr>
          <w:i/>
        </w:rPr>
        <w:t>Tarasoff</w:t>
      </w:r>
      <w:r w:rsidR="009E4993">
        <w:t xml:space="preserve"> in several state </w:t>
      </w:r>
      <w:r>
        <w:t>jurisdictions within the United States. The second part discusses the mo</w:t>
      </w:r>
      <w:r w:rsidR="009E4993">
        <w:t xml:space="preserve">re conservative approach of the </w:t>
      </w:r>
      <w:r>
        <w:t>United Kingdom, which affords clinicians discretion to warn potential victims in cer</w:t>
      </w:r>
      <w:r w:rsidR="009E4993">
        <w:t xml:space="preserve">tain circumstances. </w:t>
      </w:r>
      <w:r>
        <w:t>The United Kingdom has struggled with, and so far rejected, the impositi</w:t>
      </w:r>
      <w:r w:rsidR="009E4993">
        <w:t xml:space="preserve">on of a </w:t>
      </w:r>
      <w:r w:rsidR="009E4993" w:rsidRPr="006317B4">
        <w:rPr>
          <w:i/>
        </w:rPr>
        <w:t>Tarasoff</w:t>
      </w:r>
      <w:r w:rsidR="009E4993">
        <w:t xml:space="preserve">-duty. However, </w:t>
      </w:r>
      <w:r>
        <w:t>a recent decision of the European Court of Human Rights opens the d</w:t>
      </w:r>
      <w:r w:rsidR="009E4993">
        <w:t xml:space="preserve">oor for something comparable to </w:t>
      </w:r>
      <w:r w:rsidR="009E4993" w:rsidRPr="006317B4">
        <w:rPr>
          <w:i/>
        </w:rPr>
        <w:t xml:space="preserve">Tarasoff </w:t>
      </w:r>
      <w:r w:rsidR="009E4993">
        <w:t>in the United Kingdom.</w:t>
      </w:r>
      <w:r w:rsidR="009E4993">
        <w:rPr>
          <w:rStyle w:val="FootnoteReference"/>
        </w:rPr>
        <w:footnoteReference w:id="7"/>
      </w:r>
      <w:r>
        <w:t xml:space="preserve"> The final part offers a critique of the </w:t>
      </w:r>
      <w:r w:rsidRPr="006317B4">
        <w:rPr>
          <w:i/>
        </w:rPr>
        <w:lastRenderedPageBreak/>
        <w:t>Tara</w:t>
      </w:r>
      <w:r w:rsidR="009E4993" w:rsidRPr="006317B4">
        <w:rPr>
          <w:i/>
        </w:rPr>
        <w:t xml:space="preserve">soff </w:t>
      </w:r>
      <w:r w:rsidR="009E4993">
        <w:t xml:space="preserve">doctrine and suggests that </w:t>
      </w:r>
      <w:r>
        <w:t>other jurisdictions, including the United Kingdom, may be wise to avoid this problematic doctrine</w:t>
      </w:r>
      <w:r w:rsidR="009E4993">
        <w:t>.</w:t>
      </w:r>
    </w:p>
    <w:p w:rsidR="009819EE" w:rsidRDefault="009819EE" w:rsidP="0030282B">
      <w:pPr>
        <w:pStyle w:val="NoSpacing"/>
        <w:spacing w:line="360" w:lineRule="auto"/>
      </w:pPr>
    </w:p>
    <w:p w:rsidR="009819EE" w:rsidRPr="009819EE" w:rsidRDefault="009819EE" w:rsidP="009819EE">
      <w:pPr>
        <w:pStyle w:val="NoSpacing"/>
        <w:spacing w:line="360" w:lineRule="auto"/>
        <w:rPr>
          <w:b/>
        </w:rPr>
      </w:pPr>
      <w:r w:rsidRPr="009819EE">
        <w:rPr>
          <w:b/>
        </w:rPr>
        <w:t>PART ONE: THE UNITED STATES</w:t>
      </w:r>
    </w:p>
    <w:p w:rsidR="009819EE" w:rsidRDefault="009819EE" w:rsidP="009819EE">
      <w:pPr>
        <w:pStyle w:val="NoSpacing"/>
        <w:spacing w:line="360" w:lineRule="auto"/>
      </w:pPr>
      <w:r>
        <w:t xml:space="preserve">Before considering the development of the </w:t>
      </w:r>
      <w:r w:rsidRPr="00D657AC">
        <w:rPr>
          <w:i/>
        </w:rPr>
        <w:t xml:space="preserve">Tarasoff </w:t>
      </w:r>
      <w:r>
        <w:t>doctrine, it is worth brie</w:t>
      </w:r>
      <w:r w:rsidR="00D657AC">
        <w:t xml:space="preserve">fly revisiting some key aspects </w:t>
      </w:r>
      <w:r>
        <w:t xml:space="preserve">of the </w:t>
      </w:r>
      <w:r w:rsidRPr="00D657AC">
        <w:rPr>
          <w:i/>
        </w:rPr>
        <w:t>Tarasoff</w:t>
      </w:r>
      <w:r>
        <w:t xml:space="preserve"> judgment.</w:t>
      </w:r>
    </w:p>
    <w:p w:rsidR="00D657AC" w:rsidRDefault="00D657AC" w:rsidP="009819EE">
      <w:pPr>
        <w:pStyle w:val="NoSpacing"/>
        <w:spacing w:line="360" w:lineRule="auto"/>
      </w:pPr>
    </w:p>
    <w:p w:rsidR="009819EE" w:rsidRPr="00D657AC" w:rsidRDefault="009819EE" w:rsidP="009819EE">
      <w:pPr>
        <w:pStyle w:val="NoSpacing"/>
        <w:spacing w:line="360" w:lineRule="auto"/>
        <w:rPr>
          <w:b/>
        </w:rPr>
      </w:pPr>
      <w:r w:rsidRPr="00D657AC">
        <w:rPr>
          <w:b/>
        </w:rPr>
        <w:t>A duty to protect</w:t>
      </w:r>
    </w:p>
    <w:p w:rsidR="009819EE" w:rsidRDefault="009819EE" w:rsidP="009819EE">
      <w:pPr>
        <w:pStyle w:val="NoSpacing"/>
        <w:spacing w:line="360" w:lineRule="auto"/>
      </w:pPr>
      <w:r>
        <w:t xml:space="preserve">Mental health professionals worldwide will be familiar with the protective </w:t>
      </w:r>
      <w:r w:rsidR="0082794D">
        <w:t xml:space="preserve">duty fashioned by Tobriner J in </w:t>
      </w:r>
      <w:r w:rsidRPr="0082794D">
        <w:rPr>
          <w:i/>
        </w:rPr>
        <w:t>Tarasoff</w:t>
      </w:r>
      <w:r>
        <w:t>:</w:t>
      </w:r>
    </w:p>
    <w:p w:rsidR="0082794D" w:rsidRDefault="0082794D" w:rsidP="009819EE">
      <w:pPr>
        <w:pStyle w:val="NoSpacing"/>
        <w:spacing w:line="360" w:lineRule="auto"/>
      </w:pPr>
    </w:p>
    <w:p w:rsidR="009819EE" w:rsidRDefault="009819EE" w:rsidP="0082794D">
      <w:pPr>
        <w:pStyle w:val="NoSpacing"/>
        <w:spacing w:line="360" w:lineRule="auto"/>
        <w:ind w:left="284"/>
      </w:pPr>
      <w:r w:rsidRPr="0082794D">
        <w:rPr>
          <w:i/>
        </w:rPr>
        <w:t>Once a therapist does in fact determine, or under applicable professio</w:t>
      </w:r>
      <w:r w:rsidR="0082794D" w:rsidRPr="0082794D">
        <w:rPr>
          <w:i/>
        </w:rPr>
        <w:t xml:space="preserve">nal standards reasonably should </w:t>
      </w:r>
      <w:r w:rsidRPr="0082794D">
        <w:rPr>
          <w:i/>
        </w:rPr>
        <w:t>have determined, that a patient poses a serious danger of violence to others, he bears a duty to e</w:t>
      </w:r>
      <w:r w:rsidR="0082794D" w:rsidRPr="0082794D">
        <w:rPr>
          <w:i/>
        </w:rPr>
        <w:t xml:space="preserve">xercise </w:t>
      </w:r>
      <w:r w:rsidRPr="0082794D">
        <w:rPr>
          <w:i/>
        </w:rPr>
        <w:t>reasonable care to protect the foreseeable victim of that danger</w:t>
      </w:r>
      <w:r w:rsidR="0082794D">
        <w:t>.</w:t>
      </w:r>
      <w:r w:rsidR="0082794D">
        <w:rPr>
          <w:rStyle w:val="FootnoteReference"/>
        </w:rPr>
        <w:footnoteReference w:id="8"/>
      </w:r>
    </w:p>
    <w:p w:rsidR="0082794D" w:rsidRDefault="0082794D" w:rsidP="009819EE">
      <w:pPr>
        <w:pStyle w:val="NoSpacing"/>
        <w:spacing w:line="360" w:lineRule="auto"/>
      </w:pPr>
    </w:p>
    <w:p w:rsidR="009819EE" w:rsidRDefault="009819EE" w:rsidP="009819EE">
      <w:pPr>
        <w:pStyle w:val="NoSpacing"/>
        <w:spacing w:line="360" w:lineRule="auto"/>
      </w:pPr>
      <w:r>
        <w:t xml:space="preserve">Essentially, the </w:t>
      </w:r>
      <w:r w:rsidRPr="00A80627">
        <w:rPr>
          <w:i/>
        </w:rPr>
        <w:t>Tarasoff</w:t>
      </w:r>
      <w:r>
        <w:t xml:space="preserve"> Court weighed the public interest in confidentia</w:t>
      </w:r>
      <w:r w:rsidR="009E6D78">
        <w:t xml:space="preserve">lity and effective treatment of </w:t>
      </w:r>
      <w:r>
        <w:t>mental illness against the public interest in safety from violent assault.</w:t>
      </w:r>
      <w:r w:rsidR="009E6D78">
        <w:rPr>
          <w:rStyle w:val="FootnoteReference"/>
        </w:rPr>
        <w:footnoteReference w:id="9"/>
      </w:r>
      <w:r>
        <w:t xml:space="preserve"> </w:t>
      </w:r>
      <w:r w:rsidR="009E6D78">
        <w:t xml:space="preserve"> </w:t>
      </w:r>
      <w:r>
        <w:t>The majority concluded:</w:t>
      </w:r>
    </w:p>
    <w:p w:rsidR="009819EE" w:rsidRDefault="009819EE" w:rsidP="009819EE">
      <w:pPr>
        <w:pStyle w:val="NoSpacing"/>
        <w:spacing w:line="360" w:lineRule="auto"/>
      </w:pPr>
      <w:r>
        <w:t>“The public policy favoring protection of the confidential character of patient-psychotherapist</w:t>
      </w:r>
    </w:p>
    <w:p w:rsidR="009819EE" w:rsidRDefault="009819EE" w:rsidP="009819EE">
      <w:pPr>
        <w:pStyle w:val="NoSpacing"/>
        <w:spacing w:line="360" w:lineRule="auto"/>
      </w:pPr>
      <w:r>
        <w:t>communications must yield to the extent to which disclosure is essential</w:t>
      </w:r>
      <w:r w:rsidR="009E6D78">
        <w:t xml:space="preserve"> to avert danger to others. The </w:t>
      </w:r>
      <w:r>
        <w:t>protective privilege ends where the public peril begins”.</w:t>
      </w:r>
      <w:r w:rsidR="009E6D78">
        <w:rPr>
          <w:rStyle w:val="FootnoteReference"/>
        </w:rPr>
        <w:footnoteReference w:id="10"/>
      </w:r>
      <w:r>
        <w:t xml:space="preserve"> The majori</w:t>
      </w:r>
      <w:r w:rsidR="009E6D78">
        <w:t xml:space="preserve">ty’s rationale for creating the </w:t>
      </w:r>
      <w:r>
        <w:t>protective duty was: “In this risk-infested society we can hardly tolerate</w:t>
      </w:r>
      <w:r w:rsidR="009E6D78">
        <w:t xml:space="preserve"> the further exposure to danger </w:t>
      </w:r>
      <w:r>
        <w:t xml:space="preserve">that would result from a concealed knowledge of the therapist that his patient </w:t>
      </w:r>
      <w:r w:rsidR="009E6D78">
        <w:t>was lethal”.</w:t>
      </w:r>
      <w:r w:rsidR="009E6D78">
        <w:rPr>
          <w:rStyle w:val="FootnoteReference"/>
        </w:rPr>
        <w:footnoteReference w:id="11"/>
      </w:r>
      <w:r w:rsidR="009E6D78">
        <w:t xml:space="preserve"> Thus, the </w:t>
      </w:r>
      <w:r>
        <w:t>duty was created to protect third persons from serious harm</w:t>
      </w:r>
      <w:r w:rsidR="009E6D78">
        <w:t xml:space="preserve"> caused by dangerous patients.</w:t>
      </w:r>
      <w:r w:rsidR="009E6D78">
        <w:rPr>
          <w:rStyle w:val="FootnoteReference"/>
        </w:rPr>
        <w:footnoteReference w:id="12"/>
      </w:r>
    </w:p>
    <w:p w:rsidR="009E6D78" w:rsidRPr="009E6D78" w:rsidRDefault="009E6D78" w:rsidP="009819EE">
      <w:pPr>
        <w:pStyle w:val="NoSpacing"/>
        <w:spacing w:line="360" w:lineRule="auto"/>
        <w:rPr>
          <w:b/>
        </w:rPr>
      </w:pPr>
    </w:p>
    <w:p w:rsidR="009819EE" w:rsidRPr="009E6D78" w:rsidRDefault="009819EE" w:rsidP="009819EE">
      <w:pPr>
        <w:pStyle w:val="NoSpacing"/>
        <w:spacing w:line="360" w:lineRule="auto"/>
        <w:rPr>
          <w:b/>
        </w:rPr>
      </w:pPr>
      <w:r w:rsidRPr="009E6D78">
        <w:rPr>
          <w:b/>
        </w:rPr>
        <w:t>The “special relationship”</w:t>
      </w:r>
    </w:p>
    <w:p w:rsidR="009819EE" w:rsidRDefault="009819EE" w:rsidP="009819EE">
      <w:pPr>
        <w:pStyle w:val="NoSpacing"/>
        <w:spacing w:line="360" w:lineRule="auto"/>
      </w:pPr>
      <w:r>
        <w:t>It is noteworthy that the duty of care found to exist in Tarasoff, and which is central to the Court’s</w:t>
      </w:r>
    </w:p>
    <w:p w:rsidR="009819EE" w:rsidRDefault="009819EE" w:rsidP="009819EE">
      <w:pPr>
        <w:pStyle w:val="NoSpacing"/>
        <w:spacing w:line="360" w:lineRule="auto"/>
      </w:pPr>
      <w:r>
        <w:t>conclusion, is exceptional to the common law. It is a general rule of t</w:t>
      </w:r>
      <w:r w:rsidR="00063151">
        <w:t xml:space="preserve">he common law that one does not </w:t>
      </w:r>
      <w:r>
        <w:t>owe a duty to control the conduct of another, or to warn thos</w:t>
      </w:r>
      <w:r w:rsidR="00063151">
        <w:t>e endangered by such conduct.</w:t>
      </w:r>
      <w:r w:rsidR="00063151">
        <w:rPr>
          <w:rStyle w:val="FootnoteReference"/>
        </w:rPr>
        <w:footnoteReference w:id="13"/>
      </w:r>
      <w:r>
        <w:t>At</w:t>
      </w:r>
    </w:p>
    <w:p w:rsidR="009819EE" w:rsidRDefault="009819EE" w:rsidP="009819EE">
      <w:pPr>
        <w:pStyle w:val="NoSpacing"/>
        <w:spacing w:line="360" w:lineRule="auto"/>
      </w:pPr>
      <w:r>
        <w:lastRenderedPageBreak/>
        <w:t>common law there is no general duty to prevent others from suffering fo</w:t>
      </w:r>
      <w:r w:rsidR="003505AB">
        <w:t xml:space="preserve">reseeable loss or damage caused </w:t>
      </w:r>
      <w:r>
        <w:t>by the deliberate wrongdoing of third parties.</w:t>
      </w:r>
      <w:r w:rsidR="003505AB">
        <w:rPr>
          <w:rStyle w:val="FootnoteReference"/>
        </w:rPr>
        <w:footnoteReference w:id="14"/>
      </w:r>
      <w:r>
        <w:t xml:space="preserve"> For example, there is no </w:t>
      </w:r>
      <w:r w:rsidR="003505AB">
        <w:t xml:space="preserve">legal obligation on a bystander </w:t>
      </w:r>
      <w:r>
        <w:t>to intervene to prevent a murder. The fundamental reason is that the co</w:t>
      </w:r>
      <w:r w:rsidR="003505AB">
        <w:t xml:space="preserve">mmon law is reluctant to impose </w:t>
      </w:r>
      <w:r>
        <w:t>liability for “pure omissions” to act.</w:t>
      </w:r>
      <w:r w:rsidR="003505AB">
        <w:rPr>
          <w:rStyle w:val="FootnoteReference"/>
        </w:rPr>
        <w:footnoteReference w:id="15"/>
      </w:r>
      <w:r>
        <w:t xml:space="preserve"> Nonetheless, some exceptions have</w:t>
      </w:r>
      <w:r w:rsidR="003505AB">
        <w:t xml:space="preserve"> been carved out of the general </w:t>
      </w:r>
      <w:r>
        <w:t>rule.</w:t>
      </w:r>
    </w:p>
    <w:p w:rsidR="003505AB" w:rsidRDefault="003505AB" w:rsidP="009819EE">
      <w:pPr>
        <w:pStyle w:val="NoSpacing"/>
        <w:spacing w:line="360" w:lineRule="auto"/>
      </w:pPr>
    </w:p>
    <w:p w:rsidR="009819EE" w:rsidRDefault="009819EE" w:rsidP="009819EE">
      <w:pPr>
        <w:pStyle w:val="NoSpacing"/>
        <w:spacing w:line="360" w:lineRule="auto"/>
      </w:pPr>
      <w:r>
        <w:t xml:space="preserve">In </w:t>
      </w:r>
      <w:r w:rsidRPr="003E696C">
        <w:rPr>
          <w:i/>
        </w:rPr>
        <w:t>Tarasoff</w:t>
      </w:r>
      <w:r>
        <w:t xml:space="preserve">, the Supreme Court stated that an exception exists when a </w:t>
      </w:r>
      <w:r w:rsidR="003E696C">
        <w:t xml:space="preserve">defendant therapist stands in a </w:t>
      </w:r>
      <w:r>
        <w:t>special relationship either with the wrongdoer, or the foreseeable victim.</w:t>
      </w:r>
      <w:r w:rsidR="003E696C">
        <w:rPr>
          <w:rStyle w:val="FootnoteReference"/>
        </w:rPr>
        <w:footnoteReference w:id="16"/>
      </w:r>
      <w:r w:rsidR="00DC1EF9">
        <w:t xml:space="preserve"> The Court held that there is </w:t>
      </w:r>
      <w:r>
        <w:t xml:space="preserve">such a “special relationship” between a patient and therapist, sufficient to </w:t>
      </w:r>
      <w:r w:rsidR="00DC1EF9">
        <w:t xml:space="preserve">support the existence of a duty </w:t>
      </w:r>
      <w:r>
        <w:t>to protect foreseeable victims. The Court’s construction of this duty is central to</w:t>
      </w:r>
      <w:r w:rsidR="00DC1EF9">
        <w:t xml:space="preserve"> its conclusion of liability </w:t>
      </w:r>
      <w:r>
        <w:t>against the therapist.</w:t>
      </w:r>
    </w:p>
    <w:p w:rsidR="00DC1EF9" w:rsidRDefault="00DC1EF9" w:rsidP="009819EE">
      <w:pPr>
        <w:pStyle w:val="NoSpacing"/>
        <w:spacing w:line="360" w:lineRule="auto"/>
      </w:pPr>
    </w:p>
    <w:p w:rsidR="009819EE" w:rsidRDefault="009819EE" w:rsidP="00E537E2">
      <w:pPr>
        <w:pStyle w:val="NoSpacing"/>
        <w:spacing w:line="360" w:lineRule="auto"/>
      </w:pPr>
      <w:r>
        <w:t>In a critical passage of reasoning, the majority held that the doctor-pati</w:t>
      </w:r>
      <w:r w:rsidR="00DC1EF9">
        <w:t xml:space="preserve">ent relationship was a “special </w:t>
      </w:r>
      <w:r>
        <w:t>relationship” sufficient to support the existence of a duty to exercise reasonable care to protect</w:t>
      </w:r>
      <w:r w:rsidR="00DC1EF9">
        <w:t xml:space="preserve"> others </w:t>
      </w:r>
      <w:r>
        <w:t>from dangers emanating from the patient’s illness.</w:t>
      </w:r>
      <w:r w:rsidR="00DC1EF9">
        <w:rPr>
          <w:rStyle w:val="FootnoteReference"/>
        </w:rPr>
        <w:footnoteReference w:id="17"/>
      </w:r>
      <w:r>
        <w:t xml:space="preserve"> The Court stated that therapy alone is sufficiently</w:t>
      </w:r>
      <w:r w:rsidR="00E537E2">
        <w:t xml:space="preserve"> controlling for a duty to exist when the patient’s potential for violence to another is foreseeable.</w:t>
      </w:r>
      <w:r w:rsidR="00E537E2">
        <w:rPr>
          <w:rStyle w:val="FootnoteReference"/>
        </w:rPr>
        <w:footnoteReference w:id="18"/>
      </w:r>
      <w:r w:rsidR="00E537E2">
        <w:t xml:space="preserve"> The Court did not require either a verbal threat from the patient, or control through hospitalisation, for the duty to be triggered.</w:t>
      </w:r>
      <w:r w:rsidR="00E537E2">
        <w:rPr>
          <w:rStyle w:val="FootnoteReference"/>
        </w:rPr>
        <w:footnoteReference w:id="19"/>
      </w:r>
    </w:p>
    <w:p w:rsidR="009E57A5" w:rsidRDefault="009E57A5" w:rsidP="00E537E2">
      <w:pPr>
        <w:pStyle w:val="NoSpacing"/>
        <w:spacing w:line="360" w:lineRule="auto"/>
      </w:pPr>
    </w:p>
    <w:p w:rsidR="009E57A5" w:rsidRPr="009E57A5" w:rsidRDefault="009E57A5" w:rsidP="009E57A5">
      <w:pPr>
        <w:pStyle w:val="NoSpacing"/>
        <w:spacing w:line="360" w:lineRule="auto"/>
        <w:rPr>
          <w:b/>
        </w:rPr>
      </w:pPr>
      <w:r w:rsidRPr="009E57A5">
        <w:rPr>
          <w:b/>
        </w:rPr>
        <w:t>“Reasonably necessary” steps</w:t>
      </w:r>
    </w:p>
    <w:p w:rsidR="009E57A5" w:rsidRDefault="009E57A5" w:rsidP="009E57A5">
      <w:pPr>
        <w:pStyle w:val="NoSpacing"/>
        <w:spacing w:line="360" w:lineRule="auto"/>
      </w:pPr>
      <w:r>
        <w:t>The Court stated that the protective duty may require a therapist to take various steps depending on the facts of the individual case: “Thus it may call for him to warn the intended victim or others likely to apprise the victim of the danger, to notify the police, or to take whatever other steps are reasonably necessary under the circumstances”.</w:t>
      </w:r>
      <w:r>
        <w:rPr>
          <w:rStyle w:val="FootnoteReference"/>
        </w:rPr>
        <w:footnoteReference w:id="20"/>
      </w:r>
    </w:p>
    <w:p w:rsidR="009550B3" w:rsidRDefault="009550B3" w:rsidP="009550B3">
      <w:pPr>
        <w:pStyle w:val="NoSpacing"/>
        <w:spacing w:line="360" w:lineRule="auto"/>
      </w:pPr>
    </w:p>
    <w:p w:rsidR="009550B3" w:rsidRDefault="009550B3" w:rsidP="009550B3">
      <w:pPr>
        <w:pStyle w:val="NoSpacing"/>
        <w:spacing w:line="360" w:lineRule="auto"/>
      </w:pPr>
      <w:r>
        <w:t>The Court’s ruling leaves open to interpretation what actions would discharge the duty to protect an</w:t>
      </w:r>
    </w:p>
    <w:p w:rsidR="009550B3" w:rsidRDefault="009550B3" w:rsidP="009550B3">
      <w:pPr>
        <w:pStyle w:val="NoSpacing"/>
        <w:spacing w:line="360" w:lineRule="auto"/>
      </w:pPr>
      <w:proofErr w:type="gramStart"/>
      <w:r>
        <w:t>intended</w:t>
      </w:r>
      <w:proofErr w:type="gramEnd"/>
      <w:r>
        <w:t xml:space="preserve"> victim.</w:t>
      </w:r>
      <w:r>
        <w:rPr>
          <w:rStyle w:val="FootnoteReference"/>
        </w:rPr>
        <w:footnoteReference w:id="21"/>
      </w:r>
      <w:r>
        <w:t xml:space="preserve"> Thus, even if a therapist unequivocally warns a third party of threats made by a</w:t>
      </w:r>
    </w:p>
    <w:p w:rsidR="009550B3" w:rsidRDefault="009550B3" w:rsidP="009550B3">
      <w:pPr>
        <w:pStyle w:val="NoSpacing"/>
        <w:spacing w:line="360" w:lineRule="auto"/>
      </w:pPr>
      <w:r>
        <w:lastRenderedPageBreak/>
        <w:t>patient, if harm ensues a court may still hold that a therapist has failed to take sufficient steps to protect the victim.</w:t>
      </w:r>
    </w:p>
    <w:p w:rsidR="004C610C" w:rsidRDefault="004C610C" w:rsidP="009550B3">
      <w:pPr>
        <w:pStyle w:val="NoSpacing"/>
        <w:spacing w:line="360" w:lineRule="auto"/>
      </w:pPr>
    </w:p>
    <w:p w:rsidR="004C610C" w:rsidRDefault="004C610C" w:rsidP="004C610C">
      <w:pPr>
        <w:pStyle w:val="NoSpacing"/>
        <w:spacing w:line="360" w:lineRule="auto"/>
      </w:pPr>
      <w:r>
        <w:t>Chaimowitz states that while the purpose of informing or warning is to protect, in some situations a</w:t>
      </w:r>
    </w:p>
    <w:p w:rsidR="004C610C" w:rsidRDefault="004C610C" w:rsidP="004C610C">
      <w:pPr>
        <w:pStyle w:val="NoSpacing"/>
        <w:spacing w:line="360" w:lineRule="auto"/>
      </w:pPr>
      <w:proofErr w:type="gramStart"/>
      <w:r>
        <w:t>warning</w:t>
      </w:r>
      <w:proofErr w:type="gramEnd"/>
      <w:r>
        <w:t xml:space="preserve"> may be insufficient, or even increase the risk to the victim.</w:t>
      </w:r>
      <w:r>
        <w:rPr>
          <w:rStyle w:val="FootnoteReference"/>
        </w:rPr>
        <w:footnoteReference w:id="22"/>
      </w:r>
      <w:r>
        <w:t xml:space="preserve"> Similarly, Appelbaum states that warnings are of “dubious utility”</w:t>
      </w:r>
      <w:r>
        <w:rPr>
          <w:rStyle w:val="FootnoteReference"/>
        </w:rPr>
        <w:footnoteReference w:id="23"/>
      </w:r>
      <w:r>
        <w:t xml:space="preserve"> and notes that the </w:t>
      </w:r>
      <w:r w:rsidRPr="00AB2611">
        <w:rPr>
          <w:i/>
        </w:rPr>
        <w:t>Tarasoff</w:t>
      </w:r>
      <w:r>
        <w:t xml:space="preserve"> doctrine grants considerable scope to clinicians in the selection of a course of action that would protect potential victims:</w:t>
      </w:r>
    </w:p>
    <w:p w:rsidR="009E57A5" w:rsidRDefault="009E57A5" w:rsidP="00E537E2">
      <w:pPr>
        <w:pStyle w:val="NoSpacing"/>
        <w:spacing w:line="360" w:lineRule="auto"/>
      </w:pPr>
    </w:p>
    <w:p w:rsidR="009E57A5" w:rsidRDefault="00F969EA" w:rsidP="00C2521D">
      <w:pPr>
        <w:pStyle w:val="NoSpacing"/>
        <w:spacing w:line="360" w:lineRule="auto"/>
        <w:ind w:left="426"/>
      </w:pPr>
      <w:r>
        <w:t xml:space="preserve">Although the first </w:t>
      </w:r>
      <w:r w:rsidRPr="00C2521D">
        <w:rPr>
          <w:i/>
        </w:rPr>
        <w:t>Tarasoff</w:t>
      </w:r>
      <w:r>
        <w:t xml:space="preserve"> decision in 1974 established a “duty to warn” likely victims, when the case was redecided in 1976, the obligation was broadened to a “duty to protect”, an approach adopted by subsequent courts. This change means the responsibility to protect third parties is not limited to a warning; other steps may be required. Clearly, when unidentifiable victims are involved, other measures must be taken. Depending on the circumstances, one might chose to hospitalize the patient (voluntarily or involuntarily), to transfer an already hosptialized patient to a more secure ward, or to maintain the outpatient status but begin medication, intensive individual therapy, family therapy, or other systems-oriented therapy, which might even involve the potential victim. Many clinicians will choose one of these steps whenever possible in preference to breaching confidentiality by issuing a warning.</w:t>
      </w:r>
      <w:r>
        <w:rPr>
          <w:rStyle w:val="FootnoteReference"/>
        </w:rPr>
        <w:footnoteReference w:id="24"/>
      </w:r>
    </w:p>
    <w:p w:rsidR="006E2512" w:rsidRDefault="006E2512" w:rsidP="006E2512">
      <w:pPr>
        <w:pStyle w:val="NoSpacing"/>
        <w:spacing w:line="360" w:lineRule="auto"/>
      </w:pPr>
    </w:p>
    <w:p w:rsidR="006E2512" w:rsidRDefault="006E2512" w:rsidP="006E2512">
      <w:pPr>
        <w:pStyle w:val="NoSpacing"/>
        <w:spacing w:line="360" w:lineRule="auto"/>
      </w:pPr>
      <w:r>
        <w:t>McNiel notes that several interventions besides warnings have been widely recommended for managing the risk of violence in patients who make threats.</w:t>
      </w:r>
      <w:r>
        <w:rPr>
          <w:rStyle w:val="FootnoteReference"/>
        </w:rPr>
        <w:footnoteReference w:id="25"/>
      </w:r>
      <w:r>
        <w:t xml:space="preserve"> McNiel states that additional options include involuntary hospitalization, intensified outpatient treatment, psychotropic medication, removal of weapons and conjoint sessions which may involve the person who is the target of the threat.</w:t>
      </w:r>
      <w:r>
        <w:rPr>
          <w:rStyle w:val="FootnoteReference"/>
        </w:rPr>
        <w:footnoteReference w:id="26"/>
      </w:r>
    </w:p>
    <w:p w:rsidR="00283ED0" w:rsidRDefault="00283ED0" w:rsidP="006E2512">
      <w:pPr>
        <w:pStyle w:val="NoSpacing"/>
        <w:spacing w:line="360" w:lineRule="auto"/>
      </w:pPr>
    </w:p>
    <w:p w:rsidR="00283ED0" w:rsidRDefault="00283ED0" w:rsidP="00283ED0">
      <w:pPr>
        <w:pStyle w:val="NoSpacing"/>
        <w:spacing w:line="360" w:lineRule="auto"/>
      </w:pPr>
      <w:r>
        <w:t>Givelber states that while there may be some situations in which warning the victim is the most</w:t>
      </w:r>
    </w:p>
    <w:p w:rsidR="00283ED0" w:rsidRDefault="00283ED0" w:rsidP="00283ED0">
      <w:pPr>
        <w:pStyle w:val="NoSpacing"/>
        <w:spacing w:line="360" w:lineRule="auto"/>
      </w:pPr>
      <w:r>
        <w:t xml:space="preserve">reasonable response, many therapists have suggested, since even before the </w:t>
      </w:r>
      <w:r w:rsidRPr="005E4F83">
        <w:rPr>
          <w:i/>
        </w:rPr>
        <w:t>Tarasoff</w:t>
      </w:r>
      <w:r>
        <w:t xml:space="preserve"> decision, that</w:t>
      </w:r>
    </w:p>
    <w:p w:rsidR="005E4F83" w:rsidRDefault="005E4F83" w:rsidP="005E4F83">
      <w:pPr>
        <w:pStyle w:val="NoSpacing"/>
        <w:spacing w:line="360" w:lineRule="auto"/>
      </w:pPr>
      <w:r>
        <w:t>different measures will be appropriate in other situations.</w:t>
      </w:r>
      <w:r>
        <w:rPr>
          <w:rStyle w:val="FootnoteReference"/>
        </w:rPr>
        <w:footnoteReference w:id="27"/>
      </w:r>
      <w:r>
        <w:t xml:space="preserve"> Liability will be determined by what a</w:t>
      </w:r>
    </w:p>
    <w:p w:rsidR="005E4F83" w:rsidRDefault="005E4F83" w:rsidP="005E4F83">
      <w:pPr>
        <w:pStyle w:val="NoSpacing"/>
        <w:spacing w:line="360" w:lineRule="auto"/>
      </w:pPr>
      <w:r>
        <w:t>“reasonable” therapist would have done in the circumstances.</w:t>
      </w:r>
    </w:p>
    <w:p w:rsidR="00051C31" w:rsidRPr="00051C31" w:rsidRDefault="00051C31" w:rsidP="00051C31">
      <w:pPr>
        <w:pStyle w:val="NoSpacing"/>
        <w:spacing w:line="360" w:lineRule="auto"/>
        <w:rPr>
          <w:b/>
        </w:rPr>
      </w:pPr>
      <w:r w:rsidRPr="00051C31">
        <w:rPr>
          <w:b/>
        </w:rPr>
        <w:lastRenderedPageBreak/>
        <w:t xml:space="preserve">The impact of </w:t>
      </w:r>
      <w:r w:rsidRPr="00051C31">
        <w:rPr>
          <w:b/>
          <w:i/>
        </w:rPr>
        <w:t>Tarasoff</w:t>
      </w:r>
    </w:p>
    <w:p w:rsidR="00051C31" w:rsidRDefault="00051C31" w:rsidP="00051C31">
      <w:pPr>
        <w:pStyle w:val="NoSpacing"/>
        <w:spacing w:line="360" w:lineRule="auto"/>
      </w:pPr>
      <w:r w:rsidRPr="00051C31">
        <w:rPr>
          <w:i/>
        </w:rPr>
        <w:t>Tarasoff</w:t>
      </w:r>
      <w:r>
        <w:t xml:space="preserve"> was initially greeted with prophecies of doom from many within the mental health professions. They predicted that </w:t>
      </w:r>
      <w:r w:rsidRPr="00051C31">
        <w:rPr>
          <w:i/>
        </w:rPr>
        <w:t xml:space="preserve">Tarasoff </w:t>
      </w:r>
      <w:r>
        <w:t>would extinguish the trust and confidentiality essential to effective psychotherapy.</w:t>
      </w:r>
      <w:r>
        <w:rPr>
          <w:rStyle w:val="FootnoteReference"/>
        </w:rPr>
        <w:footnoteReference w:id="28"/>
      </w:r>
      <w:r>
        <w:t xml:space="preserve"> However, the duty to protect has not been applied uniformly across the United States.</w:t>
      </w:r>
      <w:r>
        <w:rPr>
          <w:rStyle w:val="FootnoteReference"/>
        </w:rPr>
        <w:footnoteReference w:id="29"/>
      </w:r>
      <w:r>
        <w:t xml:space="preserve"> The issue of whether or not such a duty exists is a state tort law issue, not a matter of federal law.</w:t>
      </w:r>
      <w:r>
        <w:rPr>
          <w:rStyle w:val="FootnoteReference"/>
        </w:rPr>
        <w:footnoteReference w:id="30"/>
      </w:r>
      <w:r>
        <w:t xml:space="preserve"> States have variously embraced, expanded, restricted or rejected </w:t>
      </w:r>
      <w:r w:rsidRPr="00051C31">
        <w:rPr>
          <w:i/>
        </w:rPr>
        <w:t>Tarasoff</w:t>
      </w:r>
      <w:r>
        <w:t>.</w:t>
      </w:r>
      <w:r>
        <w:rPr>
          <w:rStyle w:val="FootnoteReference"/>
        </w:rPr>
        <w:footnoteReference w:id="31"/>
      </w:r>
    </w:p>
    <w:p w:rsidR="00051C31" w:rsidRPr="0068278A" w:rsidRDefault="00051C31" w:rsidP="00051C31">
      <w:pPr>
        <w:pStyle w:val="NoSpacing"/>
        <w:spacing w:line="360" w:lineRule="auto"/>
        <w:rPr>
          <w:b/>
        </w:rPr>
      </w:pPr>
    </w:p>
    <w:p w:rsidR="00051C31" w:rsidRPr="0068278A" w:rsidRDefault="00051C31" w:rsidP="00051C31">
      <w:pPr>
        <w:pStyle w:val="NoSpacing"/>
        <w:spacing w:line="360" w:lineRule="auto"/>
        <w:rPr>
          <w:b/>
        </w:rPr>
      </w:pPr>
      <w:r w:rsidRPr="0068278A">
        <w:rPr>
          <w:b/>
        </w:rPr>
        <w:t xml:space="preserve">California extends </w:t>
      </w:r>
      <w:r w:rsidRPr="0068278A">
        <w:rPr>
          <w:b/>
          <w:i/>
        </w:rPr>
        <w:t>Tarasoff</w:t>
      </w:r>
      <w:r w:rsidRPr="0068278A">
        <w:rPr>
          <w:b/>
        </w:rPr>
        <w:t>...</w:t>
      </w:r>
    </w:p>
    <w:p w:rsidR="00051C31" w:rsidRDefault="00051C31" w:rsidP="00051C31">
      <w:pPr>
        <w:pStyle w:val="NoSpacing"/>
        <w:spacing w:line="360" w:lineRule="auto"/>
      </w:pPr>
      <w:r>
        <w:t>California is one state that has expanded the duty to protect far beyond its original limits. As a direct</w:t>
      </w:r>
    </w:p>
    <w:p w:rsidR="00051C31" w:rsidRDefault="00051C31" w:rsidP="00051C31">
      <w:pPr>
        <w:pStyle w:val="NoSpacing"/>
        <w:spacing w:line="360" w:lineRule="auto"/>
      </w:pPr>
      <w:r>
        <w:t>response to the Tarasoff decision, the legislature of California limited th</w:t>
      </w:r>
      <w:r w:rsidR="000053D6">
        <w:t xml:space="preserve">e broad duty to protect that it </w:t>
      </w:r>
      <w:r>
        <w:t>introduced, by codifying a narrower “duty to warn”. The duty to warn i</w:t>
      </w:r>
      <w:r w:rsidR="000053D6">
        <w:t xml:space="preserve">s triggered only when a patient </w:t>
      </w:r>
      <w:r>
        <w:t xml:space="preserve">communicates to a therapist a serious threat of physical violence against </w:t>
      </w:r>
      <w:r w:rsidR="000053D6">
        <w:t>a readily identifiable victim.</w:t>
      </w:r>
      <w:r w:rsidR="000053D6">
        <w:rPr>
          <w:rStyle w:val="FootnoteReference"/>
        </w:rPr>
        <w:footnoteReference w:id="32"/>
      </w:r>
      <w:r w:rsidR="000053D6">
        <w:t xml:space="preserve"> </w:t>
      </w:r>
      <w:r>
        <w:t>However, the courts of California have once again expanded the liability of therapists.</w:t>
      </w:r>
    </w:p>
    <w:p w:rsidR="000053D6" w:rsidRDefault="000053D6" w:rsidP="00051C31">
      <w:pPr>
        <w:pStyle w:val="NoSpacing"/>
        <w:spacing w:line="360" w:lineRule="auto"/>
      </w:pPr>
    </w:p>
    <w:p w:rsidR="00051C31" w:rsidRDefault="00051C31" w:rsidP="00051C31">
      <w:pPr>
        <w:pStyle w:val="NoSpacing"/>
        <w:spacing w:line="360" w:lineRule="auto"/>
        <w:rPr>
          <w:i/>
        </w:rPr>
      </w:pPr>
      <w:r w:rsidRPr="000053D6">
        <w:rPr>
          <w:i/>
        </w:rPr>
        <w:t xml:space="preserve">... </w:t>
      </w:r>
      <w:proofErr w:type="gramStart"/>
      <w:r w:rsidRPr="000053D6">
        <w:rPr>
          <w:i/>
        </w:rPr>
        <w:t>to</w:t>
      </w:r>
      <w:proofErr w:type="gramEnd"/>
      <w:r w:rsidRPr="000053D6">
        <w:rPr>
          <w:i/>
        </w:rPr>
        <w:t xml:space="preserve"> emergency settings...</w:t>
      </w:r>
    </w:p>
    <w:p w:rsidR="000053D6" w:rsidRPr="000053D6" w:rsidRDefault="000053D6" w:rsidP="00051C31">
      <w:pPr>
        <w:pStyle w:val="NoSpacing"/>
        <w:spacing w:line="360" w:lineRule="auto"/>
        <w:rPr>
          <w:i/>
        </w:rPr>
      </w:pPr>
    </w:p>
    <w:p w:rsidR="00051C31" w:rsidRDefault="00051C31" w:rsidP="00051C31">
      <w:pPr>
        <w:pStyle w:val="NoSpacing"/>
        <w:spacing w:line="360" w:lineRule="auto"/>
      </w:pPr>
      <w:r>
        <w:t xml:space="preserve">In </w:t>
      </w:r>
      <w:r w:rsidRPr="000053D6">
        <w:rPr>
          <w:i/>
        </w:rPr>
        <w:t>Jablonski</w:t>
      </w:r>
      <w:r w:rsidR="000053D6">
        <w:rPr>
          <w:rStyle w:val="FootnoteReference"/>
          <w:i/>
        </w:rPr>
        <w:footnoteReference w:id="33"/>
      </w:r>
      <w:r>
        <w:t>, the Ninth Circuit Court of Appeals extended the duty to an emer</w:t>
      </w:r>
      <w:r w:rsidR="006109C8">
        <w:t>gency setting.</w:t>
      </w:r>
      <w:r w:rsidR="006109C8">
        <w:rPr>
          <w:rStyle w:val="FootnoteReference"/>
        </w:rPr>
        <w:footnoteReference w:id="34"/>
      </w:r>
      <w:r w:rsidR="000053D6">
        <w:t xml:space="preserve"> In that </w:t>
      </w:r>
      <w:r>
        <w:t xml:space="preserve">case, Jablonski was brought to the emergency department of a hospital by his girlfriend after </w:t>
      </w:r>
      <w:proofErr w:type="gramStart"/>
      <w:r>
        <w:t>he</w:t>
      </w:r>
      <w:proofErr w:type="gramEnd"/>
    </w:p>
    <w:p w:rsidR="00051C31" w:rsidRDefault="00051C31" w:rsidP="00051C31">
      <w:pPr>
        <w:pStyle w:val="NoSpacing"/>
        <w:spacing w:line="360" w:lineRule="auto"/>
      </w:pPr>
      <w:r>
        <w:t>threatened her mother with a kni</w:t>
      </w:r>
      <w:r w:rsidR="006109C8">
        <w:t>fe and attempted to rape her.</w:t>
      </w:r>
      <w:r w:rsidR="006109C8">
        <w:rPr>
          <w:rStyle w:val="FootnoteReference"/>
        </w:rPr>
        <w:footnoteReference w:id="35"/>
      </w:r>
      <w:r>
        <w:t xml:space="preserve">Dr </w:t>
      </w:r>
      <w:r w:rsidR="006109C8">
        <w:t xml:space="preserve">Kopiloff examined Jablonski and </w:t>
      </w:r>
      <w:r>
        <w:t>diagnosed him with an anti-social personality disorder that rendere</w:t>
      </w:r>
      <w:r w:rsidR="006109C8">
        <w:t>d him “potentially dangerous”.</w:t>
      </w:r>
      <w:r w:rsidR="006109C8">
        <w:rPr>
          <w:rStyle w:val="FootnoteReference"/>
        </w:rPr>
        <w:footnoteReference w:id="36"/>
      </w:r>
    </w:p>
    <w:p w:rsidR="00051C31" w:rsidRDefault="00051C31" w:rsidP="00051C31">
      <w:pPr>
        <w:pStyle w:val="NoSpacing"/>
        <w:spacing w:line="360" w:lineRule="auto"/>
      </w:pPr>
      <w:r>
        <w:t>However, Dr Kopiloff concluded that there was no basis fo</w:t>
      </w:r>
      <w:r w:rsidR="006109C8">
        <w:t>r involuntary hospitalisation.</w:t>
      </w:r>
      <w:r w:rsidR="006109C8">
        <w:rPr>
          <w:rStyle w:val="FootnoteReference"/>
        </w:rPr>
        <w:footnoteReference w:id="37"/>
      </w:r>
      <w:r w:rsidR="006109C8">
        <w:t xml:space="preserve"> No attempt was </w:t>
      </w:r>
      <w:r>
        <w:t>made to locate Jablonski’s past medical records, which would have revealed a history o</w:t>
      </w:r>
      <w:r w:rsidR="006109C8">
        <w:t xml:space="preserve">f schizophrenia and </w:t>
      </w:r>
      <w:r>
        <w:t>violence.</w:t>
      </w:r>
    </w:p>
    <w:p w:rsidR="006109C8" w:rsidRDefault="006109C8" w:rsidP="00051C31">
      <w:pPr>
        <w:pStyle w:val="NoSpacing"/>
        <w:spacing w:line="360" w:lineRule="auto"/>
      </w:pPr>
    </w:p>
    <w:p w:rsidR="00051C31" w:rsidRDefault="00051C31" w:rsidP="00051C31">
      <w:pPr>
        <w:pStyle w:val="NoSpacing"/>
        <w:spacing w:line="360" w:lineRule="auto"/>
      </w:pPr>
      <w:r>
        <w:t>Shortly after his release from hospital, Jablonski attacked and murdered his girlfriend.</w:t>
      </w:r>
      <w:r w:rsidR="00B70A60">
        <w:rPr>
          <w:rStyle w:val="FootnoteReference"/>
        </w:rPr>
        <w:footnoteReference w:id="38"/>
      </w:r>
      <w:r>
        <w:t xml:space="preserve"> Despite the</w:t>
      </w:r>
    </w:p>
    <w:p w:rsidR="00BC686B" w:rsidRDefault="00051C31" w:rsidP="0030282B">
      <w:pPr>
        <w:pStyle w:val="NoSpacing"/>
        <w:spacing w:line="360" w:lineRule="auto"/>
      </w:pPr>
      <w:r>
        <w:lastRenderedPageBreak/>
        <w:t>absence of any specific threat directed towards an identifiable person, the Court held the hospital liable</w:t>
      </w:r>
      <w:r w:rsidR="00B70A60">
        <w:t xml:space="preserve"> </w:t>
      </w:r>
      <w:r>
        <w:t>for its failure to obtain Jablonski’s past medical records and adequately w</w:t>
      </w:r>
      <w:r w:rsidR="006732A3">
        <w:t xml:space="preserve">arn the victim. Thus, </w:t>
      </w:r>
      <w:r w:rsidR="006732A3" w:rsidRPr="006732A3">
        <w:rPr>
          <w:i/>
        </w:rPr>
        <w:t>Jablonski</w:t>
      </w:r>
      <w:r w:rsidR="006732A3">
        <w:t xml:space="preserve"> </w:t>
      </w:r>
      <w:r>
        <w:t>expanded Tarasoff by holding that a history of violent behaviour can reveal a</w:t>
      </w:r>
      <w:r w:rsidR="006732A3">
        <w:t xml:space="preserve"> danger that will be sufficient </w:t>
      </w:r>
      <w:r>
        <w:t>to indicate the foreseeability of harm to a particular victim or class of victim</w:t>
      </w:r>
      <w:r w:rsidR="006732A3">
        <w:t>s.</w:t>
      </w:r>
      <w:r w:rsidR="006732A3">
        <w:rPr>
          <w:rStyle w:val="FootnoteReference"/>
        </w:rPr>
        <w:footnoteReference w:id="39"/>
      </w:r>
      <w:r w:rsidR="006732A3">
        <w:t xml:space="preserve">Further, a protective duty </w:t>
      </w:r>
      <w:r>
        <w:t>may be imposed on a treating psychiatrist even in an emergency setting.</w:t>
      </w:r>
    </w:p>
    <w:p w:rsidR="00CA55E8" w:rsidRPr="00CA55E8" w:rsidRDefault="00CA55E8" w:rsidP="0030282B">
      <w:pPr>
        <w:pStyle w:val="NoSpacing"/>
        <w:spacing w:line="360" w:lineRule="auto"/>
        <w:rPr>
          <w:b/>
        </w:rPr>
      </w:pPr>
    </w:p>
    <w:p w:rsidR="00CA55E8" w:rsidRPr="00CA55E8" w:rsidRDefault="00CA55E8" w:rsidP="00CA55E8">
      <w:pPr>
        <w:pStyle w:val="NoSpacing"/>
        <w:spacing w:line="360" w:lineRule="auto"/>
        <w:rPr>
          <w:b/>
        </w:rPr>
      </w:pPr>
      <w:r w:rsidRPr="00CA55E8">
        <w:rPr>
          <w:b/>
        </w:rPr>
        <w:t xml:space="preserve">... </w:t>
      </w:r>
      <w:proofErr w:type="gramStart"/>
      <w:r w:rsidRPr="00CA55E8">
        <w:rPr>
          <w:b/>
        </w:rPr>
        <w:t>to</w:t>
      </w:r>
      <w:proofErr w:type="gramEnd"/>
      <w:r w:rsidRPr="00CA55E8">
        <w:rPr>
          <w:b/>
        </w:rPr>
        <w:t xml:space="preserve"> threats reported by family members</w:t>
      </w:r>
    </w:p>
    <w:p w:rsidR="00CA55E8" w:rsidRDefault="00CA55E8" w:rsidP="00CA55E8">
      <w:pPr>
        <w:pStyle w:val="NoSpacing"/>
        <w:spacing w:line="360" w:lineRule="auto"/>
      </w:pPr>
      <w:r>
        <w:t xml:space="preserve">In </w:t>
      </w:r>
      <w:r w:rsidRPr="00CA55E8">
        <w:rPr>
          <w:i/>
        </w:rPr>
        <w:t>Ewing</w:t>
      </w:r>
      <w:r>
        <w:rPr>
          <w:rStyle w:val="FootnoteReference"/>
          <w:i/>
        </w:rPr>
        <w:footnoteReference w:id="40"/>
      </w:r>
      <w:r>
        <w:t>, the California Court of Appeal for the Second District held that the communication of a</w:t>
      </w:r>
    </w:p>
    <w:p w:rsidR="00CA55E8" w:rsidRDefault="00CA55E8" w:rsidP="00CA55E8">
      <w:pPr>
        <w:pStyle w:val="NoSpacing"/>
        <w:spacing w:line="360" w:lineRule="auto"/>
      </w:pPr>
      <w:r>
        <w:t>threat by a close family member was equivalent to a threat communicated directly by a patient and</w:t>
      </w:r>
    </w:p>
    <w:p w:rsidR="00CA55E8" w:rsidRDefault="00CA55E8" w:rsidP="00CA55E8">
      <w:pPr>
        <w:pStyle w:val="NoSpacing"/>
        <w:spacing w:line="360" w:lineRule="auto"/>
      </w:pPr>
      <w:r>
        <w:t>triggered a duty to warn the potential victim.</w:t>
      </w:r>
      <w:r>
        <w:rPr>
          <w:rStyle w:val="FootnoteReference"/>
        </w:rPr>
        <w:footnoteReference w:id="41"/>
      </w:r>
      <w:r>
        <w:t xml:space="preserve"> In </w:t>
      </w:r>
      <w:r w:rsidRPr="00DA5E5F">
        <w:rPr>
          <w:i/>
        </w:rPr>
        <w:t>Ewing</w:t>
      </w:r>
      <w:r>
        <w:t>, the patient confided to his father that he was considering harming his ex-girlfriend’s new partner. The father notified the patient’s therapist, Dr Goldstein, who arranged for the patient’s voluntary hospitalisation at a nearby medical centre by a staff psychiatrist. The following day, the staff psychiatrist discharged the patient because he was not suicidal, despite Dr Goldstein urging him to keep the patient hospitalised.</w:t>
      </w:r>
    </w:p>
    <w:p w:rsidR="00CA55E8" w:rsidRDefault="00CA55E8" w:rsidP="00CA55E8">
      <w:pPr>
        <w:pStyle w:val="NoSpacing"/>
        <w:spacing w:line="360" w:lineRule="auto"/>
      </w:pPr>
    </w:p>
    <w:p w:rsidR="00CA55E8" w:rsidRDefault="00CA55E8" w:rsidP="00CA55E8">
      <w:pPr>
        <w:pStyle w:val="NoSpacing"/>
        <w:spacing w:line="360" w:lineRule="auto"/>
      </w:pPr>
      <w:r>
        <w:t>Dr Goldstein had no further contact with the patient.</w:t>
      </w:r>
      <w:r w:rsidR="00DA5E5F">
        <w:rPr>
          <w:rStyle w:val="FootnoteReference"/>
        </w:rPr>
        <w:footnoteReference w:id="42"/>
      </w:r>
      <w:r>
        <w:t xml:space="preserve"> At no stage did Dr Goldstein warn the victim</w:t>
      </w:r>
    </w:p>
    <w:p w:rsidR="00CA55E8" w:rsidRDefault="00CA55E8" w:rsidP="00CA55E8">
      <w:pPr>
        <w:pStyle w:val="NoSpacing"/>
        <w:spacing w:line="360" w:lineRule="auto"/>
      </w:pPr>
      <w:r>
        <w:t>who was the subject of the patient’s threat. The day after he was discharge</w:t>
      </w:r>
      <w:r w:rsidR="00DA5E5F">
        <w:t xml:space="preserve">d the patient shot his intended </w:t>
      </w:r>
      <w:r>
        <w:t>target and then committed suicide. Dr Goldstein was held liable in neg</w:t>
      </w:r>
      <w:r w:rsidR="00DA5E5F">
        <w:t xml:space="preserve">ligence for failing to warn the </w:t>
      </w:r>
      <w:r>
        <w:t>victim based on the credible t</w:t>
      </w:r>
      <w:r w:rsidR="00DA5E5F">
        <w:t>hreat disclosed by the father.</w:t>
      </w:r>
      <w:r w:rsidR="00DA5E5F">
        <w:rPr>
          <w:rStyle w:val="FootnoteReference"/>
        </w:rPr>
        <w:footnoteReference w:id="43"/>
      </w:r>
    </w:p>
    <w:p w:rsidR="00DA5E5F" w:rsidRDefault="00DA5E5F" w:rsidP="00CA55E8">
      <w:pPr>
        <w:pStyle w:val="NoSpacing"/>
        <w:spacing w:line="360" w:lineRule="auto"/>
      </w:pPr>
    </w:p>
    <w:p w:rsidR="00CA55E8" w:rsidRDefault="00CA55E8" w:rsidP="00CA55E8">
      <w:pPr>
        <w:pStyle w:val="NoSpacing"/>
        <w:spacing w:line="360" w:lineRule="auto"/>
      </w:pPr>
      <w:r w:rsidRPr="00DA5E5F">
        <w:rPr>
          <w:i/>
        </w:rPr>
        <w:t>Ewing</w:t>
      </w:r>
      <w:r>
        <w:t xml:space="preserve"> has been criticised by some scholars for extending the duty to w</w:t>
      </w:r>
      <w:r w:rsidR="00DA5E5F">
        <w:t>arn beyond the scope and intent of the Californian legislation.</w:t>
      </w:r>
      <w:r w:rsidR="00DA5E5F">
        <w:rPr>
          <w:rStyle w:val="FootnoteReference"/>
        </w:rPr>
        <w:footnoteReference w:id="44"/>
      </w:r>
      <w:r>
        <w:t xml:space="preserve"> The legislation specifically states that a </w:t>
      </w:r>
      <w:r w:rsidR="00DA5E5F">
        <w:t xml:space="preserve">duty arises only when a patient </w:t>
      </w:r>
      <w:r>
        <w:t>communicates a threat to a psychotherapist.</w:t>
      </w:r>
      <w:r w:rsidR="00DA5E5F">
        <w:rPr>
          <w:rStyle w:val="FootnoteReference"/>
        </w:rPr>
        <w:footnoteReference w:id="45"/>
      </w:r>
      <w:r>
        <w:t xml:space="preserve"> The author shares Edwards</w:t>
      </w:r>
      <w:r w:rsidR="00DA5E5F">
        <w:t xml:space="preserve">’s concern that Ewing opens the </w:t>
      </w:r>
      <w:r>
        <w:t>door to the imposition of liability on clinicians based on third-party, he</w:t>
      </w:r>
      <w:r w:rsidR="00DA5E5F">
        <w:t>arsay communications.</w:t>
      </w:r>
      <w:r w:rsidR="00DA5E5F">
        <w:rPr>
          <w:rStyle w:val="FootnoteReference"/>
        </w:rPr>
        <w:footnoteReference w:id="46"/>
      </w:r>
      <w:r w:rsidR="00DA5E5F">
        <w:t xml:space="preserve"> Edwards </w:t>
      </w:r>
      <w:r>
        <w:t>states: “There is no way Dr Goldstein could have truly known the inte</w:t>
      </w:r>
      <w:r w:rsidR="00DA5E5F">
        <w:t xml:space="preserve">nt </w:t>
      </w:r>
      <w:r w:rsidR="00DA5E5F">
        <w:lastRenderedPageBreak/>
        <w:t xml:space="preserve">or seriousness of the threat </w:t>
      </w:r>
      <w:r>
        <w:t>without the threat being conveyed directly to Dr Goldstein”.</w:t>
      </w:r>
      <w:r w:rsidR="00DA5E5F">
        <w:rPr>
          <w:rStyle w:val="FootnoteReference"/>
        </w:rPr>
        <w:footnoteReference w:id="47"/>
      </w:r>
      <w:r>
        <w:t xml:space="preserve"> Yet, on</w:t>
      </w:r>
      <w:r w:rsidR="00DA5E5F">
        <w:t xml:space="preserve">e phone call was enough for the </w:t>
      </w:r>
      <w:r>
        <w:t>Court to impose a duty upon Dr Goldstein.</w:t>
      </w:r>
      <w:r w:rsidR="00DA5E5F">
        <w:rPr>
          <w:rStyle w:val="FootnoteReference"/>
        </w:rPr>
        <w:footnoteReference w:id="48"/>
      </w:r>
    </w:p>
    <w:p w:rsidR="00045FDE" w:rsidRDefault="00045FDE" w:rsidP="00CA55E8">
      <w:pPr>
        <w:pStyle w:val="NoSpacing"/>
        <w:spacing w:line="360" w:lineRule="auto"/>
      </w:pPr>
    </w:p>
    <w:p w:rsidR="0089206A" w:rsidRDefault="00CA55E8" w:rsidP="00CA55E8">
      <w:pPr>
        <w:pStyle w:val="NoSpacing"/>
        <w:spacing w:line="360" w:lineRule="auto"/>
      </w:pPr>
      <w:r>
        <w:t xml:space="preserve">In a similar vein, Smith has criticised </w:t>
      </w:r>
      <w:r w:rsidRPr="00045FDE">
        <w:rPr>
          <w:i/>
        </w:rPr>
        <w:t>Ewing</w:t>
      </w:r>
      <w:r>
        <w:t xml:space="preserve"> because, in her view, therapists</w:t>
      </w:r>
      <w:r w:rsidR="00045FDE">
        <w:t xml:space="preserve"> will have no way of confirming </w:t>
      </w:r>
      <w:r>
        <w:t xml:space="preserve">whether “the communication is accurate, is made by a family member, </w:t>
      </w:r>
      <w:r w:rsidR="00045FDE">
        <w:t xml:space="preserve">or whether the family member is </w:t>
      </w:r>
      <w:r>
        <w:t>acting maliciously or in the best interests of the patient”.</w:t>
      </w:r>
      <w:r w:rsidR="00045FDE">
        <w:rPr>
          <w:rStyle w:val="FootnoteReference"/>
        </w:rPr>
        <w:footnoteReference w:id="49"/>
      </w:r>
      <w:r>
        <w:t xml:space="preserve"> In Smith’s</w:t>
      </w:r>
      <w:r w:rsidR="00045FDE">
        <w:t xml:space="preserve"> view, </w:t>
      </w:r>
      <w:r w:rsidR="00045FDE" w:rsidRPr="00045FDE">
        <w:rPr>
          <w:i/>
        </w:rPr>
        <w:t xml:space="preserve">Ewing </w:t>
      </w:r>
      <w:r w:rsidR="00045FDE">
        <w:t xml:space="preserve">creates “amorphous </w:t>
      </w:r>
      <w:r>
        <w:t>liabilit</w:t>
      </w:r>
      <w:r w:rsidR="00045FDE">
        <w:t>y standards” for therapists.</w:t>
      </w:r>
      <w:r w:rsidR="00045FDE">
        <w:rPr>
          <w:rStyle w:val="FootnoteReference"/>
        </w:rPr>
        <w:footnoteReference w:id="50"/>
      </w:r>
    </w:p>
    <w:p w:rsidR="0089206A" w:rsidRDefault="0089206A" w:rsidP="00CA55E8">
      <w:pPr>
        <w:pStyle w:val="NoSpacing"/>
        <w:spacing w:line="360" w:lineRule="auto"/>
      </w:pPr>
    </w:p>
    <w:p w:rsidR="0089206A" w:rsidRPr="0089206A" w:rsidRDefault="0089206A" w:rsidP="0089206A">
      <w:pPr>
        <w:pStyle w:val="NoSpacing"/>
        <w:spacing w:line="360" w:lineRule="auto"/>
        <w:rPr>
          <w:b/>
        </w:rPr>
      </w:pPr>
      <w:r w:rsidRPr="0089206A">
        <w:rPr>
          <w:b/>
        </w:rPr>
        <w:t xml:space="preserve">Nebraska: extending </w:t>
      </w:r>
      <w:r w:rsidRPr="0089206A">
        <w:rPr>
          <w:b/>
          <w:i/>
        </w:rPr>
        <w:t>Tarasoff</w:t>
      </w:r>
      <w:r w:rsidRPr="0089206A">
        <w:rPr>
          <w:b/>
        </w:rPr>
        <w:t xml:space="preserve"> to the protection of strangers</w:t>
      </w:r>
    </w:p>
    <w:p w:rsidR="0089206A" w:rsidRDefault="0089206A" w:rsidP="0089206A">
      <w:pPr>
        <w:pStyle w:val="NoSpacing"/>
        <w:spacing w:line="360" w:lineRule="auto"/>
      </w:pPr>
    </w:p>
    <w:p w:rsidR="0089206A" w:rsidRDefault="0089206A" w:rsidP="00600B5B">
      <w:pPr>
        <w:pStyle w:val="NoSpacing"/>
        <w:spacing w:line="360" w:lineRule="auto"/>
      </w:pPr>
      <w:r>
        <w:t xml:space="preserve">In </w:t>
      </w:r>
      <w:r w:rsidRPr="0089206A">
        <w:rPr>
          <w:i/>
        </w:rPr>
        <w:t>Lipari</w:t>
      </w:r>
      <w:r>
        <w:rPr>
          <w:rStyle w:val="FootnoteReference"/>
          <w:i/>
        </w:rPr>
        <w:footnoteReference w:id="51"/>
      </w:r>
      <w:r>
        <w:t>, the Federal District Court recognised a duty on therapists that extends to protecting strangers. In that case, a patient was receiving psychiatric care from a Veterans Administration. The patient purchased a shotgun and used it in a random attack at a crowded nightclub, killing one person.</w:t>
      </w:r>
      <w:r>
        <w:rPr>
          <w:rStyle w:val="FootnoteReference"/>
        </w:rPr>
        <w:footnoteReference w:id="52"/>
      </w:r>
      <w:r>
        <w:t xml:space="preserve"> The Court held that a duty to protect would arise, even though no specific threats were made by the patient against any specific person. Thus, the Court dispensed with the need for an identifiable victim and required “only that the doctor reasonably foresee that the risk engendered by his patient’s condition</w:t>
      </w:r>
      <w:r w:rsidR="00600B5B">
        <w:t xml:space="preserve"> would endanger other persons”.</w:t>
      </w:r>
      <w:r w:rsidR="00600B5B">
        <w:rPr>
          <w:rStyle w:val="FootnoteReference"/>
        </w:rPr>
        <w:footnoteReference w:id="53"/>
      </w:r>
      <w:r w:rsidR="00600B5B">
        <w:t xml:space="preserve"> Following Lipari, Nebraskan therapists have a duty to protect anyone foreseeably endangered by a patient.</w:t>
      </w:r>
      <w:r w:rsidR="00600B5B">
        <w:rPr>
          <w:rStyle w:val="FootnoteReference"/>
        </w:rPr>
        <w:footnoteReference w:id="54"/>
      </w:r>
    </w:p>
    <w:p w:rsidR="003D17C4" w:rsidRDefault="003D17C4" w:rsidP="00600B5B">
      <w:pPr>
        <w:pStyle w:val="NoSpacing"/>
        <w:spacing w:line="360" w:lineRule="auto"/>
      </w:pPr>
    </w:p>
    <w:p w:rsidR="003D17C4" w:rsidRPr="003D17C4" w:rsidRDefault="003D17C4" w:rsidP="003D17C4">
      <w:pPr>
        <w:pStyle w:val="NoSpacing"/>
        <w:spacing w:line="360" w:lineRule="auto"/>
        <w:rPr>
          <w:b/>
        </w:rPr>
      </w:pPr>
      <w:r w:rsidRPr="003D17C4">
        <w:rPr>
          <w:b/>
        </w:rPr>
        <w:t>PART TWO: THE UNITED KINGDOM</w:t>
      </w:r>
    </w:p>
    <w:p w:rsidR="003D17C4" w:rsidRPr="003D17C4" w:rsidRDefault="003D17C4" w:rsidP="003D17C4">
      <w:pPr>
        <w:pStyle w:val="NoSpacing"/>
        <w:spacing w:line="360" w:lineRule="auto"/>
        <w:rPr>
          <w:b/>
        </w:rPr>
      </w:pPr>
      <w:r w:rsidRPr="003D17C4">
        <w:rPr>
          <w:b/>
        </w:rPr>
        <w:t>Current position</w:t>
      </w:r>
    </w:p>
    <w:p w:rsidR="00092418" w:rsidRDefault="003D17C4" w:rsidP="003D17C4">
      <w:pPr>
        <w:pStyle w:val="NoSpacing"/>
        <w:spacing w:line="360" w:lineRule="auto"/>
      </w:pPr>
      <w:r>
        <w:t>The United Kingdom Court of Appeal has confirmed that UK psychiatrists have</w:t>
      </w:r>
      <w:r w:rsidR="00DF3A3D">
        <w:t xml:space="preserve"> discretion, but not a duty, to </w:t>
      </w:r>
      <w:r>
        <w:t>warn potential victims in certain circumstances. Egdell</w:t>
      </w:r>
      <w:r w:rsidR="00DF3A3D">
        <w:rPr>
          <w:rStyle w:val="FootnoteReference"/>
        </w:rPr>
        <w:footnoteReference w:id="55"/>
      </w:r>
      <w:r>
        <w:t xml:space="preserve"> and Crozier</w:t>
      </w:r>
      <w:r w:rsidR="00DF3A3D">
        <w:rPr>
          <w:rStyle w:val="FootnoteReference"/>
        </w:rPr>
        <w:footnoteReference w:id="56"/>
      </w:r>
      <w:r>
        <w:t xml:space="preserve"> confirm t</w:t>
      </w:r>
      <w:r w:rsidR="00DF3A3D">
        <w:t xml:space="preserve">hat a psychiatrist is permitted </w:t>
      </w:r>
      <w:r>
        <w:t>to depart from the duty of confidentiality to issue warnings about a patient wh</w:t>
      </w:r>
      <w:r w:rsidR="00DF3A3D">
        <w:t xml:space="preserve">o is believed to present a real </w:t>
      </w:r>
      <w:r>
        <w:t>and serious threat to third parties.</w:t>
      </w:r>
      <w:r w:rsidR="00DF3A3D">
        <w:rPr>
          <w:rStyle w:val="FootnoteReference"/>
        </w:rPr>
        <w:footnoteReference w:id="57"/>
      </w:r>
      <w:r>
        <w:t xml:space="preserve"> Less certain, however, is </w:t>
      </w:r>
    </w:p>
    <w:p w:rsidR="003D17C4" w:rsidRDefault="003D17C4" w:rsidP="003D17C4">
      <w:pPr>
        <w:pStyle w:val="NoSpacing"/>
        <w:spacing w:line="360" w:lineRule="auto"/>
      </w:pPr>
      <w:r>
        <w:lastRenderedPageBreak/>
        <w:t>whether a psyc</w:t>
      </w:r>
      <w:r w:rsidR="00DF3A3D">
        <w:t xml:space="preserve">hiatrist could be duty-bound to </w:t>
      </w:r>
      <w:r>
        <w:t>give a warning or take other steps to protect third parties from foreseeably dangerous patients.</w:t>
      </w:r>
      <w:r w:rsidR="00DF3A3D">
        <w:rPr>
          <w:rStyle w:val="FootnoteReference"/>
        </w:rPr>
        <w:footnoteReference w:id="58"/>
      </w:r>
    </w:p>
    <w:p w:rsidR="00DF3A3D" w:rsidRDefault="00DF3A3D" w:rsidP="003D17C4">
      <w:pPr>
        <w:pStyle w:val="NoSpacing"/>
        <w:spacing w:line="360" w:lineRule="auto"/>
      </w:pPr>
    </w:p>
    <w:p w:rsidR="003D17C4" w:rsidRDefault="003D17C4" w:rsidP="003D17C4">
      <w:pPr>
        <w:pStyle w:val="NoSpacing"/>
        <w:spacing w:line="360" w:lineRule="auto"/>
      </w:pPr>
      <w:r>
        <w:t xml:space="preserve">Whilst the courts in </w:t>
      </w:r>
      <w:r w:rsidRPr="00601426">
        <w:rPr>
          <w:i/>
        </w:rPr>
        <w:t>Egdell</w:t>
      </w:r>
      <w:r>
        <w:t xml:space="preserve"> and </w:t>
      </w:r>
      <w:r w:rsidRPr="00601426">
        <w:rPr>
          <w:i/>
        </w:rPr>
        <w:t>Crozier</w:t>
      </w:r>
      <w:r>
        <w:t xml:space="preserve"> recognised discretion to depart from t</w:t>
      </w:r>
      <w:r w:rsidR="00092418">
        <w:t xml:space="preserve">he duty of confidentiality, </w:t>
      </w:r>
      <w:r>
        <w:t>they were not asked to, and did not recognise, a duty upon psychiatrists</w:t>
      </w:r>
      <w:r w:rsidR="00092418">
        <w:t xml:space="preserve"> to do so. To date no such duty </w:t>
      </w:r>
      <w:r>
        <w:t>has been acknowledged in a United Kingdom court.</w:t>
      </w:r>
      <w:r w:rsidR="00092418">
        <w:rPr>
          <w:rStyle w:val="FootnoteReference"/>
        </w:rPr>
        <w:footnoteReference w:id="59"/>
      </w:r>
      <w:r>
        <w:t xml:space="preserve"> However, the </w:t>
      </w:r>
      <w:r w:rsidR="00092418">
        <w:t xml:space="preserve">European Court of Human Rights’ </w:t>
      </w:r>
      <w:r>
        <w:t xml:space="preserve">ruling in </w:t>
      </w:r>
      <w:r w:rsidRPr="00601426">
        <w:rPr>
          <w:i/>
        </w:rPr>
        <w:t>Osman</w:t>
      </w:r>
      <w:r w:rsidR="00092418">
        <w:rPr>
          <w:rStyle w:val="FootnoteReference"/>
        </w:rPr>
        <w:footnoteReference w:id="60"/>
      </w:r>
      <w:r>
        <w:t xml:space="preserve"> has opened the door to the introduction of a doctri</w:t>
      </w:r>
      <w:r w:rsidR="00092418">
        <w:t xml:space="preserve">ne analogous to </w:t>
      </w:r>
      <w:r w:rsidR="00092418" w:rsidRPr="00601426">
        <w:rPr>
          <w:i/>
        </w:rPr>
        <w:t>Tarasoff</w:t>
      </w:r>
      <w:r w:rsidR="00092418">
        <w:t xml:space="preserve"> in the </w:t>
      </w:r>
      <w:r>
        <w:t>United Kingdom.</w:t>
      </w:r>
      <w:r w:rsidR="00092418">
        <w:rPr>
          <w:rStyle w:val="FootnoteReference"/>
        </w:rPr>
        <w:footnoteReference w:id="61"/>
      </w:r>
      <w:r>
        <w:t xml:space="preserve"> Notwithstanding </w:t>
      </w:r>
      <w:r w:rsidRPr="00601426">
        <w:rPr>
          <w:i/>
        </w:rPr>
        <w:t>Osman</w:t>
      </w:r>
      <w:r>
        <w:t>, doubt surrounds the questi</w:t>
      </w:r>
      <w:r w:rsidR="00092418">
        <w:t xml:space="preserve">on of whether such a duty would </w:t>
      </w:r>
      <w:r>
        <w:t xml:space="preserve">be </w:t>
      </w:r>
      <w:r w:rsidR="00092418">
        <w:t>recognised by domestic courts.</w:t>
      </w:r>
      <w:r w:rsidR="00092418">
        <w:rPr>
          <w:rStyle w:val="FootnoteReference"/>
        </w:rPr>
        <w:footnoteReference w:id="62"/>
      </w:r>
    </w:p>
    <w:p w:rsidR="004B5895" w:rsidRDefault="004B5895" w:rsidP="003D17C4">
      <w:pPr>
        <w:pStyle w:val="NoSpacing"/>
        <w:spacing w:line="360" w:lineRule="auto"/>
      </w:pPr>
    </w:p>
    <w:p w:rsidR="004B5895" w:rsidRPr="004B5895" w:rsidRDefault="004B5895" w:rsidP="004B5895">
      <w:pPr>
        <w:pStyle w:val="NoSpacing"/>
        <w:spacing w:line="360" w:lineRule="auto"/>
        <w:rPr>
          <w:b/>
        </w:rPr>
      </w:pPr>
      <w:r w:rsidRPr="004B5895">
        <w:rPr>
          <w:b/>
        </w:rPr>
        <w:t>Osman</w:t>
      </w:r>
    </w:p>
    <w:p w:rsidR="004B5895" w:rsidRDefault="004B5895" w:rsidP="004B5895">
      <w:pPr>
        <w:pStyle w:val="NoSpacing"/>
        <w:spacing w:line="360" w:lineRule="auto"/>
      </w:pPr>
      <w:r>
        <w:t>The United Kingdom is a signatory to the European Convention on Human Rights (“ECHR”).</w:t>
      </w:r>
      <w:r>
        <w:rPr>
          <w:rStyle w:val="FootnoteReference"/>
        </w:rPr>
        <w:footnoteReference w:id="63"/>
      </w:r>
    </w:p>
    <w:p w:rsidR="004B5895" w:rsidRDefault="004B5895" w:rsidP="004B5895">
      <w:pPr>
        <w:pStyle w:val="NoSpacing"/>
        <w:spacing w:line="360" w:lineRule="auto"/>
      </w:pPr>
      <w:r>
        <w:t>Accordingly, the ECHR applies to all residents of the United Kingdom</w:t>
      </w:r>
      <w:r w:rsidR="00754F4D">
        <w:rPr>
          <w:rStyle w:val="FootnoteReference"/>
        </w:rPr>
        <w:footnoteReference w:id="64"/>
      </w:r>
      <w:r>
        <w:t xml:space="preserve"> and it is unlawful for a public</w:t>
      </w:r>
    </w:p>
    <w:p w:rsidR="004B5895" w:rsidRDefault="004B5895" w:rsidP="004B5895">
      <w:pPr>
        <w:pStyle w:val="NoSpacing"/>
        <w:spacing w:line="360" w:lineRule="auto"/>
      </w:pPr>
      <w:r>
        <w:t>authority to act contrary to an ECHR right.</w:t>
      </w:r>
      <w:r w:rsidR="00754F4D">
        <w:rPr>
          <w:rStyle w:val="FootnoteReference"/>
        </w:rPr>
        <w:footnoteReference w:id="65"/>
      </w:r>
      <w:r>
        <w:t xml:space="preserve"> The ECHR may well impose obligations on healthcare</w:t>
      </w:r>
    </w:p>
    <w:p w:rsidR="004B5895" w:rsidRDefault="004B5895" w:rsidP="004B5895">
      <w:pPr>
        <w:pStyle w:val="NoSpacing"/>
        <w:spacing w:line="360" w:lineRule="auto"/>
      </w:pPr>
      <w:r>
        <w:t>professionals, including psychiatrists employed by the National Health Service (“NHS”).</w:t>
      </w:r>
      <w:r w:rsidR="00754F4D">
        <w:rPr>
          <w:rStyle w:val="FootnoteReference"/>
        </w:rPr>
        <w:footnoteReference w:id="66"/>
      </w:r>
      <w:r w:rsidR="00754F4D">
        <w:t xml:space="preserve"> In particular, </w:t>
      </w:r>
      <w:r>
        <w:t>obligations might flow from Article 2 of the ECHR which affirms the right to life.</w:t>
      </w:r>
      <w:r w:rsidR="00754F4D">
        <w:rPr>
          <w:rStyle w:val="FootnoteReference"/>
        </w:rPr>
        <w:footnoteReference w:id="67"/>
      </w:r>
      <w:r w:rsidR="00754F4D">
        <w:t xml:space="preserve"> In </w:t>
      </w:r>
      <w:r w:rsidR="00754F4D" w:rsidRPr="00754F4D">
        <w:rPr>
          <w:i/>
        </w:rPr>
        <w:t>Osman</w:t>
      </w:r>
      <w:r w:rsidR="00754F4D">
        <w:t xml:space="preserve">, the </w:t>
      </w:r>
      <w:r>
        <w:t>European Court of Human Rights’ (ECtHR) used Article 2 to introduce a</w:t>
      </w:r>
      <w:r w:rsidR="00754F4D">
        <w:t xml:space="preserve"> positive obligation to protect </w:t>
      </w:r>
      <w:r>
        <w:t>third pa</w:t>
      </w:r>
      <w:r w:rsidR="00754F4D">
        <w:t>rties into United Kingdom law.</w:t>
      </w:r>
      <w:r w:rsidR="00754F4D">
        <w:rPr>
          <w:rStyle w:val="FootnoteReference"/>
        </w:rPr>
        <w:footnoteReference w:id="68"/>
      </w:r>
    </w:p>
    <w:p w:rsidR="00754F4D" w:rsidRDefault="00754F4D" w:rsidP="004B5895">
      <w:pPr>
        <w:pStyle w:val="NoSpacing"/>
        <w:spacing w:line="360" w:lineRule="auto"/>
      </w:pPr>
    </w:p>
    <w:p w:rsidR="004B5895" w:rsidRDefault="004B5895" w:rsidP="004B5895">
      <w:pPr>
        <w:pStyle w:val="NoSpacing"/>
        <w:spacing w:line="360" w:lineRule="auto"/>
      </w:pPr>
      <w:r>
        <w:t xml:space="preserve">In </w:t>
      </w:r>
      <w:r w:rsidRPr="008F028F">
        <w:rPr>
          <w:i/>
        </w:rPr>
        <w:t>Osman</w:t>
      </w:r>
      <w:r>
        <w:t>, Mrs Osman sued local police for failing to protect her now</w:t>
      </w:r>
      <w:r w:rsidR="005865C3">
        <w:t xml:space="preserve"> deceased husband. Mr Osman was </w:t>
      </w:r>
      <w:r>
        <w:t>shot dead by a teacher, Paget-Lewis, who had formed an obsessive attac</w:t>
      </w:r>
      <w:r w:rsidR="005865C3">
        <w:t xml:space="preserve">hment with their son. Mrs Osman </w:t>
      </w:r>
      <w:r>
        <w:t xml:space="preserve">argued that the police had failed to act on warning signs that Paget-Lewis </w:t>
      </w:r>
      <w:r w:rsidR="005865C3">
        <w:t xml:space="preserve">represented a serious threat to </w:t>
      </w:r>
      <w:r>
        <w:t>her family.</w:t>
      </w:r>
      <w:r w:rsidR="005865C3">
        <w:rPr>
          <w:rStyle w:val="FootnoteReference"/>
        </w:rPr>
        <w:footnoteReference w:id="69"/>
      </w:r>
      <w:r>
        <w:t xml:space="preserve"> The evidence indicated that Paget-Lewis was jealous of her </w:t>
      </w:r>
      <w:r w:rsidR="005865C3">
        <w:t xml:space="preserve">son’s relationship with another </w:t>
      </w:r>
      <w:r>
        <w:t>student at school. Paget-Lewis had allegedly vandalised the Osmans’ prop</w:t>
      </w:r>
      <w:r w:rsidR="005865C3">
        <w:t xml:space="preserve">erty, wrote slanderous graffiti </w:t>
      </w:r>
      <w:r>
        <w:t xml:space="preserve">on school premises and stole a shotgun that was used in the </w:t>
      </w:r>
      <w:r>
        <w:lastRenderedPageBreak/>
        <w:t>shooting</w:t>
      </w:r>
      <w:r w:rsidR="005865C3">
        <w:t xml:space="preserve"> of Mr Osman. The English Court </w:t>
      </w:r>
      <w:r>
        <w:t>of Appeal dismissed the claim on a public policy ground – that the police could not be negligent for</w:t>
      </w:r>
      <w:r w:rsidR="005865C3">
        <w:t xml:space="preserve"> </w:t>
      </w:r>
      <w:r>
        <w:t xml:space="preserve">failures relating </w:t>
      </w:r>
      <w:r w:rsidR="005865C3">
        <w:t>to the investigation of crime.</w:t>
      </w:r>
      <w:r w:rsidR="005865C3">
        <w:rPr>
          <w:rStyle w:val="FootnoteReference"/>
        </w:rPr>
        <w:footnoteReference w:id="70"/>
      </w:r>
    </w:p>
    <w:p w:rsidR="00F34B7C" w:rsidRDefault="00F34B7C" w:rsidP="004B5895">
      <w:pPr>
        <w:pStyle w:val="NoSpacing"/>
        <w:spacing w:line="360" w:lineRule="auto"/>
      </w:pPr>
    </w:p>
    <w:p w:rsidR="00F34B7C" w:rsidRDefault="00F34B7C" w:rsidP="00F34B7C">
      <w:pPr>
        <w:pStyle w:val="NoSpacing"/>
        <w:spacing w:line="360" w:lineRule="auto"/>
      </w:pPr>
      <w:r>
        <w:t>Mrs Osman then petitioned the ECtHR for a remedy. On the facts, the Court dismissed the claim under Article 2 because the criminal conduct of Paget-Lewis was not reasonably foreseeable by the police. The Court held that Mrs Osman had:</w:t>
      </w:r>
    </w:p>
    <w:p w:rsidR="00F34B7C" w:rsidRDefault="00F34B7C" w:rsidP="00F34B7C">
      <w:pPr>
        <w:pStyle w:val="NoSpacing"/>
        <w:spacing w:line="360" w:lineRule="auto"/>
        <w:ind w:left="284"/>
      </w:pPr>
      <w:r>
        <w:t>[F]ailed to point to any decisive stage in the sequence of the events leading up to the tragic shooting when it could be said that the police knew or ought to have known that the lives of the Osman family were at real and immediate risk from Paget-Lewis. While the applicants have pointed to a series of missed opportunities which would have enabled the police to neutralise the threat posed by Paget- Lewis, for example by searching his home for evidence to link him with the graffiti incident or by having him detained under the Mental Health Act 1983 or by taking more active investigative steps following his disappearance, it cannot be said that these measures, judged reasonably, would in fact have produced that result or that a domestic court would have convicted him or ordered his detention in a psychiatric hospital on the basis of the evidence adduced before it.</w:t>
      </w:r>
      <w:r>
        <w:rPr>
          <w:rStyle w:val="FootnoteReference"/>
        </w:rPr>
        <w:footnoteReference w:id="71"/>
      </w:r>
    </w:p>
    <w:p w:rsidR="00F34B7C" w:rsidRDefault="00F34B7C" w:rsidP="00F34B7C">
      <w:pPr>
        <w:pStyle w:val="NoSpacing"/>
        <w:spacing w:line="360" w:lineRule="auto"/>
      </w:pPr>
      <w:r>
        <w:t>Despite the dismissal of Mrs Osman’s claim on the facts, critically, the Court sta</w:t>
      </w:r>
      <w:r w:rsidR="008F028F">
        <w:t xml:space="preserve">ted that Article 2 could </w:t>
      </w:r>
      <w:r>
        <w:t>give rise to “a positive obligation on the authorities to take preventive ope</w:t>
      </w:r>
      <w:r w:rsidR="008F028F">
        <w:t xml:space="preserve">rational measures to protect an </w:t>
      </w:r>
      <w:r>
        <w:t>individual whose life is at risk from the criminal acts of another individ</w:t>
      </w:r>
      <w:r w:rsidR="008F028F">
        <w:t>ual”.</w:t>
      </w:r>
      <w:r w:rsidR="008F028F">
        <w:rPr>
          <w:rStyle w:val="FootnoteReference"/>
        </w:rPr>
        <w:footnoteReference w:id="72"/>
      </w:r>
      <w:r w:rsidR="008F028F">
        <w:t xml:space="preserve"> As to the scope of this </w:t>
      </w:r>
      <w:r>
        <w:t>obligation, the Court stated:</w:t>
      </w:r>
    </w:p>
    <w:p w:rsidR="00F34B7C" w:rsidRDefault="00F34B7C" w:rsidP="0003725B">
      <w:pPr>
        <w:pStyle w:val="NoSpacing"/>
        <w:spacing w:line="360" w:lineRule="auto"/>
        <w:ind w:left="284"/>
      </w:pPr>
      <w:r>
        <w:t>[B]earing in mind the difficulties involved in policing modern societies, the unpredictability of human</w:t>
      </w:r>
      <w:r w:rsidR="0003725B">
        <w:t xml:space="preserve"> </w:t>
      </w:r>
      <w:r>
        <w:t>conduct and the operational choices which must be made in terms of priorities and resources, such</w:t>
      </w:r>
      <w:r w:rsidR="0003725B">
        <w:t xml:space="preserve"> </w:t>
      </w:r>
      <w:r>
        <w:t>an obligation must be interpreted in a way which does not impose an impossible or disproportionate</w:t>
      </w:r>
      <w:r w:rsidR="0003725B">
        <w:t xml:space="preserve"> </w:t>
      </w:r>
      <w:r>
        <w:t>burden on the authorities…. In the opinion of the Court where there is an allegation that the</w:t>
      </w:r>
      <w:r w:rsidR="0003725B">
        <w:t xml:space="preserve"> </w:t>
      </w:r>
      <w:r>
        <w:t>authorities have violated their positive obligation to protect the right to life in the context of their</w:t>
      </w:r>
      <w:r w:rsidR="0003725B">
        <w:t xml:space="preserve"> </w:t>
      </w:r>
      <w:r>
        <w:t>above-mentioned duty to prevent and suppress offences against the pe</w:t>
      </w:r>
      <w:r w:rsidR="008F028F">
        <w:t xml:space="preserve">rson, it must be established to </w:t>
      </w:r>
      <w:r>
        <w:t xml:space="preserve">its satisfaction that the authorities knew or ought to have known at the </w:t>
      </w:r>
      <w:r w:rsidR="008F028F">
        <w:t xml:space="preserve">time of the existence of a real </w:t>
      </w:r>
      <w:r>
        <w:t>and immediate risk to the life of an identified individual or individuals fr</w:t>
      </w:r>
      <w:r w:rsidR="008F028F">
        <w:t xml:space="preserve">om the criminal acts of a third </w:t>
      </w:r>
      <w:r>
        <w:t>party and that they failed to take measures within the scope of their p</w:t>
      </w:r>
      <w:r w:rsidR="008F028F">
        <w:t xml:space="preserve">owers which, judged reasonably, </w:t>
      </w:r>
      <w:r>
        <w:t>might have be</w:t>
      </w:r>
      <w:r w:rsidR="008F028F">
        <w:t>en expected to avoid that risk.</w:t>
      </w:r>
      <w:r w:rsidR="008F028F">
        <w:rPr>
          <w:rStyle w:val="FootnoteReference"/>
        </w:rPr>
        <w:footnoteReference w:id="73"/>
      </w:r>
    </w:p>
    <w:p w:rsidR="00F34B7C" w:rsidRDefault="00F34B7C" w:rsidP="00F34B7C">
      <w:pPr>
        <w:pStyle w:val="NoSpacing"/>
        <w:spacing w:line="360" w:lineRule="auto"/>
      </w:pPr>
      <w:r>
        <w:lastRenderedPageBreak/>
        <w:t xml:space="preserve">It is worth noting that the above passage from </w:t>
      </w:r>
      <w:proofErr w:type="gramStart"/>
      <w:r w:rsidRPr="0003725B">
        <w:rPr>
          <w:i/>
        </w:rPr>
        <w:t>Osman</w:t>
      </w:r>
      <w:r>
        <w:t>,</w:t>
      </w:r>
      <w:proofErr w:type="gramEnd"/>
      <w:r>
        <w:t xml:space="preserve"> bears a close resemblance to the reasoning of the</w:t>
      </w:r>
      <w:r w:rsidR="0003725B">
        <w:t xml:space="preserve"> </w:t>
      </w:r>
      <w:r>
        <w:t xml:space="preserve">Supreme Court of California in </w:t>
      </w:r>
      <w:r w:rsidRPr="0003725B">
        <w:rPr>
          <w:i/>
        </w:rPr>
        <w:t>Tarasoff</w:t>
      </w:r>
      <w:r>
        <w:t>. Osman has since been interpreted by one scholar as imposing a</w:t>
      </w:r>
      <w:r w:rsidR="0003725B">
        <w:t xml:space="preserve"> </w:t>
      </w:r>
      <w:r>
        <w:t>duty to protect third parties upon state employees in the United Kingdom, including psychiatrists</w:t>
      </w:r>
      <w:r w:rsidR="0003725B">
        <w:t xml:space="preserve"> </w:t>
      </w:r>
      <w:r>
        <w:t>employed by the NHS.</w:t>
      </w:r>
      <w:r w:rsidR="0003725B">
        <w:rPr>
          <w:rStyle w:val="FootnoteReference"/>
        </w:rPr>
        <w:footnoteReference w:id="74"/>
      </w:r>
      <w:r>
        <w:t xml:space="preserve"> The duty is derived from Article 2 of the ECHR, which protects the right to life.</w:t>
      </w:r>
      <w:r w:rsidR="0003725B">
        <w:t xml:space="preserve"> </w:t>
      </w:r>
      <w:r>
        <w:t>However, unless and until an expanded duty is recognised, any legal recourse against state employed</w:t>
      </w:r>
      <w:r w:rsidR="0003725B">
        <w:t xml:space="preserve"> </w:t>
      </w:r>
      <w:r>
        <w:t>psychiatrists for failure to protect third parties would lie against the United Kingdom government and not</w:t>
      </w:r>
      <w:r w:rsidR="0003725B">
        <w:t xml:space="preserve"> </w:t>
      </w:r>
      <w:r>
        <w:t>aga</w:t>
      </w:r>
      <w:r w:rsidR="002D7D4C">
        <w:t>inst a psychiatrist personally.</w:t>
      </w:r>
      <w:r w:rsidR="002D7D4C">
        <w:rPr>
          <w:rStyle w:val="FootnoteReference"/>
        </w:rPr>
        <w:footnoteReference w:id="75"/>
      </w:r>
    </w:p>
    <w:p w:rsidR="002D7D4C" w:rsidRDefault="002D7D4C" w:rsidP="00F34B7C">
      <w:pPr>
        <w:pStyle w:val="NoSpacing"/>
        <w:spacing w:line="360" w:lineRule="auto"/>
      </w:pPr>
    </w:p>
    <w:p w:rsidR="00F34B7C" w:rsidRPr="002D7D4C" w:rsidRDefault="00F34B7C" w:rsidP="00F34B7C">
      <w:pPr>
        <w:pStyle w:val="NoSpacing"/>
        <w:spacing w:line="360" w:lineRule="auto"/>
        <w:rPr>
          <w:b/>
        </w:rPr>
      </w:pPr>
      <w:r w:rsidRPr="002D7D4C">
        <w:rPr>
          <w:b/>
        </w:rPr>
        <w:t>Palmer</w:t>
      </w:r>
    </w:p>
    <w:p w:rsidR="00F34B7C" w:rsidRDefault="00F34B7C" w:rsidP="00F34B7C">
      <w:pPr>
        <w:pStyle w:val="NoSpacing"/>
        <w:spacing w:line="360" w:lineRule="auto"/>
      </w:pPr>
      <w:r w:rsidRPr="002D7D4C">
        <w:rPr>
          <w:i/>
        </w:rPr>
        <w:t>Osman</w:t>
      </w:r>
      <w:r>
        <w:t xml:space="preserve"> was considered by the English Court of Appeal in </w:t>
      </w:r>
      <w:r w:rsidRPr="002D7D4C">
        <w:rPr>
          <w:i/>
        </w:rPr>
        <w:t>Palmer</w:t>
      </w:r>
      <w:r>
        <w:t>.</w:t>
      </w:r>
      <w:r w:rsidR="002D7D4C">
        <w:rPr>
          <w:rStyle w:val="FootnoteReference"/>
        </w:rPr>
        <w:footnoteReference w:id="76"/>
      </w:r>
      <w:r>
        <w:t xml:space="preserve"> That case concerned a former</w:t>
      </w:r>
    </w:p>
    <w:p w:rsidR="00F34B7C" w:rsidRDefault="00F34B7C" w:rsidP="002D7D4C">
      <w:pPr>
        <w:pStyle w:val="NoSpacing"/>
        <w:spacing w:line="360" w:lineRule="auto"/>
      </w:pPr>
      <w:r>
        <w:t>psychiatric patient who abducted</w:t>
      </w:r>
      <w:r w:rsidR="002D7D4C">
        <w:t xml:space="preserve"> </w:t>
      </w:r>
      <w:r>
        <w:t>, sexually assaulted and murdered a 4 year-old girl.</w:t>
      </w:r>
      <w:r w:rsidR="002D7D4C">
        <w:rPr>
          <w:rStyle w:val="FootnoteReference"/>
        </w:rPr>
        <w:footnoteReference w:id="77"/>
      </w:r>
      <w:r>
        <w:t xml:space="preserve"> One year prior to</w:t>
      </w:r>
      <w:r w:rsidR="002D7D4C">
        <w:t xml:space="preserve"> </w:t>
      </w:r>
      <w:r>
        <w:t>the murder, the patient stated that he had sexual feelings towards children and that a child would be</w:t>
      </w:r>
      <w:r w:rsidR="002D7D4C">
        <w:t xml:space="preserve"> </w:t>
      </w:r>
      <w:r w:rsidR="002D7D4C">
        <w:t>murdered after h</w:t>
      </w:r>
      <w:r w:rsidR="002D7D4C">
        <w:t>e was discharged from hospital.</w:t>
      </w:r>
      <w:r w:rsidR="002D7D4C">
        <w:rPr>
          <w:rStyle w:val="FootnoteReference"/>
        </w:rPr>
        <w:footnoteReference w:id="78"/>
      </w:r>
      <w:r w:rsidR="002D7D4C">
        <w:t xml:space="preserve"> The victim’s mother s</w:t>
      </w:r>
      <w:r w:rsidR="002D7D4C">
        <w:t xml:space="preserve">ued the hospital for failing to </w:t>
      </w:r>
      <w:r w:rsidR="002D7D4C">
        <w:t xml:space="preserve">foresee the risk of the patient committing serious sexual offences </w:t>
      </w:r>
      <w:r w:rsidR="002D7D4C">
        <w:t>against children.</w:t>
      </w:r>
      <w:r w:rsidR="002D7D4C">
        <w:rPr>
          <w:rStyle w:val="FootnoteReference"/>
        </w:rPr>
        <w:footnoteReference w:id="79"/>
      </w:r>
    </w:p>
    <w:p w:rsidR="002D7D4C" w:rsidRDefault="002D7D4C" w:rsidP="002D7D4C">
      <w:pPr>
        <w:pStyle w:val="NoSpacing"/>
        <w:spacing w:line="360" w:lineRule="auto"/>
      </w:pPr>
    </w:p>
    <w:p w:rsidR="002D7D4C" w:rsidRDefault="002D7D4C" w:rsidP="002D7D4C">
      <w:pPr>
        <w:pStyle w:val="NoSpacing"/>
        <w:spacing w:line="360" w:lineRule="auto"/>
      </w:pPr>
      <w:r>
        <w:t>At first instance, the judge struck out the claim and this decision was s</w:t>
      </w:r>
      <w:r>
        <w:t xml:space="preserve">ubsequently upheld by the Court </w:t>
      </w:r>
      <w:r>
        <w:t xml:space="preserve">of Appeal. On the facts, the Court of Appeal distinguished </w:t>
      </w:r>
      <w:r w:rsidRPr="002D7D4C">
        <w:rPr>
          <w:i/>
        </w:rPr>
        <w:t xml:space="preserve">Osman </w:t>
      </w:r>
      <w:r>
        <w:t>becaus</w:t>
      </w:r>
      <w:r>
        <w:t xml:space="preserve">e in the present case there was </w:t>
      </w:r>
      <w:r>
        <w:t>no prior relationship between the patient and the victim.</w:t>
      </w:r>
      <w:r>
        <w:rPr>
          <w:rStyle w:val="FootnoteReference"/>
        </w:rPr>
        <w:footnoteReference w:id="80"/>
      </w:r>
      <w:r>
        <w:t xml:space="preserve"> The Court</w:t>
      </w:r>
      <w:r>
        <w:t xml:space="preserve"> held that because there was no </w:t>
      </w:r>
      <w:r>
        <w:t>pre-existing connection between the patient and the specific victim, the re</w:t>
      </w:r>
      <w:r>
        <w:t xml:space="preserve">quisite degree of proximity for </w:t>
      </w:r>
      <w:r>
        <w:t>negligence was absent.</w:t>
      </w:r>
    </w:p>
    <w:p w:rsidR="00580535" w:rsidRDefault="00580535" w:rsidP="002D7D4C">
      <w:pPr>
        <w:pStyle w:val="NoSpacing"/>
        <w:spacing w:line="360" w:lineRule="auto"/>
      </w:pPr>
    </w:p>
    <w:p w:rsidR="00580535" w:rsidRDefault="00580535" w:rsidP="00580535">
      <w:pPr>
        <w:pStyle w:val="NoSpacing"/>
        <w:spacing w:line="360" w:lineRule="auto"/>
      </w:pPr>
      <w:r>
        <w:t>Significantly, Stuart-Smith LJ expressed reservations about the proprie</w:t>
      </w:r>
      <w:r>
        <w:t xml:space="preserve">ty of the Osman decision in the </w:t>
      </w:r>
      <w:r>
        <w:t>English context: “I respectfully agree with Lord Browne-Wilkinson that i</w:t>
      </w:r>
      <w:r>
        <w:t xml:space="preserve">t is not easy to understand the </w:t>
      </w:r>
      <w:r>
        <w:t>decision of the Strasbourg Court in the context of the English law of ne</w:t>
      </w:r>
      <w:r>
        <w:t>gligence”.</w:t>
      </w:r>
      <w:r>
        <w:rPr>
          <w:rStyle w:val="FootnoteReference"/>
        </w:rPr>
        <w:footnoteReference w:id="81"/>
      </w:r>
      <w:r>
        <w:t xml:space="preserve">Further, the Court </w:t>
      </w:r>
      <w:r>
        <w:t xml:space="preserve">proceeded to reject </w:t>
      </w:r>
      <w:r w:rsidRPr="00580535">
        <w:rPr>
          <w:i/>
        </w:rPr>
        <w:t>Tarasoff</w:t>
      </w:r>
      <w:r>
        <w:t xml:space="preserve"> itself. Lord Stuart-Smith stated that the </w:t>
      </w:r>
      <w:r w:rsidRPr="00580535">
        <w:rPr>
          <w:i/>
        </w:rPr>
        <w:t xml:space="preserve">Tarasoff </w:t>
      </w:r>
      <w:r>
        <w:t xml:space="preserve">duty proceeded on “the </w:t>
      </w:r>
      <w:r>
        <w:t>premise that there is a special relationship between the defendant and eith</w:t>
      </w:r>
      <w:r>
        <w:t xml:space="preserve">er the third or the foreseeable </w:t>
      </w:r>
      <w:r>
        <w:t>victims. In English law it is plainly not sufficient that this relationship ex</w:t>
      </w:r>
      <w:r>
        <w:t>ists only between the defendant and third party”.</w:t>
      </w:r>
      <w:r>
        <w:rPr>
          <w:rStyle w:val="FootnoteReference"/>
        </w:rPr>
        <w:footnoteReference w:id="82"/>
      </w:r>
    </w:p>
    <w:p w:rsidR="00E65AB3" w:rsidRPr="00E65AB3" w:rsidRDefault="00E65AB3" w:rsidP="00E65AB3">
      <w:pPr>
        <w:pStyle w:val="NoSpacing"/>
        <w:spacing w:line="360" w:lineRule="auto"/>
        <w:rPr>
          <w:b/>
        </w:rPr>
      </w:pPr>
      <w:r w:rsidRPr="00E65AB3">
        <w:rPr>
          <w:b/>
        </w:rPr>
        <w:lastRenderedPageBreak/>
        <w:t>Discussion</w:t>
      </w:r>
    </w:p>
    <w:p w:rsidR="0089206A" w:rsidRDefault="00E65AB3" w:rsidP="00E65AB3">
      <w:pPr>
        <w:pStyle w:val="NoSpacing"/>
        <w:spacing w:line="360" w:lineRule="auto"/>
      </w:pPr>
      <w:r>
        <w:t xml:space="preserve">In the author’s view, </w:t>
      </w:r>
      <w:r w:rsidRPr="00E65AB3">
        <w:rPr>
          <w:i/>
        </w:rPr>
        <w:t>Palmer</w:t>
      </w:r>
      <w:r>
        <w:t xml:space="preserve"> is an early indication that domestic English courts </w:t>
      </w:r>
      <w:r>
        <w:t xml:space="preserve">will be reluctant to apply </w:t>
      </w:r>
      <w:r w:rsidRPr="00E65AB3">
        <w:rPr>
          <w:i/>
        </w:rPr>
        <w:t>Osman</w:t>
      </w:r>
      <w:r>
        <w:t xml:space="preserve"> reasoning to cement a tort law duty on psychiatrists to protect thir</w:t>
      </w:r>
      <w:r>
        <w:t xml:space="preserve">d parties. Gavaghan states that </w:t>
      </w:r>
      <w:r>
        <w:t>the notion of a positive duty to protect third parties under domestic Britis</w:t>
      </w:r>
      <w:r>
        <w:t>h law is a “very radical one”.</w:t>
      </w:r>
      <w:r>
        <w:rPr>
          <w:rStyle w:val="FootnoteReference"/>
        </w:rPr>
        <w:footnoteReference w:id="83"/>
      </w:r>
      <w:r>
        <w:t xml:space="preserve"> </w:t>
      </w:r>
      <w:r>
        <w:t xml:space="preserve">However, some scholars view </w:t>
      </w:r>
      <w:r w:rsidRPr="00E65AB3">
        <w:rPr>
          <w:i/>
        </w:rPr>
        <w:t>Osman</w:t>
      </w:r>
      <w:r>
        <w:t xml:space="preserve"> as the first step towards the recogni</w:t>
      </w:r>
      <w:r>
        <w:t xml:space="preserve">tion of a European </w:t>
      </w:r>
      <w:r w:rsidRPr="00B35AFA">
        <w:rPr>
          <w:i/>
        </w:rPr>
        <w:t>Tarasoff</w:t>
      </w:r>
      <w:r>
        <w:t xml:space="preserve">. In </w:t>
      </w:r>
      <w:r>
        <w:t>Hubbard’s view, the Osman decision is “an early sign of how the law</w:t>
      </w:r>
      <w:r>
        <w:t xml:space="preserve"> on duties to third parties may </w:t>
      </w:r>
      <w:r>
        <w:t>develop” in the United Kingdom.</w:t>
      </w:r>
      <w:r>
        <w:rPr>
          <w:rStyle w:val="FootnoteReference"/>
        </w:rPr>
        <w:footnoteReference w:id="84"/>
      </w:r>
      <w:r>
        <w:t xml:space="preserve"> Similarly, Perlin argues that </w:t>
      </w:r>
      <w:r w:rsidRPr="00B35AFA">
        <w:rPr>
          <w:i/>
        </w:rPr>
        <w:t>Osma</w:t>
      </w:r>
      <w:r w:rsidRPr="00B35AFA">
        <w:rPr>
          <w:i/>
        </w:rPr>
        <w:t xml:space="preserve">n </w:t>
      </w:r>
      <w:r>
        <w:t xml:space="preserve">represents a move towards the </w:t>
      </w:r>
      <w:r>
        <w:t>recognition of a duty to protect. Perlin states that: “Of course, Osman was not,</w:t>
      </w:r>
      <w:r>
        <w:t xml:space="preserve"> strictly speaking, a ‘Tarasoff </w:t>
      </w:r>
      <w:r>
        <w:t>case’. But there is no question in my mind that it helped create a judicia</w:t>
      </w:r>
      <w:r>
        <w:t xml:space="preserve">l environment that will be more </w:t>
      </w:r>
      <w:r>
        <w:t>sympathetic to such claims”.</w:t>
      </w:r>
      <w:r>
        <w:rPr>
          <w:rStyle w:val="FootnoteReference"/>
        </w:rPr>
        <w:footnoteReference w:id="85"/>
      </w:r>
      <w:r>
        <w:t xml:space="preserve"> Time will tell whether </w:t>
      </w:r>
      <w:proofErr w:type="spellStart"/>
      <w:r>
        <w:t>Perlin’s</w:t>
      </w:r>
      <w:proofErr w:type="spellEnd"/>
      <w:r>
        <w:t xml:space="preserve"> predictio</w:t>
      </w:r>
      <w:r>
        <w:t xml:space="preserve">n proves accurate. However, the </w:t>
      </w:r>
      <w:r>
        <w:t xml:space="preserve">early judicial indication from </w:t>
      </w:r>
      <w:r w:rsidRPr="00B35AFA">
        <w:rPr>
          <w:i/>
        </w:rPr>
        <w:t>Palmer</w:t>
      </w:r>
      <w:r>
        <w:t xml:space="preserve"> is that domestic English courts will be</w:t>
      </w:r>
      <w:r>
        <w:t xml:space="preserve"> slow to impose a Tarasoff duty </w:t>
      </w:r>
      <w:r>
        <w:t>in that jurisdiction.</w:t>
      </w:r>
    </w:p>
    <w:p w:rsidR="00314DAA" w:rsidRDefault="00314DAA" w:rsidP="00E65AB3">
      <w:pPr>
        <w:pStyle w:val="NoSpacing"/>
        <w:spacing w:line="360" w:lineRule="auto"/>
      </w:pPr>
    </w:p>
    <w:p w:rsidR="00314DAA" w:rsidRPr="00314DAA" w:rsidRDefault="00314DAA" w:rsidP="00314DAA">
      <w:pPr>
        <w:pStyle w:val="NoSpacing"/>
        <w:spacing w:line="360" w:lineRule="auto"/>
        <w:rPr>
          <w:b/>
        </w:rPr>
      </w:pPr>
      <w:r w:rsidRPr="00314DAA">
        <w:rPr>
          <w:b/>
        </w:rPr>
        <w:t>PART THREE: A CRITIQUE OF TARASOFF</w:t>
      </w:r>
    </w:p>
    <w:p w:rsidR="00314DAA" w:rsidRDefault="00314DAA" w:rsidP="00314DAA">
      <w:pPr>
        <w:pStyle w:val="NoSpacing"/>
        <w:spacing w:line="360" w:lineRule="auto"/>
      </w:pPr>
      <w:r>
        <w:t xml:space="preserve">There are several reasons why United Kingdom decision makers should be sceptical about </w:t>
      </w:r>
      <w:r w:rsidRPr="00314DAA">
        <w:rPr>
          <w:i/>
        </w:rPr>
        <w:t>Tarasoff</w:t>
      </w:r>
      <w:r>
        <w:t>’s</w:t>
      </w:r>
    </w:p>
    <w:p w:rsidR="00314DAA" w:rsidRDefault="00314DAA" w:rsidP="00314DAA">
      <w:pPr>
        <w:pStyle w:val="NoSpacing"/>
        <w:spacing w:line="360" w:lineRule="auto"/>
      </w:pPr>
      <w:r>
        <w:t>“enlightened approach”.</w:t>
      </w:r>
    </w:p>
    <w:p w:rsidR="00314DAA" w:rsidRDefault="00314DAA" w:rsidP="00314DAA">
      <w:pPr>
        <w:pStyle w:val="NoSpacing"/>
        <w:spacing w:line="360" w:lineRule="auto"/>
      </w:pPr>
    </w:p>
    <w:p w:rsidR="00314DAA" w:rsidRPr="00314DAA" w:rsidRDefault="00314DAA" w:rsidP="00314DAA">
      <w:pPr>
        <w:pStyle w:val="NoSpacing"/>
        <w:spacing w:line="360" w:lineRule="auto"/>
        <w:rPr>
          <w:b/>
        </w:rPr>
      </w:pPr>
      <w:r w:rsidRPr="00314DAA">
        <w:rPr>
          <w:b/>
        </w:rPr>
        <w:t>Lack of control over patients</w:t>
      </w:r>
    </w:p>
    <w:p w:rsidR="00314DAA" w:rsidRDefault="00314DAA" w:rsidP="00314DAA">
      <w:pPr>
        <w:pStyle w:val="NoSpacing"/>
        <w:spacing w:line="360" w:lineRule="auto"/>
      </w:pPr>
      <w:r>
        <w:t>In many cases, a psychiatrist will lack the necessary degree of control over a patient to justify the</w:t>
      </w:r>
    </w:p>
    <w:p w:rsidR="00314DAA" w:rsidRDefault="00314DAA" w:rsidP="00314DAA">
      <w:pPr>
        <w:pStyle w:val="NoSpacing"/>
        <w:spacing w:line="360" w:lineRule="auto"/>
      </w:pPr>
      <w:r>
        <w:t>imposition of a duty. For instance, psychiatrists usually have little control</w:t>
      </w:r>
      <w:r>
        <w:t xml:space="preserve"> over voluntary patients who do </w:t>
      </w:r>
      <w:r>
        <w:t>not satisfy the criteria for involuntary commitment. Similarly, psychiatrist</w:t>
      </w:r>
      <w:r>
        <w:t xml:space="preserve">s will have little control over </w:t>
      </w:r>
      <w:r>
        <w:t>outpatients.</w:t>
      </w:r>
      <w:r>
        <w:rPr>
          <w:rStyle w:val="FootnoteReference"/>
        </w:rPr>
        <w:footnoteReference w:id="86"/>
      </w:r>
      <w:r>
        <w:t xml:space="preserve"> For example, Tarasoff itself concerned a voluntary outpati</w:t>
      </w:r>
      <w:r>
        <w:t xml:space="preserve">ent who was not in treatment at </w:t>
      </w:r>
      <w:r>
        <w:t>the relevant time; whose potential victim was out of the country at the time of the threats; and who</w:t>
      </w:r>
      <w:r w:rsidR="009B12C8">
        <w:t xml:space="preserve"> </w:t>
      </w:r>
      <w:r w:rsidR="009B12C8" w:rsidRPr="009B12C8">
        <w:t>committed the murder three months after revealing his feelings during therapy</w:t>
      </w:r>
      <w:r w:rsidR="009B12C8">
        <w:t>.</w:t>
      </w:r>
      <w:r w:rsidR="009B12C8">
        <w:rPr>
          <w:rStyle w:val="FootnoteReference"/>
        </w:rPr>
        <w:footnoteReference w:id="87"/>
      </w:r>
    </w:p>
    <w:p w:rsidR="009B12C8" w:rsidRDefault="009B12C8" w:rsidP="00314DAA">
      <w:pPr>
        <w:pStyle w:val="NoSpacing"/>
        <w:spacing w:line="360" w:lineRule="auto"/>
      </w:pPr>
    </w:p>
    <w:p w:rsidR="009B12C8" w:rsidRDefault="009B12C8" w:rsidP="009B12C8">
      <w:pPr>
        <w:pStyle w:val="NoSpacing"/>
        <w:spacing w:line="360" w:lineRule="auto"/>
      </w:pPr>
      <w:r>
        <w:t>Support for this view can be found in the judgment of the Florida Cou</w:t>
      </w:r>
      <w:r>
        <w:t xml:space="preserve">rt of Appeals in </w:t>
      </w:r>
      <w:r w:rsidRPr="009B12C8">
        <w:rPr>
          <w:i/>
        </w:rPr>
        <w:t>Boynton</w:t>
      </w:r>
      <w:r>
        <w:rPr>
          <w:rStyle w:val="FootnoteReference"/>
        </w:rPr>
        <w:footnoteReference w:id="88"/>
      </w:r>
      <w:r>
        <w:t>.</w:t>
      </w:r>
    </w:p>
    <w:p w:rsidR="009B12C8" w:rsidRDefault="009B12C8" w:rsidP="009B12C8">
      <w:pPr>
        <w:pStyle w:val="NoSpacing"/>
        <w:spacing w:line="360" w:lineRule="auto"/>
      </w:pPr>
      <w:r>
        <w:t xml:space="preserve">The </w:t>
      </w:r>
      <w:r>
        <w:t xml:space="preserve">Florida Court of Appeals strongly rejected the </w:t>
      </w:r>
      <w:r w:rsidRPr="009B12C8">
        <w:rPr>
          <w:i/>
        </w:rPr>
        <w:t>Tarasoff</w:t>
      </w:r>
      <w:r>
        <w:t xml:space="preserve"> approach:</w:t>
      </w:r>
    </w:p>
    <w:p w:rsidR="009B12C8" w:rsidRDefault="009B12C8" w:rsidP="009B12C8">
      <w:pPr>
        <w:pStyle w:val="NoSpacing"/>
        <w:spacing w:line="360" w:lineRule="auto"/>
        <w:ind w:left="426"/>
      </w:pPr>
      <w:r>
        <w:t>Although other jurisdictions have followed the lead of the California Supreme Court in the landmark</w:t>
      </w:r>
      <w:r>
        <w:t xml:space="preserve"> </w:t>
      </w:r>
      <w:r>
        <w:t xml:space="preserve">decision of Tarasoff v Regents of Univ. of California, we reject that “enlightened” </w:t>
      </w:r>
      <w:r>
        <w:lastRenderedPageBreak/>
        <w:t>approach. Florida</w:t>
      </w:r>
      <w:r>
        <w:t xml:space="preserve"> </w:t>
      </w:r>
      <w:r>
        <w:t>courts have long been loathe [sic] to impose liability based on a defendant’s failure to control the</w:t>
      </w:r>
      <w:r>
        <w:t xml:space="preserve"> conduct of a third party.</w:t>
      </w:r>
      <w:r>
        <w:rPr>
          <w:rStyle w:val="FootnoteReference"/>
        </w:rPr>
        <w:footnoteReference w:id="89"/>
      </w:r>
    </w:p>
    <w:p w:rsidR="000D0C97" w:rsidRDefault="000D0C97" w:rsidP="000D0C97">
      <w:pPr>
        <w:pStyle w:val="NoSpacing"/>
        <w:tabs>
          <w:tab w:val="left" w:pos="0"/>
        </w:tabs>
        <w:spacing w:line="360" w:lineRule="auto"/>
      </w:pPr>
    </w:p>
    <w:p w:rsidR="000D0C97" w:rsidRDefault="000D0C97" w:rsidP="000D0C97">
      <w:pPr>
        <w:pStyle w:val="NoSpacing"/>
        <w:tabs>
          <w:tab w:val="left" w:pos="0"/>
        </w:tabs>
        <w:spacing w:line="360" w:lineRule="auto"/>
      </w:pPr>
      <w:r>
        <w:t xml:space="preserve">The Court stated that the “special relationship” between a patient and therapist relied on in </w:t>
      </w:r>
      <w:r w:rsidRPr="000D0C97">
        <w:rPr>
          <w:i/>
        </w:rPr>
        <w:t xml:space="preserve">Tarasoff </w:t>
      </w:r>
      <w:r>
        <w:t>to</w:t>
      </w:r>
      <w:r>
        <w:t xml:space="preserve"> </w:t>
      </w:r>
      <w:r>
        <w:t>create the protective duty, is implicitly premised on a psychiatrist’s ability to control their patient.</w:t>
      </w:r>
      <w:r>
        <w:rPr>
          <w:rStyle w:val="FootnoteReference"/>
        </w:rPr>
        <w:footnoteReference w:id="90"/>
      </w:r>
      <w:r>
        <w:t xml:space="preserve"> Yet,</w:t>
      </w:r>
      <w:r>
        <w:t xml:space="preserve"> </w:t>
      </w:r>
      <w:r>
        <w:t xml:space="preserve">the </w:t>
      </w:r>
      <w:r w:rsidRPr="000D0C97">
        <w:rPr>
          <w:i/>
        </w:rPr>
        <w:t>Tarasoff</w:t>
      </w:r>
      <w:r>
        <w:t xml:space="preserve"> Court did not address the issue of control.</w:t>
      </w:r>
      <w:r>
        <w:rPr>
          <w:rStyle w:val="FootnoteReference"/>
        </w:rPr>
        <w:footnoteReference w:id="91"/>
      </w:r>
      <w:r>
        <w:t xml:space="preserve"> In </w:t>
      </w:r>
      <w:r w:rsidRPr="000D0C97">
        <w:rPr>
          <w:i/>
        </w:rPr>
        <w:t>Tarasoff</w:t>
      </w:r>
      <w:r>
        <w:t>, the Supreme Court of California</w:t>
      </w:r>
      <w:r>
        <w:t xml:space="preserve"> </w:t>
      </w:r>
      <w:r>
        <w:t>simply stated that:</w:t>
      </w:r>
    </w:p>
    <w:p w:rsidR="00FE3E62" w:rsidRDefault="00FE3E62" w:rsidP="00FE3E62">
      <w:pPr>
        <w:pStyle w:val="NoSpacing"/>
        <w:tabs>
          <w:tab w:val="left" w:pos="0"/>
        </w:tabs>
        <w:spacing w:line="360" w:lineRule="auto"/>
        <w:ind w:left="284"/>
      </w:pPr>
      <w:r>
        <w:t xml:space="preserve">[T]here now seems to be sufficient authority to support the conclusion that by entering into a </w:t>
      </w:r>
      <w:r>
        <w:t xml:space="preserve">doctor-patient </w:t>
      </w:r>
      <w:r>
        <w:t>relationship the therapist becomes sufficiently involved to ass</w:t>
      </w:r>
      <w:r>
        <w:t xml:space="preserve">ume some responsibility for the </w:t>
      </w:r>
      <w:r>
        <w:t>safety, not only of the patient himself, but also of any third per</w:t>
      </w:r>
      <w:r>
        <w:t>son whom the doctor knows to be threatened by the patient.</w:t>
      </w:r>
      <w:r>
        <w:rPr>
          <w:rStyle w:val="FootnoteReference"/>
        </w:rPr>
        <w:footnoteReference w:id="92"/>
      </w:r>
    </w:p>
    <w:p w:rsidR="000F287F" w:rsidRDefault="000F287F" w:rsidP="000F287F">
      <w:pPr>
        <w:pStyle w:val="NoSpacing"/>
        <w:tabs>
          <w:tab w:val="left" w:pos="0"/>
        </w:tabs>
        <w:spacing w:line="360" w:lineRule="auto"/>
      </w:pPr>
    </w:p>
    <w:p w:rsidR="000F287F" w:rsidRDefault="000F287F" w:rsidP="000F287F">
      <w:pPr>
        <w:pStyle w:val="NoSpacing"/>
        <w:tabs>
          <w:tab w:val="left" w:pos="0"/>
        </w:tabs>
        <w:spacing w:line="360" w:lineRule="auto"/>
      </w:pPr>
      <w:r>
        <w:t>In stark contrast, the Florida Court of Appeals recognised that most therapeutic relationships will not</w:t>
      </w:r>
    </w:p>
    <w:p w:rsidR="000F287F" w:rsidRDefault="000F287F" w:rsidP="000F287F">
      <w:pPr>
        <w:pStyle w:val="NoSpacing"/>
        <w:tabs>
          <w:tab w:val="left" w:pos="0"/>
        </w:tabs>
        <w:spacing w:line="360" w:lineRule="auto"/>
      </w:pPr>
      <w:r>
        <w:t>contain any element of control.</w:t>
      </w:r>
      <w:r>
        <w:rPr>
          <w:rStyle w:val="FootnoteReference"/>
        </w:rPr>
        <w:footnoteReference w:id="93"/>
      </w:r>
      <w:r>
        <w:t xml:space="preserve"> The Court held that the relationship between a psychiatrist and a</w:t>
      </w:r>
    </w:p>
    <w:p w:rsidR="000F287F" w:rsidRDefault="000F287F" w:rsidP="000F287F">
      <w:pPr>
        <w:pStyle w:val="NoSpacing"/>
        <w:tabs>
          <w:tab w:val="left" w:pos="0"/>
        </w:tabs>
        <w:spacing w:line="360" w:lineRule="auto"/>
      </w:pPr>
      <w:r>
        <w:t>voluntary outpatient lacked the necessary element of control for the crea</w:t>
      </w:r>
      <w:r>
        <w:t xml:space="preserve">tion of a duty to protect other </w:t>
      </w:r>
      <w:r>
        <w:t>parties.</w:t>
      </w:r>
      <w:r>
        <w:rPr>
          <w:rStyle w:val="FootnoteReference"/>
        </w:rPr>
        <w:footnoteReference w:id="94"/>
      </w:r>
      <w:r>
        <w:t xml:space="preserve"> It is submitted that the Court’s reasoning is persuasive. Moreover, there must be strength</w:t>
      </w:r>
      <w:r>
        <w:t xml:space="preserve"> in </w:t>
      </w:r>
      <w:r>
        <w:t xml:space="preserve">Stone’s analysis: “Once the suggestion of control is eliminated, there </w:t>
      </w:r>
      <w:r>
        <w:t xml:space="preserve">is nothing in the nature of the </w:t>
      </w:r>
      <w:r>
        <w:t xml:space="preserve">relationship between a psychiatrist and his patient to support an exception </w:t>
      </w:r>
      <w:r>
        <w:t>to the tort law presumption”.</w:t>
      </w:r>
      <w:r>
        <w:rPr>
          <w:rStyle w:val="FootnoteReference"/>
        </w:rPr>
        <w:footnoteReference w:id="95"/>
      </w:r>
      <w:r>
        <w:t xml:space="preserve"> </w:t>
      </w:r>
      <w:r>
        <w:t>In the absence of control, the Tarasoff Court appeared to rely upon the resp</w:t>
      </w:r>
      <w:r>
        <w:t xml:space="preserve">onsibilities inherent in social </w:t>
      </w:r>
      <w:r>
        <w:t>living and human relations, and the spirit of the Good Samaritan. The Boy</w:t>
      </w:r>
      <w:r>
        <w:t>nton Court declined to “fashion a</w:t>
      </w:r>
      <w:r>
        <w:t xml:space="preserve"> rule of</w:t>
      </w:r>
      <w:r>
        <w:t xml:space="preserve"> law from such social duties”.</w:t>
      </w:r>
      <w:r>
        <w:rPr>
          <w:rStyle w:val="FootnoteReference"/>
        </w:rPr>
        <w:footnoteReference w:id="96"/>
      </w:r>
    </w:p>
    <w:p w:rsidR="0032372C" w:rsidRDefault="0032372C" w:rsidP="000F287F">
      <w:pPr>
        <w:pStyle w:val="NoSpacing"/>
        <w:tabs>
          <w:tab w:val="left" w:pos="0"/>
        </w:tabs>
        <w:spacing w:line="360" w:lineRule="auto"/>
      </w:pPr>
    </w:p>
    <w:p w:rsidR="0032372C" w:rsidRDefault="0032372C" w:rsidP="0032372C">
      <w:pPr>
        <w:pStyle w:val="NoSpacing"/>
        <w:tabs>
          <w:tab w:val="left" w:pos="0"/>
        </w:tabs>
        <w:spacing w:line="360" w:lineRule="auto"/>
      </w:pPr>
      <w:r>
        <w:t>Causation problems</w:t>
      </w:r>
    </w:p>
    <w:p w:rsidR="00EA16CC" w:rsidRDefault="0032372C" w:rsidP="0032372C">
      <w:pPr>
        <w:pStyle w:val="NoSpacing"/>
        <w:tabs>
          <w:tab w:val="left" w:pos="0"/>
        </w:tabs>
        <w:spacing w:line="360" w:lineRule="auto"/>
      </w:pPr>
      <w:r>
        <w:t xml:space="preserve">The second reason why </w:t>
      </w:r>
      <w:r w:rsidRPr="0032372C">
        <w:rPr>
          <w:i/>
        </w:rPr>
        <w:t xml:space="preserve">Tarasoff </w:t>
      </w:r>
      <w:r>
        <w:t>should be avoided relates to causation.</w:t>
      </w:r>
      <w:r>
        <w:t xml:space="preserve"> It is submitted that there are </w:t>
      </w:r>
      <w:r>
        <w:t xml:space="preserve">glaring problems of causation with the </w:t>
      </w:r>
      <w:r w:rsidRPr="0032372C">
        <w:rPr>
          <w:i/>
        </w:rPr>
        <w:t>Tarasoff</w:t>
      </w:r>
      <w:r>
        <w:t xml:space="preserve"> doctrine. Put simply, it is no</w:t>
      </w:r>
      <w:r>
        <w:t xml:space="preserve">t clear that the psychologist’s </w:t>
      </w:r>
      <w:r>
        <w:t xml:space="preserve">failure to warn the victim in </w:t>
      </w:r>
      <w:r w:rsidRPr="0032372C">
        <w:rPr>
          <w:i/>
        </w:rPr>
        <w:t>Tarasoff</w:t>
      </w:r>
      <w:r>
        <w:t xml:space="preserve"> could be said to have caused the victi</w:t>
      </w:r>
      <w:r>
        <w:t xml:space="preserve">m’s death. Conspicuously, there </w:t>
      </w:r>
      <w:r>
        <w:t xml:space="preserve">is no causation analysis in the </w:t>
      </w:r>
      <w:r w:rsidRPr="0032372C">
        <w:rPr>
          <w:i/>
        </w:rPr>
        <w:t>Tarasoff</w:t>
      </w:r>
      <w:r>
        <w:t xml:space="preserve"> decision.</w:t>
      </w:r>
    </w:p>
    <w:p w:rsidR="0032372C" w:rsidRDefault="0032372C" w:rsidP="00990C07">
      <w:pPr>
        <w:pStyle w:val="NoSpacing"/>
        <w:tabs>
          <w:tab w:val="left" w:pos="0"/>
        </w:tabs>
        <w:spacing w:line="360" w:lineRule="auto"/>
      </w:pPr>
      <w:r>
        <w:lastRenderedPageBreak/>
        <w:t xml:space="preserve">It will be recalled that in </w:t>
      </w:r>
      <w:r w:rsidRPr="00EA16CC">
        <w:rPr>
          <w:i/>
        </w:rPr>
        <w:t>Tarasoff</w:t>
      </w:r>
      <w:r>
        <w:t xml:space="preserve">, Tobriner J stated that the protective </w:t>
      </w:r>
      <w:r w:rsidR="00EA16CC">
        <w:t xml:space="preserve">duty may require a therapist to </w:t>
      </w:r>
      <w:r>
        <w:t>take various steps depending on the facts of the individual case, includin</w:t>
      </w:r>
      <w:r w:rsidR="00EA16CC">
        <w:t xml:space="preserve">g warning the potential victim, </w:t>
      </w:r>
      <w:r>
        <w:t>notifying the police, or taking whatever other steps might be reasonably nec</w:t>
      </w:r>
      <w:r w:rsidR="00EA16CC">
        <w:t xml:space="preserve">essary to protect the potential </w:t>
      </w:r>
      <w:r>
        <w:t>victim.</w:t>
      </w:r>
      <w:r w:rsidR="00EA16CC">
        <w:rPr>
          <w:rStyle w:val="FootnoteReference"/>
        </w:rPr>
        <w:footnoteReference w:id="97"/>
      </w:r>
      <w:r>
        <w:t xml:space="preserve"> </w:t>
      </w:r>
      <w:r w:rsidR="00EA16CC">
        <w:t xml:space="preserve"> </w:t>
      </w:r>
      <w:r>
        <w:t>Further, Tobriner J stated: “Some of the alternatives open to the</w:t>
      </w:r>
      <w:r w:rsidR="00EA16CC">
        <w:t xml:space="preserve"> therapist, such as warning the </w:t>
      </w:r>
      <w:r>
        <w:t>victim, will not result in the drastic consequences of depriving the patient of his liberty”.</w:t>
      </w:r>
      <w:r w:rsidR="00EA16CC">
        <w:rPr>
          <w:rStyle w:val="FootnoteReference"/>
        </w:rPr>
        <w:footnoteReference w:id="98"/>
      </w:r>
      <w:r>
        <w:t xml:space="preserve"> However, a</w:t>
      </w:r>
      <w:r w:rsidR="00990C07">
        <w:t xml:space="preserve"> </w:t>
      </w:r>
      <w:r w:rsidR="00990C07">
        <w:t>therapist who has failed to warn a victim should not be liable for a victim’s inj</w:t>
      </w:r>
      <w:r w:rsidR="00990C07">
        <w:t xml:space="preserve">uries or death if their failure </w:t>
      </w:r>
      <w:r w:rsidR="00990C07">
        <w:t>to warn was not a cause in fact of such injuries or death.</w:t>
      </w:r>
    </w:p>
    <w:p w:rsidR="009B62B5" w:rsidRDefault="009B62B5" w:rsidP="00990C07">
      <w:pPr>
        <w:pStyle w:val="NoSpacing"/>
        <w:tabs>
          <w:tab w:val="left" w:pos="0"/>
        </w:tabs>
        <w:spacing w:line="360" w:lineRule="auto"/>
      </w:pPr>
    </w:p>
    <w:p w:rsidR="009B62B5" w:rsidRDefault="009B62B5" w:rsidP="009B62B5">
      <w:pPr>
        <w:pStyle w:val="NoSpacing"/>
        <w:tabs>
          <w:tab w:val="left" w:pos="0"/>
        </w:tabs>
        <w:spacing w:line="360" w:lineRule="auto"/>
      </w:pPr>
      <w:r>
        <w:t>Settled principles of tort law require factual causation before liability wil</w:t>
      </w:r>
      <w:r>
        <w:t xml:space="preserve">l be imposed in negligence. The </w:t>
      </w:r>
      <w:r>
        <w:t>‘but for’ test is used to ensure this minimum level of factual causation. To s</w:t>
      </w:r>
      <w:r>
        <w:t xml:space="preserve">atisfy this test, the plaintiff </w:t>
      </w:r>
      <w:r>
        <w:t xml:space="preserve">would have to prove that had Ms Tarasoff been warned of Mr </w:t>
      </w:r>
      <w:proofErr w:type="spellStart"/>
      <w:r>
        <w:t>Poddar’s</w:t>
      </w:r>
      <w:proofErr w:type="spellEnd"/>
      <w:r>
        <w:t xml:space="preserve"> threat, she would have avoided </w:t>
      </w:r>
      <w:r>
        <w:t>being killed by Mr Poddar. It is far from clear whether a warning would</w:t>
      </w:r>
      <w:r>
        <w:t xml:space="preserve"> have averted the danger. It is </w:t>
      </w:r>
      <w:r>
        <w:t>entirely conceivable that Mr Poddar would have killed Ms Tarasoff, not</w:t>
      </w:r>
      <w:r>
        <w:t xml:space="preserve">withstanding that she was aware </w:t>
      </w:r>
      <w:r>
        <w:t>of the very danger posed by Mr Poddar. The most that can be said is that, du</w:t>
      </w:r>
      <w:r>
        <w:t xml:space="preserve">e to the psychologist’s failure </w:t>
      </w:r>
      <w:r>
        <w:t xml:space="preserve">to warn her, Ms Tarasoff lost the opportunity to avoid being harmed by </w:t>
      </w:r>
      <w:r>
        <w:t xml:space="preserve">Mr Poddar. Based on traditional </w:t>
      </w:r>
      <w:r>
        <w:t>common law principles of causation, this would be insufficient to establish causation.</w:t>
      </w:r>
    </w:p>
    <w:p w:rsidR="00CB150B" w:rsidRDefault="00CB150B" w:rsidP="009B62B5">
      <w:pPr>
        <w:pStyle w:val="NoSpacing"/>
        <w:tabs>
          <w:tab w:val="left" w:pos="0"/>
        </w:tabs>
        <w:spacing w:line="360" w:lineRule="auto"/>
      </w:pPr>
    </w:p>
    <w:p w:rsidR="00CB150B" w:rsidRDefault="00CB150B" w:rsidP="00CB150B">
      <w:pPr>
        <w:pStyle w:val="NoSpacing"/>
        <w:tabs>
          <w:tab w:val="left" w:pos="0"/>
        </w:tabs>
        <w:spacing w:line="360" w:lineRule="auto"/>
      </w:pPr>
      <w:r>
        <w:t xml:space="preserve">Of course, it was open to the </w:t>
      </w:r>
      <w:r w:rsidRPr="002C4586">
        <w:rPr>
          <w:i/>
        </w:rPr>
        <w:t>Tarasoff</w:t>
      </w:r>
      <w:r>
        <w:t xml:space="preserve"> Court to relax the ordinary rules</w:t>
      </w:r>
      <w:r>
        <w:t xml:space="preserve"> of causation and apply a lower </w:t>
      </w:r>
      <w:r>
        <w:t>standard of causation in the particular circumstances of the case. However, the Court did not do so.</w:t>
      </w:r>
      <w:r w:rsidR="002C4586">
        <w:t xml:space="preserve"> </w:t>
      </w:r>
      <w:r>
        <w:t>Moreover, the Court failed to explain how causation was established on existing principles.</w:t>
      </w:r>
    </w:p>
    <w:p w:rsidR="002C4586" w:rsidRDefault="002C4586" w:rsidP="00CB150B">
      <w:pPr>
        <w:pStyle w:val="NoSpacing"/>
        <w:tabs>
          <w:tab w:val="left" w:pos="0"/>
        </w:tabs>
        <w:spacing w:line="360" w:lineRule="auto"/>
      </w:pPr>
    </w:p>
    <w:p w:rsidR="00CB150B" w:rsidRDefault="00CB150B" w:rsidP="00CB150B">
      <w:pPr>
        <w:pStyle w:val="NoSpacing"/>
        <w:tabs>
          <w:tab w:val="left" w:pos="0"/>
        </w:tabs>
        <w:spacing w:line="360" w:lineRule="auto"/>
      </w:pPr>
      <w:r>
        <w:t>It is submitted that a T</w:t>
      </w:r>
      <w:r w:rsidRPr="002C4586">
        <w:rPr>
          <w:i/>
        </w:rPr>
        <w:t>arasoff</w:t>
      </w:r>
      <w:r>
        <w:t xml:space="preserve"> duty can only ever make sense in terms of ca</w:t>
      </w:r>
      <w:r w:rsidR="002C4586">
        <w:t xml:space="preserve">usation if one interprets it as, </w:t>
      </w:r>
      <w:r>
        <w:t>requiring a therapist to commit for involuntary treatment a patient who po</w:t>
      </w:r>
      <w:r w:rsidR="002C4586">
        <w:t xml:space="preserve">ses a serious danger to others. </w:t>
      </w:r>
      <w:r>
        <w:t>‘But for’ causation would be established because the victim would cert</w:t>
      </w:r>
      <w:r w:rsidR="002C4586">
        <w:t xml:space="preserve">ainly have avoided the harm had </w:t>
      </w:r>
      <w:r>
        <w:t>the therapist properly committed the patient. However, the majority i</w:t>
      </w:r>
      <w:r w:rsidR="002C4586">
        <w:t xml:space="preserve">n </w:t>
      </w:r>
      <w:r w:rsidR="002C4586" w:rsidRPr="002C4586">
        <w:rPr>
          <w:i/>
        </w:rPr>
        <w:t>Tarasoff</w:t>
      </w:r>
      <w:r w:rsidR="002C4586">
        <w:t xml:space="preserve"> was careful to avoid </w:t>
      </w:r>
      <w:r>
        <w:t>establishing a duty on therapists to civilly commit a patient. Therefore,</w:t>
      </w:r>
      <w:r w:rsidR="002C4586">
        <w:t xml:space="preserve"> in the author’s view, </w:t>
      </w:r>
      <w:r w:rsidR="002C4586" w:rsidRPr="002C4586">
        <w:rPr>
          <w:i/>
        </w:rPr>
        <w:t xml:space="preserve">Tarasoff </w:t>
      </w:r>
      <w:r>
        <w:t>liability sits uncomfortably with traditional common law principles of causation.</w:t>
      </w:r>
    </w:p>
    <w:p w:rsidR="00784F71" w:rsidRDefault="00784F71" w:rsidP="00CB150B">
      <w:pPr>
        <w:pStyle w:val="NoSpacing"/>
        <w:tabs>
          <w:tab w:val="left" w:pos="0"/>
        </w:tabs>
        <w:spacing w:line="360" w:lineRule="auto"/>
      </w:pPr>
    </w:p>
    <w:p w:rsidR="00784F71" w:rsidRPr="00784F71" w:rsidRDefault="00784F71" w:rsidP="00784F71">
      <w:pPr>
        <w:pStyle w:val="NoSpacing"/>
        <w:tabs>
          <w:tab w:val="left" w:pos="0"/>
        </w:tabs>
        <w:spacing w:line="360" w:lineRule="auto"/>
        <w:rPr>
          <w:b/>
        </w:rPr>
      </w:pPr>
      <w:r w:rsidRPr="00784F71">
        <w:rPr>
          <w:b/>
        </w:rPr>
        <w:t>Uncertain standard of care</w:t>
      </w:r>
    </w:p>
    <w:p w:rsidR="00784F71" w:rsidRDefault="00784F71" w:rsidP="00784F71">
      <w:pPr>
        <w:pStyle w:val="NoSpacing"/>
        <w:tabs>
          <w:tab w:val="left" w:pos="0"/>
        </w:tabs>
        <w:spacing w:line="360" w:lineRule="auto"/>
      </w:pPr>
      <w:r>
        <w:t xml:space="preserve">A third reason to avoid a </w:t>
      </w:r>
      <w:r w:rsidRPr="00784F71">
        <w:rPr>
          <w:i/>
        </w:rPr>
        <w:t>Tarasoff</w:t>
      </w:r>
      <w:r>
        <w:t xml:space="preserve">-type duty relates to the uncertain standard of care that the </w:t>
      </w:r>
      <w:r>
        <w:t xml:space="preserve">decision purports </w:t>
      </w:r>
      <w:r w:rsidRPr="00784F71">
        <w:t>to impose upon therapists.</w:t>
      </w:r>
    </w:p>
    <w:p w:rsidR="00784F71" w:rsidRDefault="00784F71" w:rsidP="00784F71">
      <w:pPr>
        <w:pStyle w:val="NoSpacing"/>
        <w:tabs>
          <w:tab w:val="left" w:pos="0"/>
        </w:tabs>
        <w:spacing w:line="360" w:lineRule="auto"/>
      </w:pPr>
      <w:r>
        <w:lastRenderedPageBreak/>
        <w:t>The standard of care required by Tar</w:t>
      </w:r>
      <w:r>
        <w:t xml:space="preserve">asoff is that of the reasonable </w:t>
      </w:r>
      <w:r>
        <w:t>therapist:</w:t>
      </w:r>
    </w:p>
    <w:p w:rsidR="00784F71" w:rsidRDefault="00784F71" w:rsidP="00784F71">
      <w:pPr>
        <w:pStyle w:val="NoSpacing"/>
        <w:tabs>
          <w:tab w:val="left" w:pos="-142"/>
        </w:tabs>
        <w:spacing w:line="360" w:lineRule="auto"/>
        <w:ind w:left="284"/>
      </w:pPr>
      <w:r>
        <w:t>[T]he therapist need only exercise that reasonable degree of skill, knowledge, and care ordinarily</w:t>
      </w:r>
    </w:p>
    <w:p w:rsidR="00784F71" w:rsidRDefault="00784F71" w:rsidP="00784F71">
      <w:pPr>
        <w:pStyle w:val="NoSpacing"/>
        <w:tabs>
          <w:tab w:val="left" w:pos="-142"/>
        </w:tabs>
        <w:spacing w:line="360" w:lineRule="auto"/>
        <w:ind w:left="284"/>
      </w:pPr>
      <w:r>
        <w:t>possessed and exercised by members of that professional specialty unde</w:t>
      </w:r>
      <w:r>
        <w:t xml:space="preserve">r similar circumstances. Within </w:t>
      </w:r>
      <w:r>
        <w:t>the broad range of reasonable practice and treatment in which pr</w:t>
      </w:r>
      <w:r>
        <w:t xml:space="preserve">ofessional opinion and judgment </w:t>
      </w:r>
      <w:r>
        <w:t xml:space="preserve">may differ, the therapist is free to exercise his or her own best judgment </w:t>
      </w:r>
      <w:r>
        <w:t xml:space="preserve">without liability; proof, aided </w:t>
      </w:r>
      <w:r>
        <w:t>by hindsight, that he or she judged wrongly is insuffi</w:t>
      </w:r>
      <w:r>
        <w:t>cient to establish negligence.</w:t>
      </w:r>
      <w:r>
        <w:rPr>
          <w:rStyle w:val="FootnoteReference"/>
        </w:rPr>
        <w:footnoteReference w:id="99"/>
      </w:r>
    </w:p>
    <w:p w:rsidR="00784F71" w:rsidRDefault="00784F71" w:rsidP="00784F71">
      <w:pPr>
        <w:pStyle w:val="NoSpacing"/>
        <w:tabs>
          <w:tab w:val="left" w:pos="0"/>
        </w:tabs>
        <w:spacing w:line="360" w:lineRule="auto"/>
      </w:pPr>
      <w:r>
        <w:t xml:space="preserve">Mosk J stated that a psychiatrist’s prediction of violence stands to be </w:t>
      </w:r>
      <w:r w:rsidR="00864495">
        <w:t xml:space="preserve">examined against “conformity to </w:t>
      </w:r>
      <w:r>
        <w:t>standards of the profession”.</w:t>
      </w:r>
      <w:r w:rsidR="00864495">
        <w:rPr>
          <w:rStyle w:val="FootnoteReference"/>
        </w:rPr>
        <w:footnoteReference w:id="100"/>
      </w:r>
      <w:r>
        <w:t xml:space="preserve"> Yet, one must wonder what common stand</w:t>
      </w:r>
      <w:r w:rsidR="00864495">
        <w:t xml:space="preserve">ards the court is referring to, </w:t>
      </w:r>
      <w:r>
        <w:t>when no such standards exist within the profession itself. Of course, psyc</w:t>
      </w:r>
      <w:r w:rsidR="00864495">
        <w:t xml:space="preserve">hiatry has developed a range of </w:t>
      </w:r>
      <w:r>
        <w:t>risk assessment tools designed to predict dangerousness. However, it appears</w:t>
      </w:r>
      <w:r w:rsidR="00864495">
        <w:t xml:space="preserve"> that there is little consensus </w:t>
      </w:r>
      <w:r>
        <w:t>within the profession as to what constitutes reasonable practice. In his d</w:t>
      </w:r>
      <w:r w:rsidR="00864495">
        <w:t xml:space="preserve">issenting judgment in </w:t>
      </w:r>
      <w:r w:rsidR="00864495" w:rsidRPr="00864495">
        <w:rPr>
          <w:i/>
        </w:rPr>
        <w:t>Tarasoff</w:t>
      </w:r>
      <w:r w:rsidR="00864495">
        <w:t xml:space="preserve">, </w:t>
      </w:r>
      <w:r>
        <w:t>Clark J referred to evidence that suggested:</w:t>
      </w:r>
    </w:p>
    <w:p w:rsidR="00864495" w:rsidRDefault="00864495" w:rsidP="00784F71">
      <w:pPr>
        <w:pStyle w:val="NoSpacing"/>
        <w:tabs>
          <w:tab w:val="left" w:pos="0"/>
        </w:tabs>
        <w:spacing w:line="360" w:lineRule="auto"/>
      </w:pPr>
    </w:p>
    <w:p w:rsidR="00864495" w:rsidRDefault="00864495" w:rsidP="00864495">
      <w:pPr>
        <w:pStyle w:val="NoSpacing"/>
        <w:tabs>
          <w:tab w:val="left" w:pos="0"/>
        </w:tabs>
        <w:spacing w:line="360" w:lineRule="auto"/>
      </w:pPr>
      <w:r>
        <w:t>[T]he chances of a second psychiatrist agreeing with the diagnosis of a first psychiatrist are barely</w:t>
      </w:r>
    </w:p>
    <w:p w:rsidR="00864495" w:rsidRDefault="00864495" w:rsidP="00864495">
      <w:pPr>
        <w:pStyle w:val="NoSpacing"/>
        <w:tabs>
          <w:tab w:val="left" w:pos="0"/>
        </w:tabs>
        <w:spacing w:line="360" w:lineRule="auto"/>
      </w:pPr>
      <w:r>
        <w:t>better than 50-50; or stated differently, there is about as much chance that a different expert would</w:t>
      </w:r>
    </w:p>
    <w:p w:rsidR="00864495" w:rsidRDefault="00864495" w:rsidP="00864495">
      <w:pPr>
        <w:pStyle w:val="NoSpacing"/>
        <w:tabs>
          <w:tab w:val="left" w:pos="0"/>
        </w:tabs>
        <w:spacing w:line="360" w:lineRule="auto"/>
      </w:pPr>
      <w:r>
        <w:t>come to some different conclusion as there i</w:t>
      </w:r>
      <w:r>
        <w:t>s that the other would agree.</w:t>
      </w:r>
      <w:r>
        <w:rPr>
          <w:rStyle w:val="FootnoteReference"/>
        </w:rPr>
        <w:footnoteReference w:id="101"/>
      </w:r>
    </w:p>
    <w:p w:rsidR="00864495" w:rsidRDefault="00864495" w:rsidP="00864495">
      <w:pPr>
        <w:pStyle w:val="NoSpacing"/>
        <w:tabs>
          <w:tab w:val="left" w:pos="0"/>
        </w:tabs>
        <w:spacing w:line="360" w:lineRule="auto"/>
      </w:pPr>
    </w:p>
    <w:p w:rsidR="00864495" w:rsidRDefault="00864495" w:rsidP="00864495">
      <w:pPr>
        <w:pStyle w:val="NoSpacing"/>
        <w:tabs>
          <w:tab w:val="left" w:pos="0"/>
        </w:tabs>
        <w:spacing w:line="360" w:lineRule="auto"/>
      </w:pPr>
      <w:r>
        <w:t>Unlike a physician’s diagnosis, which can be verified by x-ray or surgery for exa</w:t>
      </w:r>
      <w:r>
        <w:t xml:space="preserve">mple, a psychiatrist cannot </w:t>
      </w:r>
      <w:r>
        <w:t>verify his diagnosis, treatment or predicted prognosis except by long-term follow-up and reporting.</w:t>
      </w:r>
    </w:p>
    <w:p w:rsidR="0085425F" w:rsidRDefault="0085425F" w:rsidP="00864495">
      <w:pPr>
        <w:pStyle w:val="NoSpacing"/>
        <w:tabs>
          <w:tab w:val="left" w:pos="0"/>
        </w:tabs>
        <w:spacing w:line="360" w:lineRule="auto"/>
      </w:pPr>
    </w:p>
    <w:p w:rsidR="0085425F" w:rsidRDefault="0085425F" w:rsidP="0085425F">
      <w:pPr>
        <w:pStyle w:val="NoSpacing"/>
        <w:tabs>
          <w:tab w:val="left" w:pos="0"/>
        </w:tabs>
        <w:spacing w:line="360" w:lineRule="auto"/>
      </w:pPr>
      <w:r>
        <w:t xml:space="preserve">The Court in </w:t>
      </w:r>
      <w:r w:rsidRPr="0085425F">
        <w:rPr>
          <w:i/>
        </w:rPr>
        <w:t xml:space="preserve">Boynton </w:t>
      </w:r>
      <w:r>
        <w:t>described the problem in this way: “The outward manifestations of infectious</w:t>
      </w:r>
    </w:p>
    <w:p w:rsidR="0085425F" w:rsidRDefault="0085425F" w:rsidP="0085425F">
      <w:pPr>
        <w:pStyle w:val="NoSpacing"/>
        <w:tabs>
          <w:tab w:val="left" w:pos="0"/>
        </w:tabs>
        <w:spacing w:line="360" w:lineRule="auto"/>
      </w:pPr>
      <w:r>
        <w:t>diseases lend themselves to accurate and reliable diagnoses. However, the</w:t>
      </w:r>
      <w:r>
        <w:t xml:space="preserve"> internal workings of the human </w:t>
      </w:r>
      <w:r>
        <w:t>min</w:t>
      </w:r>
      <w:r>
        <w:t>d remain largely mysterious”.</w:t>
      </w:r>
      <w:r>
        <w:rPr>
          <w:rStyle w:val="FootnoteReference"/>
        </w:rPr>
        <w:footnoteReference w:id="102"/>
      </w:r>
    </w:p>
    <w:p w:rsidR="0085425F" w:rsidRDefault="0085425F" w:rsidP="0085425F">
      <w:pPr>
        <w:pStyle w:val="NoSpacing"/>
        <w:tabs>
          <w:tab w:val="left" w:pos="0"/>
        </w:tabs>
        <w:spacing w:line="360" w:lineRule="auto"/>
      </w:pPr>
    </w:p>
    <w:p w:rsidR="0085425F" w:rsidRDefault="0085425F" w:rsidP="0085425F">
      <w:pPr>
        <w:pStyle w:val="NoSpacing"/>
        <w:tabs>
          <w:tab w:val="left" w:pos="0"/>
        </w:tabs>
        <w:spacing w:line="360" w:lineRule="auto"/>
      </w:pPr>
      <w:r>
        <w:t>Although Tarasoff purports to impose a standard of reasonableness, the reality is that the decision imposes</w:t>
      </w:r>
      <w:r>
        <w:t xml:space="preserve"> </w:t>
      </w:r>
      <w:r>
        <w:t>an uncertain, higher standard of care that is determined by the hindsig</w:t>
      </w:r>
      <w:r>
        <w:t xml:space="preserve">ht judgment of a court. Because </w:t>
      </w:r>
      <w:r>
        <w:t>the standard is without meaningful content within psychiatry, the reality is that psychiatrists are exposed</w:t>
      </w:r>
      <w:r>
        <w:t xml:space="preserve"> </w:t>
      </w:r>
      <w:r>
        <w:t xml:space="preserve">to potential liability unless they do in fact accurately predict </w:t>
      </w:r>
      <w:r>
        <w:lastRenderedPageBreak/>
        <w:t>dangerousness.</w:t>
      </w:r>
      <w:r>
        <w:rPr>
          <w:rStyle w:val="FootnoteReference"/>
        </w:rPr>
        <w:footnoteReference w:id="103"/>
      </w:r>
      <w:r w:rsidR="00134377">
        <w:t xml:space="preserve"> The question of whether </w:t>
      </w:r>
      <w:r>
        <w:t>a psychiatrist actually did predict dangerousness becomes indistingui</w:t>
      </w:r>
      <w:r w:rsidR="00134377">
        <w:t xml:space="preserve">shable from whether they should </w:t>
      </w:r>
      <w:r>
        <w:t>have done so.</w:t>
      </w:r>
      <w:r w:rsidR="00134377">
        <w:rPr>
          <w:rStyle w:val="FootnoteReference"/>
        </w:rPr>
        <w:footnoteReference w:id="104"/>
      </w:r>
      <w:r>
        <w:t xml:space="preserve"> The question will be whether a reasonable psychiatrist would have made that</w:t>
      </w:r>
      <w:r w:rsidR="00134377">
        <w:t xml:space="preserve"> prediction, </w:t>
      </w:r>
      <w:r>
        <w:t>albeit under the guise of ascertaining whether this psychiatrist actually did so.</w:t>
      </w:r>
      <w:r w:rsidR="00134377">
        <w:rPr>
          <w:rStyle w:val="FootnoteReference"/>
        </w:rPr>
        <w:footnoteReference w:id="105"/>
      </w:r>
      <w:r w:rsidR="00134377">
        <w:t xml:space="preserve"> Surely it is unfair to </w:t>
      </w:r>
      <w:r>
        <w:t>impose such an uncertain, retrospective duty on psychiatrists.</w:t>
      </w:r>
    </w:p>
    <w:p w:rsidR="00134377" w:rsidRDefault="00134377" w:rsidP="0085425F">
      <w:pPr>
        <w:pStyle w:val="NoSpacing"/>
        <w:tabs>
          <w:tab w:val="left" w:pos="0"/>
        </w:tabs>
        <w:spacing w:line="360" w:lineRule="auto"/>
      </w:pPr>
    </w:p>
    <w:p w:rsidR="00134377" w:rsidRPr="00134377" w:rsidRDefault="00134377" w:rsidP="00134377">
      <w:pPr>
        <w:pStyle w:val="NoSpacing"/>
        <w:tabs>
          <w:tab w:val="left" w:pos="0"/>
        </w:tabs>
        <w:spacing w:line="360" w:lineRule="auto"/>
        <w:rPr>
          <w:b/>
        </w:rPr>
      </w:pPr>
      <w:r w:rsidRPr="00134377">
        <w:rPr>
          <w:b/>
        </w:rPr>
        <w:t>The problem of confining a duty to protect</w:t>
      </w:r>
    </w:p>
    <w:p w:rsidR="00134377" w:rsidRDefault="00134377" w:rsidP="00134377">
      <w:pPr>
        <w:pStyle w:val="NoSpacing"/>
        <w:tabs>
          <w:tab w:val="left" w:pos="0"/>
        </w:tabs>
        <w:spacing w:line="360" w:lineRule="auto"/>
      </w:pPr>
      <w:r>
        <w:t xml:space="preserve">It has been seen that some jurisdictions within the United States have </w:t>
      </w:r>
      <w:r>
        <w:t>expanded the protective duty to emergency</w:t>
      </w:r>
      <w:r>
        <w:t xml:space="preserve"> settings, to threats notified by family members and even to u</w:t>
      </w:r>
      <w:r>
        <w:t xml:space="preserve">nknown victims. The possibility </w:t>
      </w:r>
      <w:r>
        <w:t>that the adoption of a protective duty in the United Kingdom might lead</w:t>
      </w:r>
      <w:r>
        <w:t xml:space="preserve"> to a similar expansion must be </w:t>
      </w:r>
      <w:r>
        <w:t>of some concern.</w:t>
      </w:r>
    </w:p>
    <w:p w:rsidR="00134377" w:rsidRDefault="00134377" w:rsidP="00134377">
      <w:pPr>
        <w:pStyle w:val="NoSpacing"/>
        <w:tabs>
          <w:tab w:val="left" w:pos="0"/>
        </w:tabs>
        <w:spacing w:line="360" w:lineRule="auto"/>
      </w:pPr>
    </w:p>
    <w:p w:rsidR="00134377" w:rsidRDefault="00134377" w:rsidP="00134377">
      <w:pPr>
        <w:pStyle w:val="NoSpacing"/>
        <w:tabs>
          <w:tab w:val="left" w:pos="0"/>
        </w:tabs>
        <w:spacing w:line="360" w:lineRule="auto"/>
      </w:pPr>
      <w:r>
        <w:t>The United Kingdom would be wise to note that many courts in the United States have struggled to</w:t>
      </w:r>
    </w:p>
    <w:p w:rsidR="00134377" w:rsidRDefault="00134377" w:rsidP="00134377">
      <w:pPr>
        <w:pStyle w:val="NoSpacing"/>
        <w:tabs>
          <w:tab w:val="left" w:pos="0"/>
        </w:tabs>
        <w:spacing w:line="360" w:lineRule="auto"/>
      </w:pPr>
      <w:r>
        <w:t xml:space="preserve">confine the </w:t>
      </w:r>
      <w:r w:rsidRPr="00134377">
        <w:rPr>
          <w:i/>
        </w:rPr>
        <w:t xml:space="preserve">Tarasoff </w:t>
      </w:r>
      <w:r>
        <w:t xml:space="preserve">doctrine. Attempts to place reasonable limits on the duty have been </w:t>
      </w:r>
      <w:r>
        <w:t xml:space="preserve">fraught with </w:t>
      </w:r>
      <w:r>
        <w:t xml:space="preserve">difficulty. For example, the specificity rule (which requires specific threats </w:t>
      </w:r>
      <w:r>
        <w:t xml:space="preserve">against specific victims before </w:t>
      </w:r>
      <w:r>
        <w:t>a duty to protect will be imposed on a therapist) was created to limit and</w:t>
      </w:r>
      <w:r>
        <w:t xml:space="preserve"> clarify the circumstances that </w:t>
      </w:r>
      <w:r>
        <w:t>would trigger the duty. Prima facie, the rule appears to successfully lim</w:t>
      </w:r>
      <w:r>
        <w:t xml:space="preserve">it the protective duty. Indeed, </w:t>
      </w:r>
      <w:r>
        <w:t>variations of the rule have since been adopted in a number of states. The sp</w:t>
      </w:r>
      <w:r>
        <w:t xml:space="preserve">ecificity rule is not, however, </w:t>
      </w:r>
      <w:r>
        <w:t>without weakness.</w:t>
      </w:r>
    </w:p>
    <w:p w:rsidR="00134377" w:rsidRDefault="00134377" w:rsidP="00134377">
      <w:pPr>
        <w:pStyle w:val="NoSpacing"/>
        <w:tabs>
          <w:tab w:val="left" w:pos="0"/>
        </w:tabs>
        <w:spacing w:line="360" w:lineRule="auto"/>
      </w:pPr>
    </w:p>
    <w:p w:rsidR="00134377" w:rsidRDefault="00134377" w:rsidP="00134377">
      <w:pPr>
        <w:pStyle w:val="NoSpacing"/>
        <w:tabs>
          <w:tab w:val="left" w:pos="0"/>
        </w:tabs>
        <w:spacing w:line="360" w:lineRule="auto"/>
      </w:pPr>
      <w:r>
        <w:t>Borum and Reddy argue that the specificity rule creates an arbitrary pre</w:t>
      </w:r>
      <w:r w:rsidR="00E2437A">
        <w:t xml:space="preserve">condition to the existence of a </w:t>
      </w:r>
      <w:r>
        <w:t>duty because, “threats should not be regarded as a necessary or exclus</w:t>
      </w:r>
      <w:r w:rsidR="00E2437A">
        <w:t xml:space="preserve">ive factor for precipitating an </w:t>
      </w:r>
      <w:r>
        <w:t>inquiry about clinical concern”.</w:t>
      </w:r>
      <w:r w:rsidR="00E2437A">
        <w:rPr>
          <w:rStyle w:val="FootnoteReference"/>
        </w:rPr>
        <w:footnoteReference w:id="106"/>
      </w:r>
      <w:r>
        <w:t xml:space="preserve"> They state that as a clinical and ethical matter, there may be</w:t>
      </w:r>
    </w:p>
    <w:p w:rsidR="00134377" w:rsidRDefault="00134377" w:rsidP="00134377">
      <w:pPr>
        <w:pStyle w:val="NoSpacing"/>
        <w:tabs>
          <w:tab w:val="left" w:pos="0"/>
        </w:tabs>
        <w:spacing w:line="360" w:lineRule="auto"/>
      </w:pPr>
      <w:r>
        <w:t>circumstances when a psychiatrist is legitimately concerned about potenti</w:t>
      </w:r>
      <w:r w:rsidR="00E2437A">
        <w:t xml:space="preserve">al violence in the absence of a </w:t>
      </w:r>
      <w:r>
        <w:t>direct threat made by the patient.</w:t>
      </w:r>
      <w:r w:rsidR="00E2437A">
        <w:rPr>
          <w:rStyle w:val="FootnoteReference"/>
        </w:rPr>
        <w:footnoteReference w:id="107"/>
      </w:r>
      <w:r>
        <w:t xml:space="preserve"> Further, they argue that it is crucial t</w:t>
      </w:r>
      <w:r w:rsidR="00E2437A">
        <w:t xml:space="preserve">o distinguish between a patient </w:t>
      </w:r>
      <w:r>
        <w:t>who communicates a threat and a patient who poses a threat by engag</w:t>
      </w:r>
      <w:r w:rsidR="00E2437A">
        <w:t xml:space="preserve">ing in behaviour that indicates </w:t>
      </w:r>
      <w:r>
        <w:t>planning and preparation for violence.</w:t>
      </w:r>
      <w:r w:rsidR="00E2437A">
        <w:rPr>
          <w:rStyle w:val="FootnoteReference"/>
        </w:rPr>
        <w:footnoteReference w:id="108"/>
      </w:r>
      <w:r>
        <w:t xml:space="preserve"> It is true that some patients who v</w:t>
      </w:r>
      <w:r w:rsidR="00E2437A">
        <w:t xml:space="preserve">erbalise threats ultimately act </w:t>
      </w:r>
      <w:r>
        <w:t>on them, but many do not.</w:t>
      </w:r>
      <w:r w:rsidR="00E2437A">
        <w:rPr>
          <w:rStyle w:val="FootnoteReference"/>
        </w:rPr>
        <w:footnoteReference w:id="109"/>
      </w:r>
      <w:r>
        <w:t xml:space="preserve"> A patient may pose a threat even though they </w:t>
      </w:r>
      <w:r>
        <w:lastRenderedPageBreak/>
        <w:t>have not communicated a</w:t>
      </w:r>
      <w:r w:rsidR="00E2437A">
        <w:t xml:space="preserve"> </w:t>
      </w:r>
      <w:r>
        <w:t>threat to anyone.</w:t>
      </w:r>
      <w:r w:rsidR="00E2437A">
        <w:rPr>
          <w:rStyle w:val="FootnoteReference"/>
        </w:rPr>
        <w:footnoteReference w:id="110"/>
      </w:r>
      <w:r>
        <w:t xml:space="preserve"> Borum and Reddy state that it is those who appear to</w:t>
      </w:r>
      <w:r w:rsidR="00F62427">
        <w:t xml:space="preserve"> pose a threat that provoke the greatest level of concern.</w:t>
      </w:r>
      <w:r w:rsidR="00F62427">
        <w:rPr>
          <w:rStyle w:val="FootnoteReference"/>
        </w:rPr>
        <w:footnoteReference w:id="111"/>
      </w:r>
    </w:p>
    <w:p w:rsidR="00F62427" w:rsidRDefault="00F62427" w:rsidP="00134377">
      <w:pPr>
        <w:pStyle w:val="NoSpacing"/>
        <w:tabs>
          <w:tab w:val="left" w:pos="0"/>
        </w:tabs>
        <w:spacing w:line="360" w:lineRule="auto"/>
      </w:pPr>
    </w:p>
    <w:p w:rsidR="00134377" w:rsidRDefault="00134377" w:rsidP="00134377">
      <w:pPr>
        <w:pStyle w:val="NoSpacing"/>
        <w:tabs>
          <w:tab w:val="left" w:pos="0"/>
        </w:tabs>
        <w:spacing w:line="360" w:lineRule="auto"/>
      </w:pPr>
      <w:r>
        <w:t>By excluding those patients who pose, rather than verbalise threats, the specif</w:t>
      </w:r>
      <w:r w:rsidR="00F62427">
        <w:t xml:space="preserve">icity rule may conceal the very </w:t>
      </w:r>
      <w:r>
        <w:t xml:space="preserve">danger that the duty was designed to protect against. It is submitted that the </w:t>
      </w:r>
      <w:r w:rsidR="00F62427">
        <w:t xml:space="preserve">construction of the specificity </w:t>
      </w:r>
      <w:r>
        <w:t>rule is indicative of a broader judicial struggle to confine the duty to protect within reasonable bounds.</w:t>
      </w:r>
    </w:p>
    <w:p w:rsidR="00B4400E" w:rsidRDefault="00B4400E" w:rsidP="00134377">
      <w:pPr>
        <w:pStyle w:val="NoSpacing"/>
        <w:tabs>
          <w:tab w:val="left" w:pos="0"/>
        </w:tabs>
        <w:spacing w:line="360" w:lineRule="auto"/>
      </w:pPr>
    </w:p>
    <w:p w:rsidR="00B4400E" w:rsidRPr="00B4400E" w:rsidRDefault="00B4400E" w:rsidP="00B4400E">
      <w:pPr>
        <w:pStyle w:val="NoSpacing"/>
        <w:tabs>
          <w:tab w:val="left" w:pos="0"/>
        </w:tabs>
        <w:spacing w:line="360" w:lineRule="auto"/>
        <w:rPr>
          <w:b/>
        </w:rPr>
      </w:pPr>
      <w:r w:rsidRPr="00B4400E">
        <w:rPr>
          <w:b/>
        </w:rPr>
        <w:t>CONCLUSION</w:t>
      </w:r>
    </w:p>
    <w:p w:rsidR="00B4400E" w:rsidRDefault="00B4400E" w:rsidP="00B4400E">
      <w:pPr>
        <w:pStyle w:val="NoSpacing"/>
        <w:tabs>
          <w:tab w:val="left" w:pos="0"/>
        </w:tabs>
        <w:spacing w:line="360" w:lineRule="auto"/>
      </w:pPr>
      <w:r>
        <w:t>Courts in the United States and, to a lesser extent, the United Kingdom, have acknowledged that in</w:t>
      </w:r>
    </w:p>
    <w:p w:rsidR="00B4400E" w:rsidRDefault="00B4400E" w:rsidP="00B4400E">
      <w:pPr>
        <w:pStyle w:val="NoSpacing"/>
        <w:tabs>
          <w:tab w:val="left" w:pos="0"/>
        </w:tabs>
        <w:spacing w:line="360" w:lineRule="auto"/>
      </w:pPr>
      <w:proofErr w:type="gramStart"/>
      <w:r>
        <w:t>certain</w:t>
      </w:r>
      <w:proofErr w:type="gramEnd"/>
      <w:r>
        <w:t xml:space="preserve"> circumstances the public interest in protecting psychiatrist-patien</w:t>
      </w:r>
      <w:r>
        <w:t xml:space="preserve">t confidentiality must yield to </w:t>
      </w:r>
      <w:r>
        <w:t>the public interest in preventing innocent third parties from violenc</w:t>
      </w:r>
      <w:r>
        <w:t xml:space="preserve">e. Notwithstanding the striking </w:t>
      </w:r>
      <w:r>
        <w:t xml:space="preserve">similarity in reasoning between </w:t>
      </w:r>
      <w:r w:rsidRPr="00B4400E">
        <w:rPr>
          <w:i/>
        </w:rPr>
        <w:t>Tarasoff</w:t>
      </w:r>
      <w:r>
        <w:t xml:space="preserve"> and the decision of the European</w:t>
      </w:r>
      <w:r>
        <w:t xml:space="preserve"> Court in </w:t>
      </w:r>
      <w:r w:rsidRPr="00B4400E">
        <w:rPr>
          <w:i/>
        </w:rPr>
        <w:t>Osman</w:t>
      </w:r>
      <w:r>
        <w:t xml:space="preserve">, early case law </w:t>
      </w:r>
      <w:r>
        <w:t>from England favours the more conservative, discretionary model enunci</w:t>
      </w:r>
      <w:r>
        <w:t xml:space="preserve">ated in </w:t>
      </w:r>
      <w:proofErr w:type="spellStart"/>
      <w:r w:rsidRPr="00B4400E">
        <w:rPr>
          <w:i/>
        </w:rPr>
        <w:t>Egdell</w:t>
      </w:r>
      <w:proofErr w:type="spellEnd"/>
      <w:r>
        <w:t xml:space="preserve">. For the reasons </w:t>
      </w:r>
      <w:r>
        <w:t>discussed above, the United Kingdom would be wise to stop short of conv</w:t>
      </w:r>
      <w:r>
        <w:t xml:space="preserve">erting the discretion to breach </w:t>
      </w:r>
      <w:r>
        <w:t>confidentiality in the public interest, into a tort law duty to protect t</w:t>
      </w:r>
      <w:r>
        <w:t xml:space="preserve">hird party victims. The Supreme </w:t>
      </w:r>
      <w:r>
        <w:t>Court of Texas summarised the tension inherent in the protective duty in the following extract:</w:t>
      </w:r>
    </w:p>
    <w:p w:rsidR="00B4400E" w:rsidRDefault="00B4400E" w:rsidP="00B4400E">
      <w:pPr>
        <w:pStyle w:val="NoSpacing"/>
        <w:tabs>
          <w:tab w:val="left" w:pos="0"/>
        </w:tabs>
        <w:spacing w:line="360" w:lineRule="auto"/>
      </w:pPr>
    </w:p>
    <w:p w:rsidR="00B4400E" w:rsidRDefault="00B4400E" w:rsidP="00B4400E">
      <w:pPr>
        <w:pStyle w:val="NoSpacing"/>
        <w:tabs>
          <w:tab w:val="left" w:pos="284"/>
        </w:tabs>
        <w:spacing w:line="360" w:lineRule="auto"/>
        <w:ind w:left="284"/>
      </w:pPr>
      <w:r>
        <w:t>If a common law duty to warn is imposed, mental health professionals face a Catch-22. They either</w:t>
      </w:r>
      <w:r>
        <w:t xml:space="preserve"> </w:t>
      </w:r>
      <w:r>
        <w:t>disclose a confidential communication that later proves to be an idle threat and incur liability to the</w:t>
      </w:r>
      <w:r>
        <w:t xml:space="preserve"> </w:t>
      </w:r>
      <w:r>
        <w:t>patient, or they fail to disclose a confidential communication that later proves to be a truthful threat</w:t>
      </w:r>
      <w:r>
        <w:t xml:space="preserve"> </w:t>
      </w:r>
      <w:r>
        <w:t>and incur liability to the vi</w:t>
      </w:r>
      <w:r>
        <w:t>ctim and the victim’s family.</w:t>
      </w:r>
      <w:r>
        <w:rPr>
          <w:rStyle w:val="FootnoteReference"/>
        </w:rPr>
        <w:footnoteReference w:id="112"/>
      </w:r>
    </w:p>
    <w:p w:rsidR="001A0FA6" w:rsidRDefault="001A0FA6" w:rsidP="00B4400E">
      <w:pPr>
        <w:pStyle w:val="NoSpacing"/>
        <w:tabs>
          <w:tab w:val="left" w:pos="0"/>
        </w:tabs>
        <w:spacing w:line="360" w:lineRule="auto"/>
      </w:pPr>
    </w:p>
    <w:p w:rsidR="00B4400E" w:rsidRDefault="00B4400E" w:rsidP="00B4400E">
      <w:pPr>
        <w:pStyle w:val="NoSpacing"/>
        <w:tabs>
          <w:tab w:val="left" w:pos="0"/>
        </w:tabs>
        <w:spacing w:line="360" w:lineRule="auto"/>
      </w:pPr>
      <w:r>
        <w:t>Finally, it is important that we keep in mind that the public may be safeguarded in more traditional</w:t>
      </w:r>
    </w:p>
    <w:p w:rsidR="00B4400E" w:rsidRDefault="00B4400E" w:rsidP="00B4400E">
      <w:pPr>
        <w:pStyle w:val="NoSpacing"/>
        <w:tabs>
          <w:tab w:val="left" w:pos="0"/>
        </w:tabs>
        <w:spacing w:line="360" w:lineRule="auto"/>
      </w:pPr>
      <w:proofErr w:type="gramStart"/>
      <w:r>
        <w:t>ways</w:t>
      </w:r>
      <w:proofErr w:type="gramEnd"/>
      <w:r>
        <w:t>.</w:t>
      </w:r>
      <w:r w:rsidR="001A0FA6">
        <w:rPr>
          <w:rStyle w:val="FootnoteReference"/>
        </w:rPr>
        <w:footnoteReference w:id="113"/>
      </w:r>
      <w:r>
        <w:t xml:space="preserve"> Prior to Tarasoff, hospitalisation was the primary means of prot</w:t>
      </w:r>
      <w:r w:rsidR="001A0FA6">
        <w:t xml:space="preserve">ecting potential victims from a </w:t>
      </w:r>
      <w:r>
        <w:t>patient’s violent acts in the United States.</w:t>
      </w:r>
      <w:r w:rsidR="001A0FA6">
        <w:rPr>
          <w:rStyle w:val="FootnoteReference"/>
        </w:rPr>
        <w:footnoteReference w:id="114"/>
      </w:r>
      <w:r>
        <w:t xml:space="preserve"> The author tends to agree w</w:t>
      </w:r>
      <w:r w:rsidR="001A0FA6">
        <w:t xml:space="preserve">ith </w:t>
      </w:r>
      <w:proofErr w:type="spellStart"/>
      <w:r w:rsidR="001A0FA6">
        <w:t>Felthous</w:t>
      </w:r>
      <w:proofErr w:type="spellEnd"/>
      <w:r w:rsidR="001A0FA6">
        <w:t xml:space="preserve"> and Kachigian that </w:t>
      </w:r>
      <w:r>
        <w:t>hospitalisation remains “the most prudent and preventative measure to handle a patient wh</w:t>
      </w:r>
      <w:r w:rsidR="001A0FA6">
        <w:t xml:space="preserve">o is seriously </w:t>
      </w:r>
      <w:r>
        <w:t>mentally ill, and as a result is dangerous to others”.</w:t>
      </w:r>
      <w:r w:rsidR="001A0FA6">
        <w:rPr>
          <w:rStyle w:val="FootnoteReference"/>
        </w:rPr>
        <w:footnoteReference w:id="115"/>
      </w:r>
      <w:r>
        <w:t xml:space="preserve"> Likewise, he agrees </w:t>
      </w:r>
      <w:r>
        <w:lastRenderedPageBreak/>
        <w:t>with Stone that, “emergency</w:t>
      </w:r>
      <w:r w:rsidR="001A0FA6">
        <w:t xml:space="preserve"> </w:t>
      </w:r>
      <w:r>
        <w:t>civil commitment generally remains the safest and least destructive way to</w:t>
      </w:r>
      <w:r w:rsidR="001A0FA6">
        <w:t xml:space="preserve"> deal with a crisis of violence in a mentally ill person”.</w:t>
      </w:r>
      <w:r w:rsidR="001A0FA6">
        <w:rPr>
          <w:rStyle w:val="FootnoteReference"/>
        </w:rPr>
        <w:footnoteReference w:id="116"/>
      </w:r>
    </w:p>
    <w:sectPr w:rsidR="00B44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D1" w:rsidRDefault="007A2ED1" w:rsidP="007A2ED1">
      <w:pPr>
        <w:spacing w:after="0" w:line="240" w:lineRule="auto"/>
      </w:pPr>
      <w:r>
        <w:separator/>
      </w:r>
    </w:p>
  </w:endnote>
  <w:endnote w:type="continuationSeparator" w:id="0">
    <w:p w:rsidR="007A2ED1" w:rsidRDefault="007A2ED1" w:rsidP="007A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D1" w:rsidRDefault="007A2ED1" w:rsidP="007A2ED1">
      <w:pPr>
        <w:spacing w:after="0" w:line="240" w:lineRule="auto"/>
      </w:pPr>
      <w:r>
        <w:separator/>
      </w:r>
    </w:p>
  </w:footnote>
  <w:footnote w:type="continuationSeparator" w:id="0">
    <w:p w:rsidR="007A2ED1" w:rsidRDefault="007A2ED1" w:rsidP="007A2ED1">
      <w:pPr>
        <w:spacing w:after="0" w:line="240" w:lineRule="auto"/>
      </w:pPr>
      <w:r>
        <w:continuationSeparator/>
      </w:r>
    </w:p>
  </w:footnote>
  <w:footnote w:id="1">
    <w:p w:rsidR="007A2ED1" w:rsidRPr="005F5267" w:rsidRDefault="007A2ED1" w:rsidP="005F5267">
      <w:pPr>
        <w:pStyle w:val="FootnoteText"/>
        <w:rPr>
          <w:sz w:val="16"/>
        </w:rPr>
      </w:pPr>
      <w:r>
        <w:rPr>
          <w:rStyle w:val="FootnoteReference"/>
        </w:rPr>
        <w:footnoteRef/>
      </w:r>
      <w:r>
        <w:t xml:space="preserve"> </w:t>
      </w:r>
      <w:r w:rsidR="005F5267" w:rsidRPr="005F5267">
        <w:rPr>
          <w:sz w:val="16"/>
        </w:rPr>
        <w:t>The author acknowled</w:t>
      </w:r>
      <w:r w:rsidR="005F5267">
        <w:rPr>
          <w:sz w:val="16"/>
        </w:rPr>
        <w:t xml:space="preserve">ges the support of the Canadian </w:t>
      </w:r>
      <w:r w:rsidR="005F5267" w:rsidRPr="005F5267">
        <w:rPr>
          <w:sz w:val="16"/>
        </w:rPr>
        <w:t>Institutes of Health Re</w:t>
      </w:r>
      <w:r w:rsidR="005F5267">
        <w:rPr>
          <w:sz w:val="16"/>
        </w:rPr>
        <w:t xml:space="preserve">search, which has made research </w:t>
      </w:r>
      <w:r w:rsidR="005F5267" w:rsidRPr="005F5267">
        <w:rPr>
          <w:sz w:val="16"/>
        </w:rPr>
        <w:t>into the subject-matter of this article, possible.</w:t>
      </w:r>
    </w:p>
  </w:footnote>
  <w:footnote w:id="2">
    <w:p w:rsidR="00A67624" w:rsidRDefault="00A67624">
      <w:pPr>
        <w:pStyle w:val="FootnoteText"/>
      </w:pPr>
      <w:r>
        <w:rPr>
          <w:rStyle w:val="FootnoteReference"/>
        </w:rPr>
        <w:footnoteRef/>
      </w:r>
      <w:r>
        <w:t xml:space="preserve"> </w:t>
      </w:r>
      <w:r w:rsidR="0020348E" w:rsidRPr="0020348E">
        <w:rPr>
          <w:sz w:val="16"/>
        </w:rPr>
        <w:t>Solicitor, Auckland, New Zealand.</w:t>
      </w:r>
    </w:p>
  </w:footnote>
  <w:footnote w:id="3">
    <w:p w:rsidR="00E160D4" w:rsidRDefault="00E160D4" w:rsidP="00E160D4">
      <w:pPr>
        <w:pStyle w:val="FootnoteText"/>
      </w:pPr>
      <w:r>
        <w:rPr>
          <w:rStyle w:val="FootnoteReference"/>
        </w:rPr>
        <w:footnoteRef/>
      </w:r>
      <w:r>
        <w:t xml:space="preserve"> </w:t>
      </w:r>
      <w:r w:rsidRPr="00E160D4">
        <w:rPr>
          <w:sz w:val="16"/>
        </w:rPr>
        <w:t>Tarasoff v Regents of University of California (1976) 551 P.2d 334 [Tarasoff].</w:t>
      </w:r>
    </w:p>
  </w:footnote>
  <w:footnote w:id="4">
    <w:p w:rsidR="00CE6B62" w:rsidRPr="00D2635A" w:rsidRDefault="00CE6B62" w:rsidP="00D2635A">
      <w:pPr>
        <w:pStyle w:val="FootnoteText"/>
        <w:rPr>
          <w:sz w:val="16"/>
        </w:rPr>
      </w:pPr>
      <w:r>
        <w:rPr>
          <w:rStyle w:val="FootnoteReference"/>
        </w:rPr>
        <w:footnoteRef/>
      </w:r>
      <w:r>
        <w:t xml:space="preserve"> </w:t>
      </w:r>
      <w:r w:rsidR="00D2635A" w:rsidRPr="00D2635A">
        <w:rPr>
          <w:sz w:val="16"/>
        </w:rPr>
        <w:t xml:space="preserve">Thomas Gutheil, “Moral </w:t>
      </w:r>
      <w:r w:rsidR="00D2635A">
        <w:rPr>
          <w:sz w:val="16"/>
        </w:rPr>
        <w:t xml:space="preserve">Justification for Tarasoff-Type </w:t>
      </w:r>
      <w:r w:rsidR="00D2635A" w:rsidRPr="00D2635A">
        <w:rPr>
          <w:sz w:val="16"/>
        </w:rPr>
        <w:t>Warnings and Breach of</w:t>
      </w:r>
      <w:r w:rsidR="00D2635A">
        <w:rPr>
          <w:sz w:val="16"/>
        </w:rPr>
        <w:t xml:space="preserve"> Confidentiality: A Clinician’s </w:t>
      </w:r>
      <w:r w:rsidR="00D2635A" w:rsidRPr="00D2635A">
        <w:rPr>
          <w:sz w:val="16"/>
        </w:rPr>
        <w:t xml:space="preserve">Perspective” (2001) 19 </w:t>
      </w:r>
      <w:proofErr w:type="spellStart"/>
      <w:r w:rsidR="00D2635A" w:rsidRPr="00D2635A">
        <w:rPr>
          <w:sz w:val="16"/>
        </w:rPr>
        <w:t>Behav</w:t>
      </w:r>
      <w:proofErr w:type="spellEnd"/>
      <w:r w:rsidR="00D2635A" w:rsidRPr="00D2635A">
        <w:rPr>
          <w:sz w:val="16"/>
        </w:rPr>
        <w:t>. Sci. Law 345 at 345.</w:t>
      </w:r>
    </w:p>
  </w:footnote>
  <w:footnote w:id="5">
    <w:p w:rsidR="00CE6B62" w:rsidRDefault="00CE6B62" w:rsidP="00CE7BA8">
      <w:pPr>
        <w:pStyle w:val="FootnoteText"/>
      </w:pPr>
      <w:r>
        <w:rPr>
          <w:rStyle w:val="FootnoteReference"/>
        </w:rPr>
        <w:footnoteRef/>
      </w:r>
      <w:r w:rsidRPr="00CE7BA8">
        <w:rPr>
          <w:sz w:val="16"/>
        </w:rPr>
        <w:t xml:space="preserve"> </w:t>
      </w:r>
      <w:r w:rsidR="00CE7BA8" w:rsidRPr="00CE7BA8">
        <w:rPr>
          <w:sz w:val="16"/>
        </w:rPr>
        <w:t>Alan Stone, “The Tarasoff Decisions: Suing Psychotherapists to Safeguard Society” (1976) 90 Harvard Law Review 358 at 358.</w:t>
      </w:r>
    </w:p>
  </w:footnote>
  <w:footnote w:id="6">
    <w:p w:rsidR="00CE6B62" w:rsidRPr="00CE7BA8" w:rsidRDefault="00CE6B62" w:rsidP="00CE7BA8">
      <w:pPr>
        <w:pStyle w:val="FootnoteText"/>
        <w:rPr>
          <w:sz w:val="16"/>
        </w:rPr>
      </w:pPr>
      <w:r>
        <w:rPr>
          <w:rStyle w:val="FootnoteReference"/>
        </w:rPr>
        <w:footnoteRef/>
      </w:r>
      <w:r>
        <w:t xml:space="preserve"> </w:t>
      </w:r>
      <w:r w:rsidR="00CE7BA8" w:rsidRPr="00CE7BA8">
        <w:rPr>
          <w:sz w:val="16"/>
        </w:rPr>
        <w:t>Ann Hubbard, “The F</w:t>
      </w:r>
      <w:r w:rsidR="00CE7BA8">
        <w:rPr>
          <w:sz w:val="16"/>
        </w:rPr>
        <w:t xml:space="preserve">uture of ‘The Duty to Protect’: </w:t>
      </w:r>
      <w:r w:rsidR="00CE7BA8" w:rsidRPr="00CE7BA8">
        <w:rPr>
          <w:sz w:val="16"/>
        </w:rPr>
        <w:t>Scientific and Legal Perspectives</w:t>
      </w:r>
      <w:r w:rsidR="00CE7BA8">
        <w:rPr>
          <w:sz w:val="16"/>
        </w:rPr>
        <w:t xml:space="preserve"> on Tarasoff’s Thirtieth </w:t>
      </w:r>
      <w:r w:rsidR="00CE7BA8" w:rsidRPr="00CE7BA8">
        <w:rPr>
          <w:sz w:val="16"/>
        </w:rPr>
        <w:t xml:space="preserve">Anniversary” (2006) 75 U. </w:t>
      </w:r>
      <w:proofErr w:type="spellStart"/>
      <w:r w:rsidR="00CE7BA8" w:rsidRPr="00CE7BA8">
        <w:rPr>
          <w:sz w:val="16"/>
        </w:rPr>
        <w:t>Cin</w:t>
      </w:r>
      <w:proofErr w:type="spellEnd"/>
      <w:r w:rsidR="00CE7BA8" w:rsidRPr="00CE7BA8">
        <w:rPr>
          <w:sz w:val="16"/>
        </w:rPr>
        <w:t>. L. Rev. 429 at 429.</w:t>
      </w:r>
    </w:p>
  </w:footnote>
  <w:footnote w:id="7">
    <w:p w:rsidR="009E4993" w:rsidRPr="00CE7BA8" w:rsidRDefault="009E4993" w:rsidP="00CE7BA8">
      <w:pPr>
        <w:pStyle w:val="FootnoteText"/>
        <w:rPr>
          <w:sz w:val="16"/>
        </w:rPr>
      </w:pPr>
      <w:r>
        <w:rPr>
          <w:rStyle w:val="FootnoteReference"/>
        </w:rPr>
        <w:footnoteRef/>
      </w:r>
      <w:r>
        <w:t xml:space="preserve"> </w:t>
      </w:r>
      <w:r w:rsidR="00CE7BA8" w:rsidRPr="00CE7BA8">
        <w:rPr>
          <w:sz w:val="16"/>
        </w:rPr>
        <w:t>Osman v UK [1999</w:t>
      </w:r>
      <w:r w:rsidR="00CE7BA8">
        <w:rPr>
          <w:sz w:val="16"/>
        </w:rPr>
        <w:t xml:space="preserve">] 1 FLR193. See Colin Gavaghan, </w:t>
      </w:r>
      <w:r w:rsidR="00CE7BA8" w:rsidRPr="00CE7BA8">
        <w:rPr>
          <w:sz w:val="16"/>
        </w:rPr>
        <w:t xml:space="preserve">“A Tarasoff for </w:t>
      </w:r>
      <w:r w:rsidR="00CE7BA8">
        <w:rPr>
          <w:sz w:val="16"/>
        </w:rPr>
        <w:t xml:space="preserve">Europe? A European Human Rights </w:t>
      </w:r>
      <w:r w:rsidR="00CE7BA8" w:rsidRPr="00CE7BA8">
        <w:rPr>
          <w:sz w:val="16"/>
        </w:rPr>
        <w:t>perspective on</w:t>
      </w:r>
      <w:r w:rsidR="00CE7BA8">
        <w:rPr>
          <w:sz w:val="16"/>
        </w:rPr>
        <w:t xml:space="preserve"> the duty to protect” (2007) 30 </w:t>
      </w:r>
      <w:r w:rsidR="00CE7BA8" w:rsidRPr="00CE7BA8">
        <w:rPr>
          <w:sz w:val="16"/>
        </w:rPr>
        <w:t>International Journal of Law &amp; Psychiatry 255 at 256.</w:t>
      </w:r>
    </w:p>
  </w:footnote>
  <w:footnote w:id="8">
    <w:p w:rsidR="0082794D" w:rsidRDefault="0082794D">
      <w:pPr>
        <w:pStyle w:val="FootnoteText"/>
      </w:pPr>
      <w:r>
        <w:rPr>
          <w:rStyle w:val="FootnoteReference"/>
        </w:rPr>
        <w:footnoteRef/>
      </w:r>
      <w:r>
        <w:t xml:space="preserve"> </w:t>
      </w:r>
      <w:r w:rsidR="00916F07" w:rsidRPr="002D20D2">
        <w:rPr>
          <w:sz w:val="16"/>
        </w:rPr>
        <w:t>Tarasoff, supra note 3 at 350.</w:t>
      </w:r>
    </w:p>
  </w:footnote>
  <w:footnote w:id="9">
    <w:p w:rsidR="009E6D78" w:rsidRDefault="009E6D78">
      <w:pPr>
        <w:pStyle w:val="FootnoteText"/>
      </w:pPr>
      <w:r>
        <w:rPr>
          <w:rStyle w:val="FootnoteReference"/>
        </w:rPr>
        <w:footnoteRef/>
      </w:r>
      <w:r>
        <w:t xml:space="preserve"> </w:t>
      </w:r>
      <w:r w:rsidR="002D20D2" w:rsidRPr="002D20D2">
        <w:rPr>
          <w:sz w:val="16"/>
        </w:rPr>
        <w:t>Ibid. at 351.</w:t>
      </w:r>
    </w:p>
  </w:footnote>
  <w:footnote w:id="10">
    <w:p w:rsidR="009E6D78" w:rsidRDefault="009E6D78">
      <w:pPr>
        <w:pStyle w:val="FootnoteText"/>
      </w:pPr>
      <w:r>
        <w:rPr>
          <w:rStyle w:val="FootnoteReference"/>
        </w:rPr>
        <w:footnoteRef/>
      </w:r>
      <w:r>
        <w:t xml:space="preserve"> </w:t>
      </w:r>
      <w:r w:rsidR="002D20D2" w:rsidRPr="002D20D2">
        <w:rPr>
          <w:sz w:val="16"/>
        </w:rPr>
        <w:t>Ibid. at 352.</w:t>
      </w:r>
    </w:p>
  </w:footnote>
  <w:footnote w:id="11">
    <w:p w:rsidR="009E6D78" w:rsidRDefault="009E6D78">
      <w:pPr>
        <w:pStyle w:val="FootnoteText"/>
      </w:pPr>
      <w:r>
        <w:rPr>
          <w:rStyle w:val="FootnoteReference"/>
        </w:rPr>
        <w:footnoteRef/>
      </w:r>
      <w:r>
        <w:t xml:space="preserve"> </w:t>
      </w:r>
      <w:r w:rsidR="002D20D2" w:rsidRPr="002D20D2">
        <w:rPr>
          <w:sz w:val="16"/>
        </w:rPr>
        <w:t>Ibid. at 353.</w:t>
      </w:r>
    </w:p>
  </w:footnote>
  <w:footnote w:id="12">
    <w:p w:rsidR="009E6D78" w:rsidRPr="002D20D2" w:rsidRDefault="009E6D78" w:rsidP="002D20D2">
      <w:pPr>
        <w:pStyle w:val="FootnoteText"/>
        <w:rPr>
          <w:sz w:val="16"/>
        </w:rPr>
      </w:pPr>
      <w:r>
        <w:rPr>
          <w:rStyle w:val="FootnoteReference"/>
        </w:rPr>
        <w:footnoteRef/>
      </w:r>
      <w:r>
        <w:t xml:space="preserve"> </w:t>
      </w:r>
      <w:r w:rsidR="002D20D2" w:rsidRPr="002D20D2">
        <w:rPr>
          <w:sz w:val="16"/>
        </w:rPr>
        <w:t xml:space="preserve">Alan </w:t>
      </w:r>
      <w:proofErr w:type="spellStart"/>
      <w:r w:rsidR="002D20D2" w:rsidRPr="002D20D2">
        <w:rPr>
          <w:sz w:val="16"/>
        </w:rPr>
        <w:t>Felthous</w:t>
      </w:r>
      <w:proofErr w:type="spellEnd"/>
      <w:r w:rsidR="002D20D2" w:rsidRPr="002D20D2">
        <w:rPr>
          <w:sz w:val="16"/>
        </w:rPr>
        <w:t xml:space="preserve"> &amp; Claudia </w:t>
      </w:r>
      <w:proofErr w:type="spellStart"/>
      <w:r w:rsidR="002D20D2" w:rsidRPr="002D20D2">
        <w:rPr>
          <w:sz w:val="16"/>
        </w:rPr>
        <w:t>Kachigan</w:t>
      </w:r>
      <w:proofErr w:type="spellEnd"/>
      <w:r w:rsidR="002D20D2" w:rsidRPr="002D20D2">
        <w:rPr>
          <w:sz w:val="16"/>
        </w:rPr>
        <w:t>, “To Warn an</w:t>
      </w:r>
      <w:r w:rsidR="002D20D2">
        <w:rPr>
          <w:sz w:val="16"/>
        </w:rPr>
        <w:t xml:space="preserve">d to Control: </w:t>
      </w:r>
      <w:r w:rsidR="002D20D2" w:rsidRPr="002D20D2">
        <w:rPr>
          <w:sz w:val="16"/>
        </w:rPr>
        <w:t>Two Distinct Legal Obliga</w:t>
      </w:r>
      <w:r w:rsidR="002D20D2">
        <w:rPr>
          <w:sz w:val="16"/>
        </w:rPr>
        <w:t xml:space="preserve">tions or Variations of a Single </w:t>
      </w:r>
      <w:r w:rsidR="002D20D2" w:rsidRPr="002D20D2">
        <w:rPr>
          <w:sz w:val="16"/>
        </w:rPr>
        <w:t xml:space="preserve">Duty to Protect?” (2001) 19 </w:t>
      </w:r>
      <w:proofErr w:type="spellStart"/>
      <w:r w:rsidR="002D20D2" w:rsidRPr="002D20D2">
        <w:rPr>
          <w:sz w:val="16"/>
        </w:rPr>
        <w:t>Behav</w:t>
      </w:r>
      <w:proofErr w:type="spellEnd"/>
      <w:r w:rsidR="002D20D2" w:rsidRPr="002D20D2">
        <w:rPr>
          <w:sz w:val="16"/>
        </w:rPr>
        <w:t>. Sci. Law 355 at 355</w:t>
      </w:r>
      <w:r w:rsidR="002D20D2">
        <w:t>.</w:t>
      </w:r>
    </w:p>
  </w:footnote>
  <w:footnote w:id="13">
    <w:p w:rsidR="00063151" w:rsidRDefault="00063151">
      <w:pPr>
        <w:pStyle w:val="FootnoteText"/>
      </w:pPr>
      <w:r>
        <w:rPr>
          <w:rStyle w:val="FootnoteReference"/>
        </w:rPr>
        <w:footnoteRef/>
      </w:r>
      <w:r>
        <w:t xml:space="preserve"> </w:t>
      </w:r>
      <w:r w:rsidRPr="00063151">
        <w:rPr>
          <w:sz w:val="16"/>
        </w:rPr>
        <w:t>Tarasoff, supra note 3 at 342.</w:t>
      </w:r>
    </w:p>
  </w:footnote>
  <w:footnote w:id="14">
    <w:p w:rsidR="003505AB" w:rsidRDefault="003505AB">
      <w:pPr>
        <w:pStyle w:val="FootnoteText"/>
      </w:pPr>
      <w:r>
        <w:rPr>
          <w:rStyle w:val="FootnoteReference"/>
        </w:rPr>
        <w:footnoteRef/>
      </w:r>
      <w:r>
        <w:t xml:space="preserve"> </w:t>
      </w:r>
      <w:r w:rsidR="00EF035C" w:rsidRPr="00EF035C">
        <w:rPr>
          <w:sz w:val="16"/>
        </w:rPr>
        <w:t>Smith v Littlewoods [1987] 1 All ER 710 at 729.</w:t>
      </w:r>
    </w:p>
  </w:footnote>
  <w:footnote w:id="15">
    <w:p w:rsidR="003505AB" w:rsidRDefault="003505AB">
      <w:pPr>
        <w:pStyle w:val="FootnoteText"/>
      </w:pPr>
      <w:r>
        <w:rPr>
          <w:rStyle w:val="FootnoteReference"/>
        </w:rPr>
        <w:footnoteRef/>
      </w:r>
      <w:r>
        <w:t xml:space="preserve"> </w:t>
      </w:r>
      <w:r w:rsidR="00EF035C" w:rsidRPr="00EF035C">
        <w:rPr>
          <w:sz w:val="16"/>
        </w:rPr>
        <w:t>Ibid.</w:t>
      </w:r>
    </w:p>
  </w:footnote>
  <w:footnote w:id="16">
    <w:p w:rsidR="003E696C" w:rsidRDefault="003E696C">
      <w:pPr>
        <w:pStyle w:val="FootnoteText"/>
      </w:pPr>
      <w:r>
        <w:rPr>
          <w:rStyle w:val="FootnoteReference"/>
        </w:rPr>
        <w:footnoteRef/>
      </w:r>
      <w:r>
        <w:t xml:space="preserve"> </w:t>
      </w:r>
      <w:r w:rsidR="00EF035C" w:rsidRPr="00EF035C">
        <w:rPr>
          <w:sz w:val="16"/>
        </w:rPr>
        <w:t>Tarasoff, supra note 3 at 342.</w:t>
      </w:r>
    </w:p>
  </w:footnote>
  <w:footnote w:id="17">
    <w:p w:rsidR="00DC1EF9" w:rsidRDefault="00DC1EF9">
      <w:pPr>
        <w:pStyle w:val="FootnoteText"/>
      </w:pPr>
      <w:r>
        <w:rPr>
          <w:rStyle w:val="FootnoteReference"/>
        </w:rPr>
        <w:footnoteRef/>
      </w:r>
      <w:r>
        <w:t xml:space="preserve"> </w:t>
      </w:r>
      <w:r w:rsidR="00EF035C" w:rsidRPr="00EF035C">
        <w:rPr>
          <w:sz w:val="16"/>
        </w:rPr>
        <w:t>Ibid. at 348.</w:t>
      </w:r>
    </w:p>
  </w:footnote>
  <w:footnote w:id="18">
    <w:p w:rsidR="00E537E2" w:rsidRDefault="00E537E2">
      <w:pPr>
        <w:pStyle w:val="FootnoteText"/>
      </w:pPr>
      <w:r>
        <w:rPr>
          <w:rStyle w:val="FootnoteReference"/>
        </w:rPr>
        <w:footnoteRef/>
      </w:r>
      <w:r>
        <w:t xml:space="preserve"> </w:t>
      </w:r>
      <w:r w:rsidR="00EF035C" w:rsidRPr="00EF035C">
        <w:rPr>
          <w:sz w:val="16"/>
        </w:rPr>
        <w:t>Felthous &amp; Kachigian, supra note 12 at 358.</w:t>
      </w:r>
    </w:p>
  </w:footnote>
  <w:footnote w:id="19">
    <w:p w:rsidR="00E537E2" w:rsidRDefault="00E537E2">
      <w:pPr>
        <w:pStyle w:val="FootnoteText"/>
      </w:pPr>
      <w:r>
        <w:rPr>
          <w:rStyle w:val="FootnoteReference"/>
        </w:rPr>
        <w:footnoteRef/>
      </w:r>
      <w:r>
        <w:t xml:space="preserve"> </w:t>
      </w:r>
      <w:r w:rsidR="00EF035C" w:rsidRPr="00EF035C">
        <w:rPr>
          <w:sz w:val="16"/>
        </w:rPr>
        <w:t>Ibid.</w:t>
      </w:r>
    </w:p>
  </w:footnote>
  <w:footnote w:id="20">
    <w:p w:rsidR="009E57A5" w:rsidRDefault="009E57A5">
      <w:pPr>
        <w:pStyle w:val="FootnoteText"/>
      </w:pPr>
      <w:r>
        <w:rPr>
          <w:rStyle w:val="FootnoteReference"/>
        </w:rPr>
        <w:footnoteRef/>
      </w:r>
      <w:r>
        <w:t xml:space="preserve"> </w:t>
      </w:r>
      <w:r w:rsidR="005A0616" w:rsidRPr="005A0616">
        <w:rPr>
          <w:sz w:val="16"/>
        </w:rPr>
        <w:t>Tarasoff, supra note 3 at 340.</w:t>
      </w:r>
    </w:p>
  </w:footnote>
  <w:footnote w:id="21">
    <w:p w:rsidR="009550B3" w:rsidRPr="00690C2E" w:rsidRDefault="009550B3" w:rsidP="009550B3">
      <w:pPr>
        <w:pStyle w:val="FootnoteText"/>
        <w:rPr>
          <w:sz w:val="16"/>
        </w:rPr>
      </w:pPr>
      <w:r>
        <w:rPr>
          <w:rStyle w:val="FootnoteReference"/>
        </w:rPr>
        <w:footnoteRef/>
      </w:r>
      <w:r>
        <w:t xml:space="preserve"> </w:t>
      </w:r>
      <w:r w:rsidRPr="00690C2E">
        <w:rPr>
          <w:sz w:val="16"/>
        </w:rPr>
        <w:t>Michael Huber, et al., “A Survey of Police Officers’ Experience with Tarasoff Warnings in Two States” (2000)</w:t>
      </w:r>
    </w:p>
    <w:p w:rsidR="009550B3" w:rsidRPr="00690C2E" w:rsidRDefault="009550B3" w:rsidP="009550B3">
      <w:pPr>
        <w:pStyle w:val="FootnoteText"/>
        <w:rPr>
          <w:sz w:val="16"/>
        </w:rPr>
      </w:pPr>
      <w:proofErr w:type="gramStart"/>
      <w:r w:rsidRPr="00690C2E">
        <w:rPr>
          <w:sz w:val="16"/>
        </w:rPr>
        <w:t xml:space="preserve">51 </w:t>
      </w:r>
      <w:proofErr w:type="spellStart"/>
      <w:r w:rsidRPr="00690C2E">
        <w:rPr>
          <w:sz w:val="16"/>
        </w:rPr>
        <w:t>Psychiatr</w:t>
      </w:r>
      <w:proofErr w:type="spellEnd"/>
      <w:r w:rsidRPr="00690C2E">
        <w:rPr>
          <w:sz w:val="16"/>
        </w:rPr>
        <w:t>.</w:t>
      </w:r>
      <w:proofErr w:type="gramEnd"/>
      <w:r w:rsidRPr="00690C2E">
        <w:rPr>
          <w:sz w:val="16"/>
        </w:rPr>
        <w:t xml:space="preserve"> </w:t>
      </w:r>
      <w:proofErr w:type="spellStart"/>
      <w:r w:rsidRPr="00690C2E">
        <w:rPr>
          <w:sz w:val="16"/>
        </w:rPr>
        <w:t>Serv</w:t>
      </w:r>
      <w:proofErr w:type="spellEnd"/>
      <w:r w:rsidRPr="00690C2E">
        <w:rPr>
          <w:sz w:val="16"/>
        </w:rPr>
        <w:t xml:space="preserve"> 807 at 807</w:t>
      </w:r>
    </w:p>
  </w:footnote>
  <w:footnote w:id="22">
    <w:p w:rsidR="004C610C" w:rsidRPr="005F60D4" w:rsidRDefault="004C610C" w:rsidP="005F60D4">
      <w:pPr>
        <w:pStyle w:val="FootnoteText"/>
        <w:rPr>
          <w:sz w:val="16"/>
        </w:rPr>
      </w:pPr>
      <w:r>
        <w:rPr>
          <w:rStyle w:val="FootnoteReference"/>
        </w:rPr>
        <w:footnoteRef/>
      </w:r>
      <w:r>
        <w:t xml:space="preserve"> </w:t>
      </w:r>
      <w:r w:rsidR="005F60D4" w:rsidRPr="005F60D4">
        <w:rPr>
          <w:sz w:val="16"/>
        </w:rPr>
        <w:t>Gary Chaimowitz, Gr</w:t>
      </w:r>
      <w:r w:rsidR="005F60D4">
        <w:rPr>
          <w:sz w:val="16"/>
        </w:rPr>
        <w:t xml:space="preserve">aham Glancy &amp; Janice Blackburn, </w:t>
      </w:r>
      <w:r w:rsidR="005F60D4" w:rsidRPr="005F60D4">
        <w:rPr>
          <w:sz w:val="16"/>
        </w:rPr>
        <w:t>“The Duty to Warn an</w:t>
      </w:r>
      <w:r w:rsidR="005F60D4">
        <w:rPr>
          <w:sz w:val="16"/>
        </w:rPr>
        <w:t xml:space="preserve">d Protect – Impact on Practice” </w:t>
      </w:r>
      <w:r w:rsidR="005F60D4" w:rsidRPr="005F60D4">
        <w:rPr>
          <w:sz w:val="16"/>
        </w:rPr>
        <w:t>(2000) 45 CJP 899 at 900.</w:t>
      </w:r>
    </w:p>
  </w:footnote>
  <w:footnote w:id="23">
    <w:p w:rsidR="004C610C" w:rsidRPr="005F60D4" w:rsidRDefault="004C610C" w:rsidP="005F60D4">
      <w:pPr>
        <w:pStyle w:val="FootnoteText"/>
        <w:rPr>
          <w:sz w:val="16"/>
        </w:rPr>
      </w:pPr>
      <w:r>
        <w:rPr>
          <w:rStyle w:val="FootnoteReference"/>
        </w:rPr>
        <w:footnoteRef/>
      </w:r>
      <w:r>
        <w:t xml:space="preserve"> </w:t>
      </w:r>
      <w:r w:rsidR="005F60D4" w:rsidRPr="005F60D4">
        <w:rPr>
          <w:sz w:val="16"/>
        </w:rPr>
        <w:t>Paul Appelbaum, “Tarasoff</w:t>
      </w:r>
      <w:r w:rsidR="005F60D4">
        <w:rPr>
          <w:sz w:val="16"/>
        </w:rPr>
        <w:t xml:space="preserve"> and the Clinician: Problems in </w:t>
      </w:r>
      <w:r w:rsidR="005F60D4" w:rsidRPr="005F60D4">
        <w:rPr>
          <w:sz w:val="16"/>
        </w:rPr>
        <w:t>Fulfilling the Dut</w:t>
      </w:r>
      <w:r w:rsidR="005F60D4">
        <w:rPr>
          <w:sz w:val="16"/>
        </w:rPr>
        <w:t xml:space="preserve">y to Protect” (1985) 142:4 Am J </w:t>
      </w:r>
      <w:r w:rsidR="005F60D4" w:rsidRPr="005F60D4">
        <w:rPr>
          <w:sz w:val="16"/>
        </w:rPr>
        <w:t>Psychiatry 425 at 427.</w:t>
      </w:r>
    </w:p>
  </w:footnote>
  <w:footnote w:id="24">
    <w:p w:rsidR="00F969EA" w:rsidRDefault="00F969EA">
      <w:pPr>
        <w:pStyle w:val="FootnoteText"/>
      </w:pPr>
      <w:r>
        <w:rPr>
          <w:rStyle w:val="FootnoteReference"/>
        </w:rPr>
        <w:footnoteRef/>
      </w:r>
      <w:r>
        <w:t xml:space="preserve"> </w:t>
      </w:r>
      <w:r w:rsidR="005E4F83" w:rsidRPr="005E4F83">
        <w:rPr>
          <w:sz w:val="16"/>
        </w:rPr>
        <w:t>Ibid. at 426.</w:t>
      </w:r>
    </w:p>
  </w:footnote>
  <w:footnote w:id="25">
    <w:p w:rsidR="006E2512" w:rsidRPr="005E4F83" w:rsidRDefault="006E2512" w:rsidP="005E4F83">
      <w:pPr>
        <w:pStyle w:val="FootnoteText"/>
        <w:rPr>
          <w:sz w:val="16"/>
        </w:rPr>
      </w:pPr>
      <w:r>
        <w:rPr>
          <w:rStyle w:val="FootnoteReference"/>
        </w:rPr>
        <w:footnoteRef/>
      </w:r>
      <w:r>
        <w:t xml:space="preserve"> </w:t>
      </w:r>
      <w:r w:rsidR="005E4F83" w:rsidRPr="005E4F83">
        <w:rPr>
          <w:sz w:val="16"/>
        </w:rPr>
        <w:t>Dale McNiel, Renee Binder &amp; Forrest Fulton, “Management of Threats</w:t>
      </w:r>
      <w:r w:rsidR="005E4F83">
        <w:rPr>
          <w:sz w:val="16"/>
        </w:rPr>
        <w:t xml:space="preserve"> of Violence </w:t>
      </w:r>
      <w:proofErr w:type="gramStart"/>
      <w:r w:rsidR="005E4F83">
        <w:rPr>
          <w:sz w:val="16"/>
        </w:rPr>
        <w:t>Under</w:t>
      </w:r>
      <w:proofErr w:type="gramEnd"/>
      <w:r w:rsidR="005E4F83">
        <w:rPr>
          <w:sz w:val="16"/>
        </w:rPr>
        <w:t xml:space="preserve"> California’s </w:t>
      </w:r>
      <w:r w:rsidR="005E4F83" w:rsidRPr="005E4F83">
        <w:rPr>
          <w:sz w:val="16"/>
        </w:rPr>
        <w:t>Duty-to-Protect Statute” (1998) 155:8 Am J Psychiatry 1097 at 1099.</w:t>
      </w:r>
    </w:p>
  </w:footnote>
  <w:footnote w:id="26">
    <w:p w:rsidR="006E2512" w:rsidRPr="005E4F83" w:rsidRDefault="006E2512">
      <w:pPr>
        <w:pStyle w:val="FootnoteText"/>
        <w:rPr>
          <w:sz w:val="16"/>
        </w:rPr>
      </w:pPr>
      <w:r>
        <w:rPr>
          <w:rStyle w:val="FootnoteReference"/>
        </w:rPr>
        <w:footnoteRef/>
      </w:r>
      <w:r>
        <w:t xml:space="preserve"> </w:t>
      </w:r>
      <w:r w:rsidR="005E4F83" w:rsidRPr="005E4F83">
        <w:rPr>
          <w:sz w:val="16"/>
        </w:rPr>
        <w:t>Ibid.</w:t>
      </w:r>
    </w:p>
  </w:footnote>
  <w:footnote w:id="27">
    <w:p w:rsidR="005E4F83" w:rsidRPr="005E4F83" w:rsidRDefault="005E4F83" w:rsidP="005E4F83">
      <w:pPr>
        <w:pStyle w:val="FootnoteText"/>
        <w:rPr>
          <w:sz w:val="16"/>
        </w:rPr>
      </w:pPr>
      <w:r>
        <w:rPr>
          <w:rStyle w:val="FootnoteReference"/>
        </w:rPr>
        <w:footnoteRef/>
      </w:r>
      <w:r>
        <w:t xml:space="preserve"> </w:t>
      </w:r>
      <w:r w:rsidRPr="005E4F83">
        <w:rPr>
          <w:sz w:val="16"/>
        </w:rPr>
        <w:t>Daniel Givelber, W</w:t>
      </w:r>
      <w:r>
        <w:rPr>
          <w:sz w:val="16"/>
        </w:rPr>
        <w:t xml:space="preserve">illiam Bowers &amp; Carolyn Blitch, </w:t>
      </w:r>
      <w:r w:rsidRPr="005E4F83">
        <w:rPr>
          <w:sz w:val="16"/>
        </w:rPr>
        <w:t>“Tarasoff, Myth and Reality: An Empirical Stud</w:t>
      </w:r>
      <w:r>
        <w:rPr>
          <w:sz w:val="16"/>
        </w:rPr>
        <w:t xml:space="preserve">y of </w:t>
      </w:r>
      <w:r w:rsidRPr="005E4F83">
        <w:rPr>
          <w:sz w:val="16"/>
        </w:rPr>
        <w:t>Private Law in Acti</w:t>
      </w:r>
      <w:r>
        <w:rPr>
          <w:sz w:val="16"/>
        </w:rPr>
        <w:t xml:space="preserve">on” (1984) Wisconsin Law Review </w:t>
      </w:r>
      <w:r w:rsidRPr="005E4F83">
        <w:rPr>
          <w:sz w:val="16"/>
        </w:rPr>
        <w:t>443 at 465.</w:t>
      </w:r>
    </w:p>
  </w:footnote>
  <w:footnote w:id="28">
    <w:p w:rsidR="00051C31" w:rsidRPr="00B70A60" w:rsidRDefault="00051C31" w:rsidP="00B70A60">
      <w:pPr>
        <w:pStyle w:val="FootnoteText"/>
        <w:rPr>
          <w:sz w:val="16"/>
        </w:rPr>
      </w:pPr>
      <w:r>
        <w:rPr>
          <w:rStyle w:val="FootnoteReference"/>
        </w:rPr>
        <w:footnoteRef/>
      </w:r>
      <w:r>
        <w:t xml:space="preserve"> </w:t>
      </w:r>
      <w:r w:rsidR="00B70A60" w:rsidRPr="00B70A60">
        <w:rPr>
          <w:sz w:val="16"/>
        </w:rPr>
        <w:t>Daniel Shuman &amp; Myro</w:t>
      </w:r>
      <w:r w:rsidR="00B70A60">
        <w:rPr>
          <w:sz w:val="16"/>
        </w:rPr>
        <w:t xml:space="preserve">n Weiner, “The Privilege Study: </w:t>
      </w:r>
      <w:r w:rsidR="00B70A60" w:rsidRPr="00B70A60">
        <w:rPr>
          <w:sz w:val="16"/>
        </w:rPr>
        <w:t>An Empirical Examination</w:t>
      </w:r>
      <w:r w:rsidR="00B70A60">
        <w:rPr>
          <w:sz w:val="16"/>
        </w:rPr>
        <w:t xml:space="preserve"> of the Psychotherapist-Patient </w:t>
      </w:r>
      <w:r w:rsidR="00B70A60" w:rsidRPr="00B70A60">
        <w:rPr>
          <w:sz w:val="16"/>
        </w:rPr>
        <w:t>Privilege” (1982) 60 N</w:t>
      </w:r>
      <w:r w:rsidR="00B70A60">
        <w:rPr>
          <w:sz w:val="16"/>
        </w:rPr>
        <w:t xml:space="preserve">orth Carolina Law Review 893 at </w:t>
      </w:r>
      <w:r w:rsidR="00B70A60" w:rsidRPr="00B70A60">
        <w:rPr>
          <w:sz w:val="16"/>
        </w:rPr>
        <w:t>914.</w:t>
      </w:r>
    </w:p>
  </w:footnote>
  <w:footnote w:id="29">
    <w:p w:rsidR="00051C31" w:rsidRPr="00B70A60" w:rsidRDefault="00051C31" w:rsidP="00B70A60">
      <w:pPr>
        <w:pStyle w:val="FootnoteText"/>
        <w:rPr>
          <w:sz w:val="16"/>
        </w:rPr>
      </w:pPr>
      <w:r>
        <w:rPr>
          <w:rStyle w:val="FootnoteReference"/>
        </w:rPr>
        <w:footnoteRef/>
      </w:r>
      <w:r>
        <w:t xml:space="preserve"> </w:t>
      </w:r>
      <w:r w:rsidR="00B70A60" w:rsidRPr="00B70A60">
        <w:rPr>
          <w:sz w:val="16"/>
        </w:rPr>
        <w:t>Fillmore Buckner &amp; Marv</w:t>
      </w:r>
      <w:r w:rsidR="00B70A60">
        <w:rPr>
          <w:sz w:val="16"/>
        </w:rPr>
        <w:t xml:space="preserve">in Firestone, “Where the Public </w:t>
      </w:r>
      <w:r w:rsidR="00B70A60" w:rsidRPr="00B70A60">
        <w:rPr>
          <w:sz w:val="16"/>
        </w:rPr>
        <w:t>Peril Begins: 25 Year</w:t>
      </w:r>
      <w:r w:rsidR="00B70A60">
        <w:rPr>
          <w:sz w:val="16"/>
        </w:rPr>
        <w:t xml:space="preserve">s After Tarasoff” (2000) 21 The </w:t>
      </w:r>
      <w:r w:rsidR="00B70A60" w:rsidRPr="00B70A60">
        <w:rPr>
          <w:sz w:val="16"/>
        </w:rPr>
        <w:t>Journal of Legal Medicine 187 at 200.</w:t>
      </w:r>
    </w:p>
  </w:footnote>
  <w:footnote w:id="30">
    <w:p w:rsidR="00051C31" w:rsidRDefault="00051C31">
      <w:pPr>
        <w:pStyle w:val="FootnoteText"/>
      </w:pPr>
      <w:r>
        <w:rPr>
          <w:rStyle w:val="FootnoteReference"/>
        </w:rPr>
        <w:footnoteRef/>
      </w:r>
      <w:r>
        <w:t xml:space="preserve"> </w:t>
      </w:r>
      <w:r w:rsidR="00852260" w:rsidRPr="00852260">
        <w:rPr>
          <w:sz w:val="16"/>
        </w:rPr>
        <w:t>United States v. Chase 340 F.3d 978 at 996.</w:t>
      </w:r>
    </w:p>
  </w:footnote>
  <w:footnote w:id="31">
    <w:p w:rsidR="00051C31" w:rsidRDefault="00051C31">
      <w:pPr>
        <w:pStyle w:val="FootnoteText"/>
      </w:pPr>
      <w:r>
        <w:rPr>
          <w:rStyle w:val="FootnoteReference"/>
        </w:rPr>
        <w:footnoteRef/>
      </w:r>
      <w:r>
        <w:t xml:space="preserve"> </w:t>
      </w:r>
      <w:r w:rsidR="00852260" w:rsidRPr="00852260">
        <w:rPr>
          <w:sz w:val="16"/>
        </w:rPr>
        <w:t>Hubbard, supra note 6 at 429.</w:t>
      </w:r>
    </w:p>
  </w:footnote>
  <w:footnote w:id="32">
    <w:p w:rsidR="000053D6" w:rsidRDefault="000053D6">
      <w:pPr>
        <w:pStyle w:val="FootnoteText"/>
      </w:pPr>
      <w:r>
        <w:rPr>
          <w:rStyle w:val="FootnoteReference"/>
        </w:rPr>
        <w:footnoteRef/>
      </w:r>
      <w:r>
        <w:t xml:space="preserve"> </w:t>
      </w:r>
      <w:r w:rsidR="00852260" w:rsidRPr="00852260">
        <w:rPr>
          <w:sz w:val="16"/>
        </w:rPr>
        <w:t>Cal. Civ. Code 43.92.</w:t>
      </w:r>
    </w:p>
  </w:footnote>
  <w:footnote w:id="33">
    <w:p w:rsidR="000053D6" w:rsidRDefault="000053D6" w:rsidP="00852260">
      <w:pPr>
        <w:pStyle w:val="FootnoteText"/>
      </w:pPr>
      <w:r>
        <w:rPr>
          <w:rStyle w:val="FootnoteReference"/>
        </w:rPr>
        <w:footnoteRef/>
      </w:r>
      <w:r>
        <w:t xml:space="preserve"> </w:t>
      </w:r>
      <w:r w:rsidR="00852260" w:rsidRPr="00852260">
        <w:rPr>
          <w:sz w:val="16"/>
        </w:rPr>
        <w:t>Jablonski v. United States 712 F.2d 391 (9th Cir. 1983) [Jablonski].</w:t>
      </w:r>
    </w:p>
  </w:footnote>
  <w:footnote w:id="34">
    <w:p w:rsidR="006109C8" w:rsidRDefault="006109C8">
      <w:pPr>
        <w:pStyle w:val="FootnoteText"/>
      </w:pPr>
      <w:r>
        <w:rPr>
          <w:rStyle w:val="FootnoteReference"/>
        </w:rPr>
        <w:footnoteRef/>
      </w:r>
      <w:r>
        <w:t xml:space="preserve"> </w:t>
      </w:r>
      <w:r w:rsidR="00852260" w:rsidRPr="00852260">
        <w:rPr>
          <w:sz w:val="16"/>
        </w:rPr>
        <w:t>Buckner &amp; Firestone, supra note 29 at 201.</w:t>
      </w:r>
    </w:p>
  </w:footnote>
  <w:footnote w:id="35">
    <w:p w:rsidR="006109C8" w:rsidRDefault="006109C8">
      <w:pPr>
        <w:pStyle w:val="FootnoteText"/>
      </w:pPr>
      <w:r>
        <w:rPr>
          <w:rStyle w:val="FootnoteReference"/>
        </w:rPr>
        <w:footnoteRef/>
      </w:r>
      <w:r>
        <w:t xml:space="preserve"> </w:t>
      </w:r>
      <w:r w:rsidR="00852260" w:rsidRPr="00852260">
        <w:rPr>
          <w:sz w:val="16"/>
        </w:rPr>
        <w:t>Jablonski, supra note 33 at 393.</w:t>
      </w:r>
    </w:p>
  </w:footnote>
  <w:footnote w:id="36">
    <w:p w:rsidR="006109C8" w:rsidRDefault="006109C8">
      <w:pPr>
        <w:pStyle w:val="FootnoteText"/>
      </w:pPr>
      <w:r>
        <w:rPr>
          <w:rStyle w:val="FootnoteReference"/>
        </w:rPr>
        <w:footnoteRef/>
      </w:r>
      <w:r>
        <w:t xml:space="preserve"> </w:t>
      </w:r>
      <w:r w:rsidR="00852260" w:rsidRPr="00852260">
        <w:rPr>
          <w:sz w:val="16"/>
        </w:rPr>
        <w:t>Ibid.</w:t>
      </w:r>
    </w:p>
  </w:footnote>
  <w:footnote w:id="37">
    <w:p w:rsidR="006109C8" w:rsidRDefault="006109C8">
      <w:pPr>
        <w:pStyle w:val="FootnoteText"/>
      </w:pPr>
      <w:r>
        <w:rPr>
          <w:rStyle w:val="FootnoteReference"/>
        </w:rPr>
        <w:footnoteRef/>
      </w:r>
      <w:r>
        <w:t xml:space="preserve"> </w:t>
      </w:r>
      <w:r w:rsidR="00852260" w:rsidRPr="00852260">
        <w:rPr>
          <w:sz w:val="16"/>
        </w:rPr>
        <w:t>Ibid. at 394.</w:t>
      </w:r>
    </w:p>
  </w:footnote>
  <w:footnote w:id="38">
    <w:p w:rsidR="00B70A60" w:rsidRDefault="00B70A60">
      <w:pPr>
        <w:pStyle w:val="FootnoteText"/>
      </w:pPr>
      <w:r>
        <w:rPr>
          <w:rStyle w:val="FootnoteReference"/>
        </w:rPr>
        <w:footnoteRef/>
      </w:r>
      <w:r>
        <w:t xml:space="preserve"> </w:t>
      </w:r>
      <w:r w:rsidR="00852260" w:rsidRPr="00852260">
        <w:rPr>
          <w:sz w:val="16"/>
        </w:rPr>
        <w:t>Ibid.</w:t>
      </w:r>
    </w:p>
  </w:footnote>
  <w:footnote w:id="39">
    <w:p w:rsidR="006732A3" w:rsidRPr="006732A3" w:rsidRDefault="006732A3" w:rsidP="006732A3">
      <w:pPr>
        <w:pStyle w:val="FootnoteText"/>
        <w:rPr>
          <w:sz w:val="16"/>
        </w:rPr>
      </w:pPr>
      <w:r>
        <w:rPr>
          <w:rStyle w:val="FootnoteReference"/>
        </w:rPr>
        <w:footnoteRef/>
      </w:r>
      <w:r>
        <w:t xml:space="preserve"> </w:t>
      </w:r>
      <w:r w:rsidRPr="006732A3">
        <w:rPr>
          <w:sz w:val="16"/>
        </w:rPr>
        <w:t xml:space="preserve">Damon Walcott, Pat </w:t>
      </w:r>
      <w:proofErr w:type="spellStart"/>
      <w:r w:rsidRPr="006732A3">
        <w:rPr>
          <w:sz w:val="16"/>
        </w:rPr>
        <w:t>C</w:t>
      </w:r>
      <w:r>
        <w:rPr>
          <w:sz w:val="16"/>
        </w:rPr>
        <w:t>erundolo</w:t>
      </w:r>
      <w:proofErr w:type="spellEnd"/>
      <w:r>
        <w:rPr>
          <w:sz w:val="16"/>
        </w:rPr>
        <w:t xml:space="preserve"> &amp; James Beck, “Current </w:t>
      </w:r>
      <w:r w:rsidRPr="006732A3">
        <w:rPr>
          <w:sz w:val="16"/>
        </w:rPr>
        <w:t>Analysis of the Tarasoff</w:t>
      </w:r>
      <w:r>
        <w:rPr>
          <w:sz w:val="16"/>
        </w:rPr>
        <w:t xml:space="preserve"> Duty: an Evolution towards the </w:t>
      </w:r>
      <w:r w:rsidRPr="006732A3">
        <w:rPr>
          <w:sz w:val="16"/>
        </w:rPr>
        <w:t>Limitation of the Duty to</w:t>
      </w:r>
      <w:r>
        <w:rPr>
          <w:sz w:val="16"/>
        </w:rPr>
        <w:t xml:space="preserve"> Protect” (2001) 19 </w:t>
      </w:r>
      <w:proofErr w:type="spellStart"/>
      <w:r>
        <w:rPr>
          <w:sz w:val="16"/>
        </w:rPr>
        <w:t>Behav</w:t>
      </w:r>
      <w:proofErr w:type="spellEnd"/>
      <w:r>
        <w:rPr>
          <w:sz w:val="16"/>
        </w:rPr>
        <w:t xml:space="preserve">. Sci. </w:t>
      </w:r>
      <w:r w:rsidRPr="006732A3">
        <w:rPr>
          <w:sz w:val="16"/>
        </w:rPr>
        <w:t>Law 325 at 330.</w:t>
      </w:r>
    </w:p>
  </w:footnote>
  <w:footnote w:id="40">
    <w:p w:rsidR="00CA55E8" w:rsidRDefault="00CA55E8">
      <w:pPr>
        <w:pStyle w:val="FootnoteText"/>
      </w:pPr>
      <w:r>
        <w:rPr>
          <w:rStyle w:val="FootnoteReference"/>
        </w:rPr>
        <w:footnoteRef/>
      </w:r>
      <w:r>
        <w:t xml:space="preserve"> </w:t>
      </w:r>
      <w:r w:rsidR="00DA02DF" w:rsidRPr="00DA02DF">
        <w:rPr>
          <w:sz w:val="16"/>
        </w:rPr>
        <w:t>Ewing v. Goldstein 15 Cal Rptr. 3d 864 [Ewing].</w:t>
      </w:r>
    </w:p>
  </w:footnote>
  <w:footnote w:id="41">
    <w:p w:rsidR="00CA55E8" w:rsidRPr="00DA02DF" w:rsidRDefault="00CA55E8" w:rsidP="00DA02DF">
      <w:pPr>
        <w:pStyle w:val="FootnoteText"/>
        <w:rPr>
          <w:sz w:val="16"/>
        </w:rPr>
      </w:pPr>
      <w:r>
        <w:rPr>
          <w:rStyle w:val="FootnoteReference"/>
        </w:rPr>
        <w:footnoteRef/>
      </w:r>
      <w:r>
        <w:t xml:space="preserve"> </w:t>
      </w:r>
      <w:r w:rsidR="00DA02DF" w:rsidRPr="00DA02DF">
        <w:rPr>
          <w:sz w:val="16"/>
        </w:rPr>
        <w:t>Robert Weinstock, Ga</w:t>
      </w:r>
      <w:r w:rsidR="00DA02DF">
        <w:rPr>
          <w:sz w:val="16"/>
        </w:rPr>
        <w:t xml:space="preserve">bor </w:t>
      </w:r>
      <w:proofErr w:type="spellStart"/>
      <w:r w:rsidR="00DA02DF">
        <w:rPr>
          <w:sz w:val="16"/>
        </w:rPr>
        <w:t>Vari</w:t>
      </w:r>
      <w:proofErr w:type="spellEnd"/>
      <w:r w:rsidR="00DA02DF">
        <w:rPr>
          <w:sz w:val="16"/>
        </w:rPr>
        <w:t xml:space="preserve">, Gregory Long &amp; Arturo </w:t>
      </w:r>
      <w:r w:rsidR="00DA02DF" w:rsidRPr="00DA02DF">
        <w:rPr>
          <w:sz w:val="16"/>
        </w:rPr>
        <w:t xml:space="preserve">Silva, “Back to the </w:t>
      </w:r>
      <w:r w:rsidR="00DA02DF">
        <w:rPr>
          <w:sz w:val="16"/>
        </w:rPr>
        <w:t xml:space="preserve">Past in California: A Temporary </w:t>
      </w:r>
      <w:r w:rsidR="00DA02DF" w:rsidRPr="00DA02DF">
        <w:rPr>
          <w:sz w:val="16"/>
        </w:rPr>
        <w:t>Retreat to a Taras</w:t>
      </w:r>
      <w:r w:rsidR="00DA02DF">
        <w:rPr>
          <w:sz w:val="16"/>
        </w:rPr>
        <w:t xml:space="preserve">off Duty to Warn” (2006) 34 (4) </w:t>
      </w:r>
      <w:r w:rsidR="00DA02DF" w:rsidRPr="00DA02DF">
        <w:rPr>
          <w:sz w:val="16"/>
        </w:rPr>
        <w:t>Journal of the American A</w:t>
      </w:r>
      <w:r w:rsidR="00DA02DF">
        <w:rPr>
          <w:sz w:val="16"/>
        </w:rPr>
        <w:t xml:space="preserve">cademy of Psychiatry and the </w:t>
      </w:r>
      <w:r w:rsidR="00DA02DF" w:rsidRPr="00DA02DF">
        <w:rPr>
          <w:sz w:val="16"/>
        </w:rPr>
        <w:t>Law 523 at 526.</w:t>
      </w:r>
    </w:p>
  </w:footnote>
  <w:footnote w:id="42">
    <w:p w:rsidR="00DA5E5F" w:rsidRDefault="00DA5E5F">
      <w:pPr>
        <w:pStyle w:val="FootnoteText"/>
      </w:pPr>
      <w:r>
        <w:rPr>
          <w:rStyle w:val="FootnoteReference"/>
        </w:rPr>
        <w:footnoteRef/>
      </w:r>
      <w:r>
        <w:t xml:space="preserve"> </w:t>
      </w:r>
      <w:r w:rsidR="00632A29" w:rsidRPr="00632A29">
        <w:rPr>
          <w:sz w:val="16"/>
        </w:rPr>
        <w:t>Ewing, supra note 40 at 867.</w:t>
      </w:r>
    </w:p>
  </w:footnote>
  <w:footnote w:id="43">
    <w:p w:rsidR="00DA5E5F" w:rsidRPr="00632A29" w:rsidRDefault="00DA5E5F" w:rsidP="00632A29">
      <w:pPr>
        <w:pStyle w:val="FootnoteText"/>
        <w:rPr>
          <w:sz w:val="16"/>
        </w:rPr>
      </w:pPr>
      <w:r>
        <w:rPr>
          <w:rStyle w:val="FootnoteReference"/>
        </w:rPr>
        <w:footnoteRef/>
      </w:r>
      <w:r>
        <w:t xml:space="preserve"> </w:t>
      </w:r>
      <w:r w:rsidR="00632A29" w:rsidRPr="00632A29">
        <w:rPr>
          <w:sz w:val="16"/>
        </w:rPr>
        <w:t xml:space="preserve">Weinstock, </w:t>
      </w:r>
      <w:proofErr w:type="spellStart"/>
      <w:r w:rsidR="00632A29" w:rsidRPr="00632A29">
        <w:rPr>
          <w:sz w:val="16"/>
        </w:rPr>
        <w:t>Vari</w:t>
      </w:r>
      <w:proofErr w:type="spellEnd"/>
      <w:r w:rsidR="00632A29" w:rsidRPr="00632A29">
        <w:rPr>
          <w:sz w:val="16"/>
        </w:rPr>
        <w:t>, Long &amp; Arturo Silva, supra note 39 at 526.</w:t>
      </w:r>
    </w:p>
  </w:footnote>
  <w:footnote w:id="44">
    <w:p w:rsidR="00DA5E5F" w:rsidRPr="00632A29" w:rsidRDefault="00DA5E5F" w:rsidP="00632A29">
      <w:pPr>
        <w:pStyle w:val="FootnoteText"/>
        <w:rPr>
          <w:sz w:val="16"/>
        </w:rPr>
      </w:pPr>
      <w:r>
        <w:rPr>
          <w:rStyle w:val="FootnoteReference"/>
        </w:rPr>
        <w:footnoteRef/>
      </w:r>
      <w:r>
        <w:t xml:space="preserve"> </w:t>
      </w:r>
      <w:proofErr w:type="spellStart"/>
      <w:r w:rsidR="00632A29" w:rsidRPr="00632A29">
        <w:rPr>
          <w:sz w:val="16"/>
        </w:rPr>
        <w:t>Gwynneth</w:t>
      </w:r>
      <w:proofErr w:type="spellEnd"/>
      <w:r w:rsidR="00632A29" w:rsidRPr="00632A29">
        <w:rPr>
          <w:sz w:val="16"/>
        </w:rPr>
        <w:t xml:space="preserve"> Smith, “Ewing v</w:t>
      </w:r>
      <w:r w:rsidR="00632A29">
        <w:rPr>
          <w:sz w:val="16"/>
        </w:rPr>
        <w:t xml:space="preserve">. Goldstein and the Therapist’s  </w:t>
      </w:r>
      <w:r w:rsidR="00632A29" w:rsidRPr="00632A29">
        <w:rPr>
          <w:sz w:val="16"/>
        </w:rPr>
        <w:t>Duty to Warn in Calif</w:t>
      </w:r>
      <w:r w:rsidR="00632A29">
        <w:rPr>
          <w:sz w:val="16"/>
        </w:rPr>
        <w:t xml:space="preserve">ornia” (2006) 36 Golden Gate U. </w:t>
      </w:r>
      <w:r w:rsidR="00632A29" w:rsidRPr="00632A29">
        <w:rPr>
          <w:sz w:val="16"/>
        </w:rPr>
        <w:t>L. Rev. 293 at 296.</w:t>
      </w:r>
    </w:p>
  </w:footnote>
  <w:footnote w:id="45">
    <w:p w:rsidR="00DA5E5F" w:rsidRPr="00632A29" w:rsidRDefault="00DA5E5F" w:rsidP="00632A29">
      <w:pPr>
        <w:pStyle w:val="FootnoteText"/>
        <w:rPr>
          <w:sz w:val="16"/>
        </w:rPr>
      </w:pPr>
      <w:r>
        <w:rPr>
          <w:rStyle w:val="FootnoteReference"/>
        </w:rPr>
        <w:footnoteRef/>
      </w:r>
      <w:r>
        <w:t xml:space="preserve"> </w:t>
      </w:r>
      <w:r w:rsidR="00632A29" w:rsidRPr="00632A29">
        <w:rPr>
          <w:sz w:val="16"/>
        </w:rPr>
        <w:t>Edwards, Deborah, “D</w:t>
      </w:r>
      <w:r w:rsidR="00632A29">
        <w:rPr>
          <w:sz w:val="16"/>
        </w:rPr>
        <w:t xml:space="preserve">uty to Warn – Even if it may be </w:t>
      </w:r>
      <w:r w:rsidR="00632A29" w:rsidRPr="00632A29">
        <w:rPr>
          <w:sz w:val="16"/>
        </w:rPr>
        <w:t>Hearsay? The Implication</w:t>
      </w:r>
      <w:r w:rsidR="00632A29">
        <w:rPr>
          <w:sz w:val="16"/>
        </w:rPr>
        <w:t xml:space="preserve">s of a Psychotherapists Duty to </w:t>
      </w:r>
      <w:r w:rsidR="00632A29" w:rsidRPr="00632A29">
        <w:rPr>
          <w:sz w:val="16"/>
        </w:rPr>
        <w:t>Warn a Third Person wh</w:t>
      </w:r>
      <w:r w:rsidR="00632A29">
        <w:rPr>
          <w:sz w:val="16"/>
        </w:rPr>
        <w:t xml:space="preserve">en Information is Obtained from </w:t>
      </w:r>
      <w:r w:rsidR="00632A29" w:rsidRPr="00632A29">
        <w:rPr>
          <w:sz w:val="16"/>
        </w:rPr>
        <w:t>Someone Other than his P</w:t>
      </w:r>
      <w:r w:rsidR="00632A29">
        <w:rPr>
          <w:sz w:val="16"/>
        </w:rPr>
        <w:t xml:space="preserve">atient” (2006) 3 Ind. Health L. </w:t>
      </w:r>
      <w:r w:rsidR="00632A29" w:rsidRPr="00632A29">
        <w:rPr>
          <w:sz w:val="16"/>
        </w:rPr>
        <w:t>Rev. 171 at 182.</w:t>
      </w:r>
    </w:p>
  </w:footnote>
  <w:footnote w:id="46">
    <w:p w:rsidR="00DA5E5F" w:rsidRDefault="00DA5E5F">
      <w:pPr>
        <w:pStyle w:val="FootnoteText"/>
      </w:pPr>
      <w:r>
        <w:rPr>
          <w:rStyle w:val="FootnoteReference"/>
        </w:rPr>
        <w:footnoteRef/>
      </w:r>
      <w:r>
        <w:t xml:space="preserve"> </w:t>
      </w:r>
      <w:r w:rsidR="00632A29" w:rsidRPr="00632A29">
        <w:rPr>
          <w:sz w:val="16"/>
        </w:rPr>
        <w:t>Ibid.</w:t>
      </w:r>
    </w:p>
  </w:footnote>
  <w:footnote w:id="47">
    <w:p w:rsidR="00DA5E5F" w:rsidRDefault="00DA5E5F">
      <w:pPr>
        <w:pStyle w:val="FootnoteText"/>
      </w:pPr>
      <w:r>
        <w:rPr>
          <w:rStyle w:val="FootnoteReference"/>
        </w:rPr>
        <w:footnoteRef/>
      </w:r>
      <w:r>
        <w:t xml:space="preserve"> </w:t>
      </w:r>
      <w:r w:rsidR="00045FDE" w:rsidRPr="00045FDE">
        <w:rPr>
          <w:sz w:val="16"/>
        </w:rPr>
        <w:t>Ibid. at 183.</w:t>
      </w:r>
    </w:p>
  </w:footnote>
  <w:footnote w:id="48">
    <w:p w:rsidR="00DA5E5F" w:rsidRDefault="00DA5E5F">
      <w:pPr>
        <w:pStyle w:val="FootnoteText"/>
      </w:pPr>
      <w:r>
        <w:rPr>
          <w:rStyle w:val="FootnoteReference"/>
        </w:rPr>
        <w:footnoteRef/>
      </w:r>
      <w:r w:rsidRPr="00045FDE">
        <w:rPr>
          <w:sz w:val="16"/>
        </w:rPr>
        <w:t xml:space="preserve"> </w:t>
      </w:r>
      <w:r w:rsidR="00045FDE" w:rsidRPr="00045FDE">
        <w:rPr>
          <w:sz w:val="16"/>
        </w:rPr>
        <w:t>Ibid.</w:t>
      </w:r>
    </w:p>
  </w:footnote>
  <w:footnote w:id="49">
    <w:p w:rsidR="00045FDE" w:rsidRDefault="00045FDE">
      <w:pPr>
        <w:pStyle w:val="FootnoteText"/>
      </w:pPr>
      <w:r>
        <w:rPr>
          <w:rStyle w:val="FootnoteReference"/>
        </w:rPr>
        <w:footnoteRef/>
      </w:r>
      <w:r>
        <w:t xml:space="preserve"> </w:t>
      </w:r>
      <w:r w:rsidRPr="00045FDE">
        <w:rPr>
          <w:sz w:val="16"/>
        </w:rPr>
        <w:t>Smith, supra note 44 at 299.</w:t>
      </w:r>
    </w:p>
  </w:footnote>
  <w:footnote w:id="50">
    <w:p w:rsidR="00045FDE" w:rsidRDefault="00045FDE">
      <w:pPr>
        <w:pStyle w:val="FootnoteText"/>
      </w:pPr>
      <w:r>
        <w:rPr>
          <w:rStyle w:val="FootnoteReference"/>
        </w:rPr>
        <w:footnoteRef/>
      </w:r>
      <w:r>
        <w:t xml:space="preserve"> </w:t>
      </w:r>
      <w:r w:rsidRPr="00045FDE">
        <w:rPr>
          <w:sz w:val="16"/>
        </w:rPr>
        <w:t>Ibid. at 297.</w:t>
      </w:r>
    </w:p>
  </w:footnote>
  <w:footnote w:id="51">
    <w:p w:rsidR="0089206A" w:rsidRPr="001335F3" w:rsidRDefault="0089206A" w:rsidP="001335F3">
      <w:pPr>
        <w:pStyle w:val="FootnoteText"/>
        <w:rPr>
          <w:sz w:val="16"/>
        </w:rPr>
      </w:pPr>
      <w:r>
        <w:rPr>
          <w:rStyle w:val="FootnoteReference"/>
        </w:rPr>
        <w:footnoteRef/>
      </w:r>
      <w:r>
        <w:t xml:space="preserve"> </w:t>
      </w:r>
      <w:r w:rsidR="001335F3" w:rsidRPr="001335F3">
        <w:rPr>
          <w:sz w:val="16"/>
        </w:rPr>
        <w:t>Lipari v. Sears, Roebuck &amp; Co. 497 F.Supp. 185 (D. Neb. 1980) at 187 [Lipari].</w:t>
      </w:r>
    </w:p>
  </w:footnote>
  <w:footnote w:id="52">
    <w:p w:rsidR="0089206A" w:rsidRDefault="0089206A">
      <w:pPr>
        <w:pStyle w:val="FootnoteText"/>
      </w:pPr>
      <w:r>
        <w:rPr>
          <w:rStyle w:val="FootnoteReference"/>
        </w:rPr>
        <w:footnoteRef/>
      </w:r>
      <w:r>
        <w:t xml:space="preserve"> </w:t>
      </w:r>
      <w:r w:rsidR="001335F3" w:rsidRPr="001335F3">
        <w:rPr>
          <w:sz w:val="16"/>
        </w:rPr>
        <w:t>Buckner &amp; Firestone, supra note 29 at 200.</w:t>
      </w:r>
    </w:p>
  </w:footnote>
  <w:footnote w:id="53">
    <w:p w:rsidR="00600B5B" w:rsidRDefault="00600B5B">
      <w:pPr>
        <w:pStyle w:val="FootnoteText"/>
      </w:pPr>
      <w:r>
        <w:rPr>
          <w:rStyle w:val="FootnoteReference"/>
        </w:rPr>
        <w:footnoteRef/>
      </w:r>
      <w:r>
        <w:t xml:space="preserve"> </w:t>
      </w:r>
      <w:r w:rsidRPr="00600B5B">
        <w:rPr>
          <w:sz w:val="16"/>
        </w:rPr>
        <w:t>Lipari, supra note 51 at 194.</w:t>
      </w:r>
    </w:p>
  </w:footnote>
  <w:footnote w:id="54">
    <w:p w:rsidR="00600B5B" w:rsidRDefault="00600B5B">
      <w:pPr>
        <w:pStyle w:val="FootnoteText"/>
      </w:pPr>
      <w:r>
        <w:rPr>
          <w:rStyle w:val="FootnoteReference"/>
        </w:rPr>
        <w:footnoteRef/>
      </w:r>
      <w:r>
        <w:t xml:space="preserve"> </w:t>
      </w:r>
      <w:r w:rsidRPr="00600B5B">
        <w:rPr>
          <w:sz w:val="16"/>
        </w:rPr>
        <w:t xml:space="preserve">Walcott, </w:t>
      </w:r>
      <w:proofErr w:type="spellStart"/>
      <w:r w:rsidRPr="00600B5B">
        <w:rPr>
          <w:sz w:val="16"/>
        </w:rPr>
        <w:t>Cerundolo</w:t>
      </w:r>
      <w:proofErr w:type="spellEnd"/>
      <w:r w:rsidRPr="00600B5B">
        <w:rPr>
          <w:sz w:val="16"/>
        </w:rPr>
        <w:t xml:space="preserve"> &amp; Beck, supra note 39 at 330.</w:t>
      </w:r>
    </w:p>
  </w:footnote>
  <w:footnote w:id="55">
    <w:p w:rsidR="00DF3A3D" w:rsidRDefault="00DF3A3D">
      <w:pPr>
        <w:pStyle w:val="FootnoteText"/>
      </w:pPr>
      <w:r>
        <w:rPr>
          <w:rStyle w:val="FootnoteReference"/>
        </w:rPr>
        <w:footnoteRef/>
      </w:r>
      <w:r>
        <w:t xml:space="preserve"> </w:t>
      </w:r>
      <w:r w:rsidRPr="00DF3A3D">
        <w:rPr>
          <w:sz w:val="16"/>
        </w:rPr>
        <w:t xml:space="preserve">W v </w:t>
      </w:r>
      <w:proofErr w:type="spellStart"/>
      <w:r w:rsidRPr="00DF3A3D">
        <w:rPr>
          <w:sz w:val="16"/>
        </w:rPr>
        <w:t>Egdell</w:t>
      </w:r>
      <w:proofErr w:type="spellEnd"/>
      <w:r w:rsidRPr="00DF3A3D">
        <w:rPr>
          <w:sz w:val="16"/>
        </w:rPr>
        <w:t xml:space="preserve"> [1990] </w:t>
      </w:r>
      <w:proofErr w:type="spellStart"/>
      <w:r w:rsidRPr="00DF3A3D">
        <w:rPr>
          <w:sz w:val="16"/>
        </w:rPr>
        <w:t>Ch</w:t>
      </w:r>
      <w:proofErr w:type="spellEnd"/>
      <w:r w:rsidRPr="00DF3A3D">
        <w:rPr>
          <w:sz w:val="16"/>
        </w:rPr>
        <w:t xml:space="preserve"> 359 [</w:t>
      </w:r>
      <w:proofErr w:type="spellStart"/>
      <w:r w:rsidRPr="00DF3A3D">
        <w:rPr>
          <w:sz w:val="16"/>
        </w:rPr>
        <w:t>Egdell</w:t>
      </w:r>
      <w:proofErr w:type="spellEnd"/>
      <w:r w:rsidRPr="00DF3A3D">
        <w:rPr>
          <w:sz w:val="16"/>
        </w:rPr>
        <w:t>].</w:t>
      </w:r>
    </w:p>
  </w:footnote>
  <w:footnote w:id="56">
    <w:p w:rsidR="00DF3A3D" w:rsidRDefault="00DF3A3D">
      <w:pPr>
        <w:pStyle w:val="FootnoteText"/>
      </w:pPr>
      <w:r>
        <w:rPr>
          <w:rStyle w:val="FootnoteReference"/>
        </w:rPr>
        <w:footnoteRef/>
      </w:r>
      <w:r>
        <w:t xml:space="preserve"> </w:t>
      </w:r>
      <w:r w:rsidRPr="00DF3A3D">
        <w:rPr>
          <w:sz w:val="16"/>
        </w:rPr>
        <w:t xml:space="preserve">R v Crozier [1991] </w:t>
      </w:r>
      <w:proofErr w:type="spellStart"/>
      <w:r w:rsidRPr="00DF3A3D">
        <w:rPr>
          <w:sz w:val="16"/>
        </w:rPr>
        <w:t>Crim</w:t>
      </w:r>
      <w:proofErr w:type="spellEnd"/>
      <w:r w:rsidRPr="00DF3A3D">
        <w:rPr>
          <w:sz w:val="16"/>
        </w:rPr>
        <w:t xml:space="preserve"> LR 138 [Crozier].</w:t>
      </w:r>
    </w:p>
  </w:footnote>
  <w:footnote w:id="57">
    <w:p w:rsidR="00DF3A3D" w:rsidRDefault="00DF3A3D">
      <w:pPr>
        <w:pStyle w:val="FootnoteText"/>
      </w:pPr>
      <w:r>
        <w:rPr>
          <w:rStyle w:val="FootnoteReference"/>
        </w:rPr>
        <w:footnoteRef/>
      </w:r>
      <w:r w:rsidRPr="00DF3A3D">
        <w:rPr>
          <w:sz w:val="16"/>
        </w:rPr>
        <w:t xml:space="preserve"> Gavaghan, supra note 7 at 255.</w:t>
      </w:r>
    </w:p>
  </w:footnote>
  <w:footnote w:id="58">
    <w:p w:rsidR="00DF3A3D" w:rsidRDefault="00DF3A3D">
      <w:pPr>
        <w:pStyle w:val="FootnoteText"/>
      </w:pPr>
      <w:r>
        <w:rPr>
          <w:rStyle w:val="FootnoteReference"/>
        </w:rPr>
        <w:footnoteRef/>
      </w:r>
      <w:r>
        <w:t xml:space="preserve"> </w:t>
      </w:r>
      <w:r w:rsidR="00623EEC" w:rsidRPr="00623EEC">
        <w:rPr>
          <w:sz w:val="16"/>
        </w:rPr>
        <w:t>Ibid.</w:t>
      </w:r>
    </w:p>
  </w:footnote>
  <w:footnote w:id="59">
    <w:p w:rsidR="00092418" w:rsidRDefault="00092418">
      <w:pPr>
        <w:pStyle w:val="FootnoteText"/>
      </w:pPr>
      <w:r>
        <w:rPr>
          <w:rStyle w:val="FootnoteReference"/>
        </w:rPr>
        <w:footnoteRef/>
      </w:r>
      <w:r>
        <w:t xml:space="preserve"> </w:t>
      </w:r>
      <w:r w:rsidR="00623EEC" w:rsidRPr="00623EEC">
        <w:rPr>
          <w:sz w:val="16"/>
        </w:rPr>
        <w:t>Ibid.</w:t>
      </w:r>
    </w:p>
  </w:footnote>
  <w:footnote w:id="60">
    <w:p w:rsidR="00092418" w:rsidRDefault="00092418">
      <w:pPr>
        <w:pStyle w:val="FootnoteText"/>
      </w:pPr>
      <w:r>
        <w:rPr>
          <w:rStyle w:val="FootnoteReference"/>
        </w:rPr>
        <w:footnoteRef/>
      </w:r>
      <w:r>
        <w:t xml:space="preserve"> </w:t>
      </w:r>
      <w:r w:rsidR="00623EEC" w:rsidRPr="00623EEC">
        <w:rPr>
          <w:sz w:val="16"/>
        </w:rPr>
        <w:t>Osman v UK [1999] 1 FLR 193 [Osman].</w:t>
      </w:r>
    </w:p>
  </w:footnote>
  <w:footnote w:id="61">
    <w:p w:rsidR="00092418" w:rsidRDefault="00092418">
      <w:pPr>
        <w:pStyle w:val="FootnoteText"/>
      </w:pPr>
      <w:r>
        <w:rPr>
          <w:rStyle w:val="FootnoteReference"/>
        </w:rPr>
        <w:footnoteRef/>
      </w:r>
      <w:r>
        <w:t xml:space="preserve"> </w:t>
      </w:r>
      <w:r w:rsidR="00623EEC" w:rsidRPr="00623EEC">
        <w:rPr>
          <w:sz w:val="16"/>
        </w:rPr>
        <w:t>Gavaghan, supra note 7 at 256.</w:t>
      </w:r>
    </w:p>
  </w:footnote>
  <w:footnote w:id="62">
    <w:p w:rsidR="00092418" w:rsidRDefault="00092418">
      <w:pPr>
        <w:pStyle w:val="FootnoteText"/>
      </w:pPr>
      <w:r>
        <w:rPr>
          <w:rStyle w:val="FootnoteReference"/>
        </w:rPr>
        <w:footnoteRef/>
      </w:r>
      <w:r>
        <w:t xml:space="preserve"> </w:t>
      </w:r>
      <w:r w:rsidR="00623EEC" w:rsidRPr="00623EEC">
        <w:rPr>
          <w:sz w:val="16"/>
        </w:rPr>
        <w:t>Ibid.</w:t>
      </w:r>
    </w:p>
  </w:footnote>
  <w:footnote w:id="63">
    <w:p w:rsidR="004B5895" w:rsidRDefault="004B5895">
      <w:pPr>
        <w:pStyle w:val="FootnoteText"/>
      </w:pPr>
      <w:r>
        <w:rPr>
          <w:rStyle w:val="FootnoteReference"/>
        </w:rPr>
        <w:footnoteRef/>
      </w:r>
      <w:r>
        <w:t xml:space="preserve"> </w:t>
      </w:r>
      <w:r w:rsidR="00D87D5B" w:rsidRPr="00D87D5B">
        <w:rPr>
          <w:sz w:val="16"/>
        </w:rPr>
        <w:t>Ibid. at 257.</w:t>
      </w:r>
    </w:p>
  </w:footnote>
  <w:footnote w:id="64">
    <w:p w:rsidR="00754F4D" w:rsidRPr="00D87D5B" w:rsidRDefault="00754F4D" w:rsidP="00D87D5B">
      <w:pPr>
        <w:pStyle w:val="FootnoteText"/>
        <w:rPr>
          <w:sz w:val="16"/>
        </w:rPr>
      </w:pPr>
      <w:r>
        <w:rPr>
          <w:rStyle w:val="FootnoteReference"/>
        </w:rPr>
        <w:footnoteRef/>
      </w:r>
      <w:r>
        <w:t xml:space="preserve"> </w:t>
      </w:r>
      <w:r w:rsidR="00D87D5B" w:rsidRPr="00D87D5B">
        <w:rPr>
          <w:sz w:val="16"/>
        </w:rPr>
        <w:t>Michael Perlin, “’</w:t>
      </w:r>
      <w:r w:rsidR="00D87D5B">
        <w:rPr>
          <w:sz w:val="16"/>
        </w:rPr>
        <w:t xml:space="preserve">You Got No Secrets to Conceal’: </w:t>
      </w:r>
      <w:r w:rsidR="00D87D5B" w:rsidRPr="00D87D5B">
        <w:rPr>
          <w:sz w:val="16"/>
        </w:rPr>
        <w:t>Considering the Appli</w:t>
      </w:r>
      <w:r w:rsidR="00D87D5B">
        <w:rPr>
          <w:sz w:val="16"/>
        </w:rPr>
        <w:t xml:space="preserve">cation of the Tarasoff Doctrine </w:t>
      </w:r>
      <w:r w:rsidR="00D87D5B" w:rsidRPr="00D87D5B">
        <w:rPr>
          <w:sz w:val="16"/>
        </w:rPr>
        <w:t xml:space="preserve">Abroad” (2006) 75 U. </w:t>
      </w:r>
      <w:proofErr w:type="spellStart"/>
      <w:r w:rsidR="00D87D5B" w:rsidRPr="00D87D5B">
        <w:rPr>
          <w:sz w:val="16"/>
        </w:rPr>
        <w:t>Cin</w:t>
      </w:r>
      <w:proofErr w:type="spellEnd"/>
      <w:r w:rsidR="00D87D5B" w:rsidRPr="00D87D5B">
        <w:rPr>
          <w:sz w:val="16"/>
        </w:rPr>
        <w:t>. L. Rev. 611 at 618.</w:t>
      </w:r>
    </w:p>
  </w:footnote>
  <w:footnote w:id="65">
    <w:p w:rsidR="00754F4D" w:rsidRDefault="00754F4D" w:rsidP="00D87D5B">
      <w:pPr>
        <w:pStyle w:val="FootnoteText"/>
      </w:pPr>
      <w:r>
        <w:rPr>
          <w:rStyle w:val="FootnoteReference"/>
        </w:rPr>
        <w:footnoteRef/>
      </w:r>
      <w:r>
        <w:t xml:space="preserve"> </w:t>
      </w:r>
      <w:r w:rsidR="00D87D5B" w:rsidRPr="00D87D5B">
        <w:rPr>
          <w:sz w:val="16"/>
        </w:rPr>
        <w:t>Section 6(1) Human Rights Act 1998 (qualified by section 6 (2)).</w:t>
      </w:r>
    </w:p>
  </w:footnote>
  <w:footnote w:id="66">
    <w:p w:rsidR="00754F4D" w:rsidRPr="00D87D5B" w:rsidRDefault="00754F4D">
      <w:pPr>
        <w:pStyle w:val="FootnoteText"/>
        <w:rPr>
          <w:sz w:val="16"/>
        </w:rPr>
      </w:pPr>
      <w:r>
        <w:rPr>
          <w:rStyle w:val="FootnoteReference"/>
        </w:rPr>
        <w:footnoteRef/>
      </w:r>
      <w:r>
        <w:t xml:space="preserve"> </w:t>
      </w:r>
      <w:r w:rsidR="00D87D5B" w:rsidRPr="00D87D5B">
        <w:rPr>
          <w:sz w:val="16"/>
        </w:rPr>
        <w:t>Gavaghan, supra note 7 at 257.</w:t>
      </w:r>
    </w:p>
  </w:footnote>
  <w:footnote w:id="67">
    <w:p w:rsidR="00754F4D" w:rsidRPr="00D87D5B" w:rsidRDefault="00754F4D">
      <w:pPr>
        <w:pStyle w:val="FootnoteText"/>
        <w:rPr>
          <w:sz w:val="16"/>
        </w:rPr>
      </w:pPr>
      <w:r>
        <w:rPr>
          <w:rStyle w:val="FootnoteReference"/>
        </w:rPr>
        <w:footnoteRef/>
      </w:r>
      <w:r>
        <w:t xml:space="preserve"> </w:t>
      </w:r>
      <w:r w:rsidR="00D87D5B" w:rsidRPr="00D87D5B">
        <w:rPr>
          <w:sz w:val="16"/>
        </w:rPr>
        <w:t>Perlin, supra note 64 at 619.</w:t>
      </w:r>
    </w:p>
  </w:footnote>
  <w:footnote w:id="68">
    <w:p w:rsidR="00754F4D" w:rsidRDefault="00754F4D">
      <w:pPr>
        <w:pStyle w:val="FootnoteText"/>
      </w:pPr>
      <w:r>
        <w:rPr>
          <w:rStyle w:val="FootnoteReference"/>
        </w:rPr>
        <w:footnoteRef/>
      </w:r>
      <w:r>
        <w:t xml:space="preserve"> </w:t>
      </w:r>
      <w:r w:rsidR="00D87D5B" w:rsidRPr="00D87D5B">
        <w:rPr>
          <w:sz w:val="16"/>
        </w:rPr>
        <w:t>Gavaghan, supra note 7 at 258.</w:t>
      </w:r>
    </w:p>
  </w:footnote>
  <w:footnote w:id="69">
    <w:p w:rsidR="005865C3" w:rsidRDefault="005865C3">
      <w:pPr>
        <w:pStyle w:val="FootnoteText"/>
      </w:pPr>
      <w:r>
        <w:rPr>
          <w:rStyle w:val="FootnoteReference"/>
        </w:rPr>
        <w:footnoteRef/>
      </w:r>
      <w:r w:rsidRPr="00D87D5B">
        <w:rPr>
          <w:sz w:val="16"/>
        </w:rPr>
        <w:t xml:space="preserve"> </w:t>
      </w:r>
      <w:r w:rsidR="00D87D5B" w:rsidRPr="00D87D5B">
        <w:rPr>
          <w:sz w:val="16"/>
        </w:rPr>
        <w:t>Osman, supra note 60 at 199.</w:t>
      </w:r>
    </w:p>
  </w:footnote>
  <w:footnote w:id="70">
    <w:p w:rsidR="005865C3" w:rsidRDefault="005865C3">
      <w:pPr>
        <w:pStyle w:val="FootnoteText"/>
      </w:pPr>
      <w:r>
        <w:rPr>
          <w:rStyle w:val="FootnoteReference"/>
        </w:rPr>
        <w:footnoteRef/>
      </w:r>
      <w:r>
        <w:t xml:space="preserve"> </w:t>
      </w:r>
      <w:r w:rsidR="00D87D5B" w:rsidRPr="00D87D5B">
        <w:rPr>
          <w:sz w:val="16"/>
        </w:rPr>
        <w:t>Ibid. at 207.</w:t>
      </w:r>
    </w:p>
  </w:footnote>
  <w:footnote w:id="71">
    <w:p w:rsidR="00F34B7C" w:rsidRDefault="00F34B7C">
      <w:pPr>
        <w:pStyle w:val="FootnoteText"/>
      </w:pPr>
      <w:r>
        <w:rPr>
          <w:rStyle w:val="FootnoteReference"/>
        </w:rPr>
        <w:footnoteRef/>
      </w:r>
      <w:r>
        <w:t xml:space="preserve"> </w:t>
      </w:r>
      <w:r w:rsidR="008F028F" w:rsidRPr="008F028F">
        <w:rPr>
          <w:sz w:val="16"/>
        </w:rPr>
        <w:t>Ibid. at 220.</w:t>
      </w:r>
    </w:p>
  </w:footnote>
  <w:footnote w:id="72">
    <w:p w:rsidR="008F028F" w:rsidRDefault="008F028F">
      <w:pPr>
        <w:pStyle w:val="FootnoteText"/>
      </w:pPr>
      <w:r>
        <w:rPr>
          <w:rStyle w:val="FootnoteReference"/>
        </w:rPr>
        <w:footnoteRef/>
      </w:r>
      <w:r>
        <w:t xml:space="preserve"> </w:t>
      </w:r>
      <w:r w:rsidRPr="008F028F">
        <w:rPr>
          <w:sz w:val="16"/>
        </w:rPr>
        <w:t>Ibid. at 218.</w:t>
      </w:r>
    </w:p>
  </w:footnote>
  <w:footnote w:id="73">
    <w:p w:rsidR="008F028F" w:rsidRDefault="008F028F">
      <w:pPr>
        <w:pStyle w:val="FootnoteText"/>
      </w:pPr>
      <w:r>
        <w:rPr>
          <w:rStyle w:val="FootnoteReference"/>
        </w:rPr>
        <w:footnoteRef/>
      </w:r>
      <w:r>
        <w:t xml:space="preserve"> </w:t>
      </w:r>
      <w:r w:rsidRPr="008F028F">
        <w:rPr>
          <w:sz w:val="16"/>
        </w:rPr>
        <w:t>Ibid.</w:t>
      </w:r>
    </w:p>
  </w:footnote>
  <w:footnote w:id="74">
    <w:p w:rsidR="0003725B" w:rsidRDefault="0003725B">
      <w:pPr>
        <w:pStyle w:val="FootnoteText"/>
      </w:pPr>
      <w:r>
        <w:rPr>
          <w:rStyle w:val="FootnoteReference"/>
        </w:rPr>
        <w:footnoteRef/>
      </w:r>
      <w:r>
        <w:t xml:space="preserve"> </w:t>
      </w:r>
      <w:r w:rsidR="002D7D4C" w:rsidRPr="002D7D4C">
        <w:rPr>
          <w:sz w:val="16"/>
        </w:rPr>
        <w:t>Gavaghan, supra note 7 at 267.</w:t>
      </w:r>
    </w:p>
  </w:footnote>
  <w:footnote w:id="75">
    <w:p w:rsidR="002D7D4C" w:rsidRDefault="002D7D4C">
      <w:pPr>
        <w:pStyle w:val="FootnoteText"/>
      </w:pPr>
      <w:r>
        <w:rPr>
          <w:rStyle w:val="FootnoteReference"/>
        </w:rPr>
        <w:footnoteRef/>
      </w:r>
      <w:r>
        <w:t xml:space="preserve"> </w:t>
      </w:r>
      <w:r w:rsidRPr="002D7D4C">
        <w:rPr>
          <w:sz w:val="16"/>
        </w:rPr>
        <w:t>Ibid. at 266.</w:t>
      </w:r>
    </w:p>
  </w:footnote>
  <w:footnote w:id="76">
    <w:p w:rsidR="002D7D4C" w:rsidRDefault="002D7D4C" w:rsidP="002D7D4C">
      <w:pPr>
        <w:pStyle w:val="FootnoteText"/>
      </w:pPr>
      <w:r>
        <w:rPr>
          <w:rStyle w:val="FootnoteReference"/>
        </w:rPr>
        <w:footnoteRef/>
      </w:r>
      <w:r>
        <w:t xml:space="preserve"> </w:t>
      </w:r>
      <w:r w:rsidRPr="002D7D4C">
        <w:rPr>
          <w:sz w:val="16"/>
        </w:rPr>
        <w:t>Palmer v Tees Health A</w:t>
      </w:r>
      <w:r w:rsidRPr="002D7D4C">
        <w:rPr>
          <w:sz w:val="16"/>
        </w:rPr>
        <w:t xml:space="preserve">uthority [1999] Lloyd’s Rep Med </w:t>
      </w:r>
      <w:r w:rsidRPr="002D7D4C">
        <w:rPr>
          <w:sz w:val="16"/>
        </w:rPr>
        <w:t>351 [Palmer].</w:t>
      </w:r>
    </w:p>
  </w:footnote>
  <w:footnote w:id="77">
    <w:p w:rsidR="002D7D4C" w:rsidRDefault="002D7D4C">
      <w:pPr>
        <w:pStyle w:val="FootnoteText"/>
      </w:pPr>
      <w:r>
        <w:rPr>
          <w:rStyle w:val="FootnoteReference"/>
        </w:rPr>
        <w:footnoteRef/>
      </w:r>
      <w:r>
        <w:t xml:space="preserve"> </w:t>
      </w:r>
      <w:r w:rsidRPr="002D7D4C">
        <w:rPr>
          <w:sz w:val="16"/>
        </w:rPr>
        <w:t>Ibid. at 351.</w:t>
      </w:r>
    </w:p>
  </w:footnote>
  <w:footnote w:id="78">
    <w:p w:rsidR="002D7D4C" w:rsidRDefault="002D7D4C">
      <w:pPr>
        <w:pStyle w:val="FootnoteText"/>
      </w:pPr>
      <w:r>
        <w:rPr>
          <w:rStyle w:val="FootnoteReference"/>
        </w:rPr>
        <w:footnoteRef/>
      </w:r>
      <w:r>
        <w:t xml:space="preserve"> </w:t>
      </w:r>
      <w:r w:rsidRPr="002D7D4C">
        <w:t>Ibid.</w:t>
      </w:r>
    </w:p>
  </w:footnote>
  <w:footnote w:id="79">
    <w:p w:rsidR="002D7D4C" w:rsidRDefault="002D7D4C">
      <w:pPr>
        <w:pStyle w:val="FootnoteText"/>
      </w:pPr>
      <w:r>
        <w:rPr>
          <w:rStyle w:val="FootnoteReference"/>
        </w:rPr>
        <w:footnoteRef/>
      </w:r>
      <w:r>
        <w:t xml:space="preserve"> </w:t>
      </w:r>
      <w:r w:rsidRPr="002D7D4C">
        <w:t>Ibid.</w:t>
      </w:r>
    </w:p>
  </w:footnote>
  <w:footnote w:id="80">
    <w:p w:rsidR="002D7D4C" w:rsidRDefault="002D7D4C">
      <w:pPr>
        <w:pStyle w:val="FootnoteText"/>
      </w:pPr>
      <w:r>
        <w:rPr>
          <w:rStyle w:val="FootnoteReference"/>
        </w:rPr>
        <w:footnoteRef/>
      </w:r>
      <w:r>
        <w:t xml:space="preserve"> </w:t>
      </w:r>
      <w:r w:rsidRPr="002D7D4C">
        <w:rPr>
          <w:sz w:val="16"/>
        </w:rPr>
        <w:t>Perlin, supra note 64 at 623.</w:t>
      </w:r>
    </w:p>
  </w:footnote>
  <w:footnote w:id="81">
    <w:p w:rsidR="00580535" w:rsidRDefault="00580535">
      <w:pPr>
        <w:pStyle w:val="FootnoteText"/>
      </w:pPr>
      <w:r>
        <w:rPr>
          <w:rStyle w:val="FootnoteReference"/>
        </w:rPr>
        <w:footnoteRef/>
      </w:r>
      <w:r>
        <w:t xml:space="preserve"> </w:t>
      </w:r>
      <w:r w:rsidRPr="00580535">
        <w:rPr>
          <w:sz w:val="16"/>
        </w:rPr>
        <w:t>Palmer, supra note 76 at 354.</w:t>
      </w:r>
    </w:p>
  </w:footnote>
  <w:footnote w:id="82">
    <w:p w:rsidR="00580535" w:rsidRDefault="00580535">
      <w:pPr>
        <w:pStyle w:val="FootnoteText"/>
      </w:pPr>
      <w:r>
        <w:rPr>
          <w:rStyle w:val="FootnoteReference"/>
        </w:rPr>
        <w:footnoteRef/>
      </w:r>
      <w:r>
        <w:t xml:space="preserve"> </w:t>
      </w:r>
      <w:r w:rsidRPr="00580535">
        <w:rPr>
          <w:sz w:val="16"/>
        </w:rPr>
        <w:t>Ibid. at 359.</w:t>
      </w:r>
    </w:p>
  </w:footnote>
  <w:footnote w:id="83">
    <w:p w:rsidR="00E65AB3" w:rsidRDefault="00E65AB3">
      <w:pPr>
        <w:pStyle w:val="FootnoteText"/>
      </w:pPr>
      <w:r>
        <w:rPr>
          <w:rStyle w:val="FootnoteReference"/>
        </w:rPr>
        <w:footnoteRef/>
      </w:r>
      <w:r>
        <w:t xml:space="preserve"> </w:t>
      </w:r>
      <w:r w:rsidR="00314DAA" w:rsidRPr="00314DAA">
        <w:rPr>
          <w:sz w:val="16"/>
        </w:rPr>
        <w:t>Gavaghan, supra note 7 at 267.</w:t>
      </w:r>
    </w:p>
  </w:footnote>
  <w:footnote w:id="84">
    <w:p w:rsidR="00E65AB3" w:rsidRDefault="00E65AB3">
      <w:pPr>
        <w:pStyle w:val="FootnoteText"/>
      </w:pPr>
      <w:r>
        <w:rPr>
          <w:rStyle w:val="FootnoteReference"/>
        </w:rPr>
        <w:footnoteRef/>
      </w:r>
      <w:r>
        <w:t xml:space="preserve"> </w:t>
      </w:r>
      <w:r w:rsidR="00314DAA" w:rsidRPr="00314DAA">
        <w:rPr>
          <w:sz w:val="16"/>
        </w:rPr>
        <w:t>Hubbard, supra note 6 at 441.</w:t>
      </w:r>
    </w:p>
  </w:footnote>
  <w:footnote w:id="85">
    <w:p w:rsidR="00E65AB3" w:rsidRDefault="00E65AB3">
      <w:pPr>
        <w:pStyle w:val="FootnoteText"/>
      </w:pPr>
      <w:r>
        <w:rPr>
          <w:rStyle w:val="FootnoteReference"/>
        </w:rPr>
        <w:footnoteRef/>
      </w:r>
      <w:r w:rsidR="00314DAA" w:rsidRPr="00314DAA">
        <w:rPr>
          <w:sz w:val="16"/>
        </w:rPr>
        <w:t>Perlin, supra note 64 at 625.</w:t>
      </w:r>
      <w:r w:rsidRPr="00314DAA">
        <w:rPr>
          <w:sz w:val="16"/>
        </w:rPr>
        <w:t xml:space="preserve"> </w:t>
      </w:r>
    </w:p>
  </w:footnote>
  <w:footnote w:id="86">
    <w:p w:rsidR="00314DAA" w:rsidRDefault="00314DAA">
      <w:pPr>
        <w:pStyle w:val="FootnoteText"/>
      </w:pPr>
      <w:r>
        <w:rPr>
          <w:rStyle w:val="FootnoteReference"/>
        </w:rPr>
        <w:footnoteRef/>
      </w:r>
      <w:r>
        <w:t xml:space="preserve"> </w:t>
      </w:r>
      <w:r w:rsidRPr="00314DAA">
        <w:rPr>
          <w:sz w:val="16"/>
        </w:rPr>
        <w:t>Stone, supra note 5 at 366.</w:t>
      </w:r>
    </w:p>
  </w:footnote>
  <w:footnote w:id="87">
    <w:p w:rsidR="009B12C8" w:rsidRDefault="009B12C8">
      <w:pPr>
        <w:pStyle w:val="FootnoteText"/>
      </w:pPr>
      <w:r>
        <w:rPr>
          <w:rStyle w:val="FootnoteReference"/>
        </w:rPr>
        <w:footnoteRef/>
      </w:r>
      <w:r>
        <w:t xml:space="preserve"> </w:t>
      </w:r>
      <w:r w:rsidR="00231121" w:rsidRPr="00231121">
        <w:rPr>
          <w:sz w:val="16"/>
        </w:rPr>
        <w:t>Gutheil, supra note 4 at 346.</w:t>
      </w:r>
    </w:p>
  </w:footnote>
  <w:footnote w:id="88">
    <w:p w:rsidR="009B12C8" w:rsidRDefault="009B12C8">
      <w:pPr>
        <w:pStyle w:val="FootnoteText"/>
      </w:pPr>
      <w:r>
        <w:rPr>
          <w:rStyle w:val="FootnoteReference"/>
        </w:rPr>
        <w:footnoteRef/>
      </w:r>
      <w:r>
        <w:t xml:space="preserve"> </w:t>
      </w:r>
      <w:r w:rsidR="00231121" w:rsidRPr="00231121">
        <w:rPr>
          <w:sz w:val="16"/>
        </w:rPr>
        <w:t xml:space="preserve">Boynton v. </w:t>
      </w:r>
      <w:proofErr w:type="spellStart"/>
      <w:r w:rsidR="00231121" w:rsidRPr="00231121">
        <w:rPr>
          <w:sz w:val="16"/>
        </w:rPr>
        <w:t>Burglass</w:t>
      </w:r>
      <w:proofErr w:type="spellEnd"/>
      <w:r w:rsidR="00231121" w:rsidRPr="00231121">
        <w:rPr>
          <w:sz w:val="16"/>
        </w:rPr>
        <w:t xml:space="preserve"> 590 </w:t>
      </w:r>
      <w:proofErr w:type="spellStart"/>
      <w:r w:rsidR="00231121" w:rsidRPr="00231121">
        <w:rPr>
          <w:sz w:val="16"/>
        </w:rPr>
        <w:t>So.</w:t>
      </w:r>
      <w:proofErr w:type="spellEnd"/>
      <w:r w:rsidR="00231121" w:rsidRPr="00231121">
        <w:rPr>
          <w:sz w:val="16"/>
        </w:rPr>
        <w:t xml:space="preserve"> 2d 446 [Boynton].</w:t>
      </w:r>
    </w:p>
  </w:footnote>
  <w:footnote w:id="89">
    <w:p w:rsidR="009B12C8" w:rsidRDefault="009B12C8">
      <w:pPr>
        <w:pStyle w:val="FootnoteText"/>
      </w:pPr>
      <w:r>
        <w:rPr>
          <w:rStyle w:val="FootnoteReference"/>
        </w:rPr>
        <w:footnoteRef/>
      </w:r>
      <w:r>
        <w:t xml:space="preserve"> </w:t>
      </w:r>
      <w:r w:rsidR="000F287F" w:rsidRPr="000F287F">
        <w:rPr>
          <w:sz w:val="16"/>
        </w:rPr>
        <w:t>Ibid. at 448.</w:t>
      </w:r>
    </w:p>
  </w:footnote>
  <w:footnote w:id="90">
    <w:p w:rsidR="000F287F" w:rsidRPr="000F287F" w:rsidRDefault="000D0C97" w:rsidP="000F287F">
      <w:pPr>
        <w:pStyle w:val="FootnoteText"/>
        <w:rPr>
          <w:sz w:val="16"/>
        </w:rPr>
      </w:pPr>
      <w:r>
        <w:rPr>
          <w:rStyle w:val="FootnoteReference"/>
        </w:rPr>
        <w:footnoteRef/>
      </w:r>
      <w:r w:rsidR="000F287F" w:rsidRPr="000F287F">
        <w:rPr>
          <w:sz w:val="16"/>
        </w:rPr>
        <w:t>Ibid. at 448.</w:t>
      </w:r>
    </w:p>
    <w:p w:rsidR="000D0C97" w:rsidRDefault="000D0C97">
      <w:pPr>
        <w:pStyle w:val="FootnoteText"/>
      </w:pPr>
      <w:r w:rsidRPr="000F287F">
        <w:rPr>
          <w:sz w:val="16"/>
        </w:rPr>
        <w:t xml:space="preserve"> </w:t>
      </w:r>
    </w:p>
  </w:footnote>
  <w:footnote w:id="91">
    <w:p w:rsidR="000D0C97" w:rsidRDefault="000D0C97">
      <w:pPr>
        <w:pStyle w:val="FootnoteText"/>
      </w:pPr>
      <w:r>
        <w:rPr>
          <w:rStyle w:val="FootnoteReference"/>
        </w:rPr>
        <w:footnoteRef/>
      </w:r>
      <w:r>
        <w:t xml:space="preserve"> </w:t>
      </w:r>
      <w:r w:rsidR="000F287F" w:rsidRPr="0032372C">
        <w:rPr>
          <w:sz w:val="16"/>
        </w:rPr>
        <w:t>Ibid. at 449.</w:t>
      </w:r>
    </w:p>
  </w:footnote>
  <w:footnote w:id="92">
    <w:p w:rsidR="00FE3E62" w:rsidRDefault="00FE3E62">
      <w:pPr>
        <w:pStyle w:val="FootnoteText"/>
      </w:pPr>
      <w:r>
        <w:rPr>
          <w:rStyle w:val="FootnoteReference"/>
        </w:rPr>
        <w:footnoteRef/>
      </w:r>
      <w:r>
        <w:t xml:space="preserve"> </w:t>
      </w:r>
      <w:r w:rsidR="00EA16CC" w:rsidRPr="00EA16CC">
        <w:rPr>
          <w:sz w:val="16"/>
        </w:rPr>
        <w:t>Tarasoff, supra note 3, at 349.</w:t>
      </w:r>
    </w:p>
  </w:footnote>
  <w:footnote w:id="93">
    <w:p w:rsidR="000F287F" w:rsidRDefault="000F287F">
      <w:pPr>
        <w:pStyle w:val="FootnoteText"/>
      </w:pPr>
      <w:r>
        <w:rPr>
          <w:rStyle w:val="FootnoteReference"/>
        </w:rPr>
        <w:footnoteRef/>
      </w:r>
      <w:r>
        <w:t xml:space="preserve"> </w:t>
      </w:r>
      <w:r w:rsidR="00EA16CC" w:rsidRPr="00EA16CC">
        <w:rPr>
          <w:sz w:val="16"/>
        </w:rPr>
        <w:t>Boynton, supra note 88 at 449.</w:t>
      </w:r>
    </w:p>
  </w:footnote>
  <w:footnote w:id="94">
    <w:p w:rsidR="000F287F" w:rsidRDefault="000F287F">
      <w:pPr>
        <w:pStyle w:val="FootnoteText"/>
      </w:pPr>
      <w:r>
        <w:rPr>
          <w:rStyle w:val="FootnoteReference"/>
        </w:rPr>
        <w:footnoteRef/>
      </w:r>
      <w:r>
        <w:t xml:space="preserve"> </w:t>
      </w:r>
      <w:r w:rsidR="00EA16CC" w:rsidRPr="00EA16CC">
        <w:rPr>
          <w:sz w:val="16"/>
        </w:rPr>
        <w:t>Ibid.</w:t>
      </w:r>
    </w:p>
  </w:footnote>
  <w:footnote w:id="95">
    <w:p w:rsidR="000F287F" w:rsidRDefault="000F287F">
      <w:pPr>
        <w:pStyle w:val="FootnoteText"/>
      </w:pPr>
      <w:r>
        <w:rPr>
          <w:rStyle w:val="FootnoteReference"/>
        </w:rPr>
        <w:footnoteRef/>
      </w:r>
      <w:r>
        <w:t xml:space="preserve"> </w:t>
      </w:r>
      <w:r w:rsidR="00EA16CC" w:rsidRPr="00EA16CC">
        <w:rPr>
          <w:sz w:val="16"/>
        </w:rPr>
        <w:t>Stone, supra note 5, at 366.</w:t>
      </w:r>
    </w:p>
  </w:footnote>
  <w:footnote w:id="96">
    <w:p w:rsidR="000F287F" w:rsidRDefault="000F287F">
      <w:pPr>
        <w:pStyle w:val="FootnoteText"/>
      </w:pPr>
      <w:r>
        <w:rPr>
          <w:rStyle w:val="FootnoteReference"/>
        </w:rPr>
        <w:footnoteRef/>
      </w:r>
      <w:r>
        <w:t xml:space="preserve"> </w:t>
      </w:r>
      <w:r w:rsidR="00EA16CC" w:rsidRPr="00EA16CC">
        <w:rPr>
          <w:sz w:val="16"/>
        </w:rPr>
        <w:t>Boynton, supra note 88 at 451.</w:t>
      </w:r>
    </w:p>
  </w:footnote>
  <w:footnote w:id="97">
    <w:p w:rsidR="00EA16CC" w:rsidRDefault="00EA16CC">
      <w:pPr>
        <w:pStyle w:val="FootnoteText"/>
      </w:pPr>
      <w:r>
        <w:rPr>
          <w:rStyle w:val="FootnoteReference"/>
        </w:rPr>
        <w:footnoteRef/>
      </w:r>
      <w:r>
        <w:t xml:space="preserve"> </w:t>
      </w:r>
      <w:r w:rsidR="00CC5F14" w:rsidRPr="00CC5F14">
        <w:rPr>
          <w:sz w:val="18"/>
        </w:rPr>
        <w:t>Tarasoff, supra note 3 at 340.</w:t>
      </w:r>
    </w:p>
  </w:footnote>
  <w:footnote w:id="98">
    <w:p w:rsidR="00EA16CC" w:rsidRDefault="00EA16CC">
      <w:pPr>
        <w:pStyle w:val="FootnoteText"/>
      </w:pPr>
      <w:r>
        <w:rPr>
          <w:rStyle w:val="FootnoteReference"/>
        </w:rPr>
        <w:footnoteRef/>
      </w:r>
      <w:r>
        <w:t xml:space="preserve"> </w:t>
      </w:r>
      <w:r w:rsidR="00CC5F14" w:rsidRPr="00CC5F14">
        <w:rPr>
          <w:sz w:val="16"/>
        </w:rPr>
        <w:t>Ibid. at 350.</w:t>
      </w:r>
    </w:p>
  </w:footnote>
  <w:footnote w:id="99">
    <w:p w:rsidR="00784F71" w:rsidRDefault="00784F71">
      <w:pPr>
        <w:pStyle w:val="FootnoteText"/>
      </w:pPr>
      <w:r>
        <w:rPr>
          <w:rStyle w:val="FootnoteReference"/>
        </w:rPr>
        <w:footnoteRef/>
      </w:r>
      <w:r>
        <w:t xml:space="preserve"> </w:t>
      </w:r>
      <w:r w:rsidR="00864495" w:rsidRPr="00864495">
        <w:rPr>
          <w:sz w:val="16"/>
        </w:rPr>
        <w:t>Ibid. at 349.</w:t>
      </w:r>
    </w:p>
  </w:footnote>
  <w:footnote w:id="100">
    <w:p w:rsidR="00864495" w:rsidRDefault="00864495">
      <w:pPr>
        <w:pStyle w:val="FootnoteText"/>
      </w:pPr>
      <w:r>
        <w:rPr>
          <w:rStyle w:val="FootnoteReference"/>
        </w:rPr>
        <w:footnoteRef/>
      </w:r>
      <w:r>
        <w:t xml:space="preserve"> </w:t>
      </w:r>
      <w:r w:rsidRPr="00864495">
        <w:rPr>
          <w:sz w:val="16"/>
        </w:rPr>
        <w:t>Ibid. at 361.</w:t>
      </w:r>
    </w:p>
  </w:footnote>
  <w:footnote w:id="101">
    <w:p w:rsidR="00864495" w:rsidRDefault="00864495">
      <w:pPr>
        <w:pStyle w:val="FootnoteText"/>
      </w:pPr>
      <w:r>
        <w:rPr>
          <w:rStyle w:val="FootnoteReference"/>
        </w:rPr>
        <w:footnoteRef/>
      </w:r>
      <w:r>
        <w:t xml:space="preserve"> </w:t>
      </w:r>
      <w:r w:rsidRPr="00864495">
        <w:rPr>
          <w:sz w:val="16"/>
        </w:rPr>
        <w:t>Ibid. at 371.</w:t>
      </w:r>
    </w:p>
  </w:footnote>
  <w:footnote w:id="102">
    <w:p w:rsidR="0085425F" w:rsidRDefault="0085425F">
      <w:pPr>
        <w:pStyle w:val="FootnoteText"/>
      </w:pPr>
      <w:r>
        <w:rPr>
          <w:rStyle w:val="FootnoteReference"/>
        </w:rPr>
        <w:footnoteRef/>
      </w:r>
      <w:r>
        <w:t xml:space="preserve"> </w:t>
      </w:r>
      <w:r w:rsidRPr="0085425F">
        <w:rPr>
          <w:sz w:val="16"/>
        </w:rPr>
        <w:t>Boynton, supra note 88 at 452.</w:t>
      </w:r>
    </w:p>
  </w:footnote>
  <w:footnote w:id="103">
    <w:p w:rsidR="0085425F" w:rsidRDefault="0085425F">
      <w:pPr>
        <w:pStyle w:val="FootnoteText"/>
      </w:pPr>
      <w:r>
        <w:rPr>
          <w:rStyle w:val="FootnoteReference"/>
        </w:rPr>
        <w:footnoteRef/>
      </w:r>
      <w:r>
        <w:t xml:space="preserve"> </w:t>
      </w:r>
      <w:r w:rsidR="00F62427" w:rsidRPr="00F62427">
        <w:rPr>
          <w:sz w:val="16"/>
        </w:rPr>
        <w:t>Stone, supra note 5 at 371.</w:t>
      </w:r>
    </w:p>
  </w:footnote>
  <w:footnote w:id="104">
    <w:p w:rsidR="00134377" w:rsidRDefault="00134377">
      <w:pPr>
        <w:pStyle w:val="FootnoteText"/>
      </w:pPr>
      <w:r>
        <w:rPr>
          <w:rStyle w:val="FootnoteReference"/>
        </w:rPr>
        <w:footnoteRef/>
      </w:r>
      <w:r>
        <w:t xml:space="preserve"> </w:t>
      </w:r>
      <w:r w:rsidR="00F62427" w:rsidRPr="00F62427">
        <w:rPr>
          <w:sz w:val="16"/>
        </w:rPr>
        <w:t>Gavaghan, supra note 7 at 263.</w:t>
      </w:r>
    </w:p>
  </w:footnote>
  <w:footnote w:id="105">
    <w:p w:rsidR="00134377" w:rsidRDefault="00134377">
      <w:pPr>
        <w:pStyle w:val="FootnoteText"/>
      </w:pPr>
      <w:r>
        <w:rPr>
          <w:rStyle w:val="FootnoteReference"/>
        </w:rPr>
        <w:footnoteRef/>
      </w:r>
      <w:r>
        <w:t xml:space="preserve"> </w:t>
      </w:r>
      <w:r w:rsidR="00F62427" w:rsidRPr="00F62427">
        <w:rPr>
          <w:sz w:val="16"/>
        </w:rPr>
        <w:t>Ibid.</w:t>
      </w:r>
    </w:p>
  </w:footnote>
  <w:footnote w:id="106">
    <w:p w:rsidR="00E2437A" w:rsidRPr="00F62427" w:rsidRDefault="00E2437A" w:rsidP="00F62427">
      <w:pPr>
        <w:pStyle w:val="FootnoteText"/>
        <w:rPr>
          <w:sz w:val="16"/>
        </w:rPr>
      </w:pPr>
      <w:r>
        <w:rPr>
          <w:rStyle w:val="FootnoteReference"/>
        </w:rPr>
        <w:footnoteRef/>
      </w:r>
      <w:r>
        <w:t xml:space="preserve"> </w:t>
      </w:r>
      <w:r w:rsidR="00F62427" w:rsidRPr="00F62427">
        <w:rPr>
          <w:sz w:val="16"/>
        </w:rPr>
        <w:t xml:space="preserve">Randy Borum &amp; Marisa </w:t>
      </w:r>
      <w:r w:rsidR="00F62427" w:rsidRPr="00F62427">
        <w:rPr>
          <w:sz w:val="16"/>
        </w:rPr>
        <w:t xml:space="preserve">Reddy, “Assessing Violence Risk </w:t>
      </w:r>
      <w:r w:rsidR="00F62427" w:rsidRPr="00F62427">
        <w:rPr>
          <w:sz w:val="16"/>
        </w:rPr>
        <w:t>in Tarasoff Situations:</w:t>
      </w:r>
      <w:r w:rsidR="00F62427" w:rsidRPr="00F62427">
        <w:rPr>
          <w:sz w:val="16"/>
        </w:rPr>
        <w:t xml:space="preserve"> A Fact-Based Model of Inquiry” </w:t>
      </w:r>
      <w:r w:rsidR="00F62427" w:rsidRPr="00F62427">
        <w:rPr>
          <w:sz w:val="16"/>
        </w:rPr>
        <w:t xml:space="preserve">(2001) 19 </w:t>
      </w:r>
      <w:proofErr w:type="spellStart"/>
      <w:r w:rsidR="00F62427" w:rsidRPr="00F62427">
        <w:rPr>
          <w:sz w:val="16"/>
        </w:rPr>
        <w:t>Behav</w:t>
      </w:r>
      <w:proofErr w:type="spellEnd"/>
      <w:r w:rsidR="00F62427" w:rsidRPr="00F62427">
        <w:rPr>
          <w:sz w:val="16"/>
        </w:rPr>
        <w:t>. Sci. Law 375 at 380.</w:t>
      </w:r>
    </w:p>
  </w:footnote>
  <w:footnote w:id="107">
    <w:p w:rsidR="00E2437A" w:rsidRDefault="00E2437A">
      <w:pPr>
        <w:pStyle w:val="FootnoteText"/>
      </w:pPr>
      <w:r>
        <w:rPr>
          <w:rStyle w:val="FootnoteReference"/>
        </w:rPr>
        <w:footnoteRef/>
      </w:r>
      <w:r>
        <w:t xml:space="preserve"> </w:t>
      </w:r>
      <w:r w:rsidR="00F62427" w:rsidRPr="00F62427">
        <w:rPr>
          <w:sz w:val="16"/>
        </w:rPr>
        <w:t>Ibid.</w:t>
      </w:r>
    </w:p>
  </w:footnote>
  <w:footnote w:id="108">
    <w:p w:rsidR="00E2437A" w:rsidRDefault="00E2437A">
      <w:pPr>
        <w:pStyle w:val="FootnoteText"/>
      </w:pPr>
      <w:r>
        <w:rPr>
          <w:rStyle w:val="FootnoteReference"/>
        </w:rPr>
        <w:footnoteRef/>
      </w:r>
      <w:r>
        <w:t xml:space="preserve"> </w:t>
      </w:r>
      <w:r w:rsidR="00F62427" w:rsidRPr="00F62427">
        <w:rPr>
          <w:sz w:val="16"/>
        </w:rPr>
        <w:t>Ibid.</w:t>
      </w:r>
    </w:p>
  </w:footnote>
  <w:footnote w:id="109">
    <w:p w:rsidR="00E2437A" w:rsidRDefault="00E2437A">
      <w:pPr>
        <w:pStyle w:val="FootnoteText"/>
      </w:pPr>
      <w:r>
        <w:rPr>
          <w:rStyle w:val="FootnoteReference"/>
        </w:rPr>
        <w:footnoteRef/>
      </w:r>
      <w:r>
        <w:t xml:space="preserve"> </w:t>
      </w:r>
      <w:r w:rsidR="00F62427" w:rsidRPr="00F62427">
        <w:rPr>
          <w:sz w:val="16"/>
        </w:rPr>
        <w:t>Ibid.</w:t>
      </w:r>
    </w:p>
  </w:footnote>
  <w:footnote w:id="110">
    <w:p w:rsidR="00E2437A" w:rsidRDefault="00E2437A">
      <w:pPr>
        <w:pStyle w:val="FootnoteText"/>
      </w:pPr>
      <w:r>
        <w:rPr>
          <w:rStyle w:val="FootnoteReference"/>
        </w:rPr>
        <w:footnoteRef/>
      </w:r>
      <w:r w:rsidRPr="00B4400E">
        <w:rPr>
          <w:sz w:val="16"/>
        </w:rPr>
        <w:t xml:space="preserve"> </w:t>
      </w:r>
      <w:r w:rsidR="00B4400E" w:rsidRPr="00B4400E">
        <w:rPr>
          <w:sz w:val="16"/>
        </w:rPr>
        <w:t>Ibid.</w:t>
      </w:r>
    </w:p>
  </w:footnote>
  <w:footnote w:id="111">
    <w:p w:rsidR="00F62427" w:rsidRDefault="00F62427">
      <w:pPr>
        <w:pStyle w:val="FootnoteText"/>
      </w:pPr>
      <w:r>
        <w:rPr>
          <w:rStyle w:val="FootnoteReference"/>
        </w:rPr>
        <w:footnoteRef/>
      </w:r>
      <w:r>
        <w:t xml:space="preserve"> </w:t>
      </w:r>
      <w:r w:rsidR="00B4400E" w:rsidRPr="00B4400E">
        <w:rPr>
          <w:sz w:val="16"/>
        </w:rPr>
        <w:t>Ibid.</w:t>
      </w:r>
    </w:p>
  </w:footnote>
  <w:footnote w:id="112">
    <w:p w:rsidR="00B4400E" w:rsidRDefault="00B4400E">
      <w:pPr>
        <w:pStyle w:val="FootnoteText"/>
      </w:pPr>
      <w:r>
        <w:rPr>
          <w:rStyle w:val="FootnoteReference"/>
        </w:rPr>
        <w:footnoteRef/>
      </w:r>
      <w:r>
        <w:t xml:space="preserve"> </w:t>
      </w:r>
      <w:r w:rsidR="001A0FA6" w:rsidRPr="001A0FA6">
        <w:rPr>
          <w:sz w:val="16"/>
        </w:rPr>
        <w:t xml:space="preserve">Thapar v. </w:t>
      </w:r>
      <w:proofErr w:type="spellStart"/>
      <w:r w:rsidR="001A0FA6" w:rsidRPr="001A0FA6">
        <w:rPr>
          <w:sz w:val="16"/>
        </w:rPr>
        <w:t>Zezulka</w:t>
      </w:r>
      <w:proofErr w:type="spellEnd"/>
      <w:r w:rsidR="001A0FA6" w:rsidRPr="001A0FA6">
        <w:rPr>
          <w:sz w:val="16"/>
        </w:rPr>
        <w:t xml:space="preserve"> 994 S.W.2d 635 (Tex. 1999) at 639 [Thapar].</w:t>
      </w:r>
    </w:p>
  </w:footnote>
  <w:footnote w:id="113">
    <w:p w:rsidR="001A0FA6" w:rsidRDefault="001A0FA6">
      <w:pPr>
        <w:pStyle w:val="FootnoteText"/>
      </w:pPr>
      <w:r>
        <w:rPr>
          <w:rStyle w:val="FootnoteReference"/>
        </w:rPr>
        <w:footnoteRef/>
      </w:r>
      <w:r>
        <w:t xml:space="preserve"> </w:t>
      </w:r>
      <w:r w:rsidRPr="001A0FA6">
        <w:rPr>
          <w:sz w:val="16"/>
        </w:rPr>
        <w:t>Stone, supra note 5 at 374.</w:t>
      </w:r>
    </w:p>
  </w:footnote>
  <w:footnote w:id="114">
    <w:p w:rsidR="001A0FA6" w:rsidRDefault="001A0FA6" w:rsidP="001A0FA6">
      <w:pPr>
        <w:pStyle w:val="FootnoteText"/>
        <w:tabs>
          <w:tab w:val="left" w:pos="1020"/>
        </w:tabs>
      </w:pPr>
      <w:r>
        <w:rPr>
          <w:rStyle w:val="FootnoteReference"/>
        </w:rPr>
        <w:footnoteRef/>
      </w:r>
      <w:r>
        <w:t xml:space="preserve"> </w:t>
      </w:r>
      <w:proofErr w:type="spellStart"/>
      <w:r w:rsidRPr="001A0FA6">
        <w:rPr>
          <w:sz w:val="16"/>
        </w:rPr>
        <w:t>Felthous</w:t>
      </w:r>
      <w:proofErr w:type="spellEnd"/>
      <w:r w:rsidRPr="001A0FA6">
        <w:rPr>
          <w:sz w:val="16"/>
        </w:rPr>
        <w:t xml:space="preserve"> &amp; Kachigian, supra note 12 at 356.</w:t>
      </w:r>
      <w:r w:rsidRPr="001A0FA6">
        <w:rPr>
          <w:sz w:val="16"/>
        </w:rPr>
        <w:tab/>
      </w:r>
    </w:p>
  </w:footnote>
  <w:footnote w:id="115">
    <w:p w:rsidR="001A0FA6" w:rsidRDefault="001A0FA6">
      <w:pPr>
        <w:pStyle w:val="FootnoteText"/>
      </w:pPr>
      <w:r>
        <w:rPr>
          <w:rStyle w:val="FootnoteReference"/>
        </w:rPr>
        <w:footnoteRef/>
      </w:r>
      <w:r>
        <w:t xml:space="preserve"> </w:t>
      </w:r>
      <w:r w:rsidRPr="001A0FA6">
        <w:rPr>
          <w:sz w:val="16"/>
        </w:rPr>
        <w:t>Ibid. at 370.</w:t>
      </w:r>
      <w:r w:rsidR="004021AD" w:rsidRPr="004021AD">
        <w:t xml:space="preserve"> </w:t>
      </w:r>
      <w:r w:rsidR="004021AD" w:rsidRPr="004021AD">
        <w:rPr>
          <w:sz w:val="16"/>
        </w:rPr>
        <w:t>Stone, supra no</w:t>
      </w:r>
      <w:bookmarkStart w:id="0" w:name="_GoBack"/>
      <w:bookmarkEnd w:id="0"/>
      <w:r w:rsidR="004021AD" w:rsidRPr="004021AD">
        <w:rPr>
          <w:sz w:val="16"/>
        </w:rPr>
        <w:t>te 5 at 374.</w:t>
      </w:r>
    </w:p>
  </w:footnote>
  <w:footnote w:id="116">
    <w:p w:rsidR="001A0FA6" w:rsidRDefault="001A0FA6">
      <w:pPr>
        <w:pStyle w:val="FootnoteText"/>
      </w:pPr>
      <w:r>
        <w:rPr>
          <w:rStyle w:val="FootnoteReference"/>
        </w:rPr>
        <w:footnoteRef/>
      </w:r>
      <w:r>
        <w:t xml:space="preserve"> </w:t>
      </w:r>
      <w:r w:rsidR="004021AD" w:rsidRPr="004021AD">
        <w:rPr>
          <w:sz w:val="16"/>
        </w:rPr>
        <w:t>Stone, supra note 5 at 374.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75"/>
    <w:rsid w:val="000053D6"/>
    <w:rsid w:val="0003725B"/>
    <w:rsid w:val="00045EBD"/>
    <w:rsid w:val="00045FDE"/>
    <w:rsid w:val="00051C31"/>
    <w:rsid w:val="00063151"/>
    <w:rsid w:val="00092418"/>
    <w:rsid w:val="000D0C97"/>
    <w:rsid w:val="000F287F"/>
    <w:rsid w:val="001335F3"/>
    <w:rsid w:val="00134377"/>
    <w:rsid w:val="001A0FA6"/>
    <w:rsid w:val="0020348E"/>
    <w:rsid w:val="00231121"/>
    <w:rsid w:val="00283ED0"/>
    <w:rsid w:val="002C4586"/>
    <w:rsid w:val="002D20D2"/>
    <w:rsid w:val="002D7D4C"/>
    <w:rsid w:val="002E66A5"/>
    <w:rsid w:val="0030282B"/>
    <w:rsid w:val="00314DAA"/>
    <w:rsid w:val="0032372C"/>
    <w:rsid w:val="003505AB"/>
    <w:rsid w:val="00352304"/>
    <w:rsid w:val="003D17C4"/>
    <w:rsid w:val="003E696C"/>
    <w:rsid w:val="004021AD"/>
    <w:rsid w:val="0042136E"/>
    <w:rsid w:val="00471410"/>
    <w:rsid w:val="0049321B"/>
    <w:rsid w:val="004B5895"/>
    <w:rsid w:val="004C610C"/>
    <w:rsid w:val="00527EF3"/>
    <w:rsid w:val="00580535"/>
    <w:rsid w:val="005865C3"/>
    <w:rsid w:val="005A0616"/>
    <w:rsid w:val="005C24EE"/>
    <w:rsid w:val="005E4F83"/>
    <w:rsid w:val="005F5267"/>
    <w:rsid w:val="005F60D4"/>
    <w:rsid w:val="00600B5B"/>
    <w:rsid w:val="00601426"/>
    <w:rsid w:val="006109C8"/>
    <w:rsid w:val="00623EEC"/>
    <w:rsid w:val="006317B4"/>
    <w:rsid w:val="00632A29"/>
    <w:rsid w:val="006732A3"/>
    <w:rsid w:val="0068278A"/>
    <w:rsid w:val="00690C2E"/>
    <w:rsid w:val="006E2512"/>
    <w:rsid w:val="00740BFF"/>
    <w:rsid w:val="00754F4D"/>
    <w:rsid w:val="00784F71"/>
    <w:rsid w:val="00792A0E"/>
    <w:rsid w:val="007A2ED1"/>
    <w:rsid w:val="0082794D"/>
    <w:rsid w:val="00852260"/>
    <w:rsid w:val="0085425F"/>
    <w:rsid w:val="00864495"/>
    <w:rsid w:val="0089206A"/>
    <w:rsid w:val="008F028F"/>
    <w:rsid w:val="00916F07"/>
    <w:rsid w:val="009550B3"/>
    <w:rsid w:val="009819EE"/>
    <w:rsid w:val="00990C07"/>
    <w:rsid w:val="009A0852"/>
    <w:rsid w:val="009B12C8"/>
    <w:rsid w:val="009B62B5"/>
    <w:rsid w:val="009E4993"/>
    <w:rsid w:val="009E57A5"/>
    <w:rsid w:val="009E6D78"/>
    <w:rsid w:val="00A47539"/>
    <w:rsid w:val="00A67624"/>
    <w:rsid w:val="00A80627"/>
    <w:rsid w:val="00A8414B"/>
    <w:rsid w:val="00AB079C"/>
    <w:rsid w:val="00AB2611"/>
    <w:rsid w:val="00B35AFA"/>
    <w:rsid w:val="00B4400E"/>
    <w:rsid w:val="00B70A60"/>
    <w:rsid w:val="00BC686B"/>
    <w:rsid w:val="00C2521D"/>
    <w:rsid w:val="00CA55E8"/>
    <w:rsid w:val="00CB150B"/>
    <w:rsid w:val="00CC5F14"/>
    <w:rsid w:val="00CE6B62"/>
    <w:rsid w:val="00CE7BA8"/>
    <w:rsid w:val="00D2635A"/>
    <w:rsid w:val="00D657AC"/>
    <w:rsid w:val="00D87D5B"/>
    <w:rsid w:val="00DA02DF"/>
    <w:rsid w:val="00DA5E5F"/>
    <w:rsid w:val="00DC1EF9"/>
    <w:rsid w:val="00DF3A3D"/>
    <w:rsid w:val="00E134FF"/>
    <w:rsid w:val="00E160D4"/>
    <w:rsid w:val="00E2437A"/>
    <w:rsid w:val="00E537E2"/>
    <w:rsid w:val="00E65AB3"/>
    <w:rsid w:val="00EA16CC"/>
    <w:rsid w:val="00EF035C"/>
    <w:rsid w:val="00F34B7C"/>
    <w:rsid w:val="00F62427"/>
    <w:rsid w:val="00F94175"/>
    <w:rsid w:val="00F969EA"/>
    <w:rsid w:val="00FE3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2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ED1"/>
    <w:rPr>
      <w:sz w:val="20"/>
      <w:szCs w:val="20"/>
    </w:rPr>
  </w:style>
  <w:style w:type="character" w:styleId="FootnoteReference">
    <w:name w:val="footnote reference"/>
    <w:basedOn w:val="DefaultParagraphFont"/>
    <w:uiPriority w:val="99"/>
    <w:semiHidden/>
    <w:unhideWhenUsed/>
    <w:rsid w:val="007A2ED1"/>
    <w:rPr>
      <w:vertAlign w:val="superscript"/>
    </w:rPr>
  </w:style>
  <w:style w:type="paragraph" w:styleId="NoSpacing">
    <w:name w:val="No Spacing"/>
    <w:uiPriority w:val="1"/>
    <w:qFormat/>
    <w:rsid w:val="0030282B"/>
    <w:pPr>
      <w:spacing w:after="0" w:line="240" w:lineRule="auto"/>
    </w:pPr>
  </w:style>
  <w:style w:type="paragraph" w:styleId="EndnoteText">
    <w:name w:val="endnote text"/>
    <w:basedOn w:val="Normal"/>
    <w:link w:val="EndnoteTextChar"/>
    <w:uiPriority w:val="99"/>
    <w:semiHidden/>
    <w:unhideWhenUsed/>
    <w:rsid w:val="002D7D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D4C"/>
    <w:rPr>
      <w:sz w:val="20"/>
      <w:szCs w:val="20"/>
    </w:rPr>
  </w:style>
  <w:style w:type="character" w:styleId="EndnoteReference">
    <w:name w:val="endnote reference"/>
    <w:basedOn w:val="DefaultParagraphFont"/>
    <w:uiPriority w:val="99"/>
    <w:semiHidden/>
    <w:unhideWhenUsed/>
    <w:rsid w:val="002D7D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2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ED1"/>
    <w:rPr>
      <w:sz w:val="20"/>
      <w:szCs w:val="20"/>
    </w:rPr>
  </w:style>
  <w:style w:type="character" w:styleId="FootnoteReference">
    <w:name w:val="footnote reference"/>
    <w:basedOn w:val="DefaultParagraphFont"/>
    <w:uiPriority w:val="99"/>
    <w:semiHidden/>
    <w:unhideWhenUsed/>
    <w:rsid w:val="007A2ED1"/>
    <w:rPr>
      <w:vertAlign w:val="superscript"/>
    </w:rPr>
  </w:style>
  <w:style w:type="paragraph" w:styleId="NoSpacing">
    <w:name w:val="No Spacing"/>
    <w:uiPriority w:val="1"/>
    <w:qFormat/>
    <w:rsid w:val="0030282B"/>
    <w:pPr>
      <w:spacing w:after="0" w:line="240" w:lineRule="auto"/>
    </w:pPr>
  </w:style>
  <w:style w:type="paragraph" w:styleId="EndnoteText">
    <w:name w:val="endnote text"/>
    <w:basedOn w:val="Normal"/>
    <w:link w:val="EndnoteTextChar"/>
    <w:uiPriority w:val="99"/>
    <w:semiHidden/>
    <w:unhideWhenUsed/>
    <w:rsid w:val="002D7D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D4C"/>
    <w:rPr>
      <w:sz w:val="20"/>
      <w:szCs w:val="20"/>
    </w:rPr>
  </w:style>
  <w:style w:type="character" w:styleId="EndnoteReference">
    <w:name w:val="endnote reference"/>
    <w:basedOn w:val="DefaultParagraphFont"/>
    <w:uiPriority w:val="99"/>
    <w:semiHidden/>
    <w:unhideWhenUsed/>
    <w:rsid w:val="002D7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1027-76F5-4083-8EB8-16DBA4A0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17</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106</cp:revision>
  <dcterms:created xsi:type="dcterms:W3CDTF">2014-11-12T10:09:00Z</dcterms:created>
  <dcterms:modified xsi:type="dcterms:W3CDTF">2014-11-17T13:03:00Z</dcterms:modified>
</cp:coreProperties>
</file>