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16" w:rsidRDefault="00AD21E2" w:rsidP="00AD21E2">
      <w:pPr>
        <w:rPr>
          <w:sz w:val="56"/>
          <w:szCs w:val="56"/>
        </w:rPr>
      </w:pPr>
      <w:r>
        <w:rPr>
          <w:sz w:val="56"/>
          <w:szCs w:val="56"/>
        </w:rPr>
        <w:t xml:space="preserve">Learning Lessons: Using </w:t>
      </w:r>
      <w:r w:rsidRPr="00AD21E2">
        <w:rPr>
          <w:sz w:val="56"/>
          <w:szCs w:val="56"/>
        </w:rPr>
        <w:t>Inquiries for Change</w:t>
      </w:r>
    </w:p>
    <w:p w:rsidR="00AD21E2" w:rsidRDefault="00AD21E2" w:rsidP="00AD21E2">
      <w:r>
        <w:t>Gillian Downham</w:t>
      </w:r>
      <w:r>
        <w:rPr>
          <w:rStyle w:val="FootnoteReference"/>
        </w:rPr>
        <w:footnoteReference w:id="1"/>
      </w:r>
      <w:r>
        <w:t xml:space="preserve"> and Richard Lingham</w:t>
      </w:r>
      <w:r>
        <w:rPr>
          <w:rStyle w:val="FootnoteReference"/>
        </w:rPr>
        <w:footnoteReference w:id="2"/>
      </w:r>
    </w:p>
    <w:p w:rsidR="00AF31A9" w:rsidRDefault="00AF31A9" w:rsidP="00AD21E2"/>
    <w:p w:rsidR="00AF31A9" w:rsidRDefault="00AF31A9" w:rsidP="00AD21E2">
      <w:r w:rsidRPr="00AF31A9">
        <w:t>“How long does it usually take for an inquiry’s recommendation to be implemented?”</w:t>
      </w:r>
    </w:p>
    <w:p w:rsidR="00AF31A9" w:rsidRDefault="00AF31A9" w:rsidP="00AF31A9">
      <w:pPr>
        <w:pStyle w:val="NoSpacing"/>
        <w:spacing w:line="360" w:lineRule="auto"/>
      </w:pPr>
      <w:r>
        <w:t>This was the question asked by the son of the late Mrs H who had been killed under tragic circumstances</w:t>
      </w:r>
      <w:r>
        <w:t xml:space="preserve"> </w:t>
      </w:r>
      <w:r>
        <w:t>by MN, a young man suffering, so it emerged, from paranoid schizophrenia.</w:t>
      </w:r>
    </w:p>
    <w:p w:rsidR="00AF31A9" w:rsidRDefault="00AF31A9" w:rsidP="00AF31A9">
      <w:pPr>
        <w:pStyle w:val="NoSpacing"/>
        <w:spacing w:line="360" w:lineRule="auto"/>
      </w:pPr>
    </w:p>
    <w:p w:rsidR="00AF31A9" w:rsidRDefault="00AF31A9" w:rsidP="00AF31A9">
      <w:pPr>
        <w:pStyle w:val="NoSpacing"/>
        <w:spacing w:line="360" w:lineRule="auto"/>
      </w:pPr>
      <w:r>
        <w:t>Twenty-one months after publication of the Report of the Independent Inquiry into the Care and</w:t>
      </w:r>
    </w:p>
    <w:p w:rsidR="00AF31A9" w:rsidRDefault="00AF31A9" w:rsidP="00AF31A9">
      <w:pPr>
        <w:pStyle w:val="NoSpacing"/>
        <w:spacing w:line="360" w:lineRule="auto"/>
      </w:pPr>
      <w:r>
        <w:t>Treatment of MN</w:t>
      </w:r>
      <w:r w:rsidR="00650590">
        <w:rPr>
          <w:rStyle w:val="FootnoteReference"/>
        </w:rPr>
        <w:footnoteReference w:id="3"/>
      </w:r>
      <w:r>
        <w:t>, her family was waiting to hear whether the inquiry recommendations had been</w:t>
      </w:r>
    </w:p>
    <w:p w:rsidR="00AF31A9" w:rsidRDefault="00AF31A9" w:rsidP="00AF31A9">
      <w:pPr>
        <w:pStyle w:val="NoSpacing"/>
        <w:spacing w:line="360" w:lineRule="auto"/>
      </w:pPr>
      <w:r>
        <w:t>implemented and the lessons learnt. With the pain of bereavement still ev</w:t>
      </w:r>
      <w:r>
        <w:t xml:space="preserve">ident they asked quiet, astute, </w:t>
      </w:r>
      <w:r>
        <w:t>intelligent questions.</w:t>
      </w:r>
    </w:p>
    <w:p w:rsidR="00AF31A9" w:rsidRDefault="00AF31A9" w:rsidP="00AF31A9">
      <w:pPr>
        <w:pStyle w:val="NoSpacing"/>
        <w:spacing w:line="360" w:lineRule="auto"/>
      </w:pPr>
    </w:p>
    <w:p w:rsidR="00AF31A9" w:rsidRDefault="00AF31A9" w:rsidP="00AF31A9">
      <w:pPr>
        <w:pStyle w:val="NoSpacing"/>
        <w:spacing w:line="360" w:lineRule="auto"/>
      </w:pPr>
      <w:r>
        <w:t>For example, is 75 per cent compliance with an audit standard after nea</w:t>
      </w:r>
      <w:r>
        <w:t xml:space="preserve">rly two years satisfactory? How </w:t>
      </w:r>
      <w:r>
        <w:t>would we know whether mental health services were now considered s</w:t>
      </w:r>
      <w:r>
        <w:t xml:space="preserve">afe? How would we know that our </w:t>
      </w:r>
      <w:r>
        <w:t>recommendations had been appropriately implemented and the lessons learnt?</w:t>
      </w:r>
    </w:p>
    <w:p w:rsidR="00AF31A9" w:rsidRDefault="00AF31A9" w:rsidP="00AF31A9">
      <w:pPr>
        <w:pStyle w:val="NoSpacing"/>
        <w:spacing w:line="360" w:lineRule="auto"/>
      </w:pPr>
    </w:p>
    <w:p w:rsidR="00AF31A9" w:rsidRDefault="00AF31A9" w:rsidP="00AF31A9">
      <w:pPr>
        <w:pStyle w:val="NoSpacing"/>
        <w:spacing w:line="360" w:lineRule="auto"/>
      </w:pPr>
      <w:r>
        <w:t>We begin by explaining how this situation arose. For this article is not about the procedure of inquiry</w:t>
      </w:r>
    </w:p>
    <w:p w:rsidR="00AF31A9" w:rsidRDefault="00AF31A9" w:rsidP="00AF31A9">
      <w:pPr>
        <w:pStyle w:val="NoSpacing"/>
        <w:spacing w:line="360" w:lineRule="auto"/>
      </w:pPr>
      <w:r>
        <w:t>investigation, nor is it about the content of the inquiry report or recomm</w:t>
      </w:r>
      <w:r w:rsidR="00650590">
        <w:t xml:space="preserve">endations. Our focus here is on </w:t>
      </w:r>
      <w:r>
        <w:t>the post-inquiry process – what happens after an inquiry’s recommendations are made.</w:t>
      </w:r>
    </w:p>
    <w:p w:rsidR="00650590" w:rsidRDefault="00650590" w:rsidP="00AF31A9">
      <w:pPr>
        <w:pStyle w:val="NoSpacing"/>
        <w:spacing w:line="360" w:lineRule="auto"/>
      </w:pPr>
    </w:p>
    <w:p w:rsidR="00AF31A9" w:rsidRDefault="00AF31A9" w:rsidP="00AF31A9">
      <w:pPr>
        <w:pStyle w:val="NoSpacing"/>
        <w:spacing w:line="360" w:lineRule="auto"/>
      </w:pPr>
      <w:r>
        <w:t>When the perpetrator of a homicide has a history of contact with psych</w:t>
      </w:r>
      <w:r w:rsidR="00650590">
        <w:t xml:space="preserve">iatric services, an independent </w:t>
      </w:r>
      <w:r>
        <w:t>investigation into their care and treatment is mandatory and must b</w:t>
      </w:r>
      <w:r w:rsidR="00650590">
        <w:t xml:space="preserve">e commissioned by the Strategic </w:t>
      </w:r>
      <w:r>
        <w:t>Health Authority</w:t>
      </w:r>
      <w:r w:rsidR="00650590">
        <w:rPr>
          <w:rStyle w:val="FootnoteReference"/>
        </w:rPr>
        <w:footnoteReference w:id="4"/>
      </w:r>
      <w:r>
        <w:t xml:space="preserve">. Most such investigations are considered completed </w:t>
      </w:r>
      <w:r w:rsidR="00650590">
        <w:t xml:space="preserve">once the independent report has </w:t>
      </w:r>
      <w:r>
        <w:t>been published.</w:t>
      </w:r>
    </w:p>
    <w:p w:rsidR="00650590" w:rsidRDefault="00650590" w:rsidP="00AF31A9">
      <w:pPr>
        <w:pStyle w:val="NoSpacing"/>
        <w:spacing w:line="360" w:lineRule="auto"/>
      </w:pPr>
    </w:p>
    <w:p w:rsidR="00AF31A9" w:rsidRDefault="00AF31A9" w:rsidP="006E288C">
      <w:pPr>
        <w:pStyle w:val="NoSpacing"/>
        <w:spacing w:line="360" w:lineRule="auto"/>
      </w:pPr>
      <w:r>
        <w:lastRenderedPageBreak/>
        <w:t>Unusually, the MN Independent Inquiry stated in its terms of reference ‘t</w:t>
      </w:r>
      <w:r w:rsidR="006E288C">
        <w:t xml:space="preserve">he Inquiry Panel will conduct a </w:t>
      </w:r>
      <w:r>
        <w:t>review of progress against an agreed action plan six months after publication of th</w:t>
      </w:r>
      <w:r w:rsidR="006E288C">
        <w:t xml:space="preserve">e report’. Even more unusually, </w:t>
      </w:r>
      <w:r>
        <w:t>we carried out an evidence-based review, producing two Recommen</w:t>
      </w:r>
      <w:r w:rsidR="006E288C">
        <w:t xml:space="preserve">dation Review Progress Reports </w:t>
      </w:r>
      <w:r w:rsidR="006E288C">
        <w:rPr>
          <w:rStyle w:val="FootnoteReference"/>
        </w:rPr>
        <w:footnoteReference w:id="5"/>
      </w:r>
      <w:r w:rsidR="006E288C">
        <w:t xml:space="preserve"> </w:t>
      </w:r>
      <w:r>
        <w:t>over</w:t>
      </w:r>
      <w:r w:rsidR="006E288C">
        <w:t xml:space="preserve"> </w:t>
      </w:r>
      <w:r w:rsidR="006E288C">
        <w:t>a period of 21 months and presenting them both in public sessions to</w:t>
      </w:r>
      <w:r w:rsidR="006E288C">
        <w:t xml:space="preserve"> the Strategic Health Authority </w:t>
      </w:r>
      <w:r w:rsidR="006E288C">
        <w:t xml:space="preserve">Board. In the week prior to each public presentation, the families of the </w:t>
      </w:r>
      <w:r w:rsidR="006E288C">
        <w:t xml:space="preserve">victim and perpetrator received </w:t>
      </w:r>
      <w:r w:rsidR="006E288C">
        <w:t xml:space="preserve">an embargoed copy of the Review Reports and we met with each family </w:t>
      </w:r>
      <w:r w:rsidR="006E288C">
        <w:t xml:space="preserve">in private. It was at the final </w:t>
      </w:r>
      <w:r w:rsidR="006E288C">
        <w:t>meeting with the family of the victim that the above searching questions were asked.</w:t>
      </w:r>
    </w:p>
    <w:p w:rsidR="006E288C" w:rsidRDefault="006E288C" w:rsidP="006E288C">
      <w:pPr>
        <w:pStyle w:val="NoSpacing"/>
        <w:spacing w:line="360" w:lineRule="auto"/>
      </w:pPr>
    </w:p>
    <w:p w:rsidR="006E288C" w:rsidRDefault="006E288C" w:rsidP="006E288C">
      <w:pPr>
        <w:pStyle w:val="NoSpacing"/>
        <w:spacing w:line="360" w:lineRule="auto"/>
      </w:pPr>
      <w:r>
        <w:t>So how did we reply? Whilst we had found there was some real progr</w:t>
      </w:r>
      <w:r>
        <w:t xml:space="preserve">ess on the recommendations, the </w:t>
      </w:r>
      <w:r>
        <w:t xml:space="preserve">result was not as clear-cut as we, the families, or indeed the commissioners </w:t>
      </w:r>
      <w:r>
        <w:t xml:space="preserve">and providers of services might </w:t>
      </w:r>
      <w:r>
        <w:t xml:space="preserve">have hoped. The degree of implementation of a recommendation </w:t>
      </w:r>
      <w:r>
        <w:t xml:space="preserve">was often expressed in terms of </w:t>
      </w:r>
      <w:r>
        <w:t>percentage adherence to an audit standard or against a key performa</w:t>
      </w:r>
      <w:r>
        <w:t xml:space="preserve">nce indicator. Such measures of </w:t>
      </w:r>
      <w:r>
        <w:t>compliance are less tangible and less satisfying than a ‘yes’ or ‘no’ implementation of a recommendation.</w:t>
      </w:r>
    </w:p>
    <w:p w:rsidR="006E288C" w:rsidRDefault="006E288C" w:rsidP="006E288C">
      <w:pPr>
        <w:pStyle w:val="NoSpacing"/>
        <w:spacing w:line="360" w:lineRule="auto"/>
      </w:pPr>
    </w:p>
    <w:p w:rsidR="006E288C" w:rsidRDefault="006E288C" w:rsidP="006E288C">
      <w:pPr>
        <w:pStyle w:val="NoSpacing"/>
        <w:spacing w:line="360" w:lineRule="auto"/>
      </w:pPr>
      <w:r>
        <w:t>And yet for the public, the services must show that lessons really have be</w:t>
      </w:r>
      <w:r>
        <w:t xml:space="preserve">en learnt. This is a legitimate </w:t>
      </w:r>
      <w:r>
        <w:t>expectation in terms of public accountability. So, how can inquiries constr</w:t>
      </w:r>
      <w:r>
        <w:t xml:space="preserve">uctively be used to bring about </w:t>
      </w:r>
      <w:r>
        <w:t>change or at least establish the progress being made?</w:t>
      </w:r>
    </w:p>
    <w:p w:rsidR="006D6A32" w:rsidRDefault="006D6A32" w:rsidP="006E288C">
      <w:pPr>
        <w:pStyle w:val="NoSpacing"/>
        <w:spacing w:line="360" w:lineRule="auto"/>
      </w:pPr>
    </w:p>
    <w:p w:rsidR="006D6A32" w:rsidRPr="006D6A32" w:rsidRDefault="006D6A32" w:rsidP="006D6A32">
      <w:pPr>
        <w:pStyle w:val="NoSpacing"/>
        <w:spacing w:line="360" w:lineRule="auto"/>
        <w:rPr>
          <w:b/>
        </w:rPr>
      </w:pPr>
      <w:r w:rsidRPr="006D6A32">
        <w:rPr>
          <w:b/>
        </w:rPr>
        <w:t>Post-inquiry: the missing link</w:t>
      </w:r>
    </w:p>
    <w:p w:rsidR="006D6A32" w:rsidRDefault="006D6A32" w:rsidP="006D6A32">
      <w:pPr>
        <w:pStyle w:val="NoSpacing"/>
        <w:spacing w:line="360" w:lineRule="auto"/>
      </w:pPr>
      <w:r>
        <w:t xml:space="preserve">The conduct of investigations following serious mental health, child and </w:t>
      </w:r>
      <w:r>
        <w:t xml:space="preserve">domestic violence incidents has </w:t>
      </w:r>
      <w:r>
        <w:t>been the subject of extensive national guidance and research.</w:t>
      </w:r>
    </w:p>
    <w:p w:rsidR="006D6A32" w:rsidRDefault="006D6A32" w:rsidP="006D6A32">
      <w:pPr>
        <w:pStyle w:val="NoSpacing"/>
        <w:spacing w:line="360" w:lineRule="auto"/>
      </w:pPr>
    </w:p>
    <w:p w:rsidR="006D6A32" w:rsidRDefault="006D6A32" w:rsidP="006D6A32">
      <w:pPr>
        <w:pStyle w:val="NoSpacing"/>
        <w:spacing w:line="360" w:lineRule="auto"/>
      </w:pPr>
      <w:r>
        <w:t>However, nowhere is there any focus on the process by which recommendations arising from such</w:t>
      </w:r>
    </w:p>
    <w:p w:rsidR="006D6A32" w:rsidRDefault="006D6A32" w:rsidP="006D6A32">
      <w:pPr>
        <w:pStyle w:val="NoSpacing"/>
        <w:spacing w:line="360" w:lineRule="auto"/>
      </w:pPr>
      <w:r>
        <w:t xml:space="preserve">investigations should be followed through to implementation. This is the </w:t>
      </w:r>
      <w:r>
        <w:t xml:space="preserve">missing link in the chain which </w:t>
      </w:r>
      <w:r>
        <w:t>should exist between the incident, the investigation and the lessons learned.</w:t>
      </w:r>
    </w:p>
    <w:p w:rsidR="006D6A32" w:rsidRDefault="006D6A32" w:rsidP="006D6A32">
      <w:pPr>
        <w:pStyle w:val="NoSpacing"/>
        <w:spacing w:line="360" w:lineRule="auto"/>
      </w:pPr>
    </w:p>
    <w:p w:rsidR="006D6A32" w:rsidRDefault="006D6A32" w:rsidP="006D6A32">
      <w:pPr>
        <w:pStyle w:val="NoSpacing"/>
        <w:spacing w:line="360" w:lineRule="auto"/>
      </w:pPr>
      <w:r>
        <w:t>It is widely assumed this does not need to be specifically addressed and it may be asserted that</w:t>
      </w:r>
    </w:p>
    <w:p w:rsidR="00AF31A9" w:rsidRDefault="006D6A32" w:rsidP="00AF31A9">
      <w:pPr>
        <w:pStyle w:val="NoSpacing"/>
        <w:spacing w:line="360" w:lineRule="auto"/>
      </w:pPr>
      <w:r>
        <w:t>implementation is essentially a management responsibility for local serv</w:t>
      </w:r>
      <w:r>
        <w:t xml:space="preserve">ices. But we argue that whether </w:t>
      </w:r>
      <w:r>
        <w:t>the post-inquiry stage is conducted by the independent inquiry or by local commi</w:t>
      </w:r>
      <w:r>
        <w:t xml:space="preserve">ssioners of services, this </w:t>
      </w:r>
      <w:r>
        <w:t xml:space="preserve">should be approached in an impartial, structured way. There should be an </w:t>
      </w:r>
      <w:r>
        <w:lastRenderedPageBreak/>
        <w:t>understanding of the way</w:t>
      </w:r>
      <w:r>
        <w:t xml:space="preserve"> </w:t>
      </w:r>
      <w:r>
        <w:t>particular recommendations need to be approached in order to over</w:t>
      </w:r>
      <w:r>
        <w:t xml:space="preserve">see their implementation. There </w:t>
      </w:r>
      <w:r>
        <w:t>should be guiding principles.</w:t>
      </w:r>
    </w:p>
    <w:p w:rsidR="0017324B" w:rsidRDefault="0017324B" w:rsidP="00AF31A9">
      <w:pPr>
        <w:pStyle w:val="NoSpacing"/>
        <w:spacing w:line="360" w:lineRule="auto"/>
      </w:pPr>
    </w:p>
    <w:p w:rsidR="0017324B" w:rsidRPr="0017324B" w:rsidRDefault="0017324B" w:rsidP="0017324B">
      <w:pPr>
        <w:pStyle w:val="NoSpacing"/>
        <w:spacing w:line="360" w:lineRule="auto"/>
        <w:rPr>
          <w:b/>
        </w:rPr>
      </w:pPr>
      <w:r w:rsidRPr="0017324B">
        <w:rPr>
          <w:b/>
        </w:rPr>
        <w:t>Principles of inquiry follow-up</w:t>
      </w:r>
    </w:p>
    <w:p w:rsidR="0017324B" w:rsidRDefault="0017324B" w:rsidP="0017324B">
      <w:pPr>
        <w:pStyle w:val="NoSpacing"/>
        <w:spacing w:line="360" w:lineRule="auto"/>
      </w:pPr>
      <w:r>
        <w:t>In order to open debate in this important area we offer our observations on</w:t>
      </w:r>
      <w:r>
        <w:t xml:space="preserve"> this post-Inquiry stage. These </w:t>
      </w:r>
      <w:r>
        <w:t xml:space="preserve">can be considered as a set of principles which may be applicable to other </w:t>
      </w:r>
      <w:r>
        <w:t xml:space="preserve">types of independent inquiry in </w:t>
      </w:r>
      <w:r>
        <w:t>the health and social care sector. They are:</w:t>
      </w:r>
    </w:p>
    <w:p w:rsidR="0017324B" w:rsidRDefault="0017324B" w:rsidP="0017324B">
      <w:pPr>
        <w:pStyle w:val="NoSpacing"/>
        <w:spacing w:line="360" w:lineRule="auto"/>
      </w:pPr>
    </w:p>
    <w:p w:rsidR="0017324B" w:rsidRDefault="0017324B" w:rsidP="0017324B">
      <w:pPr>
        <w:pStyle w:val="NoSpacing"/>
        <w:spacing w:line="360" w:lineRule="auto"/>
      </w:pPr>
      <w:r>
        <w:t>1</w:t>
      </w:r>
      <w:r w:rsidRPr="0017324B">
        <w:rPr>
          <w:b/>
        </w:rPr>
        <w:t>. Evidence:</w:t>
      </w:r>
      <w:r>
        <w:t xml:space="preserve"> Whether or not recommendations have been implemented should be established by</w:t>
      </w:r>
    </w:p>
    <w:p w:rsidR="0017324B" w:rsidRDefault="0017324B" w:rsidP="0017324B">
      <w:pPr>
        <w:pStyle w:val="NoSpacing"/>
        <w:spacing w:line="360" w:lineRule="auto"/>
        <w:ind w:firstLine="284"/>
      </w:pPr>
      <w:r>
        <w:t>means of evidence-based review.</w:t>
      </w:r>
    </w:p>
    <w:p w:rsidR="0017324B" w:rsidRDefault="0017324B" w:rsidP="0017324B">
      <w:pPr>
        <w:pStyle w:val="NoSpacing"/>
        <w:spacing w:line="360" w:lineRule="auto"/>
      </w:pPr>
      <w:r>
        <w:t xml:space="preserve">2. </w:t>
      </w:r>
      <w:r w:rsidRPr="00100E1A">
        <w:rPr>
          <w:b/>
        </w:rPr>
        <w:t>Independence:</w:t>
      </w:r>
      <w:r>
        <w:t xml:space="preserve"> The extent of implementation should be determined by independent, objective</w:t>
      </w:r>
    </w:p>
    <w:p w:rsidR="0017324B" w:rsidRDefault="0017324B" w:rsidP="00100E1A">
      <w:pPr>
        <w:pStyle w:val="NoSpacing"/>
        <w:spacing w:line="360" w:lineRule="auto"/>
        <w:ind w:left="284"/>
      </w:pPr>
      <w:r>
        <w:t xml:space="preserve">scrutiny, ideally by the independent inquiry chair and panel. Commissioning bodies should not </w:t>
      </w:r>
      <w:r w:rsidR="00100E1A">
        <w:t xml:space="preserve"> </w:t>
      </w:r>
      <w:r>
        <w:t>leave</w:t>
      </w:r>
      <w:r w:rsidR="00100E1A">
        <w:t xml:space="preserve"> </w:t>
      </w:r>
      <w:r>
        <w:t>provider organisations to be final arbiters of their own progress with recommendations.</w:t>
      </w:r>
    </w:p>
    <w:p w:rsidR="0017324B" w:rsidRDefault="0017324B" w:rsidP="0017324B">
      <w:pPr>
        <w:pStyle w:val="NoSpacing"/>
        <w:spacing w:line="360" w:lineRule="auto"/>
      </w:pPr>
      <w:r>
        <w:t xml:space="preserve">3. </w:t>
      </w:r>
      <w:r w:rsidRPr="00100E1A">
        <w:rPr>
          <w:b/>
        </w:rPr>
        <w:t>Accountability:</w:t>
      </w:r>
      <w:r>
        <w:t xml:space="preserve"> Independent review reports should be written and report-back should be to the</w:t>
      </w:r>
    </w:p>
    <w:p w:rsidR="0017324B" w:rsidRDefault="0017324B" w:rsidP="00100E1A">
      <w:pPr>
        <w:pStyle w:val="NoSpacing"/>
        <w:spacing w:line="360" w:lineRule="auto"/>
        <w:ind w:left="284"/>
      </w:pPr>
      <w:r>
        <w:t>families concerned in private and to the commissioning body in public, notably for the latter to fulfil</w:t>
      </w:r>
      <w:r w:rsidR="00100E1A">
        <w:t xml:space="preserve"> </w:t>
      </w:r>
      <w:r>
        <w:t>its duties of direct accountability and openness.</w:t>
      </w:r>
    </w:p>
    <w:p w:rsidR="0017324B" w:rsidRDefault="0017324B" w:rsidP="0017324B">
      <w:pPr>
        <w:pStyle w:val="NoSpacing"/>
        <w:spacing w:line="360" w:lineRule="auto"/>
      </w:pPr>
      <w:r>
        <w:t xml:space="preserve">4. </w:t>
      </w:r>
      <w:r w:rsidRPr="00836830">
        <w:rPr>
          <w:b/>
        </w:rPr>
        <w:t>Full implementation of recommendations:</w:t>
      </w:r>
      <w:r>
        <w:t xml:space="preserve"> It should be assumed that all recommendations are to</w:t>
      </w:r>
    </w:p>
    <w:p w:rsidR="0017324B" w:rsidRDefault="0017324B" w:rsidP="00836830">
      <w:pPr>
        <w:pStyle w:val="NoSpacing"/>
        <w:spacing w:line="360" w:lineRule="auto"/>
        <w:ind w:left="284"/>
      </w:pPr>
      <w:proofErr w:type="gramStart"/>
      <w:r>
        <w:t>be</w:t>
      </w:r>
      <w:proofErr w:type="gramEnd"/>
      <w:r>
        <w:t xml:space="preserve"> implemented, whether at an agency, local or national level. If it i</w:t>
      </w:r>
      <w:r w:rsidR="00836830">
        <w:t xml:space="preserve">s decided that a recommendation </w:t>
      </w:r>
      <w:r>
        <w:t>will not or cannot be implemented, for example, because an organisational structure no longer exists</w:t>
      </w:r>
      <w:r w:rsidR="00836830">
        <w:t xml:space="preserve"> </w:t>
      </w:r>
      <w:r w:rsidR="00836830">
        <w:t>or funding for it is unavailable, the reason for that decision should be</w:t>
      </w:r>
      <w:r w:rsidR="00836830">
        <w:t xml:space="preserve"> made clear. This is especially </w:t>
      </w:r>
      <w:r w:rsidR="00836830">
        <w:t>important where there are potentially controversial reasons for non-implementation.</w:t>
      </w:r>
    </w:p>
    <w:p w:rsidR="00312059" w:rsidRDefault="00312059" w:rsidP="00312059">
      <w:pPr>
        <w:pStyle w:val="NoSpacing"/>
        <w:spacing w:line="360" w:lineRule="auto"/>
      </w:pPr>
      <w:r>
        <w:t xml:space="preserve">5. </w:t>
      </w:r>
      <w:r w:rsidRPr="00312059">
        <w:rPr>
          <w:b/>
        </w:rPr>
        <w:t>Planned review of implementation:</w:t>
      </w:r>
      <w:r>
        <w:t xml:space="preserve"> A structured plan for review of implementation of</w:t>
      </w:r>
    </w:p>
    <w:p w:rsidR="00312059" w:rsidRDefault="00312059" w:rsidP="00312059">
      <w:pPr>
        <w:pStyle w:val="NoSpacing"/>
        <w:spacing w:line="360" w:lineRule="auto"/>
        <w:ind w:left="284"/>
      </w:pPr>
      <w:r>
        <w:t>recommendations should be agreed between the independent reviewer, the commissioner and</w:t>
      </w:r>
    </w:p>
    <w:p w:rsidR="00312059" w:rsidRDefault="00312059" w:rsidP="00312059">
      <w:pPr>
        <w:pStyle w:val="NoSpacing"/>
        <w:spacing w:line="360" w:lineRule="auto"/>
        <w:ind w:left="284"/>
      </w:pPr>
      <w:r>
        <w:t>provider of services. This should be more than an action-plan. As a blueprint for change, it should</w:t>
      </w:r>
    </w:p>
    <w:p w:rsidR="00F66346" w:rsidRDefault="00312059" w:rsidP="00312059">
      <w:pPr>
        <w:pStyle w:val="NoSpacing"/>
        <w:spacing w:line="360" w:lineRule="auto"/>
        <w:ind w:left="284"/>
      </w:pPr>
      <w:proofErr w:type="gramStart"/>
      <w:r>
        <w:t>try</w:t>
      </w:r>
      <w:proofErr w:type="gramEnd"/>
      <w:r>
        <w:t xml:space="preserve"> to be comprehensible to service users, carers, victims and other </w:t>
      </w:r>
      <w:r>
        <w:t xml:space="preserve">people with legitimate personal </w:t>
      </w:r>
      <w:r>
        <w:t>interests. It should be made public and it should be up-dated peri</w:t>
      </w:r>
      <w:r>
        <w:t xml:space="preserve">odically, for example after six </w:t>
      </w:r>
      <w:r>
        <w:t>months or a year. The implementation plan may include the dates o</w:t>
      </w:r>
      <w:r>
        <w:t xml:space="preserve">f meetings to discuss progress, </w:t>
      </w:r>
      <w:r>
        <w:t xml:space="preserve">prioritisation and re-evaluation of recommendations, decisions on </w:t>
      </w:r>
      <w:r>
        <w:t xml:space="preserve">the evidence required to decide </w:t>
      </w:r>
      <w:r>
        <w:t>upon implementation and what will constitute full or sufficient im</w:t>
      </w:r>
      <w:r>
        <w:t xml:space="preserve">plementation. It should specify </w:t>
      </w:r>
      <w:r>
        <w:t>the realistic outcomes sought and who will be involved in</w:t>
      </w:r>
      <w:r>
        <w:t xml:space="preserve"> the process of achieving them. </w:t>
      </w:r>
      <w:r>
        <w:t>Consideration should be given to inclusion of service user and carer</w:t>
      </w:r>
      <w:r>
        <w:t xml:space="preserve"> groups’ representatives, along </w:t>
      </w:r>
      <w:r>
        <w:t>with any local ethnic or other community representation if relevant to implementation of the</w:t>
      </w:r>
      <w:r>
        <w:t xml:space="preserve"> </w:t>
      </w:r>
      <w:r>
        <w:t>recommendations.</w:t>
      </w:r>
    </w:p>
    <w:p w:rsidR="00D82655" w:rsidRDefault="00D82655" w:rsidP="00D82655">
      <w:pPr>
        <w:pStyle w:val="NoSpacing"/>
        <w:spacing w:line="360" w:lineRule="auto"/>
      </w:pPr>
      <w:r>
        <w:lastRenderedPageBreak/>
        <w:t xml:space="preserve">6. </w:t>
      </w:r>
      <w:r w:rsidRPr="00D82655">
        <w:rPr>
          <w:b/>
        </w:rPr>
        <w:t>No blame:</w:t>
      </w:r>
      <w:r>
        <w:t xml:space="preserve"> The implementation plan should state that the review is a constructive phase, with a</w:t>
      </w:r>
    </w:p>
    <w:p w:rsidR="00D82655" w:rsidRDefault="00D82655" w:rsidP="00D82655">
      <w:pPr>
        <w:pStyle w:val="NoSpacing"/>
        <w:spacing w:line="360" w:lineRule="auto"/>
        <w:ind w:firstLine="142"/>
      </w:pPr>
      <w:r>
        <w:t>focus upon improvement and provision of safe services rather than upon failure or blame.</w:t>
      </w:r>
    </w:p>
    <w:p w:rsidR="00D82655" w:rsidRDefault="00D82655" w:rsidP="00D82655">
      <w:pPr>
        <w:pStyle w:val="NoSpacing"/>
        <w:spacing w:line="360" w:lineRule="auto"/>
      </w:pPr>
      <w:r>
        <w:t xml:space="preserve">7. </w:t>
      </w:r>
      <w:r w:rsidRPr="00D82655">
        <w:rPr>
          <w:b/>
        </w:rPr>
        <w:t>Completion:</w:t>
      </w:r>
      <w:r>
        <w:t xml:space="preserve"> An independent inquiry should not be considered completed and its lessons learnt</w:t>
      </w:r>
    </w:p>
    <w:p w:rsidR="00D82655" w:rsidRDefault="00D82655" w:rsidP="00D82655">
      <w:pPr>
        <w:pStyle w:val="NoSpacing"/>
        <w:spacing w:line="360" w:lineRule="auto"/>
        <w:ind w:firstLine="142"/>
      </w:pPr>
      <w:proofErr w:type="gramStart"/>
      <w:r>
        <w:t>until</w:t>
      </w:r>
      <w:proofErr w:type="gramEnd"/>
      <w:r>
        <w:t xml:space="preserve"> its recommendations have either been fully implemented or reached a satisfactory stage of</w:t>
      </w:r>
    </w:p>
    <w:p w:rsidR="00AF31A9" w:rsidRDefault="00D82655" w:rsidP="00D82655">
      <w:pPr>
        <w:pStyle w:val="NoSpacing"/>
        <w:spacing w:line="360" w:lineRule="auto"/>
        <w:ind w:left="142" w:firstLine="8"/>
      </w:pPr>
      <w:r>
        <w:t xml:space="preserve">completion, as decided by commissioners and independent reviewer. The reasons for the </w:t>
      </w:r>
      <w:r>
        <w:t xml:space="preserve">  </w:t>
      </w:r>
      <w:r>
        <w:t>decision</w:t>
      </w:r>
      <w:r>
        <w:t xml:space="preserve">   </w:t>
      </w:r>
      <w:r>
        <w:t>should be made public. There should be an agreed cut-off point for the independent review process</w:t>
      </w:r>
      <w:r>
        <w:t xml:space="preserve"> </w:t>
      </w:r>
      <w:r>
        <w:t>with planned handover of remaining recommendations to oth</w:t>
      </w:r>
      <w:r>
        <w:t xml:space="preserve">er local independent bodies for </w:t>
      </w:r>
      <w:r>
        <w:t>scrutiny.</w:t>
      </w:r>
    </w:p>
    <w:p w:rsidR="009F7E40" w:rsidRPr="009F7E40" w:rsidRDefault="009F7E40" w:rsidP="00D82655">
      <w:pPr>
        <w:pStyle w:val="NoSpacing"/>
        <w:spacing w:line="360" w:lineRule="auto"/>
        <w:ind w:left="142" w:firstLine="8"/>
        <w:rPr>
          <w:b/>
        </w:rPr>
      </w:pPr>
    </w:p>
    <w:p w:rsidR="009F7E40" w:rsidRPr="009F7E40" w:rsidRDefault="009F7E40" w:rsidP="008A4B1D">
      <w:pPr>
        <w:pStyle w:val="NoSpacing"/>
        <w:spacing w:line="360" w:lineRule="auto"/>
        <w:ind w:firstLine="8"/>
        <w:rPr>
          <w:b/>
        </w:rPr>
      </w:pPr>
      <w:r w:rsidRPr="009F7E40">
        <w:rPr>
          <w:b/>
        </w:rPr>
        <w:t>Types of recommendation</w:t>
      </w:r>
    </w:p>
    <w:p w:rsidR="009F7E40" w:rsidRDefault="009F7E40" w:rsidP="008A4B1D">
      <w:pPr>
        <w:pStyle w:val="NoSpacing"/>
        <w:spacing w:line="360" w:lineRule="auto"/>
        <w:ind w:firstLine="8"/>
      </w:pPr>
      <w:r>
        <w:t>From the MN Inquiry it was possible to discern distinct types of recommendation.</w:t>
      </w:r>
    </w:p>
    <w:p w:rsidR="009F7E40" w:rsidRDefault="009F7E40" w:rsidP="008A4B1D">
      <w:pPr>
        <w:pStyle w:val="NoSpacing"/>
        <w:spacing w:line="360" w:lineRule="auto"/>
        <w:ind w:firstLine="8"/>
      </w:pPr>
    </w:p>
    <w:p w:rsidR="009F7E40" w:rsidRDefault="009F7E40" w:rsidP="008A4B1D">
      <w:pPr>
        <w:pStyle w:val="NoSpacing"/>
        <w:spacing w:line="360" w:lineRule="auto"/>
        <w:ind w:firstLine="8"/>
      </w:pPr>
      <w:r>
        <w:t>Identifying the type will help to ensure problems are anticipated, impleme</w:t>
      </w:r>
      <w:r>
        <w:t xml:space="preserve">ntation managed effectively and </w:t>
      </w:r>
      <w:r>
        <w:t>expectations realistic. We suggest that the following may be equally appli</w:t>
      </w:r>
      <w:r>
        <w:t xml:space="preserve">cable across different </w:t>
      </w:r>
      <w:r>
        <w:t>organisations with different types of inquiry, investigation and review.</w:t>
      </w:r>
      <w:r>
        <w:t xml:space="preserve"> Starting with the simplest and </w:t>
      </w:r>
      <w:r>
        <w:t>quickest type of recommendation:</w:t>
      </w:r>
    </w:p>
    <w:p w:rsidR="00B22F53" w:rsidRDefault="00B22F53" w:rsidP="009F7E40">
      <w:pPr>
        <w:pStyle w:val="NoSpacing"/>
        <w:spacing w:line="360" w:lineRule="auto"/>
        <w:ind w:left="142" w:firstLine="8"/>
      </w:pPr>
    </w:p>
    <w:p w:rsidR="009F7E40" w:rsidRDefault="009F7E40" w:rsidP="00CE03BB">
      <w:pPr>
        <w:pStyle w:val="NoSpacing"/>
        <w:spacing w:line="360" w:lineRule="auto"/>
        <w:ind w:firstLine="8"/>
      </w:pPr>
      <w:r>
        <w:t xml:space="preserve">1. </w:t>
      </w:r>
      <w:r w:rsidRPr="00BF0B30">
        <w:rPr>
          <w:b/>
        </w:rPr>
        <w:t>Practical:</w:t>
      </w:r>
      <w:r>
        <w:t xml:space="preserve"> At the simplest level are recommendations which require straightforward practical</w:t>
      </w:r>
    </w:p>
    <w:p w:rsidR="009F7E40" w:rsidRDefault="009F7E40" w:rsidP="00BF0B30">
      <w:pPr>
        <w:pStyle w:val="NoSpacing"/>
        <w:spacing w:line="360" w:lineRule="auto"/>
        <w:ind w:left="142" w:firstLine="8"/>
      </w:pPr>
      <w:r>
        <w:t>implementation. These responses to a major incident may be very</w:t>
      </w:r>
      <w:r w:rsidR="00BF0B30">
        <w:t xml:space="preserve"> obvious and may sometimes have </w:t>
      </w:r>
      <w:r>
        <w:t>been dealt with well before any independent inquiry.</w:t>
      </w:r>
    </w:p>
    <w:p w:rsidR="009F7E40" w:rsidRDefault="009F7E40" w:rsidP="00CE03BB">
      <w:pPr>
        <w:pStyle w:val="NoSpacing"/>
        <w:spacing w:line="360" w:lineRule="auto"/>
        <w:ind w:firstLine="8"/>
      </w:pPr>
      <w:r>
        <w:t xml:space="preserve">2. </w:t>
      </w:r>
      <w:r w:rsidRPr="00BF0B30">
        <w:rPr>
          <w:b/>
        </w:rPr>
        <w:t>Commitment:</w:t>
      </w:r>
      <w:r>
        <w:t xml:space="preserve"> Recommendations may be framed in terms of commitment to a specific service</w:t>
      </w:r>
    </w:p>
    <w:p w:rsidR="009F7E40" w:rsidRDefault="009F7E40" w:rsidP="009F7E40">
      <w:pPr>
        <w:pStyle w:val="NoSpacing"/>
        <w:spacing w:line="360" w:lineRule="auto"/>
        <w:ind w:left="142" w:firstLine="8"/>
      </w:pPr>
      <w:r>
        <w:t>improvement. For example, a commitment to involve service users and carers. Such</w:t>
      </w:r>
    </w:p>
    <w:p w:rsidR="009F7E40" w:rsidRDefault="009F7E40" w:rsidP="009F7E40">
      <w:pPr>
        <w:pStyle w:val="NoSpacing"/>
        <w:spacing w:line="360" w:lineRule="auto"/>
        <w:ind w:left="142" w:firstLine="8"/>
      </w:pPr>
      <w:r>
        <w:t>recommendations may seem easily satisfied by means of publicity or a new post. Unfortunately</w:t>
      </w:r>
    </w:p>
    <w:p w:rsidR="009F7E40" w:rsidRDefault="009F7E40" w:rsidP="009F7E40">
      <w:pPr>
        <w:pStyle w:val="NoSpacing"/>
        <w:spacing w:line="360" w:lineRule="auto"/>
        <w:ind w:left="142" w:firstLine="8"/>
      </w:pPr>
      <w:r>
        <w:t>however, it cannot be assumed commitment will lead to an improvement of standards. For that to</w:t>
      </w:r>
    </w:p>
    <w:p w:rsidR="009F7E40" w:rsidRDefault="009F7E40" w:rsidP="00BF0B30">
      <w:pPr>
        <w:pStyle w:val="NoSpacing"/>
        <w:spacing w:line="360" w:lineRule="auto"/>
        <w:ind w:left="142" w:firstLine="8"/>
      </w:pPr>
      <w:proofErr w:type="gramStart"/>
      <w:r>
        <w:t>be</w:t>
      </w:r>
      <w:proofErr w:type="gramEnd"/>
      <w:r>
        <w:t xml:space="preserve"> achieved, a commitment recommendation might need to be re-fra</w:t>
      </w:r>
      <w:r w:rsidR="00BF0B30">
        <w:t xml:space="preserve">med as a policy or professional </w:t>
      </w:r>
      <w:r>
        <w:t>practice recommendation.</w:t>
      </w:r>
    </w:p>
    <w:p w:rsidR="009F7E40" w:rsidRDefault="009F7E40" w:rsidP="00CE03BB">
      <w:pPr>
        <w:pStyle w:val="NoSpacing"/>
        <w:spacing w:line="360" w:lineRule="auto"/>
        <w:ind w:firstLine="8"/>
      </w:pPr>
      <w:r>
        <w:t xml:space="preserve">3. </w:t>
      </w:r>
      <w:r w:rsidRPr="006A42DA">
        <w:rPr>
          <w:b/>
        </w:rPr>
        <w:t xml:space="preserve">Policy and procedural: </w:t>
      </w:r>
      <w:r>
        <w:t>At a more complex level are those recommendations which require the</w:t>
      </w:r>
    </w:p>
    <w:p w:rsidR="009F7E40" w:rsidRDefault="009F7E40" w:rsidP="009F7E40">
      <w:pPr>
        <w:pStyle w:val="NoSpacing"/>
        <w:spacing w:line="360" w:lineRule="auto"/>
        <w:ind w:left="142" w:firstLine="8"/>
      </w:pPr>
      <w:r>
        <w:t>drafting and adoption of a revised operational policy or procedure. At its simplest, a</w:t>
      </w:r>
    </w:p>
    <w:p w:rsidR="009F7E40" w:rsidRDefault="009F7E40" w:rsidP="009F7E40">
      <w:pPr>
        <w:pStyle w:val="NoSpacing"/>
        <w:spacing w:line="360" w:lineRule="auto"/>
        <w:ind w:left="142" w:firstLine="8"/>
      </w:pPr>
      <w:r>
        <w:t>recommendation could be considered implemented once the policy is published. If that is the</w:t>
      </w:r>
    </w:p>
    <w:p w:rsidR="009F7E40" w:rsidRDefault="009F7E40" w:rsidP="009F7E40">
      <w:pPr>
        <w:pStyle w:val="NoSpacing"/>
        <w:spacing w:line="360" w:lineRule="auto"/>
        <w:ind w:left="142" w:firstLine="8"/>
      </w:pPr>
      <w:r>
        <w:t>intention, it should be made clear. It is more likely that the intention of the recommendation, even</w:t>
      </w:r>
    </w:p>
    <w:p w:rsidR="006A42DA" w:rsidRDefault="006A42DA" w:rsidP="006A42DA">
      <w:pPr>
        <w:pStyle w:val="NoSpacing"/>
        <w:spacing w:line="360" w:lineRule="auto"/>
        <w:ind w:left="142" w:firstLine="8"/>
      </w:pPr>
      <w:proofErr w:type="gramStart"/>
      <w:r>
        <w:t>if</w:t>
      </w:r>
      <w:proofErr w:type="gramEnd"/>
      <w:r>
        <w:t xml:space="preserve"> not explicit, is that the policy will become operational. Otherwise, it will remain only a hope or</w:t>
      </w:r>
    </w:p>
    <w:p w:rsidR="006A42DA" w:rsidRDefault="006A42DA" w:rsidP="006A42DA">
      <w:pPr>
        <w:pStyle w:val="NoSpacing"/>
        <w:spacing w:line="360" w:lineRule="auto"/>
        <w:ind w:left="142" w:firstLine="8"/>
      </w:pPr>
      <w:r>
        <w:t>expectation. There should be an early agreement on what will constitute implementation and how</w:t>
      </w:r>
    </w:p>
    <w:p w:rsidR="006A42DA" w:rsidRDefault="006A42DA" w:rsidP="006A42DA">
      <w:pPr>
        <w:pStyle w:val="NoSpacing"/>
        <w:spacing w:line="360" w:lineRule="auto"/>
        <w:ind w:left="142" w:firstLine="8"/>
      </w:pPr>
      <w:r>
        <w:t>that will be determined. Audit is likely to provide the key evidence needed.</w:t>
      </w:r>
    </w:p>
    <w:p w:rsidR="00AF31A9" w:rsidRDefault="00AF31A9" w:rsidP="009F7E40">
      <w:pPr>
        <w:pStyle w:val="NoSpacing"/>
        <w:spacing w:line="360" w:lineRule="auto"/>
      </w:pPr>
    </w:p>
    <w:p w:rsidR="008A4B1D" w:rsidRDefault="008A4B1D" w:rsidP="008A4B1D">
      <w:pPr>
        <w:pStyle w:val="NoSpacing"/>
        <w:spacing w:line="360" w:lineRule="auto"/>
      </w:pPr>
      <w:r>
        <w:lastRenderedPageBreak/>
        <w:t xml:space="preserve">4. </w:t>
      </w:r>
      <w:r w:rsidRPr="008A4B1D">
        <w:rPr>
          <w:b/>
        </w:rPr>
        <w:t>Professional practice:</w:t>
      </w:r>
      <w:r>
        <w:t xml:space="preserve"> Sometimes the clear intention – implicit or explicit – of a recommendation</w:t>
      </w:r>
    </w:p>
    <w:p w:rsidR="008A4B1D" w:rsidRDefault="008A4B1D" w:rsidP="000A057C">
      <w:pPr>
        <w:pStyle w:val="NoSpacing"/>
        <w:spacing w:line="360" w:lineRule="auto"/>
        <w:ind w:left="284"/>
      </w:pPr>
      <w:r>
        <w:t>is that standards of professional practice should be improved. It may be intended this will flow from</w:t>
      </w:r>
      <w:r w:rsidR="000A057C">
        <w:t xml:space="preserve"> </w:t>
      </w:r>
      <w:r>
        <w:t xml:space="preserve">a revised policy, for example on risk assessment, going beyond </w:t>
      </w:r>
      <w:r w:rsidR="000A057C">
        <w:t xml:space="preserve">a simple change in procedure or </w:t>
      </w:r>
      <w:r>
        <w:t>protocol. Professional practice recommendations may require:</w:t>
      </w:r>
    </w:p>
    <w:p w:rsidR="008A4B1D" w:rsidRDefault="008A4B1D" w:rsidP="008A4B1D">
      <w:pPr>
        <w:pStyle w:val="NoSpacing"/>
        <w:spacing w:line="360" w:lineRule="auto"/>
      </w:pPr>
    </w:p>
    <w:p w:rsidR="008A4B1D" w:rsidRDefault="008A4B1D" w:rsidP="000A057C">
      <w:pPr>
        <w:pStyle w:val="NoSpacing"/>
        <w:spacing w:line="360" w:lineRule="auto"/>
        <w:ind w:firstLine="284"/>
      </w:pPr>
      <w:r>
        <w:t>• Examination of records in order to support claims that supervision and training are taking place</w:t>
      </w:r>
    </w:p>
    <w:p w:rsidR="008A4B1D" w:rsidRDefault="008A4B1D" w:rsidP="000A057C">
      <w:pPr>
        <w:pStyle w:val="NoSpacing"/>
        <w:spacing w:line="360" w:lineRule="auto"/>
        <w:ind w:firstLine="284"/>
      </w:pPr>
      <w:r>
        <w:t>• Audit and performance management using validated operational data over a period of years in</w:t>
      </w:r>
    </w:p>
    <w:p w:rsidR="008A4B1D" w:rsidRDefault="008A4B1D" w:rsidP="000A057C">
      <w:pPr>
        <w:pStyle w:val="NoSpacing"/>
        <w:spacing w:line="360" w:lineRule="auto"/>
        <w:ind w:firstLine="284"/>
      </w:pPr>
      <w:proofErr w:type="gramStart"/>
      <w:r>
        <w:t>order</w:t>
      </w:r>
      <w:proofErr w:type="gramEnd"/>
      <w:r>
        <w:t xml:space="preserve"> to capture evidence of professional standards and sustained improvement in good practice</w:t>
      </w:r>
    </w:p>
    <w:p w:rsidR="00965775" w:rsidRDefault="00965775" w:rsidP="000A057C">
      <w:pPr>
        <w:pStyle w:val="NoSpacing"/>
        <w:spacing w:line="360" w:lineRule="auto"/>
        <w:ind w:firstLine="284"/>
      </w:pPr>
    </w:p>
    <w:p w:rsidR="008A4B1D" w:rsidRDefault="008A4B1D" w:rsidP="000A057C">
      <w:pPr>
        <w:pStyle w:val="NoSpacing"/>
        <w:spacing w:line="360" w:lineRule="auto"/>
        <w:ind w:firstLine="284"/>
      </w:pPr>
      <w:r>
        <w:t>There are potential pitfalls to the use of audit. It may not be easy to find the standards and key</w:t>
      </w:r>
    </w:p>
    <w:p w:rsidR="008A4B1D" w:rsidRDefault="008A4B1D" w:rsidP="000A057C">
      <w:pPr>
        <w:pStyle w:val="NoSpacing"/>
        <w:spacing w:line="360" w:lineRule="auto"/>
        <w:ind w:left="284"/>
      </w:pPr>
      <w:r>
        <w:t>performance indicators that will properly measure the improvements sought and then there is the</w:t>
      </w:r>
      <w:r w:rsidR="000A057C">
        <w:t xml:space="preserve"> </w:t>
      </w:r>
      <w:r>
        <w:t>question of their interpretation. It may be unrealistic to expect</w:t>
      </w:r>
      <w:r w:rsidR="000A057C">
        <w:t xml:space="preserve"> 100 per cent compliance with a </w:t>
      </w:r>
      <w:r>
        <w:t>service standard based upon professional judgement. But what degree of compliance is acceptable –</w:t>
      </w:r>
      <w:r w:rsidR="000A057C">
        <w:t xml:space="preserve"> </w:t>
      </w:r>
      <w:r>
        <w:t>95 per cent, 75 per cent, 55 per cent or less? This will need to be determined.</w:t>
      </w:r>
    </w:p>
    <w:p w:rsidR="008A4B1D" w:rsidRDefault="008A4B1D" w:rsidP="000A057C">
      <w:pPr>
        <w:pStyle w:val="NoSpacing"/>
        <w:spacing w:line="360" w:lineRule="auto"/>
        <w:ind w:left="284"/>
      </w:pPr>
      <w:r>
        <w:t xml:space="preserve">Since the ultimate goal is a high professional standard, internalised and fully embedded in </w:t>
      </w:r>
      <w:r w:rsidR="000A057C">
        <w:t xml:space="preserve"> </w:t>
      </w:r>
      <w:r>
        <w:t>practice,</w:t>
      </w:r>
      <w:r w:rsidR="000A057C">
        <w:t xml:space="preserve"> </w:t>
      </w:r>
      <w:r>
        <w:t>professional practice recommendations are the most difficult to</w:t>
      </w:r>
      <w:r w:rsidR="000A057C">
        <w:t xml:space="preserve"> implement and may take time to </w:t>
      </w:r>
      <w:r>
        <w:t>complete. The higher the standard set or more extensive the change required</w:t>
      </w:r>
      <w:proofErr w:type="gramStart"/>
      <w:r>
        <w:t>,</w:t>
      </w:r>
      <w:proofErr w:type="gramEnd"/>
      <w:r>
        <w:t xml:space="preserve"> the longer one might</w:t>
      </w:r>
      <w:r w:rsidR="000A057C">
        <w:t xml:space="preserve"> </w:t>
      </w:r>
      <w:r>
        <w:t>have to wait. Implementation may need to be seen as an incremental process.</w:t>
      </w:r>
    </w:p>
    <w:p w:rsidR="00965775" w:rsidRDefault="00965775" w:rsidP="008A4B1D">
      <w:pPr>
        <w:pStyle w:val="NoSpacing"/>
        <w:spacing w:line="360" w:lineRule="auto"/>
      </w:pPr>
    </w:p>
    <w:p w:rsidR="00965775" w:rsidRDefault="00965775" w:rsidP="00965775">
      <w:pPr>
        <w:pStyle w:val="NoSpacing"/>
        <w:spacing w:line="360" w:lineRule="auto"/>
      </w:pPr>
      <w:r>
        <w:t xml:space="preserve">5. </w:t>
      </w:r>
      <w:r w:rsidRPr="00965775">
        <w:rPr>
          <w:b/>
        </w:rPr>
        <w:t>Major organisational change:</w:t>
      </w:r>
      <w:r>
        <w:t xml:space="preserve"> Recommendations may at times demand large-scale change, either</w:t>
      </w:r>
    </w:p>
    <w:p w:rsidR="00965775" w:rsidRDefault="005745DF" w:rsidP="005745DF">
      <w:pPr>
        <w:pStyle w:val="NoSpacing"/>
        <w:spacing w:line="360" w:lineRule="auto"/>
        <w:ind w:left="284" w:hanging="142"/>
      </w:pPr>
      <w:r>
        <w:t xml:space="preserve">   </w:t>
      </w:r>
      <w:r w:rsidR="00965775">
        <w:t>within the organisation or in partnership with other organisations. There may be complex</w:t>
      </w:r>
    </w:p>
    <w:p w:rsidR="00965775" w:rsidRDefault="008B6829" w:rsidP="005745DF">
      <w:pPr>
        <w:pStyle w:val="NoSpacing"/>
        <w:spacing w:line="360" w:lineRule="auto"/>
        <w:ind w:left="284" w:hanging="142"/>
      </w:pPr>
      <w:r>
        <w:t xml:space="preserve">   </w:t>
      </w:r>
      <w:r w:rsidR="00965775">
        <w:t>contractual arrangements, funding, legal and political issues. Protracted negotiations may be</w:t>
      </w:r>
    </w:p>
    <w:p w:rsidR="00965775" w:rsidRDefault="008B6829" w:rsidP="005745DF">
      <w:pPr>
        <w:pStyle w:val="NoSpacing"/>
        <w:spacing w:line="360" w:lineRule="auto"/>
        <w:ind w:left="284" w:hanging="142"/>
      </w:pPr>
      <w:r>
        <w:t xml:space="preserve">   </w:t>
      </w:r>
      <w:r w:rsidR="00965775">
        <w:t>necessary. Slow progress with major organisational change recommendations is to be expected.</w:t>
      </w:r>
    </w:p>
    <w:p w:rsidR="00965775" w:rsidRDefault="00965775" w:rsidP="00557FF1">
      <w:pPr>
        <w:pStyle w:val="NoSpacing"/>
        <w:spacing w:line="360" w:lineRule="auto"/>
        <w:ind w:left="284" w:hanging="284"/>
      </w:pPr>
      <w:r>
        <w:t xml:space="preserve">6. </w:t>
      </w:r>
      <w:r w:rsidRPr="00965775">
        <w:rPr>
          <w:b/>
        </w:rPr>
        <w:t>Commissioning:</w:t>
      </w:r>
      <w:r>
        <w:t xml:space="preserve"> These are further removed from front line changes </w:t>
      </w:r>
      <w:r>
        <w:t xml:space="preserve">in service provision but may be </w:t>
      </w:r>
      <w:r>
        <w:t>fundamental to lasting implementation of recommendations. Failures of communication across</w:t>
      </w:r>
      <w:r w:rsidR="00557FF1">
        <w:t xml:space="preserve"> </w:t>
      </w:r>
      <w:r>
        <w:t>organisational boundaries are frequently cited in inquiries. Impl</w:t>
      </w:r>
      <w:r w:rsidR="00557FF1">
        <w:t xml:space="preserve">ementation planning may need to </w:t>
      </w:r>
      <w:r>
        <w:t>involve several commissioning bodies.</w:t>
      </w:r>
    </w:p>
    <w:p w:rsidR="00965775" w:rsidRDefault="00965775" w:rsidP="00965775">
      <w:pPr>
        <w:pStyle w:val="NoSpacing"/>
        <w:spacing w:line="360" w:lineRule="auto"/>
      </w:pPr>
      <w:r>
        <w:t xml:space="preserve">7. </w:t>
      </w:r>
      <w:r w:rsidRPr="00965775">
        <w:rPr>
          <w:b/>
        </w:rPr>
        <w:t>National:</w:t>
      </w:r>
      <w:r>
        <w:t xml:space="preserve"> It may become apparent during an independent inquiry that a finding has national</w:t>
      </w:r>
    </w:p>
    <w:p w:rsidR="00965775" w:rsidRDefault="00965775" w:rsidP="003B3D7C">
      <w:pPr>
        <w:pStyle w:val="NoSpacing"/>
        <w:spacing w:line="360" w:lineRule="auto"/>
        <w:ind w:left="284"/>
      </w:pPr>
      <w:r>
        <w:t>implications. The recommendations can feed into existing consultative structures or national</w:t>
      </w:r>
    </w:p>
    <w:p w:rsidR="00965775" w:rsidRDefault="00965775" w:rsidP="003B3D7C">
      <w:pPr>
        <w:pStyle w:val="NoSpacing"/>
        <w:spacing w:line="360" w:lineRule="auto"/>
        <w:ind w:left="284"/>
      </w:pPr>
      <w:r>
        <w:t>research on specific topics. Alternatively, an inquiry can take the initiative and hold a national</w:t>
      </w:r>
    </w:p>
    <w:p w:rsidR="00965775" w:rsidRDefault="00965775" w:rsidP="003B3D7C">
      <w:pPr>
        <w:pStyle w:val="NoSpacing"/>
        <w:spacing w:line="360" w:lineRule="auto"/>
        <w:ind w:left="284"/>
      </w:pPr>
      <w:r>
        <w:t>seminar of experts. Publicity may already have produced national concerns. The implementation of</w:t>
      </w:r>
      <w:r w:rsidR="003B3D7C">
        <w:t xml:space="preserve"> </w:t>
      </w:r>
      <w:r>
        <w:t>such large-scale recommendations will commonly require tenacity,</w:t>
      </w:r>
      <w:r w:rsidR="003B3D7C">
        <w:t xml:space="preserve"> the involvement of a number of </w:t>
      </w:r>
      <w:r>
        <w:t>agencies and support of the commissioning body.</w:t>
      </w:r>
    </w:p>
    <w:p w:rsidR="00965775" w:rsidRDefault="00965775" w:rsidP="00965775">
      <w:pPr>
        <w:pStyle w:val="NoSpacing"/>
        <w:spacing w:line="360" w:lineRule="auto"/>
      </w:pPr>
      <w:r>
        <w:t xml:space="preserve">8. </w:t>
      </w:r>
      <w:r w:rsidRPr="00965775">
        <w:rPr>
          <w:b/>
        </w:rPr>
        <w:t>Common theme:</w:t>
      </w:r>
      <w:r>
        <w:t xml:space="preserve"> These arise when it is clear from other inquiries that a shared problem is</w:t>
      </w:r>
    </w:p>
    <w:p w:rsidR="00965775" w:rsidRDefault="00965775" w:rsidP="00AF7CDF">
      <w:pPr>
        <w:pStyle w:val="NoSpacing"/>
        <w:spacing w:line="360" w:lineRule="auto"/>
        <w:ind w:left="284"/>
      </w:pPr>
      <w:r>
        <w:lastRenderedPageBreak/>
        <w:t>particularly intractable. Mental health Trusts and Strategic Health Authorities are increasingly</w:t>
      </w:r>
    </w:p>
    <w:p w:rsidR="00965775" w:rsidRDefault="00965775" w:rsidP="00AF7CDF">
      <w:pPr>
        <w:pStyle w:val="NoSpacing"/>
        <w:spacing w:line="360" w:lineRule="auto"/>
        <w:ind w:left="284"/>
      </w:pPr>
      <w:r>
        <w:t>gathering information from their local investigations for the purpose of identifying themes.</w:t>
      </w:r>
    </w:p>
    <w:p w:rsidR="00965775" w:rsidRDefault="00965775" w:rsidP="00AF7CDF">
      <w:pPr>
        <w:pStyle w:val="NoSpacing"/>
        <w:spacing w:line="360" w:lineRule="auto"/>
        <w:ind w:left="284"/>
      </w:pPr>
      <w:r>
        <w:t>Nationally, that is also the trend. Whilst this is constructive, it is impo</w:t>
      </w:r>
      <w:r w:rsidR="00AF7CDF">
        <w:t xml:space="preserve">rtant to ensure that individual </w:t>
      </w:r>
      <w:r>
        <w:t>local recommendations are not forgotten. The various approaches should not be mutually exclusive.</w:t>
      </w:r>
    </w:p>
    <w:p w:rsidR="009F7E40" w:rsidRPr="000A057C" w:rsidRDefault="009F7E40" w:rsidP="00AF7CDF">
      <w:pPr>
        <w:pStyle w:val="NoSpacing"/>
        <w:spacing w:line="360" w:lineRule="auto"/>
        <w:ind w:left="284"/>
        <w:rPr>
          <w:b/>
        </w:rPr>
      </w:pPr>
    </w:p>
    <w:p w:rsidR="000A057C" w:rsidRPr="000A057C" w:rsidRDefault="000A057C" w:rsidP="000A057C">
      <w:pPr>
        <w:pStyle w:val="NoSpacing"/>
        <w:spacing w:line="360" w:lineRule="auto"/>
        <w:rPr>
          <w:b/>
        </w:rPr>
      </w:pPr>
      <w:r w:rsidRPr="000A057C">
        <w:rPr>
          <w:b/>
        </w:rPr>
        <w:t>Implementing the recommendations</w:t>
      </w:r>
    </w:p>
    <w:p w:rsidR="000A057C" w:rsidRDefault="000A057C" w:rsidP="000A057C">
      <w:pPr>
        <w:pStyle w:val="NoSpacing"/>
        <w:spacing w:line="360" w:lineRule="auto"/>
      </w:pPr>
      <w:r>
        <w:t>How might the above work in practice?</w:t>
      </w:r>
    </w:p>
    <w:p w:rsidR="000A057C" w:rsidRDefault="000A057C" w:rsidP="000A057C">
      <w:pPr>
        <w:pStyle w:val="NoSpacing"/>
        <w:spacing w:line="360" w:lineRule="auto"/>
      </w:pPr>
    </w:p>
    <w:p w:rsidR="000A057C" w:rsidRDefault="000A057C" w:rsidP="000A057C">
      <w:pPr>
        <w:pStyle w:val="NoSpacing"/>
        <w:spacing w:line="360" w:lineRule="auto"/>
      </w:pPr>
      <w:r>
        <w:t>During the twenty-one months of the post-MN Inquiry phase, we met</w:t>
      </w:r>
      <w:r>
        <w:t xml:space="preserve"> on seven occasions with an ‘MN </w:t>
      </w:r>
      <w:r>
        <w:t>Steering Group’ set up by the Strategic Health Authority with represe</w:t>
      </w:r>
      <w:r>
        <w:t xml:space="preserve">ntation by the Trust at medical </w:t>
      </w:r>
      <w:r>
        <w:t>director and nursing director level, PCT, local authority and with local se</w:t>
      </w:r>
      <w:r>
        <w:t xml:space="preserve">rvice user and carer groups. We </w:t>
      </w:r>
      <w:r>
        <w:t>met on one occasion with the agencies responsible for implementing t</w:t>
      </w:r>
      <w:r>
        <w:t xml:space="preserve">he national recommendations. We </w:t>
      </w:r>
      <w:r>
        <w:t>also received a great deal of evidence including new policies, training materi</w:t>
      </w:r>
      <w:r>
        <w:t xml:space="preserve">al and the results of audit and </w:t>
      </w:r>
      <w:r>
        <w:t>performance management using key performance indicators.</w:t>
      </w:r>
    </w:p>
    <w:p w:rsidR="000A057C" w:rsidRDefault="000A057C" w:rsidP="000A057C">
      <w:pPr>
        <w:pStyle w:val="NoSpacing"/>
        <w:spacing w:line="360" w:lineRule="auto"/>
      </w:pPr>
    </w:p>
    <w:p w:rsidR="000A057C" w:rsidRDefault="000A057C" w:rsidP="000A057C">
      <w:pPr>
        <w:pStyle w:val="NoSpacing"/>
        <w:spacing w:line="360" w:lineRule="auto"/>
      </w:pPr>
      <w:r>
        <w:t>Were the MN recommendations implemented?</w:t>
      </w:r>
    </w:p>
    <w:p w:rsidR="000A057C" w:rsidRDefault="000A057C" w:rsidP="000A057C">
      <w:pPr>
        <w:pStyle w:val="NoSpacing"/>
        <w:spacing w:line="360" w:lineRule="auto"/>
      </w:pPr>
      <w:r>
        <w:t>One straightforward practical recommendation had been implemented b</w:t>
      </w:r>
      <w:r>
        <w:t xml:space="preserve">efore the report was published. </w:t>
      </w:r>
      <w:r>
        <w:t>There were two commitment recommendations and both were completed i</w:t>
      </w:r>
      <w:r>
        <w:t xml:space="preserve">nsofar as there was undoubted </w:t>
      </w:r>
      <w:r>
        <w:t>commitment. Five of the recommendations required a revised or new poli</w:t>
      </w:r>
      <w:r>
        <w:t xml:space="preserve">cy, with three of these audited </w:t>
      </w:r>
      <w:r>
        <w:t xml:space="preserve">and two completed. Only two out of eleven professional practice </w:t>
      </w:r>
      <w:r>
        <w:t xml:space="preserve">recommendations were completed, </w:t>
      </w:r>
      <w:r>
        <w:t>though eight had been subject to audit or performance management and i</w:t>
      </w:r>
      <w:r>
        <w:t xml:space="preserve">n most cases implementation was </w:t>
      </w:r>
      <w:r>
        <w:t>described by the inquiry in terms such as ‘</w:t>
      </w:r>
      <w:r w:rsidRPr="000A057C">
        <w:rPr>
          <w:i/>
        </w:rPr>
        <w:t>on its way to completion</w:t>
      </w:r>
      <w:r>
        <w:t>’ or ‘</w:t>
      </w:r>
      <w:r w:rsidRPr="000A057C">
        <w:rPr>
          <w:i/>
        </w:rPr>
        <w:t>not compl</w:t>
      </w:r>
      <w:r w:rsidRPr="000A057C">
        <w:rPr>
          <w:i/>
        </w:rPr>
        <w:t xml:space="preserve">eted but we are confident it is </w:t>
      </w:r>
      <w:r w:rsidRPr="000A057C">
        <w:rPr>
          <w:i/>
        </w:rPr>
        <w:t>being pursued</w:t>
      </w:r>
      <w:r>
        <w:t>’. Out of four organisational change recommendations, none</w:t>
      </w:r>
      <w:r>
        <w:t xml:space="preserve"> were in place when the inquiry </w:t>
      </w:r>
      <w:r>
        <w:t>ceased to exist but one was expected to be implemented within six months and another within two years.</w:t>
      </w:r>
    </w:p>
    <w:p w:rsidR="000A057C" w:rsidRDefault="000A057C" w:rsidP="000A057C">
      <w:pPr>
        <w:pStyle w:val="NoSpacing"/>
        <w:spacing w:line="360" w:lineRule="auto"/>
      </w:pPr>
      <w:r>
        <w:t>Three commissioning recommendations were made and although none reached the stage of compl</w:t>
      </w:r>
      <w:r>
        <w:t xml:space="preserve">etion all </w:t>
      </w:r>
      <w:r>
        <w:t>were in progress. Following a national seminar of experts a number o</w:t>
      </w:r>
      <w:r>
        <w:t xml:space="preserve">f national recommendations were </w:t>
      </w:r>
      <w:r>
        <w:t>made which were taken into account in new national guidance. MN had b</w:t>
      </w:r>
      <w:r>
        <w:t xml:space="preserve">een the third local independent </w:t>
      </w:r>
      <w:r>
        <w:t>inquiry to identify insufficient support for carers and inadequate care planni</w:t>
      </w:r>
      <w:r w:rsidR="003527A8">
        <w:t xml:space="preserve">ng, the identification of these </w:t>
      </w:r>
      <w:r>
        <w:t>themes lending weight to the implementation of the MN local and national recommendations.</w:t>
      </w:r>
    </w:p>
    <w:p w:rsidR="003527A8" w:rsidRDefault="003527A8" w:rsidP="000A057C">
      <w:pPr>
        <w:pStyle w:val="NoSpacing"/>
        <w:spacing w:line="360" w:lineRule="auto"/>
      </w:pPr>
    </w:p>
    <w:p w:rsidR="000A057C" w:rsidRDefault="000A057C" w:rsidP="000A057C">
      <w:pPr>
        <w:pStyle w:val="NoSpacing"/>
        <w:spacing w:line="360" w:lineRule="auto"/>
      </w:pPr>
      <w:r>
        <w:lastRenderedPageBreak/>
        <w:t>The MN Inquiry exposed the process of implementation to public scrutiny in a rare way. Before it fina</w:t>
      </w:r>
      <w:r w:rsidR="007E0214">
        <w:t xml:space="preserve">lly </w:t>
      </w:r>
      <w:r>
        <w:t>withdrew, plans were made for handover of each incomplete rec</w:t>
      </w:r>
      <w:r w:rsidR="007E0214">
        <w:t xml:space="preserve">ommendation to local bodies for </w:t>
      </w:r>
      <w:r>
        <w:t>independent oversight. We satisfied ourselves there would continue to be</w:t>
      </w:r>
      <w:r w:rsidR="007E0214">
        <w:t xml:space="preserve"> report-back on progress to the </w:t>
      </w:r>
      <w:r>
        <w:t xml:space="preserve">Strategic Health Authority in public session and were reassured that the </w:t>
      </w:r>
      <w:r w:rsidR="007E0214">
        <w:t xml:space="preserve">families would continue to have </w:t>
      </w:r>
      <w:r>
        <w:t>an opportunity to express their views.</w:t>
      </w:r>
    </w:p>
    <w:p w:rsidR="007E0214" w:rsidRDefault="007E0214" w:rsidP="000A057C">
      <w:pPr>
        <w:pStyle w:val="NoSpacing"/>
        <w:spacing w:line="360" w:lineRule="auto"/>
      </w:pPr>
    </w:p>
    <w:p w:rsidR="000A057C" w:rsidRPr="007E0214" w:rsidRDefault="000A057C" w:rsidP="000A057C">
      <w:pPr>
        <w:pStyle w:val="NoSpacing"/>
        <w:spacing w:line="360" w:lineRule="auto"/>
        <w:rPr>
          <w:b/>
        </w:rPr>
      </w:pPr>
      <w:r w:rsidRPr="007E0214">
        <w:rPr>
          <w:b/>
        </w:rPr>
        <w:t>Follow-up by independent inquiry, investigation or review team</w:t>
      </w:r>
    </w:p>
    <w:p w:rsidR="000A057C" w:rsidRDefault="000A057C" w:rsidP="000A057C">
      <w:pPr>
        <w:pStyle w:val="NoSpacing"/>
        <w:spacing w:line="360" w:lineRule="auto"/>
      </w:pPr>
      <w:r>
        <w:t>There is a risk of institutionalising the follow-up process by incorporating it into an organisation’s i</w:t>
      </w:r>
      <w:r w:rsidR="00DC1073">
        <w:t xml:space="preserve">nternal </w:t>
      </w:r>
      <w:r>
        <w:t>action-planning structure. In our experience, follow-up by an indep</w:t>
      </w:r>
      <w:r w:rsidR="00DC1073">
        <w:t xml:space="preserve">endent inquiry can have several </w:t>
      </w:r>
      <w:r>
        <w:t>unique advantages:</w:t>
      </w:r>
    </w:p>
    <w:p w:rsidR="000A057C" w:rsidRDefault="000A057C" w:rsidP="00EC1645">
      <w:pPr>
        <w:pStyle w:val="NoSpacing"/>
        <w:spacing w:line="360" w:lineRule="auto"/>
        <w:ind w:firstLine="284"/>
      </w:pPr>
      <w:r>
        <w:t xml:space="preserve">• </w:t>
      </w:r>
      <w:r w:rsidRPr="00EC1645">
        <w:rPr>
          <w:b/>
        </w:rPr>
        <w:t>Public accountability:</w:t>
      </w:r>
      <w:r>
        <w:t xml:space="preserve"> When a duty to undertake an effective investigation arises under Article</w:t>
      </w:r>
    </w:p>
    <w:p w:rsidR="000A057C" w:rsidRDefault="000A057C" w:rsidP="00EC1645">
      <w:pPr>
        <w:pStyle w:val="NoSpacing"/>
        <w:spacing w:line="360" w:lineRule="auto"/>
        <w:ind w:firstLine="284"/>
      </w:pPr>
      <w:r>
        <w:t>2 of the European Convention of Human Rights, there must be a sufficient element of public</w:t>
      </w:r>
    </w:p>
    <w:p w:rsidR="000A057C" w:rsidRDefault="000A057C" w:rsidP="00EC1645">
      <w:pPr>
        <w:pStyle w:val="NoSpacing"/>
        <w:spacing w:line="360" w:lineRule="auto"/>
        <w:ind w:firstLine="284"/>
      </w:pPr>
      <w:r>
        <w:t>scrutiny of the investigation or its results to secure accountability</w:t>
      </w:r>
      <w:r w:rsidR="00DC1073">
        <w:rPr>
          <w:rStyle w:val="FootnoteReference"/>
        </w:rPr>
        <w:footnoteReference w:id="6"/>
      </w:r>
      <w:r>
        <w:t>. Even when Article 2 is not</w:t>
      </w:r>
    </w:p>
    <w:p w:rsidR="000A057C" w:rsidRDefault="000A057C" w:rsidP="00EC1645">
      <w:pPr>
        <w:pStyle w:val="NoSpacing"/>
        <w:spacing w:line="360" w:lineRule="auto"/>
        <w:ind w:firstLine="284"/>
      </w:pPr>
      <w:r>
        <w:t>engaged, it is reasonable to expect that weaknesses identified by an official investigation will be</w:t>
      </w:r>
    </w:p>
    <w:p w:rsidR="000A057C" w:rsidRDefault="000A057C" w:rsidP="00EC1645">
      <w:pPr>
        <w:pStyle w:val="NoSpacing"/>
        <w:spacing w:line="360" w:lineRule="auto"/>
        <w:ind w:firstLine="284"/>
      </w:pPr>
      <w:r>
        <w:t>rectified. An independent inquiry can dispassionately represent and pursue the wider public and</w:t>
      </w:r>
    </w:p>
    <w:p w:rsidR="000A057C" w:rsidRDefault="000A057C" w:rsidP="00EC1645">
      <w:pPr>
        <w:pStyle w:val="NoSpacing"/>
        <w:spacing w:line="360" w:lineRule="auto"/>
        <w:ind w:firstLine="284"/>
      </w:pPr>
      <w:r>
        <w:t>victim’s interests in ensuring that recommendations are implemented. It can if necessary expose</w:t>
      </w:r>
    </w:p>
    <w:p w:rsidR="000A057C" w:rsidRDefault="000A057C" w:rsidP="00EC1645">
      <w:pPr>
        <w:pStyle w:val="NoSpacing"/>
        <w:spacing w:line="360" w:lineRule="auto"/>
        <w:ind w:firstLine="284"/>
      </w:pPr>
      <w:r>
        <w:t>the workings of the organisations concerned to public scrutiny thus providing authoritative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t>credibility to the process of accountability. Pressure exerted by an inquiry, along with families of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t>the victim and perpetrator of the homicide, can ensure that the Strategic Health Authority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t>becomes more truly accountable for the learning of lessons.</w:t>
      </w:r>
    </w:p>
    <w:p w:rsidR="0077724C" w:rsidRDefault="0077724C" w:rsidP="0077724C">
      <w:pPr>
        <w:pStyle w:val="NoSpacing"/>
        <w:spacing w:line="360" w:lineRule="auto"/>
        <w:ind w:firstLine="284"/>
      </w:pPr>
      <w:r w:rsidRPr="0077724C">
        <w:rPr>
          <w:b/>
        </w:rPr>
        <w:t>• Familiarity with the recommendations:</w:t>
      </w:r>
      <w:r>
        <w:t xml:space="preserve"> Having identified the failures and made the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t>recommendations, an independent inquiry knows exactly why each recommendation is necessary</w:t>
      </w:r>
    </w:p>
    <w:p w:rsidR="0077724C" w:rsidRDefault="0077724C" w:rsidP="00ED50AE">
      <w:pPr>
        <w:pStyle w:val="NoSpacing"/>
        <w:spacing w:line="360" w:lineRule="auto"/>
        <w:ind w:left="284"/>
      </w:pPr>
      <w:r>
        <w:t>and what changes are needed. It is therefore well-placed to decide when and if learning has taken</w:t>
      </w:r>
      <w:r>
        <w:t xml:space="preserve"> </w:t>
      </w:r>
      <w:r>
        <w:t>place, whether satisfactory progress has been made towards that goal or more evidence is needed</w:t>
      </w:r>
      <w:r>
        <w:t xml:space="preserve"> </w:t>
      </w:r>
      <w:r>
        <w:t>and can write a recommendation review report linked directly to their original inqu</w:t>
      </w:r>
      <w:r w:rsidR="00ED50AE">
        <w:t xml:space="preserve">iry report. </w:t>
      </w:r>
      <w:r>
        <w:t xml:space="preserve">There is the added advantage that if an inquiry team expects to carry </w:t>
      </w:r>
      <w:r w:rsidR="00ED50AE">
        <w:t xml:space="preserve">out the follow-up, it is likely </w:t>
      </w:r>
      <w:r>
        <w:t>to write thoughtful, constructive recommendations based on ownership of them.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t xml:space="preserve">• </w:t>
      </w:r>
      <w:r w:rsidRPr="00ED50AE">
        <w:rPr>
          <w:b/>
        </w:rPr>
        <w:t xml:space="preserve">Objectivity and impartiality: </w:t>
      </w:r>
      <w:r>
        <w:t>The public look to independent inquiries and place their trust in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t>them. That same confidence is needed for the follow-up, with independent inquiries able to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t>review progress objectively, based on evidence.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t xml:space="preserve">• </w:t>
      </w:r>
      <w:r w:rsidRPr="00ED50AE">
        <w:rPr>
          <w:b/>
        </w:rPr>
        <w:t>Continuity and momentum:</w:t>
      </w:r>
      <w:r>
        <w:t xml:space="preserve"> Staff and organisational change can hamper implementation of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t>recommendations. But the independent inquiry can provide continuity, maintaining interest in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lastRenderedPageBreak/>
        <w:t>the implementation process through meetings and review reports. Our feedback suggests this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t>was a constructive experience for those participating in the MN Inquiry implementation phase,</w:t>
      </w:r>
    </w:p>
    <w:p w:rsidR="0077724C" w:rsidRDefault="0077724C" w:rsidP="0077724C">
      <w:pPr>
        <w:pStyle w:val="NoSpacing"/>
        <w:spacing w:line="360" w:lineRule="auto"/>
        <w:ind w:firstLine="284"/>
      </w:pPr>
      <w:r>
        <w:t>welcomed by commissioners, providers and the families of the victim and perpetrator.</w:t>
      </w:r>
    </w:p>
    <w:p w:rsidR="009C7E47" w:rsidRDefault="009C7E47" w:rsidP="009C7E47">
      <w:pPr>
        <w:pStyle w:val="NoSpacing"/>
        <w:spacing w:line="360" w:lineRule="auto"/>
      </w:pPr>
    </w:p>
    <w:p w:rsidR="009C7E47" w:rsidRDefault="009C7E47" w:rsidP="009C7E47">
      <w:pPr>
        <w:pStyle w:val="NoSpacing"/>
        <w:spacing w:line="360" w:lineRule="auto"/>
      </w:pPr>
      <w:r>
        <w:t xml:space="preserve">Of course it might be the case that an inquiry team is not able or does </w:t>
      </w:r>
      <w:r>
        <w:t xml:space="preserve">not wish to carry on through to </w:t>
      </w:r>
      <w:r>
        <w:t>the follow-up stage. It may be that commissioners do not consider it approp</w:t>
      </w:r>
      <w:r>
        <w:t xml:space="preserve">riate. And it is not unusual to </w:t>
      </w:r>
      <w:r>
        <w:t>find there are several investigations under way in one Strategic Hea</w:t>
      </w:r>
      <w:r>
        <w:t xml:space="preserve">lth Authority area, which might </w:t>
      </w:r>
      <w:r>
        <w:t>benefit from shared review of some recommendations. Where there is the problem of potentia</w:t>
      </w:r>
      <w:r>
        <w:t xml:space="preserve">l </w:t>
      </w:r>
      <w:r>
        <w:t>duplication or overkill or a very real need to consider budgetary restrict</w:t>
      </w:r>
      <w:r>
        <w:t xml:space="preserve">ions, some of the advantages of </w:t>
      </w:r>
      <w:r>
        <w:t>independent inquiry follow-up could still be gained by inclusion of m</w:t>
      </w:r>
      <w:r>
        <w:t xml:space="preserve">embers of inquiry teams on more </w:t>
      </w:r>
      <w:r>
        <w:t>broadly-based commissioner-led implementation teams. Or arrange</w:t>
      </w:r>
      <w:r>
        <w:t xml:space="preserve">ments could be made for one-off </w:t>
      </w:r>
      <w:r>
        <w:t>opinions from the inquiry team. In some cases one major follow-up from</w:t>
      </w:r>
      <w:r>
        <w:t xml:space="preserve"> an investigation might be more </w:t>
      </w:r>
      <w:r>
        <w:t>effective than too many, taking over several recommendations from others.</w:t>
      </w:r>
    </w:p>
    <w:p w:rsidR="009C7E47" w:rsidRDefault="009C7E47" w:rsidP="009C7E47">
      <w:pPr>
        <w:pStyle w:val="NoSpacing"/>
        <w:spacing w:line="360" w:lineRule="auto"/>
      </w:pPr>
    </w:p>
    <w:p w:rsidR="009C7E47" w:rsidRDefault="009C7E47" w:rsidP="009C7E47">
      <w:pPr>
        <w:pStyle w:val="NoSpacing"/>
        <w:spacing w:line="360" w:lineRule="auto"/>
      </w:pPr>
      <w:r>
        <w:t>However it is achieved, each inquiry should have an objective, evidence</w:t>
      </w:r>
      <w:r w:rsidR="00557DBF">
        <w:t xml:space="preserve">-based post-investigation phase </w:t>
      </w:r>
      <w:r>
        <w:t>which should always be considered part of the whole inquiry process, wi</w:t>
      </w:r>
      <w:r w:rsidR="00557DBF">
        <w:t xml:space="preserve">th the goal of learning lessons </w:t>
      </w:r>
      <w:r>
        <w:t>from that inquiry.</w:t>
      </w:r>
    </w:p>
    <w:p w:rsidR="00557DBF" w:rsidRDefault="00557DBF" w:rsidP="009C7E47">
      <w:pPr>
        <w:pStyle w:val="NoSpacing"/>
        <w:spacing w:line="360" w:lineRule="auto"/>
      </w:pPr>
    </w:p>
    <w:p w:rsidR="009C7E47" w:rsidRDefault="009C7E47" w:rsidP="009C7E47">
      <w:pPr>
        <w:pStyle w:val="NoSpacing"/>
        <w:spacing w:line="360" w:lineRule="auto"/>
      </w:pPr>
      <w:r>
        <w:t>The seven principles distilled from the MN Inquiry and described above should be applied even if the</w:t>
      </w:r>
    </w:p>
    <w:p w:rsidR="009C7E47" w:rsidRDefault="009C7E47" w:rsidP="009C7E47">
      <w:pPr>
        <w:pStyle w:val="NoSpacing"/>
        <w:spacing w:line="360" w:lineRule="auto"/>
      </w:pPr>
      <w:r>
        <w:t xml:space="preserve">independent inquiry is not involved and follow-up is conducted entirely </w:t>
      </w:r>
      <w:r w:rsidR="00557DBF">
        <w:t xml:space="preserve">by local commissioners, whether </w:t>
      </w:r>
      <w:r>
        <w:t>that is a Strategic Health Authority, Primary Care Trust, Local Safeg</w:t>
      </w:r>
      <w:r w:rsidR="00557DBF">
        <w:t xml:space="preserve">uarding Children’s Board or new </w:t>
      </w:r>
      <w:r>
        <w:t>local domestic homicide review commissioning bodies (see below).</w:t>
      </w:r>
    </w:p>
    <w:p w:rsidR="00320B64" w:rsidRPr="00320B64" w:rsidRDefault="00320B64" w:rsidP="009C7E47">
      <w:pPr>
        <w:pStyle w:val="NoSpacing"/>
        <w:spacing w:line="360" w:lineRule="auto"/>
        <w:rPr>
          <w:b/>
        </w:rPr>
      </w:pPr>
    </w:p>
    <w:p w:rsidR="00320B64" w:rsidRPr="00320B64" w:rsidRDefault="00320B64" w:rsidP="00320B64">
      <w:pPr>
        <w:pStyle w:val="NoSpacing"/>
        <w:spacing w:line="360" w:lineRule="auto"/>
        <w:rPr>
          <w:b/>
        </w:rPr>
      </w:pPr>
      <w:r w:rsidRPr="00320B64">
        <w:rPr>
          <w:b/>
        </w:rPr>
        <w:t>Lack of research and guidance on implementation of recommendations</w:t>
      </w:r>
    </w:p>
    <w:p w:rsidR="00320B64" w:rsidRDefault="00320B64" w:rsidP="00320B64">
      <w:pPr>
        <w:pStyle w:val="NoSpacing"/>
        <w:spacing w:line="360" w:lineRule="auto"/>
      </w:pPr>
      <w:r>
        <w:t>There is a widespread view that lessons will naturally be learnt from a th</w:t>
      </w:r>
      <w:r w:rsidR="00BB416F">
        <w:t xml:space="preserve">orough investigation, review or </w:t>
      </w:r>
      <w:r>
        <w:t>inquiry in the health and social care services. Learning, it is assum</w:t>
      </w:r>
      <w:r w:rsidR="00BB416F">
        <w:t xml:space="preserve">ed, will somehow occur, whether </w:t>
      </w:r>
      <w:r>
        <w:t>prompted by the shock of an incident, the investigation itself, publicity, dissemination of</w:t>
      </w:r>
    </w:p>
    <w:p w:rsidR="00320B64" w:rsidRDefault="00320B64" w:rsidP="00320B64">
      <w:pPr>
        <w:pStyle w:val="NoSpacing"/>
        <w:spacing w:line="360" w:lineRule="auto"/>
      </w:pPr>
      <w:r>
        <w:t>recommendations or by unseen provider services’ responses.</w:t>
      </w:r>
    </w:p>
    <w:p w:rsidR="00BB416F" w:rsidRDefault="00BB416F" w:rsidP="00320B64">
      <w:pPr>
        <w:pStyle w:val="NoSpacing"/>
        <w:spacing w:line="360" w:lineRule="auto"/>
      </w:pPr>
    </w:p>
    <w:p w:rsidR="00320B64" w:rsidRDefault="00320B64" w:rsidP="00320B64">
      <w:pPr>
        <w:pStyle w:val="NoSpacing"/>
        <w:spacing w:line="360" w:lineRule="auto"/>
      </w:pPr>
      <w:r>
        <w:t>Most guidance and research has therefore focussed on the process of inve</w:t>
      </w:r>
      <w:r w:rsidR="00BB416F">
        <w:t xml:space="preserve">stigation and formulation of an </w:t>
      </w:r>
      <w:r>
        <w:t>action plan – as if once the boat has been launched the voyage is completed. But what happens next?</w:t>
      </w:r>
    </w:p>
    <w:p w:rsidR="00BB416F" w:rsidRDefault="00BB416F" w:rsidP="00BB416F">
      <w:pPr>
        <w:pStyle w:val="NoSpacing"/>
        <w:spacing w:line="360" w:lineRule="auto"/>
      </w:pPr>
      <w:r>
        <w:lastRenderedPageBreak/>
        <w:t>Does this result in implementation of recommendations? No studies have successfully addressed the post</w:t>
      </w:r>
      <w:r>
        <w:t xml:space="preserve">-investigation </w:t>
      </w:r>
      <w:r>
        <w:t>stage and no guidance exists to help services with structured implementation of</w:t>
      </w:r>
    </w:p>
    <w:p w:rsidR="00BB416F" w:rsidRDefault="00BB416F" w:rsidP="00BB416F">
      <w:pPr>
        <w:pStyle w:val="NoSpacing"/>
        <w:spacing w:line="360" w:lineRule="auto"/>
      </w:pPr>
      <w:r>
        <w:t>recommendations.</w:t>
      </w:r>
    </w:p>
    <w:p w:rsidR="00617C22" w:rsidRDefault="00617C22" w:rsidP="00BB416F">
      <w:pPr>
        <w:pStyle w:val="NoSpacing"/>
        <w:spacing w:line="360" w:lineRule="auto"/>
      </w:pPr>
    </w:p>
    <w:p w:rsidR="00617C22" w:rsidRDefault="00617C22" w:rsidP="00617C22">
      <w:pPr>
        <w:pStyle w:val="NoSpacing"/>
        <w:spacing w:line="360" w:lineRule="auto"/>
      </w:pPr>
      <w:r>
        <w:t>Below, we review approaches towards the learning of lessons as they ha</w:t>
      </w:r>
      <w:r>
        <w:t xml:space="preserve">ve developed since 1994. In the </w:t>
      </w:r>
      <w:r>
        <w:t>context of one article we cannot cover this extremely interesting area i</w:t>
      </w:r>
      <w:r>
        <w:t xml:space="preserve">n depth. It is unusual to cross </w:t>
      </w:r>
      <w:r>
        <w:t>boundaries and bring together investigation in the areas of menta</w:t>
      </w:r>
      <w:r>
        <w:t xml:space="preserve">l health, children and domestic </w:t>
      </w:r>
      <w:r>
        <w:t>violence. In doing so, we have found it is striking that whatever the settin</w:t>
      </w:r>
      <w:r>
        <w:t xml:space="preserve">g and however the investigation </w:t>
      </w:r>
      <w:r>
        <w:t>is carried out, there are broadly similar approaches – a point to which we return at the end of this section.</w:t>
      </w:r>
    </w:p>
    <w:p w:rsidR="001628B1" w:rsidRDefault="001628B1" w:rsidP="00617C22">
      <w:pPr>
        <w:pStyle w:val="NoSpacing"/>
        <w:spacing w:line="360" w:lineRule="auto"/>
      </w:pPr>
    </w:p>
    <w:p w:rsidR="001628B1" w:rsidRPr="001628B1" w:rsidRDefault="001628B1" w:rsidP="001628B1">
      <w:pPr>
        <w:pStyle w:val="NoSpacing"/>
        <w:spacing w:line="360" w:lineRule="auto"/>
        <w:rPr>
          <w:b/>
        </w:rPr>
      </w:pPr>
      <w:r w:rsidRPr="001628B1">
        <w:rPr>
          <w:b/>
        </w:rPr>
        <w:t>Early recognition of the value of inquiry follow-up</w:t>
      </w:r>
    </w:p>
    <w:p w:rsidR="001628B1" w:rsidRDefault="001628B1" w:rsidP="001628B1">
      <w:pPr>
        <w:pStyle w:val="NoSpacing"/>
        <w:spacing w:line="360" w:lineRule="auto"/>
      </w:pPr>
      <w:r>
        <w:t>Over a decade ago, shortly after the Department of Health Circular on m</w:t>
      </w:r>
      <w:r>
        <w:t xml:space="preserve">ental health homicide inquiries </w:t>
      </w:r>
      <w:r>
        <w:t>was produced in 1994, J Crichton and D Sheppard made the far-sighted pro</w:t>
      </w:r>
      <w:r>
        <w:t>posal ‘</w:t>
      </w:r>
      <w:r w:rsidRPr="001628B1">
        <w:rPr>
          <w:i/>
        </w:rPr>
        <w:t xml:space="preserve">It should be part of any </w:t>
      </w:r>
      <w:r w:rsidRPr="001628B1">
        <w:rPr>
          <w:i/>
        </w:rPr>
        <w:t xml:space="preserve">inquiry that the team is reassembled to comment upon the implementation of </w:t>
      </w:r>
      <w:r w:rsidRPr="001628B1">
        <w:rPr>
          <w:i/>
        </w:rPr>
        <w:t>their recommendations locally</w:t>
      </w:r>
      <w:r>
        <w:t>’.</w:t>
      </w:r>
      <w:r>
        <w:rPr>
          <w:rStyle w:val="FootnoteReference"/>
        </w:rPr>
        <w:footnoteReference w:id="7"/>
      </w:r>
    </w:p>
    <w:p w:rsidR="001628B1" w:rsidRDefault="001628B1" w:rsidP="001628B1">
      <w:pPr>
        <w:pStyle w:val="NoSpacing"/>
        <w:spacing w:line="360" w:lineRule="auto"/>
      </w:pPr>
      <w:r>
        <w:t>Their remarks followed the refusal to adopt such a procedure for the in</w:t>
      </w:r>
      <w:r>
        <w:t xml:space="preserve">quiry </w:t>
      </w:r>
      <w:r w:rsidRPr="00CF4B60">
        <w:rPr>
          <w:i/>
        </w:rPr>
        <w:t xml:space="preserve">Big, Black and Dangerous: </w:t>
      </w:r>
      <w:r w:rsidRPr="00CF4B60">
        <w:rPr>
          <w:i/>
        </w:rPr>
        <w:t>Report of the Committee of Inquiry into the Death of Orville Blackwood and a Re</w:t>
      </w:r>
      <w:r w:rsidR="00CF4B60" w:rsidRPr="00CF4B60">
        <w:rPr>
          <w:i/>
        </w:rPr>
        <w:t xml:space="preserve">view of the Deaths of Two Other </w:t>
      </w:r>
      <w:r w:rsidRPr="00CF4B60">
        <w:rPr>
          <w:i/>
        </w:rPr>
        <w:t>Afro-Caribbean Patients</w:t>
      </w:r>
      <w:r w:rsidR="00CF4B60">
        <w:rPr>
          <w:rStyle w:val="FootnoteReference"/>
          <w:i/>
        </w:rPr>
        <w:footnoteReference w:id="8"/>
      </w:r>
      <w:r>
        <w:t>. Eleven years later in 2004, it was the absence of any formal procedure for follow</w:t>
      </w:r>
      <w:r w:rsidR="00CF4B60">
        <w:t xml:space="preserve"> up </w:t>
      </w:r>
      <w:r>
        <w:t>of those recommendations or explanation for their non-implementation, that was r</w:t>
      </w:r>
      <w:r w:rsidR="00CF4B60">
        <w:t xml:space="preserve">emembered when </w:t>
      </w:r>
      <w:r>
        <w:t xml:space="preserve">the </w:t>
      </w:r>
      <w:r w:rsidRPr="00CF4B60">
        <w:rPr>
          <w:i/>
        </w:rPr>
        <w:t>Report of the Independent Inquiry into the Care and Treatment of David Bennett</w:t>
      </w:r>
      <w:r w:rsidR="00CF4B60">
        <w:rPr>
          <w:rStyle w:val="FootnoteReference"/>
          <w:i/>
        </w:rPr>
        <w:footnoteReference w:id="9"/>
      </w:r>
      <w:r w:rsidR="00CF4B60">
        <w:t xml:space="preserve"> stated ‘</w:t>
      </w:r>
      <w:r w:rsidR="00CF4B60" w:rsidRPr="00CF4B60">
        <w:rPr>
          <w:i/>
        </w:rPr>
        <w:t xml:space="preserve">Many of the </w:t>
      </w:r>
      <w:r w:rsidRPr="00CF4B60">
        <w:rPr>
          <w:i/>
        </w:rPr>
        <w:t>recommendations made in that report are disturbingly similar to recommendations</w:t>
      </w:r>
      <w:r w:rsidR="00CF4B60" w:rsidRPr="00CF4B60">
        <w:rPr>
          <w:i/>
        </w:rPr>
        <w:t xml:space="preserve"> that we include in this report </w:t>
      </w:r>
      <w:r w:rsidRPr="00CF4B60">
        <w:rPr>
          <w:i/>
        </w:rPr>
        <w:t>but it is disturbing to find that little action has been taken upon them…..we e</w:t>
      </w:r>
      <w:r w:rsidR="00CF4B60" w:rsidRPr="00CF4B60">
        <w:rPr>
          <w:i/>
        </w:rPr>
        <w:t xml:space="preserve">xpress our grave concern at the </w:t>
      </w:r>
      <w:r w:rsidRPr="00CF4B60">
        <w:rPr>
          <w:i/>
        </w:rPr>
        <w:t>apparent lack of reaction by anybody in authority to attempt to implement these</w:t>
      </w:r>
      <w:r w:rsidR="00CF4B60" w:rsidRPr="00CF4B60">
        <w:rPr>
          <w:i/>
        </w:rPr>
        <w:t xml:space="preserve"> and other recommendations made in that report</w:t>
      </w:r>
      <w:r w:rsidR="00CF4B60">
        <w:t>’.</w:t>
      </w:r>
      <w:r w:rsidR="00CF4B60">
        <w:rPr>
          <w:rStyle w:val="FootnoteReference"/>
        </w:rPr>
        <w:footnoteReference w:id="10"/>
      </w:r>
    </w:p>
    <w:p w:rsidR="00A454DC" w:rsidRDefault="00A454DC" w:rsidP="001628B1">
      <w:pPr>
        <w:pStyle w:val="NoSpacing"/>
        <w:spacing w:line="360" w:lineRule="auto"/>
      </w:pPr>
    </w:p>
    <w:p w:rsidR="001628B1" w:rsidRDefault="001628B1" w:rsidP="001628B1">
      <w:pPr>
        <w:pStyle w:val="NoSpacing"/>
        <w:spacing w:line="360" w:lineRule="auto"/>
      </w:pPr>
      <w:r>
        <w:lastRenderedPageBreak/>
        <w:t xml:space="preserve">Adding her voice in 1996, Jill Peay, in </w:t>
      </w:r>
      <w:r w:rsidRPr="00A454DC">
        <w:rPr>
          <w:i/>
        </w:rPr>
        <w:t>Inquiries after Homicide</w:t>
      </w:r>
      <w:r>
        <w:t>, asked ‘</w:t>
      </w:r>
      <w:r w:rsidRPr="00A454DC">
        <w:rPr>
          <w:i/>
        </w:rPr>
        <w:t>Do Inquiries have any legitimate</w:t>
      </w:r>
      <w:r w:rsidR="00A454DC" w:rsidRPr="00A454DC">
        <w:rPr>
          <w:i/>
        </w:rPr>
        <w:t xml:space="preserve"> continuing role where their recommendations are not implemented</w:t>
      </w:r>
      <w:r w:rsidR="00A454DC" w:rsidRPr="00A454DC">
        <w:t>?’</w:t>
      </w:r>
      <w:r w:rsidR="00A454DC">
        <w:rPr>
          <w:rStyle w:val="FootnoteReference"/>
        </w:rPr>
        <w:footnoteReference w:id="11"/>
      </w:r>
      <w:r w:rsidR="00A454DC" w:rsidRPr="00A454DC">
        <w:t xml:space="preserve"> That question remained unanswered.</w:t>
      </w:r>
    </w:p>
    <w:p w:rsidR="00A454DC" w:rsidRDefault="00A454DC" w:rsidP="001628B1">
      <w:pPr>
        <w:pStyle w:val="NoSpacing"/>
        <w:spacing w:line="360" w:lineRule="auto"/>
      </w:pPr>
    </w:p>
    <w:p w:rsidR="00A454DC" w:rsidRPr="00A454DC" w:rsidRDefault="00A454DC" w:rsidP="00A454DC">
      <w:pPr>
        <w:pStyle w:val="NoSpacing"/>
        <w:spacing w:line="360" w:lineRule="auto"/>
        <w:rPr>
          <w:b/>
        </w:rPr>
      </w:pPr>
      <w:r w:rsidRPr="00A454DC">
        <w:rPr>
          <w:b/>
        </w:rPr>
        <w:t>Learning lessons in the NHS</w:t>
      </w:r>
    </w:p>
    <w:p w:rsidR="00A454DC" w:rsidRPr="00A454DC" w:rsidRDefault="00A454DC" w:rsidP="00A454DC">
      <w:pPr>
        <w:pStyle w:val="NoSpacing"/>
        <w:spacing w:line="360" w:lineRule="auto"/>
        <w:rPr>
          <w:i/>
        </w:rPr>
      </w:pPr>
      <w:r>
        <w:t>Across health services generally, the problem of learning lessons from</w:t>
      </w:r>
      <w:r>
        <w:t xml:space="preserve"> untoward incidents was causing </w:t>
      </w:r>
      <w:r>
        <w:t>much scratching of heads. In 2000,</w:t>
      </w:r>
      <w:r>
        <w:t xml:space="preserve"> </w:t>
      </w:r>
      <w:r w:rsidRPr="00A454DC">
        <w:rPr>
          <w:i/>
        </w:rPr>
        <w:t>An Organisation with a Memory</w:t>
      </w:r>
      <w:r>
        <w:rPr>
          <w:rStyle w:val="FootnoteReference"/>
        </w:rPr>
        <w:footnoteReference w:id="12"/>
      </w:r>
      <w:r>
        <w:t xml:space="preserve"> </w:t>
      </w:r>
      <w:r>
        <w:t xml:space="preserve"> stated ‘</w:t>
      </w:r>
      <w:r w:rsidRPr="00A454DC">
        <w:rPr>
          <w:i/>
        </w:rPr>
        <w:t xml:space="preserve">four National Confidential </w:t>
      </w:r>
      <w:r w:rsidRPr="00A454DC">
        <w:rPr>
          <w:i/>
        </w:rPr>
        <w:t xml:space="preserve">Inquiries operate in the NHS, but uptake of their recommendations is found to be insufficiently </w:t>
      </w:r>
      <w:r w:rsidRPr="00A454DC">
        <w:rPr>
          <w:i/>
        </w:rPr>
        <w:t xml:space="preserve">monitored, with </w:t>
      </w:r>
      <w:r w:rsidRPr="00A454DC">
        <w:rPr>
          <w:i/>
        </w:rPr>
        <w:t>the result that some measures are implemented while other recommendations app</w:t>
      </w:r>
      <w:r w:rsidRPr="00A454DC">
        <w:rPr>
          <w:i/>
        </w:rPr>
        <w:t>ear in report after report</w:t>
      </w:r>
      <w:r>
        <w:t xml:space="preserve">’. On </w:t>
      </w:r>
      <w:r>
        <w:t xml:space="preserve">inquiries and investigations it was said </w:t>
      </w:r>
      <w:r w:rsidRPr="00A454DC">
        <w:rPr>
          <w:i/>
        </w:rPr>
        <w:t>‘inquiry recommendations are not always sufficiently helpful or focussed</w:t>
      </w:r>
      <w:r>
        <w:t xml:space="preserve">; </w:t>
      </w:r>
      <w:r w:rsidRPr="00A454DC">
        <w:rPr>
          <w:i/>
        </w:rPr>
        <w:t>implementation and follow-up is patchy; and there is no systematic mechanism for disseminating learning from</w:t>
      </w:r>
    </w:p>
    <w:p w:rsidR="00A454DC" w:rsidRDefault="00A454DC" w:rsidP="00A454DC">
      <w:pPr>
        <w:pStyle w:val="NoSpacing"/>
        <w:spacing w:line="360" w:lineRule="auto"/>
      </w:pPr>
      <w:r w:rsidRPr="00A454DC">
        <w:rPr>
          <w:i/>
        </w:rPr>
        <w:t>individual local investigations’</w:t>
      </w:r>
      <w:r>
        <w:t xml:space="preserve">. Recommendations for improvement </w:t>
      </w:r>
      <w:r w:rsidRPr="00A454DC">
        <w:rPr>
          <w:i/>
        </w:rPr>
        <w:t>included ‘in</w:t>
      </w:r>
      <w:r w:rsidRPr="00A454DC">
        <w:rPr>
          <w:i/>
        </w:rPr>
        <w:t xml:space="preserve">troduce a single overall system </w:t>
      </w:r>
      <w:r w:rsidRPr="00A454DC">
        <w:rPr>
          <w:i/>
        </w:rPr>
        <w:t>for analysing and disseminating lessons from adverse events and near-misses’</w:t>
      </w:r>
      <w:r>
        <w:t xml:space="preserve"> an</w:t>
      </w:r>
      <w:r>
        <w:t xml:space="preserve">d </w:t>
      </w:r>
      <w:r w:rsidRPr="00A454DC">
        <w:rPr>
          <w:i/>
        </w:rPr>
        <w:t xml:space="preserve">‘act to ensure that important </w:t>
      </w:r>
      <w:r w:rsidRPr="00A454DC">
        <w:rPr>
          <w:i/>
        </w:rPr>
        <w:t>lessons are implemented quickly and consistently’</w:t>
      </w:r>
      <w:r>
        <w:t>.</w:t>
      </w:r>
    </w:p>
    <w:p w:rsidR="00BB3C89" w:rsidRDefault="00BB3C89" w:rsidP="00A454DC">
      <w:pPr>
        <w:pStyle w:val="NoSpacing"/>
        <w:spacing w:line="360" w:lineRule="auto"/>
      </w:pPr>
    </w:p>
    <w:p w:rsidR="00BB3C89" w:rsidRDefault="00BB3C89" w:rsidP="00BB3C89">
      <w:pPr>
        <w:pStyle w:val="NoSpacing"/>
        <w:spacing w:line="360" w:lineRule="auto"/>
      </w:pPr>
      <w:r>
        <w:t xml:space="preserve">Taking up the challenge, in 2002, </w:t>
      </w:r>
      <w:r w:rsidRPr="00BB3C89">
        <w:rPr>
          <w:i/>
        </w:rPr>
        <w:t>Building a Safer NHS for patients: Implementing an o</w:t>
      </w:r>
      <w:r w:rsidRPr="00BB3C89">
        <w:rPr>
          <w:i/>
        </w:rPr>
        <w:t xml:space="preserve">rganisation with a </w:t>
      </w:r>
      <w:r w:rsidRPr="00BB3C89">
        <w:rPr>
          <w:i/>
        </w:rPr>
        <w:t>memory</w:t>
      </w:r>
      <w:r>
        <w:rPr>
          <w:rStyle w:val="FootnoteReference"/>
          <w:i/>
        </w:rPr>
        <w:footnoteReference w:id="13"/>
      </w:r>
      <w:r>
        <w:t xml:space="preserve"> set up the National Patient Safety Agency with the intention </w:t>
      </w:r>
      <w:r>
        <w:t>of establishing ‘</w:t>
      </w:r>
      <w:r w:rsidRPr="00BB3C89">
        <w:rPr>
          <w:i/>
        </w:rPr>
        <w:t xml:space="preserve">a system which </w:t>
      </w:r>
      <w:r w:rsidRPr="00BB3C89">
        <w:rPr>
          <w:i/>
        </w:rPr>
        <w:t xml:space="preserve">ensures that lessons from adverse events in one locality </w:t>
      </w:r>
      <w:proofErr w:type="spellStart"/>
      <w:r w:rsidRPr="00BB3C89">
        <w:rPr>
          <w:i/>
        </w:rPr>
        <w:t>a</w:t>
      </w:r>
      <w:r w:rsidR="00AC435C">
        <w:rPr>
          <w:i/>
        </w:rPr>
        <w:t xml:space="preserve"> </w:t>
      </w:r>
      <w:r w:rsidRPr="00BB3C89">
        <w:rPr>
          <w:i/>
        </w:rPr>
        <w:t>re</w:t>
      </w:r>
      <w:proofErr w:type="spellEnd"/>
      <w:r w:rsidRPr="00BB3C89">
        <w:rPr>
          <w:i/>
        </w:rPr>
        <w:t xml:space="preserve"> learnt across the </w:t>
      </w:r>
      <w:r w:rsidRPr="00BB3C89">
        <w:rPr>
          <w:i/>
        </w:rPr>
        <w:t xml:space="preserve">NHS as a whole. The system will </w:t>
      </w:r>
      <w:r w:rsidRPr="00BB3C89">
        <w:rPr>
          <w:i/>
        </w:rPr>
        <w:t xml:space="preserve">enable reporting from local to national level’. </w:t>
      </w:r>
      <w:r>
        <w:t>This national tool does not d</w:t>
      </w:r>
      <w:r>
        <w:t xml:space="preserve">eal with how to implement local </w:t>
      </w:r>
      <w:r>
        <w:t>recommendations arising from individual investigations, at the time they happen. That is a different task.</w:t>
      </w:r>
    </w:p>
    <w:p w:rsidR="00BB3C89" w:rsidRDefault="00BB3C89" w:rsidP="00BB3C89">
      <w:pPr>
        <w:pStyle w:val="NoSpacing"/>
        <w:spacing w:line="360" w:lineRule="auto"/>
      </w:pPr>
    </w:p>
    <w:p w:rsidR="00BB3C89" w:rsidRDefault="00BB3C89" w:rsidP="00BB3C89">
      <w:pPr>
        <w:pStyle w:val="NoSpacing"/>
        <w:spacing w:line="360" w:lineRule="auto"/>
      </w:pPr>
      <w:r>
        <w:t xml:space="preserve">In their 2002 BMJ paper </w:t>
      </w:r>
      <w:r w:rsidRPr="00BB3C89">
        <w:rPr>
          <w:i/>
        </w:rPr>
        <w:t>The use and impact of inquiries in the NHS</w:t>
      </w:r>
      <w:r>
        <w:rPr>
          <w:rStyle w:val="FootnoteReference"/>
          <w:i/>
        </w:rPr>
        <w:footnoteReference w:id="14"/>
      </w:r>
      <w:r>
        <w:t xml:space="preserve"> </w:t>
      </w:r>
      <w:proofErr w:type="spellStart"/>
      <w:r>
        <w:t>Keiran</w:t>
      </w:r>
      <w:proofErr w:type="spellEnd"/>
      <w:r>
        <w:t xml:space="preserve"> Walshe and Joan Higgins </w:t>
      </w:r>
      <w:r>
        <w:t xml:space="preserve">spoke for many commentators, writing </w:t>
      </w:r>
      <w:r w:rsidRPr="00BB3C89">
        <w:rPr>
          <w:i/>
        </w:rPr>
        <w:t xml:space="preserve">‘Inquiries rely on their credibility </w:t>
      </w:r>
      <w:r w:rsidRPr="00BB3C89">
        <w:rPr>
          <w:i/>
        </w:rPr>
        <w:t xml:space="preserve">and persuasive power to achieve </w:t>
      </w:r>
      <w:r w:rsidRPr="00BB3C89">
        <w:rPr>
          <w:i/>
        </w:rPr>
        <w:t>change: they have no formal powers or authority…. The consistency with which inq</w:t>
      </w:r>
      <w:r w:rsidRPr="00BB3C89">
        <w:rPr>
          <w:i/>
        </w:rPr>
        <w:t xml:space="preserve">uiries highlight similar causes </w:t>
      </w:r>
      <w:r w:rsidRPr="00BB3C89">
        <w:rPr>
          <w:i/>
        </w:rPr>
        <w:t>suggests that their recommendations are either misdirected or not properly imple</w:t>
      </w:r>
      <w:r w:rsidRPr="00BB3C89">
        <w:rPr>
          <w:i/>
        </w:rPr>
        <w:t xml:space="preserve">mented. Certainly there are few </w:t>
      </w:r>
      <w:r w:rsidRPr="00BB3C89">
        <w:rPr>
          <w:i/>
        </w:rPr>
        <w:t>formal mechanisms for following up the findings and recommendations of inquiries’</w:t>
      </w:r>
      <w:r>
        <w:rPr>
          <w:rStyle w:val="FootnoteReference"/>
          <w:i/>
        </w:rPr>
        <w:footnoteReference w:id="15"/>
      </w:r>
    </w:p>
    <w:p w:rsidR="00BB3C89" w:rsidRDefault="00BB3C89" w:rsidP="00A454DC">
      <w:pPr>
        <w:pStyle w:val="NoSpacing"/>
        <w:spacing w:line="360" w:lineRule="auto"/>
      </w:pPr>
    </w:p>
    <w:p w:rsidR="00AC435C" w:rsidRPr="00AC435C" w:rsidRDefault="00AC435C" w:rsidP="00AC435C">
      <w:pPr>
        <w:pStyle w:val="NoSpacing"/>
        <w:spacing w:line="360" w:lineRule="auto"/>
        <w:rPr>
          <w:b/>
        </w:rPr>
      </w:pPr>
      <w:r w:rsidRPr="00AC435C">
        <w:rPr>
          <w:b/>
        </w:rPr>
        <w:lastRenderedPageBreak/>
        <w:t>Mental health investigations</w:t>
      </w:r>
    </w:p>
    <w:p w:rsidR="00AC435C" w:rsidRDefault="00AC435C" w:rsidP="00AC435C">
      <w:pPr>
        <w:pStyle w:val="NoSpacing"/>
        <w:spacing w:line="360" w:lineRule="auto"/>
      </w:pPr>
      <w:r>
        <w:t>In an effort to ensure that recommendations are formulated in a workable way, the National Patient</w:t>
      </w:r>
    </w:p>
    <w:p w:rsidR="00AC435C" w:rsidRDefault="00AC435C" w:rsidP="00AC435C">
      <w:pPr>
        <w:pStyle w:val="NoSpacing"/>
        <w:spacing w:line="360" w:lineRule="auto"/>
      </w:pPr>
      <w:r>
        <w:t xml:space="preserve">Safety Agency published guidance in February 2008 entitled </w:t>
      </w:r>
      <w:r w:rsidRPr="00F41F5C">
        <w:rPr>
          <w:i/>
        </w:rPr>
        <w:t>Independent i</w:t>
      </w:r>
      <w:r w:rsidR="00F41F5C" w:rsidRPr="00F41F5C">
        <w:rPr>
          <w:i/>
        </w:rPr>
        <w:t xml:space="preserve">nvestigation of serious patient </w:t>
      </w:r>
      <w:r w:rsidRPr="00F41F5C">
        <w:rPr>
          <w:i/>
        </w:rPr>
        <w:t>safety incidents in mental health services: Good Practice Guidance</w:t>
      </w:r>
      <w:r w:rsidR="00F41F5C">
        <w:rPr>
          <w:rStyle w:val="FootnoteReference"/>
        </w:rPr>
        <w:footnoteReference w:id="16"/>
      </w:r>
      <w:r>
        <w:t xml:space="preserve">. This </w:t>
      </w:r>
      <w:r w:rsidR="00F41F5C">
        <w:t xml:space="preserve">emphasises that recommendations </w:t>
      </w:r>
      <w:r>
        <w:t>should be ‘implementable’ and that victims, families and carers should rec</w:t>
      </w:r>
      <w:r w:rsidR="00F41F5C">
        <w:t xml:space="preserve">eive a copy of the final report </w:t>
      </w:r>
      <w:r>
        <w:t>and action plan. It does not however say how recommendations should be implemented, neither does</w:t>
      </w:r>
      <w:r w:rsidR="00F41F5C">
        <w:t xml:space="preserve"> it </w:t>
      </w:r>
      <w:r>
        <w:t>suggest that there should be any independent process to review this, nor th</w:t>
      </w:r>
      <w:r w:rsidR="00F41F5C">
        <w:t xml:space="preserve">at victims, families and carers </w:t>
      </w:r>
      <w:r>
        <w:t>should be entitled to know whether the recommendations have been implemented.</w:t>
      </w:r>
    </w:p>
    <w:p w:rsidR="00F41F5C" w:rsidRDefault="00F41F5C" w:rsidP="00AC435C">
      <w:pPr>
        <w:pStyle w:val="NoSpacing"/>
        <w:spacing w:line="360" w:lineRule="auto"/>
      </w:pPr>
    </w:p>
    <w:p w:rsidR="00AC435C" w:rsidRDefault="00AC435C" w:rsidP="00AC435C">
      <w:pPr>
        <w:pStyle w:val="NoSpacing"/>
        <w:spacing w:line="360" w:lineRule="auto"/>
      </w:pPr>
      <w:r>
        <w:t xml:space="preserve">The </w:t>
      </w:r>
      <w:r w:rsidRPr="00F41F5C">
        <w:rPr>
          <w:i/>
        </w:rPr>
        <w:t>National Confidential Inquiry into Suicide and Homicide</w:t>
      </w:r>
      <w:r w:rsidR="00F41F5C">
        <w:rPr>
          <w:rStyle w:val="FootnoteReference"/>
          <w:i/>
        </w:rPr>
        <w:footnoteReference w:id="17"/>
      </w:r>
      <w:r>
        <w:t xml:space="preserve"> obtains information on the kinds of</w:t>
      </w:r>
    </w:p>
    <w:p w:rsidR="00AC435C" w:rsidRDefault="00AC435C" w:rsidP="00AC435C">
      <w:pPr>
        <w:pStyle w:val="NoSpacing"/>
        <w:spacing w:line="360" w:lineRule="auto"/>
      </w:pPr>
      <w:r>
        <w:t>recommendations made by inquiries and investigations, drawing toget</w:t>
      </w:r>
      <w:r w:rsidR="00F41F5C">
        <w:t xml:space="preserve">her themes which have helpfully </w:t>
      </w:r>
      <w:r>
        <w:t>informed the Mental Health Act 2007 and its Code of Practice. However,</w:t>
      </w:r>
      <w:r w:rsidR="00F41F5C">
        <w:t xml:space="preserve"> this information-gathering has </w:t>
      </w:r>
      <w:r>
        <w:t>been concerned with the nature of recommendations, not the effectiveness of their implementation.</w:t>
      </w:r>
    </w:p>
    <w:p w:rsidR="00F41F5C" w:rsidRDefault="00F41F5C" w:rsidP="00AC435C">
      <w:pPr>
        <w:pStyle w:val="NoSpacing"/>
        <w:spacing w:line="360" w:lineRule="auto"/>
      </w:pPr>
    </w:p>
    <w:p w:rsidR="00BB3C89" w:rsidRDefault="00AC435C" w:rsidP="00AC435C">
      <w:pPr>
        <w:pStyle w:val="NoSpacing"/>
        <w:spacing w:line="360" w:lineRule="auto"/>
      </w:pPr>
      <w:r w:rsidRPr="00F41F5C">
        <w:rPr>
          <w:i/>
        </w:rPr>
        <w:t>A Review of 26 mental health homicides in London committed between Ja</w:t>
      </w:r>
      <w:r w:rsidR="00F41F5C" w:rsidRPr="00F41F5C">
        <w:rPr>
          <w:i/>
        </w:rPr>
        <w:t xml:space="preserve">nuary 2002 and December 2006: a </w:t>
      </w:r>
      <w:r w:rsidRPr="00F41F5C">
        <w:rPr>
          <w:i/>
        </w:rPr>
        <w:t>report for NHS London</w:t>
      </w:r>
      <w:r>
        <w:t xml:space="preserve"> published in March 2008</w:t>
      </w:r>
      <w:r w:rsidR="00F41F5C">
        <w:rPr>
          <w:rStyle w:val="FootnoteReference"/>
        </w:rPr>
        <w:footnoteReference w:id="18"/>
      </w:r>
      <w:r>
        <w:t xml:space="preserve"> has examined in detail several di</w:t>
      </w:r>
      <w:r w:rsidR="00F41F5C">
        <w:t xml:space="preserve">fferent formats for </w:t>
      </w:r>
      <w:r>
        <w:t>mental health investigations, some identifying themes, but none address</w:t>
      </w:r>
      <w:r w:rsidR="00F41F5C">
        <w:t xml:space="preserve">ing the post-inquiry process of </w:t>
      </w:r>
      <w:r>
        <w:t>implementing recommendations.</w:t>
      </w:r>
    </w:p>
    <w:p w:rsidR="00F315A0" w:rsidRDefault="00F315A0" w:rsidP="00AC435C">
      <w:pPr>
        <w:pStyle w:val="NoSpacing"/>
        <w:spacing w:line="360" w:lineRule="auto"/>
      </w:pPr>
    </w:p>
    <w:p w:rsidR="00F315A0" w:rsidRPr="00F315A0" w:rsidRDefault="00F315A0" w:rsidP="00F315A0">
      <w:pPr>
        <w:pStyle w:val="NoSpacing"/>
        <w:spacing w:line="360" w:lineRule="auto"/>
        <w:rPr>
          <w:b/>
        </w:rPr>
      </w:pPr>
      <w:r w:rsidRPr="00F315A0">
        <w:rPr>
          <w:b/>
        </w:rPr>
        <w:t>Serious case reviews</w:t>
      </w:r>
    </w:p>
    <w:p w:rsidR="00617C22" w:rsidRDefault="00F315A0" w:rsidP="00BB416F">
      <w:pPr>
        <w:pStyle w:val="NoSpacing"/>
        <w:spacing w:line="360" w:lineRule="auto"/>
      </w:pPr>
      <w:r>
        <w:t>Serious case reviews following child deaths or serious injuries have a very</w:t>
      </w:r>
      <w:r>
        <w:t xml:space="preserve"> structured format contained in </w:t>
      </w:r>
      <w:r w:rsidRPr="00F315A0">
        <w:rPr>
          <w:i/>
        </w:rPr>
        <w:t>Working Together to Safeguard Children</w:t>
      </w:r>
      <w:r>
        <w:rPr>
          <w:rStyle w:val="FootnoteReference"/>
        </w:rPr>
        <w:footnoteReference w:id="19"/>
      </w:r>
      <w:r>
        <w:t>. Each review is expected to result in acti</w:t>
      </w:r>
      <w:r>
        <w:t xml:space="preserve">on plans describing the </w:t>
      </w:r>
      <w:r>
        <w:t>change which should result, with findings and recommendations fed</w:t>
      </w:r>
      <w:r>
        <w:t xml:space="preserve"> to Local Safeguarding Children </w:t>
      </w:r>
      <w:r>
        <w:t>Boards which ‘</w:t>
      </w:r>
      <w:r w:rsidRPr="00F315A0">
        <w:rPr>
          <w:i/>
        </w:rPr>
        <w:t>should put in place a means of auditing action against recommen</w:t>
      </w:r>
      <w:r w:rsidRPr="00F315A0">
        <w:rPr>
          <w:i/>
        </w:rPr>
        <w:t>dations and intended outcomes</w:t>
      </w:r>
      <w:r>
        <w:t xml:space="preserve">’. </w:t>
      </w:r>
      <w:r>
        <w:t>Under the heading ‘</w:t>
      </w:r>
      <w:r w:rsidRPr="00F315A0">
        <w:rPr>
          <w:i/>
        </w:rPr>
        <w:t>Learning lessons locally</w:t>
      </w:r>
      <w:r>
        <w:t>’ it is said ‘</w:t>
      </w:r>
      <w:r w:rsidRPr="00F315A0">
        <w:rPr>
          <w:i/>
        </w:rPr>
        <w:t>Reviews are of little value</w:t>
      </w:r>
      <w:r w:rsidRPr="00F315A0">
        <w:rPr>
          <w:i/>
        </w:rPr>
        <w:t xml:space="preserve"> unless lessons are learnt from </w:t>
      </w:r>
      <w:r w:rsidRPr="00F315A0">
        <w:rPr>
          <w:i/>
        </w:rPr>
        <w:t>them. At least as much effort should be spent on acting on recommendations as on conducting the review</w:t>
      </w:r>
      <w:r>
        <w:t>’.</w:t>
      </w:r>
    </w:p>
    <w:p w:rsidR="00F315A0" w:rsidRDefault="00F315A0" w:rsidP="00BB416F">
      <w:pPr>
        <w:pStyle w:val="NoSpacing"/>
        <w:spacing w:line="360" w:lineRule="auto"/>
      </w:pPr>
    </w:p>
    <w:p w:rsidR="00854868" w:rsidRDefault="00854868" w:rsidP="00854868">
      <w:pPr>
        <w:pStyle w:val="NoSpacing"/>
        <w:spacing w:line="360" w:lineRule="auto"/>
      </w:pPr>
      <w:r>
        <w:lastRenderedPageBreak/>
        <w:t>However, there is no structured post-review process to check on the implementation of</w:t>
      </w:r>
    </w:p>
    <w:p w:rsidR="00854868" w:rsidRDefault="00854868" w:rsidP="00854868">
      <w:pPr>
        <w:pStyle w:val="NoSpacing"/>
        <w:spacing w:line="360" w:lineRule="auto"/>
      </w:pPr>
      <w:r>
        <w:t>recommendations.</w:t>
      </w:r>
    </w:p>
    <w:p w:rsidR="00854868" w:rsidRDefault="00854868" w:rsidP="00854868">
      <w:pPr>
        <w:pStyle w:val="NoSpacing"/>
        <w:spacing w:line="360" w:lineRule="auto"/>
      </w:pPr>
      <w:r>
        <w:t>The following three serious case review studies (</w:t>
      </w:r>
      <w:proofErr w:type="spellStart"/>
      <w:r>
        <w:t>i</w:t>
      </w:r>
      <w:proofErr w:type="spellEnd"/>
      <w:r>
        <w:t>) reveal an absence o</w:t>
      </w:r>
      <w:r>
        <w:t xml:space="preserve">f information on implementation </w:t>
      </w:r>
      <w:r>
        <w:t>of recommendations, (ii) show how difficult it is to obtain data on this subj</w:t>
      </w:r>
      <w:r>
        <w:t xml:space="preserve">ect, and (iii) indicate how few </w:t>
      </w:r>
      <w:r>
        <w:t>families are involved in reviews:</w:t>
      </w:r>
    </w:p>
    <w:p w:rsidR="00854868" w:rsidRDefault="00854868" w:rsidP="0062617C">
      <w:pPr>
        <w:pStyle w:val="NoSpacing"/>
        <w:spacing w:line="360" w:lineRule="auto"/>
        <w:ind w:left="284" w:hanging="284"/>
      </w:pPr>
      <w:r>
        <w:t>•</w:t>
      </w:r>
      <w:r w:rsidR="0062617C">
        <w:t xml:space="preserve">  </w:t>
      </w:r>
      <w:r>
        <w:t xml:space="preserve"> In 2002 Ruth Sinclair and Roger Bullock, authors of </w:t>
      </w:r>
      <w:r w:rsidRPr="00127551">
        <w:rPr>
          <w:i/>
        </w:rPr>
        <w:t>A Study of Serious Case Reviews and the Effects</w:t>
      </w:r>
      <w:r w:rsidR="00127551" w:rsidRPr="00127551">
        <w:rPr>
          <w:i/>
        </w:rPr>
        <w:t xml:space="preserve"> </w:t>
      </w:r>
      <w:r w:rsidRPr="00127551">
        <w:rPr>
          <w:i/>
        </w:rPr>
        <w:t>of the 1999 Guidance: A Research report</w:t>
      </w:r>
      <w:r w:rsidR="00127551">
        <w:rPr>
          <w:rStyle w:val="FootnoteReference"/>
        </w:rPr>
        <w:footnoteReference w:id="20"/>
      </w:r>
      <w:r>
        <w:t xml:space="preserve"> said </w:t>
      </w:r>
      <w:r w:rsidRPr="00127551">
        <w:rPr>
          <w:i/>
        </w:rPr>
        <w:t>‘Without proven methods o</w:t>
      </w:r>
      <w:r w:rsidR="00127551" w:rsidRPr="00127551">
        <w:rPr>
          <w:i/>
        </w:rPr>
        <w:t xml:space="preserve">f achieving service change, the </w:t>
      </w:r>
      <w:r w:rsidRPr="00127551">
        <w:rPr>
          <w:i/>
        </w:rPr>
        <w:t>effects of revisions to guidance and investment in the post-qualifying training proposed so</w:t>
      </w:r>
      <w:r w:rsidR="00127551" w:rsidRPr="00127551">
        <w:rPr>
          <w:i/>
        </w:rPr>
        <w:t xml:space="preserve"> frequently by </w:t>
      </w:r>
      <w:r w:rsidRPr="00127551">
        <w:rPr>
          <w:i/>
        </w:rPr>
        <w:t>Serious Case Review panels will remain unknown’</w:t>
      </w:r>
      <w:r>
        <w:t>.</w:t>
      </w:r>
    </w:p>
    <w:p w:rsidR="00854868" w:rsidRPr="00127551" w:rsidRDefault="00854868" w:rsidP="00854868">
      <w:pPr>
        <w:pStyle w:val="NoSpacing"/>
        <w:spacing w:line="360" w:lineRule="auto"/>
        <w:rPr>
          <w:i/>
        </w:rPr>
      </w:pPr>
      <w:r>
        <w:t xml:space="preserve">• </w:t>
      </w:r>
      <w:r w:rsidR="0062617C">
        <w:t xml:space="preserve">   </w:t>
      </w:r>
      <w:r>
        <w:t xml:space="preserve">Wendy Rose and Julie Barnes in </w:t>
      </w:r>
      <w:r w:rsidRPr="00127551">
        <w:rPr>
          <w:i/>
        </w:rPr>
        <w:t>Improving Safeguarding Practice: study of serious case reviews</w:t>
      </w:r>
    </w:p>
    <w:p w:rsidR="00854868" w:rsidRDefault="00127551" w:rsidP="0062617C">
      <w:pPr>
        <w:pStyle w:val="NoSpacing"/>
        <w:spacing w:line="360" w:lineRule="auto"/>
        <w:ind w:firstLine="284"/>
      </w:pPr>
      <w:r w:rsidRPr="00127551">
        <w:rPr>
          <w:i/>
        </w:rPr>
        <w:t>2001–2003</w:t>
      </w:r>
      <w:r>
        <w:rPr>
          <w:rStyle w:val="FootnoteReference"/>
        </w:rPr>
        <w:footnoteReference w:id="21"/>
      </w:r>
      <w:r w:rsidR="00854868">
        <w:t xml:space="preserve"> reveal that out of 40 case reports examined, only 8 included contributions from the</w:t>
      </w:r>
    </w:p>
    <w:p w:rsidR="00854868" w:rsidRPr="0062617C" w:rsidRDefault="00854868" w:rsidP="0062617C">
      <w:pPr>
        <w:pStyle w:val="NoSpacing"/>
        <w:spacing w:line="360" w:lineRule="auto"/>
        <w:ind w:left="284"/>
        <w:rPr>
          <w:i/>
        </w:rPr>
      </w:pPr>
      <w:r>
        <w:t>family to the investigation, causing the authors to comment ‘</w:t>
      </w:r>
      <w:r w:rsidRPr="00127551">
        <w:rPr>
          <w:i/>
        </w:rPr>
        <w:t>At the end of the reports read for this</w:t>
      </w:r>
      <w:r w:rsidR="0062617C">
        <w:rPr>
          <w:i/>
        </w:rPr>
        <w:t xml:space="preserve"> </w:t>
      </w:r>
      <w:r w:rsidRPr="00127551">
        <w:rPr>
          <w:i/>
        </w:rPr>
        <w:t>study, there was often an over-riding sense of frustration, of only knowing p</w:t>
      </w:r>
      <w:r w:rsidR="00127551" w:rsidRPr="00127551">
        <w:rPr>
          <w:i/>
        </w:rPr>
        <w:t xml:space="preserve">art of the story…There were few </w:t>
      </w:r>
      <w:r w:rsidRPr="00127551">
        <w:rPr>
          <w:i/>
        </w:rPr>
        <w:t>insights into the child or other family members’ perspectives</w:t>
      </w:r>
      <w:r>
        <w:t>’</w:t>
      </w:r>
      <w:r w:rsidR="00127551">
        <w:rPr>
          <w:rStyle w:val="FootnoteReference"/>
        </w:rPr>
        <w:footnoteReference w:id="22"/>
      </w:r>
      <w:r>
        <w:t>.</w:t>
      </w:r>
      <w:r w:rsidR="00127551">
        <w:t xml:space="preserve"> There was no suggestion of any </w:t>
      </w:r>
      <w:r>
        <w:t>accountability to the families for implementation of recommendations.</w:t>
      </w:r>
    </w:p>
    <w:p w:rsidR="00127551" w:rsidRDefault="00127551" w:rsidP="00854868">
      <w:pPr>
        <w:pStyle w:val="NoSpacing"/>
        <w:spacing w:line="360" w:lineRule="auto"/>
      </w:pPr>
    </w:p>
    <w:p w:rsidR="00854868" w:rsidRPr="00E854B5" w:rsidRDefault="00854868" w:rsidP="00292AF1">
      <w:pPr>
        <w:pStyle w:val="NoSpacing"/>
        <w:spacing w:line="360" w:lineRule="auto"/>
        <w:ind w:left="284"/>
        <w:rPr>
          <w:i/>
        </w:rPr>
      </w:pPr>
      <w:r>
        <w:t xml:space="preserve">In 30 out of 40 serious case review reports, recommendations were </w:t>
      </w:r>
      <w:r w:rsidRPr="00E854B5">
        <w:rPr>
          <w:i/>
        </w:rPr>
        <w:t>‘foc</w:t>
      </w:r>
      <w:r w:rsidR="00292AF1" w:rsidRPr="00E854B5">
        <w:rPr>
          <w:i/>
        </w:rPr>
        <w:t xml:space="preserve">ussed and specific, and capable </w:t>
      </w:r>
      <w:r w:rsidRPr="00E854B5">
        <w:rPr>
          <w:i/>
        </w:rPr>
        <w:t>of being implemented’</w:t>
      </w:r>
      <w:r>
        <w:t xml:space="preserve"> and in 30 cases the accompanying action plan s</w:t>
      </w:r>
      <w:r w:rsidR="00292AF1">
        <w:t xml:space="preserve">pecified </w:t>
      </w:r>
      <w:r w:rsidR="00292AF1" w:rsidRPr="00E854B5">
        <w:rPr>
          <w:i/>
        </w:rPr>
        <w:t xml:space="preserve">‘what action should be </w:t>
      </w:r>
      <w:r w:rsidRPr="00E854B5">
        <w:rPr>
          <w:i/>
        </w:rPr>
        <w:t xml:space="preserve">taken by </w:t>
      </w:r>
      <w:r w:rsidR="00292AF1" w:rsidRPr="00E854B5">
        <w:rPr>
          <w:i/>
        </w:rPr>
        <w:t>whom</w:t>
      </w:r>
      <w:r w:rsidRPr="00E854B5">
        <w:rPr>
          <w:i/>
        </w:rPr>
        <w:t xml:space="preserve"> and by when’</w:t>
      </w:r>
      <w:r>
        <w:t>. However in only 15 cases did reports sta</w:t>
      </w:r>
      <w:r w:rsidR="00292AF1">
        <w:t xml:space="preserve">te ‘what outcomes these actions </w:t>
      </w:r>
      <w:r>
        <w:t xml:space="preserve">should bring about’ and in only 12 cases did they explain </w:t>
      </w:r>
      <w:r w:rsidRPr="00E854B5">
        <w:rPr>
          <w:i/>
        </w:rPr>
        <w:t>‘how the a</w:t>
      </w:r>
      <w:r w:rsidR="00292AF1" w:rsidRPr="00E854B5">
        <w:rPr>
          <w:i/>
        </w:rPr>
        <w:t xml:space="preserve">gencies will review whether the </w:t>
      </w:r>
      <w:r w:rsidRPr="00E854B5">
        <w:rPr>
          <w:i/>
        </w:rPr>
        <w:t>outcomes have been achieved’.</w:t>
      </w:r>
    </w:p>
    <w:p w:rsidR="00292AF1" w:rsidRDefault="00292AF1" w:rsidP="00292AF1">
      <w:pPr>
        <w:pStyle w:val="NoSpacing"/>
        <w:spacing w:line="360" w:lineRule="auto"/>
        <w:ind w:left="284"/>
      </w:pPr>
    </w:p>
    <w:p w:rsidR="00854868" w:rsidRDefault="00854868" w:rsidP="00E854B5">
      <w:pPr>
        <w:pStyle w:val="NoSpacing"/>
        <w:spacing w:line="360" w:lineRule="auto"/>
        <w:ind w:left="284"/>
        <w:rPr>
          <w:i/>
        </w:rPr>
      </w:pPr>
      <w:r>
        <w:t>It was impossible to know whether outcomes had actually been achieved. Astonishingly, the author</w:t>
      </w:r>
      <w:r w:rsidR="00E854B5">
        <w:t xml:space="preserve"> </w:t>
      </w:r>
      <w:r>
        <w:t>was not always named in the report. In addition, there had been a fundamental reorga</w:t>
      </w:r>
      <w:r w:rsidR="00E854B5">
        <w:t xml:space="preserve">nisation of </w:t>
      </w:r>
      <w:r>
        <w:t>children’s services and social care inspection services and it pro</w:t>
      </w:r>
      <w:r w:rsidR="00E854B5">
        <w:t xml:space="preserve">ved difficult to track down the </w:t>
      </w:r>
      <w:r>
        <w:t>authors who were named. Some reports were incomplete or missi</w:t>
      </w:r>
      <w:r w:rsidR="00E854B5">
        <w:t xml:space="preserve">ng action plans and the authors </w:t>
      </w:r>
      <w:r>
        <w:t xml:space="preserve">make it clear that the 40 reports obtained </w:t>
      </w:r>
      <w:r w:rsidRPr="00211B4C">
        <w:rPr>
          <w:i/>
        </w:rPr>
        <w:t>‘should not, therefore, be viewed as a representative sample’.</w:t>
      </w:r>
    </w:p>
    <w:p w:rsidR="004D720F" w:rsidRPr="00211B4C" w:rsidRDefault="004D720F" w:rsidP="00E854B5">
      <w:pPr>
        <w:pStyle w:val="NoSpacing"/>
        <w:spacing w:line="360" w:lineRule="auto"/>
        <w:ind w:left="284"/>
        <w:rPr>
          <w:i/>
        </w:rPr>
      </w:pPr>
    </w:p>
    <w:p w:rsidR="00854868" w:rsidRDefault="00854868" w:rsidP="004D720F">
      <w:pPr>
        <w:pStyle w:val="NoSpacing"/>
        <w:spacing w:line="360" w:lineRule="auto"/>
        <w:ind w:left="284" w:hanging="284"/>
      </w:pPr>
      <w:r>
        <w:lastRenderedPageBreak/>
        <w:t xml:space="preserve">• </w:t>
      </w:r>
      <w:r w:rsidR="004D720F">
        <w:t xml:space="preserve">   </w:t>
      </w:r>
      <w:r>
        <w:t xml:space="preserve">In a later study, </w:t>
      </w:r>
      <w:r w:rsidRPr="004D720F">
        <w:rPr>
          <w:i/>
        </w:rPr>
        <w:t>Analysing Child Deaths and Serious Injury through Abuse and Neglect: what can we</w:t>
      </w:r>
      <w:r w:rsidR="004D720F" w:rsidRPr="004D720F">
        <w:rPr>
          <w:i/>
        </w:rPr>
        <w:t xml:space="preserve"> </w:t>
      </w:r>
      <w:r w:rsidRPr="004D720F">
        <w:rPr>
          <w:i/>
        </w:rPr>
        <w:t>learn?: a biennial analysis of serious case reviews 2003–2005</w:t>
      </w:r>
      <w:r w:rsidR="004D720F">
        <w:rPr>
          <w:rStyle w:val="FootnoteReference"/>
          <w:i/>
        </w:rPr>
        <w:footnoteReference w:id="23"/>
      </w:r>
      <w:r>
        <w:t>, a full sample of 161 reports were use</w:t>
      </w:r>
      <w:r w:rsidR="00211B4C">
        <w:t xml:space="preserve">d </w:t>
      </w:r>
      <w:r>
        <w:t>with an intensive sample of 47 reports. Repeating previous findings</w:t>
      </w:r>
      <w:r w:rsidR="004D720F">
        <w:t xml:space="preserve">, in only 9 out of the 47 cases </w:t>
      </w:r>
      <w:r>
        <w:t>were families involved in serious case reviews. This report, again, di</w:t>
      </w:r>
      <w:r w:rsidR="004D720F">
        <w:t xml:space="preserve">d not reflect upon the means by </w:t>
      </w:r>
      <w:r>
        <w:t>which recommendations could be implemented.</w:t>
      </w:r>
    </w:p>
    <w:p w:rsidR="004D720F" w:rsidRDefault="004D720F" w:rsidP="004D720F">
      <w:pPr>
        <w:pStyle w:val="NoSpacing"/>
        <w:spacing w:line="360" w:lineRule="auto"/>
        <w:ind w:left="284" w:hanging="284"/>
      </w:pPr>
    </w:p>
    <w:p w:rsidR="00854868" w:rsidRDefault="00854868" w:rsidP="00854868">
      <w:pPr>
        <w:pStyle w:val="NoSpacing"/>
        <w:spacing w:line="360" w:lineRule="auto"/>
      </w:pPr>
      <w:r>
        <w:t>All in all, this reveals that once serious case reviews have been written it is difficult to establish what</w:t>
      </w:r>
    </w:p>
    <w:p w:rsidR="00854868" w:rsidRDefault="00854868" w:rsidP="00854868">
      <w:pPr>
        <w:pStyle w:val="NoSpacing"/>
        <w:spacing w:line="360" w:lineRule="auto"/>
      </w:pPr>
      <w:r>
        <w:t>happens to the recommendations, let alone whether lessons have been learnt. With no independent</w:t>
      </w:r>
    </w:p>
    <w:p w:rsidR="00854868" w:rsidRDefault="00854868" w:rsidP="00854868">
      <w:pPr>
        <w:pStyle w:val="NoSpacing"/>
        <w:spacing w:line="360" w:lineRule="auto"/>
      </w:pPr>
      <w:r>
        <w:t>oversight of implementation, lack of family involvement in most reviews and no suggestion of</w:t>
      </w:r>
    </w:p>
    <w:p w:rsidR="00034025" w:rsidRDefault="00854868" w:rsidP="00034025">
      <w:pPr>
        <w:pStyle w:val="NoSpacing"/>
        <w:spacing w:line="360" w:lineRule="auto"/>
      </w:pPr>
      <w:r>
        <w:t>accountability to the families concerned (even though they may be potential victims of service failure)</w:t>
      </w:r>
      <w:r w:rsidR="00034025">
        <w:t xml:space="preserve"> </w:t>
      </w:r>
      <w:r w:rsidR="00034025">
        <w:t>there is no</w:t>
      </w:r>
      <w:r w:rsidR="00034025">
        <w:t xml:space="preserve"> external check on the outcomes</w:t>
      </w:r>
      <w:r w:rsidR="00034025">
        <w:rPr>
          <w:rStyle w:val="FootnoteReference"/>
        </w:rPr>
        <w:footnoteReference w:id="24"/>
      </w:r>
      <w:r w:rsidR="00034025">
        <w:t>. Thus, each new seri</w:t>
      </w:r>
      <w:r w:rsidR="00034025">
        <w:t xml:space="preserve">ous case review will never know </w:t>
      </w:r>
      <w:r w:rsidR="00034025">
        <w:t>whether there has been implementation of any preceding review recommendations.</w:t>
      </w:r>
    </w:p>
    <w:p w:rsidR="00F315A0" w:rsidRDefault="00034025" w:rsidP="00034025">
      <w:pPr>
        <w:pStyle w:val="NoSpacing"/>
        <w:spacing w:line="360" w:lineRule="auto"/>
      </w:pPr>
      <w:r>
        <w:t xml:space="preserve">The need to learn lessons from earlier inquiries and the importance of </w:t>
      </w:r>
      <w:r>
        <w:t xml:space="preserve">independence and accountability </w:t>
      </w:r>
      <w:r>
        <w:t>of reviewing panels have again become salient in the recent case of Bab</w:t>
      </w:r>
      <w:r>
        <w:t xml:space="preserve">y P. We argue that the adoption </w:t>
      </w:r>
      <w:r>
        <w:t>of the principles we have outlined above might help to prevent such a tragedy in the future.</w:t>
      </w:r>
    </w:p>
    <w:p w:rsidR="00034025" w:rsidRPr="00034025" w:rsidRDefault="00034025" w:rsidP="00034025">
      <w:pPr>
        <w:pStyle w:val="NoSpacing"/>
        <w:spacing w:line="360" w:lineRule="auto"/>
        <w:rPr>
          <w:b/>
        </w:rPr>
      </w:pPr>
    </w:p>
    <w:p w:rsidR="00034025" w:rsidRPr="00034025" w:rsidRDefault="00034025" w:rsidP="00034025">
      <w:pPr>
        <w:pStyle w:val="NoSpacing"/>
        <w:spacing w:line="360" w:lineRule="auto"/>
        <w:rPr>
          <w:b/>
        </w:rPr>
      </w:pPr>
      <w:r w:rsidRPr="00034025">
        <w:rPr>
          <w:b/>
        </w:rPr>
        <w:t>Domestic homicide reviews</w:t>
      </w:r>
    </w:p>
    <w:p w:rsidR="00034025" w:rsidRDefault="00034025" w:rsidP="00034025">
      <w:pPr>
        <w:pStyle w:val="NoSpacing"/>
        <w:spacing w:line="360" w:lineRule="auto"/>
      </w:pPr>
      <w:r>
        <w:t xml:space="preserve">Serious case reviews may provide the model for a different form of deaths </w:t>
      </w:r>
      <w:r>
        <w:t xml:space="preserve">investigation. Section 9 (1) of </w:t>
      </w:r>
      <w:r>
        <w:t>the Domestic Violence, Crime and Victims Act 2004 will, when implement</w:t>
      </w:r>
      <w:r>
        <w:t xml:space="preserve">ed, place a statutory duty upon </w:t>
      </w:r>
      <w:r>
        <w:t xml:space="preserve">local bodies to establish a domestic homicide review when it appears that death of </w:t>
      </w:r>
      <w:r>
        <w:t xml:space="preserve">an individual over the </w:t>
      </w:r>
      <w:r>
        <w:t>age of 16 has resulted from violence, abuse or neglect by a person to who</w:t>
      </w:r>
      <w:r>
        <w:t xml:space="preserve">m the individual was related or </w:t>
      </w:r>
      <w:r>
        <w:t>in an intimate personal relationship or sharing the same household, ‘</w:t>
      </w:r>
      <w:r w:rsidRPr="009A66A2">
        <w:rPr>
          <w:i/>
        </w:rPr>
        <w:t>with a vie</w:t>
      </w:r>
      <w:r w:rsidRPr="009A66A2">
        <w:rPr>
          <w:i/>
        </w:rPr>
        <w:t xml:space="preserve">w to identifying the lessons to </w:t>
      </w:r>
      <w:r w:rsidRPr="009A66A2">
        <w:rPr>
          <w:i/>
        </w:rPr>
        <w:t>be learnt from the death</w:t>
      </w:r>
      <w:r>
        <w:rPr>
          <w:rStyle w:val="FootnoteReference"/>
        </w:rPr>
        <w:footnoteReference w:id="25"/>
      </w:r>
      <w:r>
        <w:t>’.</w:t>
      </w:r>
    </w:p>
    <w:p w:rsidR="00034025" w:rsidRDefault="00034025" w:rsidP="00034025">
      <w:pPr>
        <w:pStyle w:val="NoSpacing"/>
        <w:spacing w:line="360" w:lineRule="auto"/>
      </w:pPr>
    </w:p>
    <w:p w:rsidR="009A66A2" w:rsidRDefault="00034025" w:rsidP="00034025">
      <w:pPr>
        <w:pStyle w:val="NoSpacing"/>
        <w:spacing w:line="360" w:lineRule="auto"/>
      </w:pPr>
      <w:r>
        <w:t>Currently, police carry out their own investigations of such incidents by m</w:t>
      </w:r>
      <w:r>
        <w:t xml:space="preserve">eans of local Domestic Violence </w:t>
      </w:r>
      <w:r>
        <w:t>Murder Panels/Forums.</w:t>
      </w:r>
    </w:p>
    <w:p w:rsidR="00034025" w:rsidRPr="009A66A2" w:rsidRDefault="00034025" w:rsidP="00034025">
      <w:pPr>
        <w:pStyle w:val="NoSpacing"/>
        <w:spacing w:line="360" w:lineRule="auto"/>
        <w:rPr>
          <w:i/>
        </w:rPr>
      </w:pPr>
      <w:r>
        <w:lastRenderedPageBreak/>
        <w:t xml:space="preserve">The position was set out in 2003 by the Metropolitan Police in </w:t>
      </w:r>
      <w:r w:rsidRPr="00034025">
        <w:rPr>
          <w:i/>
        </w:rPr>
        <w:t>Findings</w:t>
      </w:r>
      <w:r w:rsidRPr="00034025">
        <w:rPr>
          <w:i/>
        </w:rPr>
        <w:t xml:space="preserve"> from the Multi-agency Domestic </w:t>
      </w:r>
      <w:r w:rsidRPr="00034025">
        <w:rPr>
          <w:i/>
        </w:rPr>
        <w:t>Violence Mur</w:t>
      </w:r>
      <w:r w:rsidRPr="00034025">
        <w:rPr>
          <w:i/>
        </w:rPr>
        <w:t>der Reviews in London</w:t>
      </w:r>
      <w:r>
        <w:rPr>
          <w:rStyle w:val="FootnoteReference"/>
        </w:rPr>
        <w:footnoteReference w:id="26"/>
      </w:r>
      <w:r>
        <w:t xml:space="preserve"> which described the key aim of these </w:t>
      </w:r>
      <w:r w:rsidRPr="009A66A2">
        <w:rPr>
          <w:i/>
        </w:rPr>
        <w:t xml:space="preserve">‘murder reviews’ as </w:t>
      </w:r>
      <w:r w:rsidR="009A66A2" w:rsidRPr="009A66A2">
        <w:rPr>
          <w:i/>
        </w:rPr>
        <w:t>‘murder prevention</w:t>
      </w:r>
      <w:r w:rsidRPr="009A66A2">
        <w:rPr>
          <w:i/>
        </w:rPr>
        <w:t>. It is not about creating a blame culture, but rather about identify</w:t>
      </w:r>
      <w:r w:rsidR="009A66A2" w:rsidRPr="009A66A2">
        <w:rPr>
          <w:i/>
        </w:rPr>
        <w:t xml:space="preserve">ing how to improve inter-agency </w:t>
      </w:r>
      <w:r w:rsidRPr="009A66A2">
        <w:rPr>
          <w:i/>
        </w:rPr>
        <w:t>working and better safeguards for victims</w:t>
      </w:r>
      <w:r>
        <w:t>’. The paper was based on 30 mu</w:t>
      </w:r>
      <w:r w:rsidR="009A66A2">
        <w:t xml:space="preserve">rders and 400 domestic violence </w:t>
      </w:r>
      <w:r>
        <w:t xml:space="preserve">cases. The authors refer to thirteen recommendations for health services </w:t>
      </w:r>
      <w:r w:rsidR="009A66A2">
        <w:t xml:space="preserve">coming out of one review alone, </w:t>
      </w:r>
      <w:r>
        <w:t>saying ‘</w:t>
      </w:r>
      <w:r w:rsidRPr="009A66A2">
        <w:rPr>
          <w:i/>
        </w:rPr>
        <w:t>There needs to be some form of monitoring mechanism to ensure that this happens and the lessons</w:t>
      </w:r>
      <w:r w:rsidR="009A66A2" w:rsidRPr="009A66A2">
        <w:rPr>
          <w:i/>
        </w:rPr>
        <w:t xml:space="preserve"> do not </w:t>
      </w:r>
      <w:r w:rsidRPr="009A66A2">
        <w:rPr>
          <w:i/>
        </w:rPr>
        <w:t>get lost across different Health Trusts’</w:t>
      </w:r>
      <w:r>
        <w:t>. They conclude ‘</w:t>
      </w:r>
      <w:r w:rsidRPr="009A66A2">
        <w:rPr>
          <w:i/>
        </w:rPr>
        <w:t>Multi-agency Domestic Violence Murder Reviews should</w:t>
      </w:r>
    </w:p>
    <w:p w:rsidR="00034025" w:rsidRDefault="00034025" w:rsidP="00034025">
      <w:pPr>
        <w:pStyle w:val="NoSpacing"/>
        <w:spacing w:line="360" w:lineRule="auto"/>
      </w:pPr>
      <w:r w:rsidRPr="009A66A2">
        <w:rPr>
          <w:i/>
        </w:rPr>
        <w:t>be put on a national footing’</w:t>
      </w:r>
      <w:r>
        <w:t xml:space="preserve"> with decisions made for taking forward recomm</w:t>
      </w:r>
      <w:r w:rsidR="009A66A2">
        <w:t xml:space="preserve">endations at </w:t>
      </w:r>
      <w:r w:rsidR="009A66A2" w:rsidRPr="009A66A2">
        <w:rPr>
          <w:i/>
        </w:rPr>
        <w:t xml:space="preserve">‘three levels: the </w:t>
      </w:r>
      <w:r w:rsidRPr="009A66A2">
        <w:rPr>
          <w:i/>
        </w:rPr>
        <w:t>agency, nationally and regarding legislation’</w:t>
      </w:r>
      <w:r>
        <w:t xml:space="preserve"> with a </w:t>
      </w:r>
      <w:r w:rsidRPr="009A66A2">
        <w:rPr>
          <w:i/>
        </w:rPr>
        <w:t>‘national warehouse/post-box’ s</w:t>
      </w:r>
      <w:r w:rsidR="009A66A2" w:rsidRPr="009A66A2">
        <w:rPr>
          <w:i/>
        </w:rPr>
        <w:t xml:space="preserve">o that (reviews) are accessible </w:t>
      </w:r>
      <w:r w:rsidRPr="009A66A2">
        <w:rPr>
          <w:i/>
        </w:rPr>
        <w:t>to all’</w:t>
      </w:r>
      <w:r>
        <w:t>.</w:t>
      </w:r>
    </w:p>
    <w:p w:rsidR="009A66A2" w:rsidRDefault="009A66A2" w:rsidP="00034025">
      <w:pPr>
        <w:pStyle w:val="NoSpacing"/>
        <w:spacing w:line="360" w:lineRule="auto"/>
      </w:pPr>
    </w:p>
    <w:p w:rsidR="00034025" w:rsidRDefault="00034025" w:rsidP="00034025">
      <w:pPr>
        <w:pStyle w:val="NoSpacing"/>
        <w:spacing w:line="360" w:lineRule="auto"/>
      </w:pPr>
      <w:r>
        <w:t xml:space="preserve">In the same way that mental health homicide investigations and serious </w:t>
      </w:r>
      <w:r w:rsidR="006343E9">
        <w:t xml:space="preserve">case reviews have been analysed </w:t>
      </w:r>
      <w:r>
        <w:t>to identify local or national themes (see above), the 2003 Metropolitan Pol</w:t>
      </w:r>
      <w:r w:rsidR="006343E9">
        <w:t xml:space="preserve">ice findings and a further 2004 </w:t>
      </w:r>
      <w:r>
        <w:t>Metropolitan Police analysis of 400 domestic violence cases (including 4 h</w:t>
      </w:r>
      <w:r w:rsidR="006343E9">
        <w:t>omicides) contained in ‘</w:t>
      </w:r>
      <w:r w:rsidR="006343E9" w:rsidRPr="006343E9">
        <w:rPr>
          <w:i/>
        </w:rPr>
        <w:t xml:space="preserve">Getting </w:t>
      </w:r>
      <w:r w:rsidRPr="006343E9">
        <w:rPr>
          <w:i/>
        </w:rPr>
        <w:t>away with it</w:t>
      </w:r>
      <w:r>
        <w:t xml:space="preserve">’: </w:t>
      </w:r>
      <w:r w:rsidRPr="006343E9">
        <w:rPr>
          <w:i/>
        </w:rPr>
        <w:t>A Strategic Overview of Domestic Violence, Sexual Assault and ‘Serious’ Incident Analysis</w:t>
      </w:r>
      <w:r w:rsidR="006343E9">
        <w:rPr>
          <w:rStyle w:val="FootnoteReference"/>
          <w:i/>
        </w:rPr>
        <w:footnoteReference w:id="27"/>
      </w:r>
      <w:r w:rsidR="006343E9">
        <w:t xml:space="preserve"> has </w:t>
      </w:r>
      <w:r>
        <w:t>identified themes, but, once again, these analyses have not concern</w:t>
      </w:r>
      <w:r w:rsidR="006343E9">
        <w:t xml:space="preserve">ed themselves with the means by </w:t>
      </w:r>
      <w:r>
        <w:t>which individual review recommendations should be implemented.</w:t>
      </w:r>
    </w:p>
    <w:p w:rsidR="00682C61" w:rsidRDefault="00682C61" w:rsidP="00034025">
      <w:pPr>
        <w:pStyle w:val="NoSpacing"/>
        <w:spacing w:line="360" w:lineRule="auto"/>
      </w:pPr>
    </w:p>
    <w:p w:rsidR="00682C61" w:rsidRDefault="00682C61" w:rsidP="00682C61">
      <w:pPr>
        <w:pStyle w:val="NoSpacing"/>
        <w:spacing w:line="360" w:lineRule="auto"/>
      </w:pPr>
      <w:r>
        <w:t>Since 2006, planning has been underway for a national framework for domestic homicide reviews.</w:t>
      </w:r>
    </w:p>
    <w:p w:rsidR="009D4D10" w:rsidRDefault="00682C61" w:rsidP="00682C61">
      <w:pPr>
        <w:pStyle w:val="NoSpacing"/>
        <w:spacing w:line="360" w:lineRule="auto"/>
      </w:pPr>
      <w:r>
        <w:t xml:space="preserve">Between June 2006 and September 2006, the Home Office consulted on its paper </w:t>
      </w:r>
      <w:r w:rsidRPr="00682C61">
        <w:rPr>
          <w:i/>
        </w:rPr>
        <w:t>Guidance for Domestic</w:t>
      </w:r>
      <w:r w:rsidRPr="00682C61">
        <w:rPr>
          <w:i/>
        </w:rPr>
        <w:t xml:space="preserve"> </w:t>
      </w:r>
      <w:r w:rsidRPr="00682C61">
        <w:rPr>
          <w:i/>
        </w:rPr>
        <w:t>Homicide Reviews under the Domestic Violence, Crime and Victims Act 2004</w:t>
      </w:r>
      <w:r>
        <w:rPr>
          <w:rStyle w:val="FootnoteReference"/>
          <w:i/>
        </w:rPr>
        <w:footnoteReference w:id="28"/>
      </w:r>
      <w:r>
        <w:t xml:space="preserve"> w</w:t>
      </w:r>
      <w:r>
        <w:t>hich states that ‘</w:t>
      </w:r>
      <w:r w:rsidRPr="00682C61">
        <w:rPr>
          <w:i/>
        </w:rPr>
        <w:t xml:space="preserve">The statutory </w:t>
      </w:r>
      <w:r w:rsidRPr="00682C61">
        <w:rPr>
          <w:i/>
        </w:rPr>
        <w:t>purpose of a review is to learn lessons from the death’</w:t>
      </w:r>
      <w:r>
        <w:t>. It is said that in practice</w:t>
      </w:r>
      <w:r>
        <w:t xml:space="preserve"> this will include </w:t>
      </w:r>
      <w:r w:rsidRPr="00682C61">
        <w:rPr>
          <w:i/>
        </w:rPr>
        <w:t xml:space="preserve">‘identifying </w:t>
      </w:r>
      <w:r w:rsidRPr="00682C61">
        <w:rPr>
          <w:i/>
        </w:rPr>
        <w:t>how those lessons will be acted upon and what is expected to change as a result’</w:t>
      </w:r>
      <w:r>
        <w:t xml:space="preserve">. A local review body is </w:t>
      </w:r>
      <w:r>
        <w:t>proposed, having a role similar to that of Local Safeguarding Children’s B</w:t>
      </w:r>
      <w:r>
        <w:t xml:space="preserve">oards for serious case reviews. </w:t>
      </w:r>
      <w:r>
        <w:t>Guidance on the management and structure of domestic homicide revi</w:t>
      </w:r>
      <w:r>
        <w:t xml:space="preserve">ews is awaited to coincide with </w:t>
      </w:r>
      <w:r>
        <w:t>implementation of Section 9 (1) of the Domestic Violence, Crime and Victims Act 2004.</w:t>
      </w:r>
    </w:p>
    <w:p w:rsidR="00682C61" w:rsidRDefault="00682C61" w:rsidP="00682C61">
      <w:pPr>
        <w:pStyle w:val="NoSpacing"/>
        <w:spacing w:line="360" w:lineRule="auto"/>
      </w:pPr>
      <w:r>
        <w:lastRenderedPageBreak/>
        <w:t xml:space="preserve">Domestic homicide reviews will occupy a middle ground, having features of </w:t>
      </w:r>
      <w:r w:rsidR="009D4D10">
        <w:t xml:space="preserve">child care serious case reviews </w:t>
      </w:r>
      <w:r>
        <w:t>and mental health homicide investigations. Where there is a history of menta</w:t>
      </w:r>
      <w:r w:rsidR="009D4D10">
        <w:t xml:space="preserve">l illness, it is envisaged that </w:t>
      </w:r>
      <w:r>
        <w:t>the need for a domestic homicide review will usually be satisf</w:t>
      </w:r>
      <w:r w:rsidR="009D4D10">
        <w:t xml:space="preserve">ied by a mental health homicide </w:t>
      </w:r>
      <w:r>
        <w:t>investigation.</w:t>
      </w:r>
    </w:p>
    <w:p w:rsidR="009D4D10" w:rsidRDefault="009D4D10" w:rsidP="00682C61">
      <w:pPr>
        <w:pStyle w:val="NoSpacing"/>
        <w:spacing w:line="360" w:lineRule="auto"/>
      </w:pPr>
    </w:p>
    <w:p w:rsidR="00682C61" w:rsidRDefault="00682C61" w:rsidP="00682C61">
      <w:pPr>
        <w:pStyle w:val="NoSpacing"/>
        <w:spacing w:line="360" w:lineRule="auto"/>
      </w:pPr>
      <w:r>
        <w:t>Whatever the shape of the new domestic homicide review guidance, this is</w:t>
      </w:r>
      <w:r w:rsidR="009D4D10">
        <w:t xml:space="preserve"> an opportunity to bear in mind </w:t>
      </w:r>
      <w:r>
        <w:t>the difficulties associated with serious case reviews and ensure independ</w:t>
      </w:r>
      <w:r w:rsidR="009D4D10">
        <w:t xml:space="preserve">ent review reports are produced </w:t>
      </w:r>
      <w:r>
        <w:t>with feedback to victims, families and the perpetrator. That process will be incomplete without a</w:t>
      </w:r>
      <w:r w:rsidR="009D4D10">
        <w:t xml:space="preserve"> </w:t>
      </w:r>
      <w:r>
        <w:t>structured, independent post-review process, with appropriate accoun</w:t>
      </w:r>
      <w:r w:rsidR="009D4D10">
        <w:t xml:space="preserve">tability to families, to ensure </w:t>
      </w:r>
      <w:r>
        <w:t>outcomes can be tracked in order to establish whether or not lessons really have been learnt.</w:t>
      </w:r>
    </w:p>
    <w:p w:rsidR="007F6E49" w:rsidRDefault="007F6E49" w:rsidP="00682C61">
      <w:pPr>
        <w:pStyle w:val="NoSpacing"/>
        <w:spacing w:line="360" w:lineRule="auto"/>
      </w:pPr>
    </w:p>
    <w:p w:rsidR="007F6E49" w:rsidRPr="007F6E49" w:rsidRDefault="007F6E49" w:rsidP="007F6E49">
      <w:pPr>
        <w:pStyle w:val="NoSpacing"/>
        <w:spacing w:line="360" w:lineRule="auto"/>
        <w:rPr>
          <w:b/>
        </w:rPr>
      </w:pPr>
      <w:r w:rsidRPr="007F6E49">
        <w:rPr>
          <w:b/>
        </w:rPr>
        <w:t>Inquiries, investigations and reviews</w:t>
      </w:r>
    </w:p>
    <w:p w:rsidR="007F6E49" w:rsidRDefault="007F6E49" w:rsidP="007F6E49">
      <w:pPr>
        <w:pStyle w:val="NoSpacing"/>
        <w:spacing w:line="360" w:lineRule="auto"/>
      </w:pPr>
      <w:r>
        <w:t>The reader might by now have wondered whether there is any difference between a review, an</w:t>
      </w:r>
    </w:p>
    <w:p w:rsidR="007F6E49" w:rsidRDefault="007F6E49" w:rsidP="007F6E49">
      <w:pPr>
        <w:pStyle w:val="NoSpacing"/>
        <w:spacing w:line="360" w:lineRule="auto"/>
      </w:pPr>
      <w:r>
        <w:t>investigation and an inquiry. To the extent that each makes recommend</w:t>
      </w:r>
      <w:r>
        <w:t xml:space="preserve">ations with a view to improving </w:t>
      </w:r>
      <w:r>
        <w:t>services, there is no difference between them.</w:t>
      </w:r>
    </w:p>
    <w:p w:rsidR="007F6E49" w:rsidRDefault="007F6E49" w:rsidP="007F6E49">
      <w:pPr>
        <w:pStyle w:val="NoSpacing"/>
        <w:spacing w:line="360" w:lineRule="auto"/>
      </w:pPr>
    </w:p>
    <w:p w:rsidR="007F6E49" w:rsidRDefault="007F6E49" w:rsidP="007F6E49">
      <w:pPr>
        <w:pStyle w:val="NoSpacing"/>
        <w:spacing w:line="360" w:lineRule="auto"/>
      </w:pPr>
      <w:r>
        <w:t>The Inquiries Act 2005 is the framework for statutory inquiries and the exp</w:t>
      </w:r>
      <w:r>
        <w:t xml:space="preserve">lanatory notes to the Act state </w:t>
      </w:r>
      <w:r w:rsidRPr="007F6E49">
        <w:rPr>
          <w:i/>
        </w:rPr>
        <w:t>‘The aim of inquiries is to help restore public confidence in systems or services by inv</w:t>
      </w:r>
      <w:r w:rsidRPr="007F6E49">
        <w:rPr>
          <w:i/>
        </w:rPr>
        <w:t xml:space="preserve">estigating the facts and making </w:t>
      </w:r>
      <w:r w:rsidRPr="007F6E49">
        <w:rPr>
          <w:i/>
        </w:rPr>
        <w:t xml:space="preserve">recommendations to prevent recurrence, not to establish liability or to punish </w:t>
      </w:r>
      <w:r w:rsidRPr="007F6E49">
        <w:rPr>
          <w:i/>
        </w:rPr>
        <w:t>anyone</w:t>
      </w:r>
      <w:r>
        <w:t>.’</w:t>
      </w:r>
      <w:r>
        <w:rPr>
          <w:rStyle w:val="FootnoteReference"/>
        </w:rPr>
        <w:footnoteReference w:id="29"/>
      </w:r>
      <w:r>
        <w:t xml:space="preserve"> No reference is made </w:t>
      </w:r>
      <w:r>
        <w:t>to any procedure for the implementation of recommendations.</w:t>
      </w:r>
    </w:p>
    <w:p w:rsidR="007F6E49" w:rsidRDefault="007F6E49" w:rsidP="007F6E49">
      <w:pPr>
        <w:pStyle w:val="NoSpacing"/>
        <w:spacing w:line="360" w:lineRule="auto"/>
      </w:pPr>
    </w:p>
    <w:p w:rsidR="007F6E49" w:rsidRDefault="007F6E49" w:rsidP="007F6E49">
      <w:pPr>
        <w:pStyle w:val="NoSpacing"/>
        <w:spacing w:line="360" w:lineRule="auto"/>
      </w:pPr>
      <w:r>
        <w:t>Non-statutory independent mental health homicide inquiries may have featu</w:t>
      </w:r>
      <w:r w:rsidR="0003761A">
        <w:t xml:space="preserve">res of statutory inquiries, but </w:t>
      </w:r>
      <w:r>
        <w:t>are now being renamed investigations, as illustrated by the recently pu</w:t>
      </w:r>
      <w:r w:rsidR="0003761A">
        <w:t xml:space="preserve">blished National Patient Safety </w:t>
      </w:r>
      <w:r>
        <w:t>Agency guidance, above. Procedure, in the form of taking evidence, is l</w:t>
      </w:r>
      <w:r w:rsidR="0003761A">
        <w:t xml:space="preserve">ikely to be little changed, but </w:t>
      </w:r>
      <w:r>
        <w:t>there will be an additional emphasis upon examination of that evidence b</w:t>
      </w:r>
      <w:r w:rsidR="0003761A">
        <w:t xml:space="preserve">y means of root cause analysis. </w:t>
      </w:r>
      <w:r>
        <w:t>However, root cause analysis does not provide guidance as to the implementation of recommendations.</w:t>
      </w:r>
    </w:p>
    <w:p w:rsidR="0003761A" w:rsidRDefault="0003761A" w:rsidP="007F6E49">
      <w:pPr>
        <w:pStyle w:val="NoSpacing"/>
        <w:spacing w:line="360" w:lineRule="auto"/>
      </w:pPr>
    </w:p>
    <w:p w:rsidR="007F6E49" w:rsidRDefault="007F6E49" w:rsidP="007F6E49">
      <w:pPr>
        <w:pStyle w:val="NoSpacing"/>
        <w:spacing w:line="360" w:lineRule="auto"/>
      </w:pPr>
      <w:r>
        <w:t>Child care serious case reviews and domestic homicide reviews are invest</w:t>
      </w:r>
      <w:r w:rsidR="0003761A">
        <w:t xml:space="preserve">igations by another name though </w:t>
      </w:r>
      <w:r>
        <w:t>they may not take oral evidence. They make findings and produce recommendations intended to improve</w:t>
      </w:r>
      <w:r w:rsidR="0003761A">
        <w:t xml:space="preserve"> </w:t>
      </w:r>
      <w:r>
        <w:t>practice, but do not review and publish reports on progress with implementation of recommendations.</w:t>
      </w:r>
    </w:p>
    <w:p w:rsidR="007F6E49" w:rsidRDefault="007F6E49" w:rsidP="007F6E49">
      <w:pPr>
        <w:pStyle w:val="NoSpacing"/>
        <w:spacing w:line="360" w:lineRule="auto"/>
      </w:pPr>
      <w:r>
        <w:lastRenderedPageBreak/>
        <w:t>Whatever their differences, inquiries, investigations and reviews esta</w:t>
      </w:r>
      <w:r w:rsidR="00AA4EA3">
        <w:t xml:space="preserve">blish by means of evidence what </w:t>
      </w:r>
      <w:r>
        <w:t xml:space="preserve">went wrong with services and make recommendations intended to improve </w:t>
      </w:r>
      <w:r w:rsidR="00AA4EA3">
        <w:t xml:space="preserve">those services. All frame their </w:t>
      </w:r>
      <w:r>
        <w:t>objectives in terms of learning lessons. This commonality of purpose sugg</w:t>
      </w:r>
      <w:r w:rsidR="00AA4EA3">
        <w:t xml:space="preserve">ests that a systemised approach </w:t>
      </w:r>
      <w:r>
        <w:t>to implementation of recommendations would be capable of broad application.</w:t>
      </w:r>
    </w:p>
    <w:p w:rsidR="000C5E75" w:rsidRDefault="000C5E75" w:rsidP="007F6E49">
      <w:pPr>
        <w:pStyle w:val="NoSpacing"/>
        <w:spacing w:line="360" w:lineRule="auto"/>
      </w:pPr>
    </w:p>
    <w:p w:rsidR="000C5E75" w:rsidRPr="000C5E75" w:rsidRDefault="000C5E75" w:rsidP="000C5E75">
      <w:pPr>
        <w:pStyle w:val="NoSpacing"/>
        <w:spacing w:line="360" w:lineRule="auto"/>
        <w:rPr>
          <w:b/>
        </w:rPr>
      </w:pPr>
      <w:r w:rsidRPr="000C5E75">
        <w:rPr>
          <w:b/>
        </w:rPr>
        <w:t>Conclusions</w:t>
      </w:r>
    </w:p>
    <w:p w:rsidR="000C5E75" w:rsidRDefault="000C5E75" w:rsidP="000C5E75">
      <w:pPr>
        <w:pStyle w:val="NoSpacing"/>
        <w:spacing w:line="360" w:lineRule="auto"/>
      </w:pPr>
      <w:r>
        <w:t>There is a public interest in the learning of lessons from incidents of deat</w:t>
      </w:r>
      <w:r>
        <w:t xml:space="preserve">h or near-death where a duty of </w:t>
      </w:r>
      <w:r>
        <w:t>care may be owed by public services.</w:t>
      </w:r>
    </w:p>
    <w:p w:rsidR="000C5E75" w:rsidRDefault="000C5E75" w:rsidP="000C5E75">
      <w:pPr>
        <w:pStyle w:val="NoSpacing"/>
        <w:spacing w:line="360" w:lineRule="auto"/>
      </w:pPr>
    </w:p>
    <w:p w:rsidR="000C5E75" w:rsidRDefault="000C5E75" w:rsidP="000C5E75">
      <w:pPr>
        <w:pStyle w:val="NoSpacing"/>
        <w:spacing w:line="360" w:lineRule="auto"/>
      </w:pPr>
      <w:r>
        <w:t xml:space="preserve">We do not address the many critics and criticism of inquiries here. It is true </w:t>
      </w:r>
      <w:r>
        <w:t xml:space="preserve">that hindsight bias can distort </w:t>
      </w:r>
      <w:r>
        <w:t>perception of risks resulting in recommendations which do not properl</w:t>
      </w:r>
      <w:r>
        <w:t xml:space="preserve">y arise from the evidence. Some </w:t>
      </w:r>
      <w:r>
        <w:t>findings and recommendations have been repeated again and again, s</w:t>
      </w:r>
      <w:r>
        <w:t xml:space="preserve">uggesting inquiries have proved </w:t>
      </w:r>
      <w:r>
        <w:t>unsuccessful in bringing about change. Cynics suggest it is the invest</w:t>
      </w:r>
      <w:r>
        <w:t xml:space="preserve">igative process rather than the </w:t>
      </w:r>
      <w:r>
        <w:t>outcome which is important, satisfying a public need for expla</w:t>
      </w:r>
      <w:r>
        <w:t xml:space="preserve">nation, apportionment of blame, </w:t>
      </w:r>
      <w:r>
        <w:t>sensemaking</w:t>
      </w:r>
      <w:r>
        <w:rPr>
          <w:rStyle w:val="FootnoteReference"/>
        </w:rPr>
        <w:footnoteReference w:id="30"/>
      </w:r>
      <w:r>
        <w:t xml:space="preserve"> and catharsis,</w:t>
      </w:r>
      <w:r>
        <w:rPr>
          <w:rStyle w:val="FootnoteReference"/>
        </w:rPr>
        <w:footnoteReference w:id="31"/>
      </w:r>
      <w:r>
        <w:t xml:space="preserve"> whilst others focus on the destructive pot</w:t>
      </w:r>
      <w:r>
        <w:t xml:space="preserve">ential of inquiries if they are </w:t>
      </w:r>
      <w:r>
        <w:t>badly managed</w:t>
      </w:r>
      <w:r>
        <w:rPr>
          <w:rStyle w:val="FootnoteReference"/>
        </w:rPr>
        <w:footnoteReference w:id="32"/>
      </w:r>
      <w:r>
        <w:t>. As to the risk with which inquiries are concerned, se</w:t>
      </w:r>
      <w:r>
        <w:t xml:space="preserve">rious violence cannot always be </w:t>
      </w:r>
      <w:r>
        <w:t>predicted</w:t>
      </w:r>
      <w:r>
        <w:rPr>
          <w:rStyle w:val="FootnoteReference"/>
        </w:rPr>
        <w:footnoteReference w:id="33"/>
      </w:r>
      <w:r>
        <w:t>, some commentators worry about over-predication of risk</w:t>
      </w:r>
      <w:r>
        <w:rPr>
          <w:rStyle w:val="FootnoteReference"/>
        </w:rPr>
        <w:footnoteReference w:id="34"/>
      </w:r>
      <w:r>
        <w:t xml:space="preserve"> and others reveal that risk is </w:t>
      </w:r>
      <w:r>
        <w:t>generally under-estimated</w:t>
      </w:r>
      <w:r>
        <w:rPr>
          <w:rStyle w:val="FootnoteReference"/>
        </w:rPr>
        <w:footnoteReference w:id="35"/>
      </w:r>
      <w:r>
        <w:t>. Mental health homicide numbers seem to remain constant</w:t>
      </w:r>
      <w:r>
        <w:rPr>
          <w:rStyle w:val="FootnoteReference"/>
        </w:rPr>
        <w:footnoteReference w:id="36"/>
      </w:r>
      <w:r>
        <w:t xml:space="preserve"> leading to a </w:t>
      </w:r>
      <w:r>
        <w:t>popular view that inquiries are ineffective and pointless. But 14 p</w:t>
      </w:r>
      <w:r>
        <w:t xml:space="preserve">er cent have been calculated as </w:t>
      </w:r>
      <w:r>
        <w:t>preventable</w:t>
      </w:r>
      <w:r>
        <w:rPr>
          <w:rStyle w:val="FootnoteReference"/>
        </w:rPr>
        <w:footnoteReference w:id="37"/>
      </w:r>
      <w:r>
        <w:t>, the National Confidential Inquiry into Suicide and Homicide s</w:t>
      </w:r>
      <w:r>
        <w:t>aying ‘</w:t>
      </w:r>
      <w:r w:rsidRPr="000C5E75">
        <w:rPr>
          <w:i/>
        </w:rPr>
        <w:t xml:space="preserve">It is time to change the </w:t>
      </w:r>
      <w:r w:rsidRPr="000C5E75">
        <w:rPr>
          <w:i/>
        </w:rPr>
        <w:t>widespread view that individual deaths are inevitable</w:t>
      </w:r>
      <w:r>
        <w:t>’</w:t>
      </w:r>
      <w:r>
        <w:rPr>
          <w:rStyle w:val="FootnoteReference"/>
        </w:rPr>
        <w:footnoteReference w:id="38"/>
      </w:r>
      <w:r>
        <w:t>.</w:t>
      </w:r>
    </w:p>
    <w:p w:rsidR="000C5E75" w:rsidRDefault="000C5E75" w:rsidP="000C5E75">
      <w:pPr>
        <w:pStyle w:val="NoSpacing"/>
        <w:spacing w:line="360" w:lineRule="auto"/>
      </w:pPr>
    </w:p>
    <w:p w:rsidR="000C5E75" w:rsidRDefault="000C5E75" w:rsidP="000C5E75">
      <w:pPr>
        <w:pStyle w:val="NoSpacing"/>
        <w:spacing w:line="360" w:lineRule="auto"/>
      </w:pPr>
      <w:r>
        <w:t>The plain fact is that independent inquiries, investigations and reviews still take place. Much is invested</w:t>
      </w:r>
      <w:r w:rsidR="00FC4155">
        <w:t xml:space="preserve"> </w:t>
      </w:r>
      <w:r>
        <w:t>in them, financially, organisationally, and often emotionally. And they always produce recommendations,</w:t>
      </w:r>
      <w:r w:rsidR="00FC4155">
        <w:t xml:space="preserve"> </w:t>
      </w:r>
      <w:r>
        <w:t>each crafted in the hope that they will be implemented and lesson</w:t>
      </w:r>
      <w:r w:rsidR="00FC4155">
        <w:t xml:space="preserve">s learnt. We </w:t>
      </w:r>
      <w:r w:rsidR="00FC4155">
        <w:lastRenderedPageBreak/>
        <w:t xml:space="preserve">therefore make the </w:t>
      </w:r>
      <w:r>
        <w:t>straightforward assumption that the function of recommendations is to be implemented.</w:t>
      </w:r>
    </w:p>
    <w:p w:rsidR="00FC4155" w:rsidRDefault="00FC4155" w:rsidP="000C5E75">
      <w:pPr>
        <w:pStyle w:val="NoSpacing"/>
        <w:spacing w:line="360" w:lineRule="auto"/>
      </w:pPr>
    </w:p>
    <w:p w:rsidR="000C5E75" w:rsidRDefault="000C5E75" w:rsidP="000C5E75">
      <w:pPr>
        <w:pStyle w:val="NoSpacing"/>
        <w:spacing w:line="360" w:lineRule="auto"/>
      </w:pPr>
      <w:r>
        <w:t xml:space="preserve">For the purpose of this article, we do not comment on the content of </w:t>
      </w:r>
      <w:r w:rsidR="00D70C58">
        <w:t xml:space="preserve">recommendations. Guidelines for </w:t>
      </w:r>
      <w:r>
        <w:t>improvement of inquiry, investigation and review procedure already focus o</w:t>
      </w:r>
      <w:r w:rsidR="00D70C58">
        <w:t xml:space="preserve">n this. Nor do we question the </w:t>
      </w:r>
      <w:r>
        <w:t>desirability of gathering data from recommendations in order to identify</w:t>
      </w:r>
      <w:r w:rsidR="00D70C58">
        <w:t xml:space="preserve"> local and national themes. Our </w:t>
      </w:r>
      <w:r>
        <w:t>concern is more immediate. It is to ensure the implementation of recomm</w:t>
      </w:r>
      <w:r w:rsidR="00D70C58">
        <w:t xml:space="preserve">endations – the missing link in </w:t>
      </w:r>
      <w:r>
        <w:t>the chain between the incident, the investigation and the lessons learnt.</w:t>
      </w:r>
    </w:p>
    <w:p w:rsidR="00D70C58" w:rsidRDefault="00D70C58" w:rsidP="000C5E75">
      <w:pPr>
        <w:pStyle w:val="NoSpacing"/>
        <w:spacing w:line="360" w:lineRule="auto"/>
      </w:pPr>
    </w:p>
    <w:p w:rsidR="000C5E75" w:rsidRDefault="000C5E75" w:rsidP="000C5E75">
      <w:pPr>
        <w:pStyle w:val="NoSpacing"/>
        <w:spacing w:line="360" w:lineRule="auto"/>
      </w:pPr>
      <w:r>
        <w:t>Currently, there are three problems.</w:t>
      </w:r>
    </w:p>
    <w:p w:rsidR="000C5E75" w:rsidRDefault="000C5E75" w:rsidP="004D7C02">
      <w:pPr>
        <w:pStyle w:val="NoSpacing"/>
        <w:tabs>
          <w:tab w:val="left" w:pos="284"/>
        </w:tabs>
        <w:spacing w:line="360" w:lineRule="auto"/>
      </w:pPr>
      <w:r>
        <w:t xml:space="preserve">• </w:t>
      </w:r>
      <w:r w:rsidR="004D7C02">
        <w:t xml:space="preserve">   </w:t>
      </w:r>
      <w:r w:rsidRPr="004D7C02">
        <w:rPr>
          <w:b/>
        </w:rPr>
        <w:t>Lack of basic data</w:t>
      </w:r>
      <w:r>
        <w:t>: No-one knows how many recommendations made by countless independent</w:t>
      </w:r>
    </w:p>
    <w:p w:rsidR="000C5E75" w:rsidRDefault="000C5E75" w:rsidP="004D7C02">
      <w:pPr>
        <w:pStyle w:val="NoSpacing"/>
        <w:spacing w:line="360" w:lineRule="auto"/>
        <w:ind w:firstLine="284"/>
      </w:pPr>
      <w:r>
        <w:t>inquiries, investigations and reviews have been implemented in health and social care in England.</w:t>
      </w:r>
    </w:p>
    <w:p w:rsidR="000C5E75" w:rsidRDefault="000C5E75" w:rsidP="004D7C02">
      <w:pPr>
        <w:pStyle w:val="NoSpacing"/>
        <w:spacing w:line="360" w:lineRule="auto"/>
        <w:ind w:left="284" w:hanging="284"/>
      </w:pPr>
      <w:r>
        <w:t xml:space="preserve">• </w:t>
      </w:r>
      <w:r w:rsidR="004D7C02">
        <w:t xml:space="preserve">   </w:t>
      </w:r>
      <w:r w:rsidRPr="004D7C02">
        <w:rPr>
          <w:b/>
        </w:rPr>
        <w:t>Lack of standards</w:t>
      </w:r>
      <w:r>
        <w:t>: There are no standards on implementation, no expectations and no body of data</w:t>
      </w:r>
      <w:r w:rsidR="004D7C02">
        <w:t xml:space="preserve"> </w:t>
      </w:r>
      <w:r>
        <w:t>for the purpose of comparison. When the victim’s family asked “How l</w:t>
      </w:r>
      <w:r w:rsidR="004D7C02">
        <w:t xml:space="preserve">ong does it usually take for an </w:t>
      </w:r>
      <w:r>
        <w:t>inquiry’s recommendation to be implemented?” we could not pro</w:t>
      </w:r>
      <w:r w:rsidR="004D7C02">
        <w:t xml:space="preserve">vide an answer because there is </w:t>
      </w:r>
      <w:r>
        <w:t>non</w:t>
      </w:r>
      <w:r w:rsidR="004D7C02">
        <w:t>e.</w:t>
      </w:r>
    </w:p>
    <w:p w:rsidR="0081763B" w:rsidRDefault="0081763B" w:rsidP="0081763B">
      <w:pPr>
        <w:pStyle w:val="NoSpacing"/>
        <w:spacing w:line="360" w:lineRule="auto"/>
        <w:ind w:left="284" w:hanging="284"/>
      </w:pPr>
      <w:r>
        <w:t>•</w:t>
      </w:r>
      <w:r>
        <w:t xml:space="preserve">   </w:t>
      </w:r>
      <w:r>
        <w:t xml:space="preserve"> </w:t>
      </w:r>
      <w:r w:rsidRPr="0081763B">
        <w:rPr>
          <w:b/>
        </w:rPr>
        <w:t>Lack of guidance:</w:t>
      </w:r>
      <w:r>
        <w:t xml:space="preserve"> There is no guidance on how the NHS, children’s services or multi-agency</w:t>
      </w:r>
    </w:p>
    <w:p w:rsidR="0081763B" w:rsidRDefault="0081763B" w:rsidP="0081763B">
      <w:pPr>
        <w:pStyle w:val="NoSpacing"/>
        <w:spacing w:line="360" w:lineRule="auto"/>
        <w:ind w:left="284" w:hanging="284"/>
      </w:pPr>
      <w:r>
        <w:t xml:space="preserve">      </w:t>
      </w:r>
      <w:r>
        <w:t>domestic violence services will ensure recommendations are impleme</w:t>
      </w:r>
      <w:r>
        <w:t xml:space="preserve">nted. There is no model of good </w:t>
      </w:r>
      <w:r>
        <w:t>practice for this, nor have any factors been identified which might assist or impede progress.</w:t>
      </w:r>
    </w:p>
    <w:p w:rsidR="0081763B" w:rsidRDefault="0081763B" w:rsidP="0081763B">
      <w:pPr>
        <w:pStyle w:val="NoSpacing"/>
        <w:spacing w:line="360" w:lineRule="auto"/>
        <w:ind w:left="284" w:hanging="284"/>
      </w:pPr>
      <w:r>
        <w:t xml:space="preserve">      </w:t>
      </w:r>
      <w:r>
        <w:t xml:space="preserve">We offer a starting point. Our suggested approach – based on principles </w:t>
      </w:r>
      <w:r>
        <w:t xml:space="preserve">and types of recommendation – </w:t>
      </w:r>
      <w:r>
        <w:t>is unique in that it is capable of application across child deaths, me</w:t>
      </w:r>
      <w:r>
        <w:t xml:space="preserve">ntal health homicides, domestic </w:t>
      </w:r>
      <w:r>
        <w:t>homicide re</w:t>
      </w:r>
      <w:bookmarkStart w:id="0" w:name="_GoBack"/>
      <w:bookmarkEnd w:id="0"/>
      <w:r>
        <w:t>views and where investigations following near-fatal injury an</w:t>
      </w:r>
      <w:r>
        <w:t xml:space="preserve">d suicide raise public interest </w:t>
      </w:r>
      <w:r>
        <w:t>concerns.</w:t>
      </w:r>
    </w:p>
    <w:p w:rsidR="00617C22" w:rsidRDefault="00617C22" w:rsidP="00BB416F">
      <w:pPr>
        <w:pStyle w:val="NoSpacing"/>
        <w:spacing w:line="360" w:lineRule="auto"/>
      </w:pPr>
    </w:p>
    <w:p w:rsidR="00617C22" w:rsidRDefault="00617C22" w:rsidP="00BB416F">
      <w:pPr>
        <w:pStyle w:val="NoSpacing"/>
        <w:spacing w:line="360" w:lineRule="auto"/>
      </w:pPr>
    </w:p>
    <w:p w:rsidR="00BB416F" w:rsidRPr="00AD21E2" w:rsidRDefault="00BB416F" w:rsidP="00320B64">
      <w:pPr>
        <w:pStyle w:val="NoSpacing"/>
        <w:spacing w:line="360" w:lineRule="auto"/>
      </w:pPr>
    </w:p>
    <w:sectPr w:rsidR="00BB416F" w:rsidRPr="00AD2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E2" w:rsidRDefault="00AD21E2" w:rsidP="00AD21E2">
      <w:pPr>
        <w:spacing w:after="0" w:line="240" w:lineRule="auto"/>
      </w:pPr>
      <w:r>
        <w:separator/>
      </w:r>
    </w:p>
  </w:endnote>
  <w:endnote w:type="continuationSeparator" w:id="0">
    <w:p w:rsidR="00AD21E2" w:rsidRDefault="00AD21E2" w:rsidP="00AD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E2" w:rsidRDefault="00AD21E2" w:rsidP="00AD21E2">
      <w:pPr>
        <w:spacing w:after="0" w:line="240" w:lineRule="auto"/>
      </w:pPr>
      <w:r>
        <w:separator/>
      </w:r>
    </w:p>
  </w:footnote>
  <w:footnote w:type="continuationSeparator" w:id="0">
    <w:p w:rsidR="00AD21E2" w:rsidRDefault="00AD21E2" w:rsidP="00AD21E2">
      <w:pPr>
        <w:spacing w:after="0" w:line="240" w:lineRule="auto"/>
      </w:pPr>
      <w:r>
        <w:continuationSeparator/>
      </w:r>
    </w:p>
  </w:footnote>
  <w:footnote w:id="1">
    <w:p w:rsidR="00AD21E2" w:rsidRPr="00AD21E2" w:rsidRDefault="00AD21E2" w:rsidP="00AD21E2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D21E2">
        <w:rPr>
          <w:sz w:val="16"/>
        </w:rPr>
        <w:t>Barrister, London, Chair</w:t>
      </w:r>
      <w:r>
        <w:rPr>
          <w:sz w:val="16"/>
        </w:rPr>
        <w:t xml:space="preserve"> of the Regulation of Medicines </w:t>
      </w:r>
      <w:r w:rsidRPr="00AD21E2">
        <w:rPr>
          <w:sz w:val="16"/>
        </w:rPr>
        <w:t>Review Panel of the Me</w:t>
      </w:r>
      <w:r>
        <w:rPr>
          <w:sz w:val="16"/>
        </w:rPr>
        <w:t xml:space="preserve">dicines and Healthcare products </w:t>
      </w:r>
      <w:r w:rsidRPr="00AD21E2">
        <w:rPr>
          <w:sz w:val="16"/>
        </w:rPr>
        <w:t>Regulatory Agency, t</w:t>
      </w:r>
      <w:r>
        <w:rPr>
          <w:sz w:val="16"/>
        </w:rPr>
        <w:t xml:space="preserve">ribunal judge of the First-tier </w:t>
      </w:r>
      <w:r w:rsidRPr="00AD21E2">
        <w:rPr>
          <w:sz w:val="16"/>
        </w:rPr>
        <w:t>Tribunal (Health, Educa</w:t>
      </w:r>
      <w:r>
        <w:rPr>
          <w:sz w:val="16"/>
        </w:rPr>
        <w:t xml:space="preserve">tion and Social Care), chair of </w:t>
      </w:r>
      <w:r w:rsidRPr="00AD21E2">
        <w:rPr>
          <w:sz w:val="16"/>
        </w:rPr>
        <w:t>five independent mental he</w:t>
      </w:r>
      <w:r>
        <w:rPr>
          <w:sz w:val="16"/>
        </w:rPr>
        <w:t xml:space="preserve">alth homicide inquiries, all of </w:t>
      </w:r>
      <w:r w:rsidRPr="00AD21E2">
        <w:rPr>
          <w:sz w:val="16"/>
        </w:rPr>
        <w:t>which have had a minimum</w:t>
      </w:r>
      <w:r>
        <w:rPr>
          <w:sz w:val="16"/>
        </w:rPr>
        <w:t xml:space="preserve"> of six months follow-up by the </w:t>
      </w:r>
      <w:r w:rsidRPr="00AD21E2">
        <w:rPr>
          <w:sz w:val="16"/>
        </w:rPr>
        <w:t>inquiry built into the terms of reference.</w:t>
      </w:r>
    </w:p>
  </w:footnote>
  <w:footnote w:id="2">
    <w:p w:rsidR="00263636" w:rsidRPr="00263636" w:rsidRDefault="00AD21E2" w:rsidP="00263636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263636" w:rsidRPr="00263636">
        <w:rPr>
          <w:sz w:val="16"/>
        </w:rPr>
        <w:t>Former Chair of a Health Authority, former Di</w:t>
      </w:r>
      <w:r w:rsidR="00263636">
        <w:rPr>
          <w:sz w:val="16"/>
        </w:rPr>
        <w:t xml:space="preserve">rector of </w:t>
      </w:r>
      <w:r w:rsidR="00263636" w:rsidRPr="00263636">
        <w:rPr>
          <w:sz w:val="16"/>
        </w:rPr>
        <w:t>Social Services and member of the First-tier Tribunal</w:t>
      </w:r>
    </w:p>
    <w:p w:rsidR="00AD21E2" w:rsidRPr="00263636" w:rsidRDefault="00263636" w:rsidP="00263636">
      <w:pPr>
        <w:pStyle w:val="FootnoteText"/>
        <w:rPr>
          <w:sz w:val="16"/>
        </w:rPr>
      </w:pPr>
      <w:r w:rsidRPr="00263636">
        <w:rPr>
          <w:sz w:val="16"/>
        </w:rPr>
        <w:t>(Health, Education</w:t>
      </w:r>
      <w:r>
        <w:rPr>
          <w:sz w:val="16"/>
        </w:rPr>
        <w:t xml:space="preserve"> and Social Care), chair of six </w:t>
      </w:r>
      <w:r w:rsidRPr="00263636">
        <w:rPr>
          <w:sz w:val="16"/>
        </w:rPr>
        <w:t>independent mental healt</w:t>
      </w:r>
      <w:r>
        <w:rPr>
          <w:sz w:val="16"/>
        </w:rPr>
        <w:t xml:space="preserve">h homicide inquiries and member </w:t>
      </w:r>
      <w:r w:rsidRPr="00263636">
        <w:rPr>
          <w:sz w:val="16"/>
        </w:rPr>
        <w:t>on the panel of a fur</w:t>
      </w:r>
      <w:r>
        <w:rPr>
          <w:sz w:val="16"/>
        </w:rPr>
        <w:t xml:space="preserve">ther five such inquiries or NHS </w:t>
      </w:r>
      <w:r w:rsidRPr="00263636">
        <w:rPr>
          <w:sz w:val="16"/>
        </w:rPr>
        <w:t>investigations</w:t>
      </w:r>
    </w:p>
  </w:footnote>
  <w:footnote w:id="3">
    <w:p w:rsidR="00650590" w:rsidRPr="00650590" w:rsidRDefault="00650590" w:rsidP="0065059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650590">
        <w:rPr>
          <w:sz w:val="16"/>
        </w:rPr>
        <w:t>Independent Inquiry in</w:t>
      </w:r>
      <w:r>
        <w:rPr>
          <w:sz w:val="16"/>
        </w:rPr>
        <w:t xml:space="preserve">to the Care and Treatment of MN </w:t>
      </w:r>
      <w:r w:rsidRPr="00650590">
        <w:rPr>
          <w:sz w:val="16"/>
        </w:rPr>
        <w:t>commissioned by Avon</w:t>
      </w:r>
      <w:r>
        <w:rPr>
          <w:sz w:val="16"/>
        </w:rPr>
        <w:t xml:space="preserve">, Gloucestershire and Wiltshire </w:t>
      </w:r>
      <w:r w:rsidRPr="00650590">
        <w:rPr>
          <w:sz w:val="16"/>
        </w:rPr>
        <w:t>Strategic Health Authority (later part of NHS South</w:t>
      </w:r>
      <w:r>
        <w:rPr>
          <w:sz w:val="16"/>
        </w:rPr>
        <w:t xml:space="preserve"> </w:t>
      </w:r>
      <w:r w:rsidRPr="00650590">
        <w:rPr>
          <w:sz w:val="16"/>
        </w:rPr>
        <w:t>West) published June 2006</w:t>
      </w:r>
    </w:p>
  </w:footnote>
  <w:footnote w:id="4">
    <w:p w:rsidR="00650590" w:rsidRDefault="00650590" w:rsidP="009E78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E7892" w:rsidRPr="009E7892">
        <w:rPr>
          <w:sz w:val="16"/>
        </w:rPr>
        <w:t xml:space="preserve">Department of Health </w:t>
      </w:r>
      <w:r w:rsidR="009E7892" w:rsidRPr="009E7892">
        <w:rPr>
          <w:sz w:val="16"/>
        </w:rPr>
        <w:t xml:space="preserve">Circular HSG 94(27), as amended </w:t>
      </w:r>
      <w:r w:rsidR="009E7892" w:rsidRPr="009E7892">
        <w:rPr>
          <w:sz w:val="16"/>
        </w:rPr>
        <w:t>by Department of Health guidance issued in June 2005</w:t>
      </w:r>
    </w:p>
  </w:footnote>
  <w:footnote w:id="5">
    <w:p w:rsidR="006E288C" w:rsidRPr="00A51EE5" w:rsidRDefault="006E288C" w:rsidP="00A51EE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A51EE5" w:rsidRPr="00A51EE5">
        <w:rPr>
          <w:sz w:val="16"/>
        </w:rPr>
        <w:t>Reports by the Indepe</w:t>
      </w:r>
      <w:r w:rsidR="00A51EE5">
        <w:rPr>
          <w:sz w:val="16"/>
        </w:rPr>
        <w:t xml:space="preserve">ndent Inquiry into the Care and </w:t>
      </w:r>
      <w:r w:rsidR="00A51EE5" w:rsidRPr="00A51EE5">
        <w:rPr>
          <w:sz w:val="16"/>
        </w:rPr>
        <w:t xml:space="preserve">Treatment of MN: Six </w:t>
      </w:r>
      <w:r w:rsidR="00A51EE5">
        <w:rPr>
          <w:sz w:val="16"/>
        </w:rPr>
        <w:t xml:space="preserve">Month Review of Progress in the </w:t>
      </w:r>
      <w:r w:rsidR="00A51EE5" w:rsidRPr="00A51EE5">
        <w:rPr>
          <w:sz w:val="16"/>
        </w:rPr>
        <w:t>Implementation of Recom</w:t>
      </w:r>
      <w:r w:rsidR="00A51EE5">
        <w:rPr>
          <w:sz w:val="16"/>
        </w:rPr>
        <w:t xml:space="preserve">mendations presented to the NHS </w:t>
      </w:r>
      <w:r w:rsidR="00A51EE5" w:rsidRPr="00A51EE5">
        <w:rPr>
          <w:sz w:val="16"/>
        </w:rPr>
        <w:t>South West Board on 15</w:t>
      </w:r>
      <w:r w:rsidR="00A51EE5">
        <w:rPr>
          <w:sz w:val="16"/>
        </w:rPr>
        <w:t xml:space="preserve"> March 2007 and Progress Report </w:t>
      </w:r>
      <w:r w:rsidR="00A51EE5" w:rsidRPr="00A51EE5">
        <w:rPr>
          <w:sz w:val="16"/>
        </w:rPr>
        <w:t xml:space="preserve">on the Implementation </w:t>
      </w:r>
      <w:r w:rsidR="00A51EE5">
        <w:rPr>
          <w:sz w:val="16"/>
        </w:rPr>
        <w:t xml:space="preserve">of Recommendations presented to </w:t>
      </w:r>
      <w:r w:rsidR="00A51EE5" w:rsidRPr="00A51EE5">
        <w:rPr>
          <w:sz w:val="16"/>
        </w:rPr>
        <w:t>the NHS South West Board on 19 March 2008</w:t>
      </w:r>
    </w:p>
  </w:footnote>
  <w:footnote w:id="6">
    <w:p w:rsidR="00DC1073" w:rsidRPr="00DC1073" w:rsidRDefault="00DC1073" w:rsidP="00DC107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C1073">
        <w:rPr>
          <w:sz w:val="16"/>
        </w:rPr>
        <w:t>Independent investigation of serious patient safety incidents in mental health services: Good Practice Guidance, National Patient</w:t>
      </w:r>
    </w:p>
    <w:p w:rsidR="00DC1073" w:rsidRPr="00DC1073" w:rsidRDefault="00DC1073" w:rsidP="00DC1073">
      <w:pPr>
        <w:pStyle w:val="FootnoteText"/>
        <w:rPr>
          <w:sz w:val="16"/>
        </w:rPr>
      </w:pPr>
      <w:r w:rsidRPr="00DC1073">
        <w:rPr>
          <w:sz w:val="16"/>
        </w:rPr>
        <w:t>Safety Agency, February 2008 and Paul and Audrey Edwards v UK, Application No. 46477/99 14 March 2002, ECHR,</w:t>
      </w:r>
    </w:p>
    <w:p w:rsidR="00DC1073" w:rsidRDefault="00DC1073" w:rsidP="00DC1073">
      <w:pPr>
        <w:pStyle w:val="FootnoteText"/>
      </w:pPr>
      <w:r w:rsidRPr="00DC1073">
        <w:rPr>
          <w:sz w:val="16"/>
        </w:rPr>
        <w:t>Current Law May 2002,477</w:t>
      </w:r>
    </w:p>
  </w:footnote>
  <w:footnote w:id="7">
    <w:p w:rsidR="001628B1" w:rsidRDefault="001628B1" w:rsidP="00A454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454DC" w:rsidRPr="00A454DC">
        <w:rPr>
          <w:sz w:val="16"/>
        </w:rPr>
        <w:t>In Inquiries after Homicide</w:t>
      </w:r>
      <w:r w:rsidR="00A454DC" w:rsidRPr="00A454DC">
        <w:rPr>
          <w:sz w:val="16"/>
        </w:rPr>
        <w:t>, Jill Peay (</w:t>
      </w:r>
      <w:proofErr w:type="spellStart"/>
      <w:r w:rsidR="00A454DC" w:rsidRPr="00A454DC">
        <w:rPr>
          <w:sz w:val="16"/>
        </w:rPr>
        <w:t>ed</w:t>
      </w:r>
      <w:proofErr w:type="spellEnd"/>
      <w:r w:rsidR="00A454DC" w:rsidRPr="00A454DC">
        <w:rPr>
          <w:sz w:val="16"/>
        </w:rPr>
        <w:t xml:space="preserve">), 1996, London, </w:t>
      </w:r>
      <w:r w:rsidR="00A454DC" w:rsidRPr="00A454DC">
        <w:rPr>
          <w:sz w:val="16"/>
        </w:rPr>
        <w:t>Duckworth, page 74</w:t>
      </w:r>
    </w:p>
  </w:footnote>
  <w:footnote w:id="8">
    <w:p w:rsidR="00CF4B60" w:rsidRPr="00A454DC" w:rsidRDefault="00CF4B60" w:rsidP="00A454DC">
      <w:pPr>
        <w:pStyle w:val="FootnoteText"/>
        <w:rPr>
          <w:sz w:val="16"/>
        </w:rPr>
      </w:pPr>
      <w:r>
        <w:rPr>
          <w:rStyle w:val="FootnoteReference"/>
        </w:rPr>
        <w:footnoteRef/>
      </w:r>
      <w:r w:rsidRPr="00A454DC">
        <w:rPr>
          <w:sz w:val="16"/>
        </w:rPr>
        <w:t xml:space="preserve"> </w:t>
      </w:r>
      <w:r w:rsidR="00A454DC" w:rsidRPr="00A454DC">
        <w:rPr>
          <w:sz w:val="16"/>
        </w:rPr>
        <w:t>Pins H, Blacker-Hols</w:t>
      </w:r>
      <w:r w:rsidR="00A454DC">
        <w:rPr>
          <w:sz w:val="16"/>
        </w:rPr>
        <w:t xml:space="preserve">t T, Francis E, </w:t>
      </w:r>
      <w:proofErr w:type="spellStart"/>
      <w:r w:rsidR="00A454DC">
        <w:rPr>
          <w:sz w:val="16"/>
        </w:rPr>
        <w:t>Keitch</w:t>
      </w:r>
      <w:proofErr w:type="spellEnd"/>
      <w:r w:rsidR="00A454DC">
        <w:rPr>
          <w:sz w:val="16"/>
        </w:rPr>
        <w:t xml:space="preserve"> I (1993) </w:t>
      </w:r>
      <w:r w:rsidR="00A454DC" w:rsidRPr="00A454DC">
        <w:rPr>
          <w:sz w:val="16"/>
        </w:rPr>
        <w:t>Report of the Committ</w:t>
      </w:r>
      <w:r w:rsidR="00A454DC">
        <w:rPr>
          <w:sz w:val="16"/>
        </w:rPr>
        <w:t xml:space="preserve">ee of Inquiry into the Death of </w:t>
      </w:r>
      <w:r w:rsidR="00A454DC" w:rsidRPr="00A454DC">
        <w:rPr>
          <w:sz w:val="16"/>
        </w:rPr>
        <w:t>Orville Blackwood an</w:t>
      </w:r>
      <w:r w:rsidR="00A454DC">
        <w:rPr>
          <w:sz w:val="16"/>
        </w:rPr>
        <w:t xml:space="preserve">d a Review of the Deaths of Two </w:t>
      </w:r>
      <w:r w:rsidR="00A454DC" w:rsidRPr="00A454DC">
        <w:rPr>
          <w:sz w:val="16"/>
        </w:rPr>
        <w:t>Other Afro-Car</w:t>
      </w:r>
      <w:r w:rsidR="00A454DC">
        <w:rPr>
          <w:sz w:val="16"/>
        </w:rPr>
        <w:t xml:space="preserve">ibbean Patients. Big, Black and </w:t>
      </w:r>
      <w:r w:rsidR="00A454DC" w:rsidRPr="00A454DC">
        <w:rPr>
          <w:sz w:val="16"/>
        </w:rPr>
        <w:t>Dangerous. London, Special Hospitals Service Authority.</w:t>
      </w:r>
    </w:p>
  </w:footnote>
  <w:footnote w:id="9">
    <w:p w:rsidR="00CF4B60" w:rsidRPr="00A454DC" w:rsidRDefault="00CF4B60" w:rsidP="00A454D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A454DC" w:rsidRPr="00A454DC">
        <w:rPr>
          <w:sz w:val="16"/>
        </w:rPr>
        <w:t>Blofeld</w:t>
      </w:r>
      <w:proofErr w:type="spellEnd"/>
      <w:r w:rsidR="00A454DC" w:rsidRPr="00A454DC">
        <w:rPr>
          <w:sz w:val="16"/>
        </w:rPr>
        <w:t xml:space="preserve">, Sir J, </w:t>
      </w:r>
      <w:proofErr w:type="spellStart"/>
      <w:r w:rsidR="00A454DC" w:rsidRPr="00A454DC">
        <w:rPr>
          <w:sz w:val="16"/>
        </w:rPr>
        <w:t>Sallah</w:t>
      </w:r>
      <w:proofErr w:type="spellEnd"/>
      <w:r w:rsidR="00A454DC" w:rsidRPr="00A454DC">
        <w:rPr>
          <w:sz w:val="16"/>
        </w:rPr>
        <w:t xml:space="preserve"> D, Sa</w:t>
      </w:r>
      <w:r w:rsidR="00A454DC">
        <w:rPr>
          <w:sz w:val="16"/>
        </w:rPr>
        <w:t xml:space="preserve">shidharan S, Stone R, Struthers </w:t>
      </w:r>
      <w:r w:rsidR="00A454DC" w:rsidRPr="00A454DC">
        <w:rPr>
          <w:sz w:val="16"/>
        </w:rPr>
        <w:t>J (2003) Report of the In</w:t>
      </w:r>
      <w:r w:rsidR="00A454DC">
        <w:rPr>
          <w:sz w:val="16"/>
        </w:rPr>
        <w:t xml:space="preserve">dependent Inquiry into the Care </w:t>
      </w:r>
      <w:r w:rsidR="00A454DC" w:rsidRPr="00A454DC">
        <w:rPr>
          <w:sz w:val="16"/>
        </w:rPr>
        <w:t>and Treatment of Davi</w:t>
      </w:r>
      <w:r w:rsidR="00A454DC">
        <w:rPr>
          <w:sz w:val="16"/>
        </w:rPr>
        <w:t xml:space="preserve">d Bennett. Norfolk, Suffolk and </w:t>
      </w:r>
      <w:r w:rsidR="00A454DC" w:rsidRPr="00A454DC">
        <w:rPr>
          <w:sz w:val="16"/>
        </w:rPr>
        <w:t>Cambridgeshire Strategic Health Authority</w:t>
      </w:r>
    </w:p>
  </w:footnote>
  <w:footnote w:id="10">
    <w:p w:rsidR="00CF4B60" w:rsidRDefault="00CF4B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454DC" w:rsidRPr="00A454DC">
        <w:rPr>
          <w:sz w:val="16"/>
        </w:rPr>
        <w:t>Supra page 63</w:t>
      </w:r>
    </w:p>
  </w:footnote>
  <w:footnote w:id="11">
    <w:p w:rsidR="00A454DC" w:rsidRDefault="00A454DC" w:rsidP="00A454DC">
      <w:pPr>
        <w:pStyle w:val="FootnoteText"/>
        <w:tabs>
          <w:tab w:val="left" w:pos="1575"/>
        </w:tabs>
      </w:pPr>
      <w:r>
        <w:rPr>
          <w:rStyle w:val="FootnoteReference"/>
        </w:rPr>
        <w:footnoteRef/>
      </w:r>
      <w:r>
        <w:t xml:space="preserve"> </w:t>
      </w:r>
      <w:r w:rsidRPr="00A454DC">
        <w:rPr>
          <w:sz w:val="16"/>
        </w:rPr>
        <w:t>Inquiries after Homicide</w:t>
      </w:r>
      <w:r w:rsidRPr="00A454DC">
        <w:rPr>
          <w:sz w:val="16"/>
        </w:rPr>
        <w:t>, Jill Peay (</w:t>
      </w:r>
      <w:proofErr w:type="spellStart"/>
      <w:r w:rsidRPr="00A454DC">
        <w:rPr>
          <w:sz w:val="16"/>
        </w:rPr>
        <w:t>ed</w:t>
      </w:r>
      <w:proofErr w:type="spellEnd"/>
      <w:r w:rsidRPr="00A454DC">
        <w:rPr>
          <w:sz w:val="16"/>
        </w:rPr>
        <w:t xml:space="preserve">), 1996, London, </w:t>
      </w:r>
      <w:r w:rsidRPr="00A454DC">
        <w:rPr>
          <w:sz w:val="16"/>
        </w:rPr>
        <w:t>Duckworth, page 32</w:t>
      </w:r>
      <w:r>
        <w:tab/>
      </w:r>
    </w:p>
  </w:footnote>
  <w:footnote w:id="12">
    <w:p w:rsidR="00A454DC" w:rsidRPr="00A454DC" w:rsidRDefault="00A454DC" w:rsidP="00A454D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454DC">
        <w:rPr>
          <w:sz w:val="16"/>
        </w:rPr>
        <w:t>An Organisation wit</w:t>
      </w:r>
      <w:r>
        <w:rPr>
          <w:sz w:val="16"/>
        </w:rPr>
        <w:t xml:space="preserve">h a Memory: Report of an expert </w:t>
      </w:r>
      <w:r w:rsidRPr="00A454DC">
        <w:rPr>
          <w:sz w:val="16"/>
        </w:rPr>
        <w:t xml:space="preserve">group on learning </w:t>
      </w:r>
      <w:r>
        <w:rPr>
          <w:sz w:val="16"/>
        </w:rPr>
        <w:t xml:space="preserve">from adverse events in the NHS, </w:t>
      </w:r>
      <w:r w:rsidRPr="00A454DC">
        <w:rPr>
          <w:sz w:val="16"/>
        </w:rPr>
        <w:t>Chaired by the Chief</w:t>
      </w:r>
      <w:r>
        <w:rPr>
          <w:sz w:val="16"/>
        </w:rPr>
        <w:t xml:space="preserve"> Medical Officer, Department of </w:t>
      </w:r>
      <w:r w:rsidRPr="00A454DC">
        <w:rPr>
          <w:sz w:val="16"/>
        </w:rPr>
        <w:t>Health, TSO, 2000</w:t>
      </w:r>
    </w:p>
  </w:footnote>
  <w:footnote w:id="13">
    <w:p w:rsidR="00582F1B" w:rsidRPr="00582F1B" w:rsidRDefault="00BB3C89" w:rsidP="00582F1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582F1B" w:rsidRPr="00582F1B">
        <w:rPr>
          <w:sz w:val="16"/>
        </w:rPr>
        <w:t>Building a Safer NH</w:t>
      </w:r>
      <w:r w:rsidR="00582F1B" w:rsidRPr="00582F1B">
        <w:rPr>
          <w:sz w:val="16"/>
        </w:rPr>
        <w:t xml:space="preserve">S for patients: Implementing an </w:t>
      </w:r>
      <w:r w:rsidR="00582F1B" w:rsidRPr="00582F1B">
        <w:rPr>
          <w:sz w:val="16"/>
        </w:rPr>
        <w:t>organisation with a memory, Department of Health, 17</w:t>
      </w:r>
    </w:p>
    <w:p w:rsidR="00BB3C89" w:rsidRDefault="00582F1B" w:rsidP="00582F1B">
      <w:pPr>
        <w:pStyle w:val="FootnoteText"/>
      </w:pPr>
      <w:r w:rsidRPr="00582F1B">
        <w:rPr>
          <w:sz w:val="16"/>
        </w:rPr>
        <w:t>April 2002</w:t>
      </w:r>
    </w:p>
  </w:footnote>
  <w:footnote w:id="14">
    <w:p w:rsidR="00BB3C89" w:rsidRDefault="00BB3C89" w:rsidP="00582F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82F1B" w:rsidRPr="00582F1B">
        <w:rPr>
          <w:sz w:val="16"/>
        </w:rPr>
        <w:t>Kieran Walshe and Joa</w:t>
      </w:r>
      <w:r w:rsidR="00582F1B" w:rsidRPr="00582F1B">
        <w:rPr>
          <w:sz w:val="16"/>
        </w:rPr>
        <w:t xml:space="preserve">n Higgins The use and impact of </w:t>
      </w:r>
      <w:r w:rsidR="00582F1B" w:rsidRPr="00582F1B">
        <w:rPr>
          <w:sz w:val="16"/>
        </w:rPr>
        <w:t>inquiries in the NHS, BMJ 2002; 325; 895–900</w:t>
      </w:r>
    </w:p>
  </w:footnote>
  <w:footnote w:id="15">
    <w:p w:rsidR="00BB3C89" w:rsidRDefault="00BB3C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82F1B" w:rsidRPr="00582F1B">
        <w:rPr>
          <w:sz w:val="16"/>
        </w:rPr>
        <w:t>Supra page 899</w:t>
      </w:r>
    </w:p>
  </w:footnote>
  <w:footnote w:id="16">
    <w:p w:rsidR="00F41F5C" w:rsidRDefault="00F41F5C" w:rsidP="00F41F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1F5C">
        <w:rPr>
          <w:sz w:val="16"/>
        </w:rPr>
        <w:t>Independent investigation of s</w:t>
      </w:r>
      <w:r w:rsidRPr="00F41F5C">
        <w:rPr>
          <w:sz w:val="16"/>
        </w:rPr>
        <w:t xml:space="preserve">erious patient safety incidents </w:t>
      </w:r>
      <w:r w:rsidRPr="00F41F5C">
        <w:rPr>
          <w:sz w:val="16"/>
        </w:rPr>
        <w:t>in mental health se</w:t>
      </w:r>
      <w:r w:rsidRPr="00F41F5C">
        <w:rPr>
          <w:sz w:val="16"/>
        </w:rPr>
        <w:t xml:space="preserve">rvices: Good Practice Guidance, </w:t>
      </w:r>
      <w:r w:rsidRPr="00F41F5C">
        <w:rPr>
          <w:sz w:val="16"/>
        </w:rPr>
        <w:t>National Patient Safety Agency, February 2008</w:t>
      </w:r>
    </w:p>
  </w:footnote>
  <w:footnote w:id="17">
    <w:p w:rsidR="00DC4E99" w:rsidRPr="00DC4E99" w:rsidRDefault="00F41F5C" w:rsidP="00DC4E99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DC4E99" w:rsidRPr="00DC4E99">
        <w:rPr>
          <w:sz w:val="16"/>
        </w:rPr>
        <w:t>Avoidable Deaths: f</w:t>
      </w:r>
      <w:r w:rsidR="00DC4E99" w:rsidRPr="00DC4E99">
        <w:rPr>
          <w:sz w:val="16"/>
        </w:rPr>
        <w:t xml:space="preserve">ive year report of the National </w:t>
      </w:r>
      <w:r w:rsidR="00DC4E99" w:rsidRPr="00DC4E99">
        <w:rPr>
          <w:sz w:val="16"/>
        </w:rPr>
        <w:t>Confidential Inquiry into Suicide and Homicide by People</w:t>
      </w:r>
    </w:p>
    <w:p w:rsidR="00F41F5C" w:rsidRDefault="00DC4E99" w:rsidP="00DC4E99">
      <w:pPr>
        <w:pStyle w:val="FootnoteText"/>
      </w:pPr>
      <w:r w:rsidRPr="00DC4E99">
        <w:rPr>
          <w:sz w:val="16"/>
        </w:rPr>
        <w:t>with Mental Illness</w:t>
      </w:r>
      <w:r w:rsidRPr="00DC4E99">
        <w:rPr>
          <w:sz w:val="16"/>
        </w:rPr>
        <w:t xml:space="preserve">, The University of Manchester, </w:t>
      </w:r>
      <w:r w:rsidRPr="00DC4E99">
        <w:rPr>
          <w:sz w:val="16"/>
        </w:rPr>
        <w:t>December 2006</w:t>
      </w:r>
    </w:p>
  </w:footnote>
  <w:footnote w:id="18">
    <w:p w:rsidR="00F41F5C" w:rsidRDefault="00F41F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C4E99" w:rsidRPr="00DC4E99">
        <w:rPr>
          <w:sz w:val="16"/>
        </w:rPr>
        <w:t>Published by Verita and Capsticks</w:t>
      </w:r>
    </w:p>
  </w:footnote>
  <w:footnote w:id="19">
    <w:p w:rsidR="00F315A0" w:rsidRPr="00F315A0" w:rsidRDefault="00F315A0" w:rsidP="00F315A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315A0">
        <w:rPr>
          <w:sz w:val="16"/>
        </w:rPr>
        <w:t>Every Child Matter</w:t>
      </w:r>
      <w:r>
        <w:rPr>
          <w:sz w:val="16"/>
        </w:rPr>
        <w:t xml:space="preserve">s: Change for Children: Working </w:t>
      </w:r>
      <w:r w:rsidRPr="00F315A0">
        <w:rPr>
          <w:sz w:val="16"/>
        </w:rPr>
        <w:t>Together to Safeguard Ch</w:t>
      </w:r>
      <w:r>
        <w:rPr>
          <w:sz w:val="16"/>
        </w:rPr>
        <w:t xml:space="preserve">ildren: A guide to inter-agency </w:t>
      </w:r>
      <w:r w:rsidRPr="00F315A0">
        <w:rPr>
          <w:sz w:val="16"/>
        </w:rPr>
        <w:t>working to safeguard a</w:t>
      </w:r>
      <w:r>
        <w:rPr>
          <w:sz w:val="16"/>
        </w:rPr>
        <w:t xml:space="preserve">nd promote welfare of children, </w:t>
      </w:r>
      <w:r w:rsidRPr="00F315A0">
        <w:rPr>
          <w:sz w:val="16"/>
        </w:rPr>
        <w:t>HM Government, TSO, 2006</w:t>
      </w:r>
    </w:p>
  </w:footnote>
  <w:footnote w:id="20">
    <w:p w:rsidR="00127551" w:rsidRPr="00454B49" w:rsidRDefault="00127551" w:rsidP="00454B49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454B49" w:rsidRPr="00454B49">
        <w:rPr>
          <w:sz w:val="16"/>
        </w:rPr>
        <w:t>A study of serious case revi</w:t>
      </w:r>
      <w:r w:rsidR="00454B49">
        <w:rPr>
          <w:sz w:val="16"/>
        </w:rPr>
        <w:t xml:space="preserve">ews and the effects of the 1999 </w:t>
      </w:r>
      <w:r w:rsidR="00454B49" w:rsidRPr="00454B49">
        <w:rPr>
          <w:sz w:val="16"/>
        </w:rPr>
        <w:t xml:space="preserve">Guidance; A Research </w:t>
      </w:r>
      <w:r w:rsidR="00454B49">
        <w:rPr>
          <w:sz w:val="16"/>
        </w:rPr>
        <w:t xml:space="preserve">Report, Ruth Sinclair and Roger </w:t>
      </w:r>
      <w:r w:rsidR="00454B49" w:rsidRPr="00454B49">
        <w:rPr>
          <w:sz w:val="16"/>
        </w:rPr>
        <w:t>Bullock, 2002, Department of Health, London, at page 52</w:t>
      </w:r>
    </w:p>
  </w:footnote>
  <w:footnote w:id="21">
    <w:p w:rsidR="00127551" w:rsidRPr="00A04A4D" w:rsidRDefault="00127551" w:rsidP="00A04A4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A04A4D" w:rsidRPr="00A04A4D">
        <w:rPr>
          <w:sz w:val="16"/>
        </w:rPr>
        <w:t xml:space="preserve">Improving safeguarding </w:t>
      </w:r>
      <w:r w:rsidR="00A04A4D">
        <w:rPr>
          <w:sz w:val="16"/>
        </w:rPr>
        <w:t xml:space="preserve">practice: Study of serious case </w:t>
      </w:r>
      <w:r w:rsidR="00A04A4D" w:rsidRPr="00A04A4D">
        <w:rPr>
          <w:sz w:val="16"/>
        </w:rPr>
        <w:t>reviews 2001–2003, W</w:t>
      </w:r>
      <w:r w:rsidR="00A04A4D">
        <w:rPr>
          <w:sz w:val="16"/>
        </w:rPr>
        <w:t xml:space="preserve">endy Rose and Julie Barnes, The </w:t>
      </w:r>
      <w:r w:rsidR="00A04A4D" w:rsidRPr="00A04A4D">
        <w:rPr>
          <w:sz w:val="16"/>
        </w:rPr>
        <w:t>Open Universi</w:t>
      </w:r>
      <w:r w:rsidR="00A04A4D">
        <w:rPr>
          <w:sz w:val="16"/>
        </w:rPr>
        <w:t xml:space="preserve">ty, Research Report DCSF-RR022, </w:t>
      </w:r>
      <w:r w:rsidR="00A04A4D" w:rsidRPr="00A04A4D">
        <w:rPr>
          <w:sz w:val="16"/>
        </w:rPr>
        <w:t xml:space="preserve">Department for Children, </w:t>
      </w:r>
      <w:r w:rsidR="00A04A4D">
        <w:rPr>
          <w:sz w:val="16"/>
        </w:rPr>
        <w:t xml:space="preserve">Schools and Families, published </w:t>
      </w:r>
      <w:r w:rsidR="00A04A4D" w:rsidRPr="00A04A4D">
        <w:rPr>
          <w:sz w:val="16"/>
        </w:rPr>
        <w:t>March 2008</w:t>
      </w:r>
    </w:p>
  </w:footnote>
  <w:footnote w:id="22">
    <w:p w:rsidR="00127551" w:rsidRPr="008A1B58" w:rsidRDefault="00127551" w:rsidP="008A1B58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8A1B58" w:rsidRPr="008A1B58">
        <w:rPr>
          <w:sz w:val="16"/>
        </w:rPr>
        <w:t>No reason is given for</w:t>
      </w:r>
      <w:r w:rsidR="008A1B58">
        <w:rPr>
          <w:sz w:val="16"/>
        </w:rPr>
        <w:t xml:space="preserve"> non-involvement of families in </w:t>
      </w:r>
      <w:r w:rsidR="008A1B58" w:rsidRPr="008A1B58">
        <w:rPr>
          <w:sz w:val="16"/>
        </w:rPr>
        <w:t>serious case reviews. It s</w:t>
      </w:r>
      <w:r w:rsidR="008A1B58">
        <w:rPr>
          <w:sz w:val="16"/>
        </w:rPr>
        <w:t xml:space="preserve">tands in stark contrast to most </w:t>
      </w:r>
      <w:r w:rsidR="008A1B58" w:rsidRPr="008A1B58">
        <w:rPr>
          <w:sz w:val="16"/>
        </w:rPr>
        <w:t>mental health inquiries a</w:t>
      </w:r>
      <w:r w:rsidR="008A1B58">
        <w:rPr>
          <w:sz w:val="16"/>
        </w:rPr>
        <w:t xml:space="preserve">nd in our opinion needs further </w:t>
      </w:r>
      <w:r w:rsidR="008A1B58" w:rsidRPr="008A1B58">
        <w:rPr>
          <w:sz w:val="16"/>
        </w:rPr>
        <w:t>investigation.</w:t>
      </w:r>
    </w:p>
  </w:footnote>
  <w:footnote w:id="23">
    <w:p w:rsidR="00034025" w:rsidRPr="00034025" w:rsidRDefault="004D720F" w:rsidP="0003402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034025" w:rsidRPr="00034025">
        <w:rPr>
          <w:sz w:val="16"/>
        </w:rPr>
        <w:t>Analysing child deaths a</w:t>
      </w:r>
      <w:r w:rsidR="00034025">
        <w:rPr>
          <w:sz w:val="16"/>
        </w:rPr>
        <w:t xml:space="preserve">nd serious injury through abuse </w:t>
      </w:r>
      <w:r w:rsidR="00034025" w:rsidRPr="00034025">
        <w:rPr>
          <w:sz w:val="16"/>
        </w:rPr>
        <w:t>and neglect: what can we learn</w:t>
      </w:r>
      <w:r w:rsidR="00034025">
        <w:rPr>
          <w:sz w:val="16"/>
        </w:rPr>
        <w:t xml:space="preserve">?: A biennial analysis </w:t>
      </w:r>
      <w:proofErr w:type="spellStart"/>
      <w:r w:rsidR="00034025">
        <w:rPr>
          <w:sz w:val="16"/>
        </w:rPr>
        <w:t>ofn</w:t>
      </w:r>
      <w:proofErr w:type="spellEnd"/>
      <w:r w:rsidR="00034025">
        <w:rPr>
          <w:sz w:val="16"/>
        </w:rPr>
        <w:t xml:space="preserve"> </w:t>
      </w:r>
      <w:r w:rsidR="00034025" w:rsidRPr="00034025">
        <w:rPr>
          <w:sz w:val="16"/>
        </w:rPr>
        <w:t>serious case reviews 2</w:t>
      </w:r>
      <w:r w:rsidR="00034025">
        <w:rPr>
          <w:sz w:val="16"/>
        </w:rPr>
        <w:t xml:space="preserve">003–2005, Marian Brandon, Pippa </w:t>
      </w:r>
      <w:proofErr w:type="spellStart"/>
      <w:r w:rsidR="00034025" w:rsidRPr="00034025">
        <w:rPr>
          <w:sz w:val="16"/>
        </w:rPr>
        <w:t>Belderson</w:t>
      </w:r>
      <w:proofErr w:type="spellEnd"/>
      <w:r w:rsidR="00034025" w:rsidRPr="00034025">
        <w:rPr>
          <w:sz w:val="16"/>
        </w:rPr>
        <w:t>, Cat</w:t>
      </w:r>
      <w:r w:rsidR="00034025">
        <w:rPr>
          <w:sz w:val="16"/>
        </w:rPr>
        <w:t xml:space="preserve">herine Warren, David Howe, Ruth </w:t>
      </w:r>
      <w:r w:rsidR="00034025" w:rsidRPr="00034025">
        <w:rPr>
          <w:sz w:val="16"/>
        </w:rPr>
        <w:t xml:space="preserve">Gardner, Jane </w:t>
      </w:r>
      <w:proofErr w:type="spellStart"/>
      <w:r w:rsidR="00034025" w:rsidRPr="00034025">
        <w:rPr>
          <w:sz w:val="16"/>
        </w:rPr>
        <w:t>Dodsworth</w:t>
      </w:r>
      <w:proofErr w:type="spellEnd"/>
      <w:r w:rsidR="00034025" w:rsidRPr="00034025">
        <w:rPr>
          <w:sz w:val="16"/>
        </w:rPr>
        <w:t xml:space="preserve"> and Jane Black, Research</w:t>
      </w:r>
    </w:p>
    <w:p w:rsidR="004D720F" w:rsidRPr="00034025" w:rsidRDefault="00034025" w:rsidP="00034025">
      <w:pPr>
        <w:pStyle w:val="FootnoteText"/>
        <w:rPr>
          <w:sz w:val="16"/>
        </w:rPr>
      </w:pPr>
      <w:r w:rsidRPr="00034025">
        <w:rPr>
          <w:sz w:val="16"/>
        </w:rPr>
        <w:t>Report DCSF-RR023, D</w:t>
      </w:r>
      <w:r>
        <w:rPr>
          <w:sz w:val="16"/>
        </w:rPr>
        <w:t xml:space="preserve">epartment for Children, Schools </w:t>
      </w:r>
      <w:r w:rsidRPr="00034025">
        <w:rPr>
          <w:sz w:val="16"/>
        </w:rPr>
        <w:t>and Families, published March 2008</w:t>
      </w:r>
    </w:p>
  </w:footnote>
  <w:footnote w:id="24">
    <w:p w:rsidR="00740666" w:rsidRPr="00740666" w:rsidRDefault="00034025" w:rsidP="00740666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740666" w:rsidRPr="00740666">
        <w:rPr>
          <w:sz w:val="16"/>
        </w:rPr>
        <w:t>Evidence sugge</w:t>
      </w:r>
      <w:r w:rsidR="00740666">
        <w:rPr>
          <w:sz w:val="16"/>
        </w:rPr>
        <w:t xml:space="preserve">sts this could also be the case </w:t>
      </w:r>
      <w:r w:rsidR="00740666" w:rsidRPr="00740666">
        <w:rPr>
          <w:sz w:val="16"/>
        </w:rPr>
        <w:t>internationally. Child Deat</w:t>
      </w:r>
      <w:r w:rsidR="00740666">
        <w:rPr>
          <w:sz w:val="16"/>
        </w:rPr>
        <w:t xml:space="preserve">h and Significant case Reviews: </w:t>
      </w:r>
      <w:r w:rsidR="00740666" w:rsidRPr="00740666">
        <w:rPr>
          <w:sz w:val="16"/>
        </w:rPr>
        <w:t>International Approaches</w:t>
      </w:r>
      <w:r w:rsidR="00740666">
        <w:rPr>
          <w:sz w:val="16"/>
        </w:rPr>
        <w:t xml:space="preserve"> Nick </w:t>
      </w:r>
      <w:proofErr w:type="spellStart"/>
      <w:r w:rsidR="00740666">
        <w:rPr>
          <w:sz w:val="16"/>
        </w:rPr>
        <w:t>Axford</w:t>
      </w:r>
      <w:proofErr w:type="spellEnd"/>
      <w:r w:rsidR="00740666">
        <w:rPr>
          <w:sz w:val="16"/>
        </w:rPr>
        <w:t xml:space="preserve"> and Roger Bullock, </w:t>
      </w:r>
      <w:proofErr w:type="spellStart"/>
      <w:r w:rsidR="00740666" w:rsidRPr="00740666">
        <w:rPr>
          <w:sz w:val="16"/>
        </w:rPr>
        <w:t>Dartington</w:t>
      </w:r>
      <w:proofErr w:type="spellEnd"/>
      <w:r w:rsidR="00740666" w:rsidRPr="00740666">
        <w:rPr>
          <w:sz w:val="16"/>
        </w:rPr>
        <w:t xml:space="preserve"> Social Rese</w:t>
      </w:r>
      <w:r w:rsidR="00740666">
        <w:rPr>
          <w:sz w:val="16"/>
        </w:rPr>
        <w:t xml:space="preserve">arch Unit for Insight, Scottish </w:t>
      </w:r>
      <w:r w:rsidR="00740666" w:rsidRPr="00740666">
        <w:rPr>
          <w:sz w:val="16"/>
        </w:rPr>
        <w:t>Executive Education Department, June 2005 examined</w:t>
      </w:r>
    </w:p>
    <w:p w:rsidR="00034025" w:rsidRPr="00740666" w:rsidRDefault="00740666" w:rsidP="00740666">
      <w:pPr>
        <w:pStyle w:val="FootnoteText"/>
        <w:rPr>
          <w:sz w:val="16"/>
        </w:rPr>
      </w:pPr>
      <w:r w:rsidRPr="00740666">
        <w:rPr>
          <w:sz w:val="16"/>
        </w:rPr>
        <w:t>child deaths and signifi</w:t>
      </w:r>
      <w:r>
        <w:rPr>
          <w:sz w:val="16"/>
        </w:rPr>
        <w:t xml:space="preserve">cant case reviews in Australia, </w:t>
      </w:r>
      <w:r w:rsidRPr="00740666">
        <w:rPr>
          <w:sz w:val="16"/>
        </w:rPr>
        <w:t>Belgium, Canada, Eng</w:t>
      </w:r>
      <w:r>
        <w:rPr>
          <w:sz w:val="16"/>
        </w:rPr>
        <w:t xml:space="preserve">land, Germany, Ireland, Israel, </w:t>
      </w:r>
      <w:r w:rsidRPr="00740666">
        <w:rPr>
          <w:sz w:val="16"/>
        </w:rPr>
        <w:t>Jordan, New Zea</w:t>
      </w:r>
      <w:r>
        <w:rPr>
          <w:sz w:val="16"/>
        </w:rPr>
        <w:t xml:space="preserve">land, Northern Ireland, Norway, </w:t>
      </w:r>
      <w:r w:rsidRPr="00740666">
        <w:rPr>
          <w:sz w:val="16"/>
        </w:rPr>
        <w:t>Scotland, South Africa, Switzerland, US and Wales.</w:t>
      </w:r>
    </w:p>
  </w:footnote>
  <w:footnote w:id="25">
    <w:p w:rsidR="00740666" w:rsidRPr="00740666" w:rsidRDefault="00034025" w:rsidP="00740666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740666" w:rsidRPr="00740666">
        <w:rPr>
          <w:sz w:val="16"/>
        </w:rPr>
        <w:t>From Executive</w:t>
      </w:r>
      <w:r w:rsidR="00740666" w:rsidRPr="00740666">
        <w:rPr>
          <w:sz w:val="16"/>
        </w:rPr>
        <w:t xml:space="preserve"> Summary of Consultation Paper: </w:t>
      </w:r>
      <w:r w:rsidR="00740666" w:rsidRPr="00740666">
        <w:rPr>
          <w:sz w:val="16"/>
        </w:rPr>
        <w:t>Guidance for Domestic Homicide Reviews under the</w:t>
      </w:r>
    </w:p>
    <w:p w:rsidR="00034025" w:rsidRDefault="00740666" w:rsidP="00740666">
      <w:pPr>
        <w:pStyle w:val="FootnoteText"/>
      </w:pPr>
      <w:r w:rsidRPr="00740666">
        <w:rPr>
          <w:sz w:val="16"/>
        </w:rPr>
        <w:t>Domestic Violence, C</w:t>
      </w:r>
      <w:r w:rsidRPr="00740666">
        <w:rPr>
          <w:sz w:val="16"/>
        </w:rPr>
        <w:t xml:space="preserve">rime and Victims Act 2004, Home </w:t>
      </w:r>
      <w:r w:rsidRPr="00740666">
        <w:rPr>
          <w:sz w:val="16"/>
        </w:rPr>
        <w:t>Office, June 2006</w:t>
      </w:r>
    </w:p>
  </w:footnote>
  <w:footnote w:id="26">
    <w:p w:rsidR="00A31A4A" w:rsidRPr="00A31A4A" w:rsidRDefault="00034025" w:rsidP="00A31A4A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A31A4A" w:rsidRPr="00A31A4A">
        <w:rPr>
          <w:sz w:val="16"/>
        </w:rPr>
        <w:t>Findings from the</w:t>
      </w:r>
      <w:r w:rsidR="00A31A4A">
        <w:rPr>
          <w:sz w:val="16"/>
        </w:rPr>
        <w:t xml:space="preserve"> Multi-agency Domestic Violence </w:t>
      </w:r>
      <w:r w:rsidR="00A31A4A" w:rsidRPr="00A31A4A">
        <w:rPr>
          <w:sz w:val="16"/>
        </w:rPr>
        <w:t>Murder Reviews i</w:t>
      </w:r>
      <w:r w:rsidR="00A31A4A">
        <w:rPr>
          <w:sz w:val="16"/>
        </w:rPr>
        <w:t xml:space="preserve">n London; prepared for the ACPO </w:t>
      </w:r>
      <w:r w:rsidR="00A31A4A" w:rsidRPr="00A31A4A">
        <w:rPr>
          <w:sz w:val="16"/>
        </w:rPr>
        <w:t>Homicide Working Group</w:t>
      </w:r>
      <w:r w:rsidR="00A31A4A">
        <w:rPr>
          <w:sz w:val="16"/>
        </w:rPr>
        <w:t xml:space="preserve">, by Laura Richards, Consultant </w:t>
      </w:r>
      <w:r w:rsidR="00A31A4A" w:rsidRPr="00A31A4A">
        <w:rPr>
          <w:sz w:val="16"/>
        </w:rPr>
        <w:t>Behavioural Analyst,</w:t>
      </w:r>
      <w:r w:rsidR="00A31A4A">
        <w:rPr>
          <w:sz w:val="16"/>
        </w:rPr>
        <w:t xml:space="preserve"> Metropolitan Police and Police </w:t>
      </w:r>
      <w:r w:rsidR="00A31A4A" w:rsidRPr="00A31A4A">
        <w:rPr>
          <w:sz w:val="16"/>
        </w:rPr>
        <w:t>Standards Unit and Commander Andre Baker, Head of</w:t>
      </w:r>
    </w:p>
    <w:p w:rsidR="00034025" w:rsidRPr="00A31A4A" w:rsidRDefault="00A31A4A" w:rsidP="00A31A4A">
      <w:pPr>
        <w:pStyle w:val="FootnoteText"/>
        <w:rPr>
          <w:sz w:val="16"/>
        </w:rPr>
      </w:pPr>
      <w:r w:rsidRPr="00A31A4A">
        <w:rPr>
          <w:sz w:val="16"/>
        </w:rPr>
        <w:t>Homicide Investigatio</w:t>
      </w:r>
      <w:r>
        <w:rPr>
          <w:sz w:val="16"/>
        </w:rPr>
        <w:t xml:space="preserve">n, Metropolitan Police Service, </w:t>
      </w:r>
      <w:r w:rsidRPr="00A31A4A">
        <w:rPr>
          <w:sz w:val="16"/>
        </w:rPr>
        <w:t>Metropolitan Police, 9 October 2003</w:t>
      </w:r>
    </w:p>
  </w:footnote>
  <w:footnote w:id="27">
    <w:p w:rsidR="00A31A4A" w:rsidRPr="00A31A4A" w:rsidRDefault="006343E9" w:rsidP="00A31A4A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A31A4A" w:rsidRPr="00A31A4A">
        <w:rPr>
          <w:sz w:val="16"/>
        </w:rPr>
        <w:t>‘Getting away with it’: A</w:t>
      </w:r>
      <w:r w:rsidR="00A31A4A">
        <w:rPr>
          <w:sz w:val="16"/>
        </w:rPr>
        <w:t xml:space="preserve"> Strategic Overview of Domestic </w:t>
      </w:r>
      <w:r w:rsidR="00A31A4A" w:rsidRPr="00A31A4A">
        <w:rPr>
          <w:sz w:val="16"/>
        </w:rPr>
        <w:t xml:space="preserve">Violence, Sexual Assault </w:t>
      </w:r>
      <w:r w:rsidR="00A31A4A">
        <w:rPr>
          <w:sz w:val="16"/>
        </w:rPr>
        <w:t xml:space="preserve">and ‘Serious’ Incident Analysis </w:t>
      </w:r>
      <w:r w:rsidR="00A31A4A" w:rsidRPr="00A31A4A">
        <w:rPr>
          <w:sz w:val="16"/>
        </w:rPr>
        <w:t xml:space="preserve">by Laura Richards, </w:t>
      </w:r>
      <w:r w:rsidR="00A31A4A">
        <w:rPr>
          <w:sz w:val="16"/>
        </w:rPr>
        <w:t xml:space="preserve">Consultant Behavioural Analyst, </w:t>
      </w:r>
      <w:r w:rsidR="00A31A4A" w:rsidRPr="00A31A4A">
        <w:rPr>
          <w:sz w:val="16"/>
        </w:rPr>
        <w:t>Metropolitan Polic</w:t>
      </w:r>
      <w:r w:rsidR="00A31A4A">
        <w:rPr>
          <w:sz w:val="16"/>
        </w:rPr>
        <w:t xml:space="preserve">e and Police Standards Unit and </w:t>
      </w:r>
      <w:r w:rsidR="00A31A4A" w:rsidRPr="00A31A4A">
        <w:rPr>
          <w:sz w:val="16"/>
        </w:rPr>
        <w:t>Commander Andre Baker, Head of Homicide</w:t>
      </w:r>
    </w:p>
    <w:p w:rsidR="006343E9" w:rsidRPr="00A31A4A" w:rsidRDefault="00A31A4A" w:rsidP="00A31A4A">
      <w:pPr>
        <w:pStyle w:val="FootnoteText"/>
        <w:rPr>
          <w:sz w:val="16"/>
        </w:rPr>
      </w:pPr>
      <w:r w:rsidRPr="00A31A4A">
        <w:rPr>
          <w:sz w:val="16"/>
        </w:rPr>
        <w:t>Investigation, Metropolit</w:t>
      </w:r>
      <w:r>
        <w:rPr>
          <w:sz w:val="16"/>
        </w:rPr>
        <w:t xml:space="preserve">an Police Service, Metropolitan </w:t>
      </w:r>
      <w:r w:rsidRPr="00A31A4A">
        <w:rPr>
          <w:sz w:val="16"/>
        </w:rPr>
        <w:t>Police, 16 March 2004</w:t>
      </w:r>
    </w:p>
  </w:footnote>
  <w:footnote w:id="28">
    <w:p w:rsidR="00682C61" w:rsidRDefault="00682C61" w:rsidP="009D04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D0423" w:rsidRPr="009D0423">
        <w:rPr>
          <w:sz w:val="16"/>
        </w:rPr>
        <w:t>Consultation Paper: Guidance for Domestic Homicide Reviews under the Domestic Violen</w:t>
      </w:r>
      <w:r w:rsidR="009D0423" w:rsidRPr="009D0423">
        <w:rPr>
          <w:sz w:val="16"/>
        </w:rPr>
        <w:t xml:space="preserve">ce, Crime and Victims Act 2004, </w:t>
      </w:r>
      <w:r w:rsidR="009D0423" w:rsidRPr="009D0423">
        <w:rPr>
          <w:sz w:val="16"/>
        </w:rPr>
        <w:t>Home Office, June 2006</w:t>
      </w:r>
    </w:p>
  </w:footnote>
  <w:footnote w:id="29">
    <w:p w:rsidR="007F6E49" w:rsidRDefault="007F6E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B25C7" w:rsidRPr="007B25C7">
        <w:rPr>
          <w:sz w:val="16"/>
        </w:rPr>
        <w:t>Explanatory Notes to the Inquiries Act 2005 Chapter 12, TSO, 2005, paragraph 8</w:t>
      </w:r>
    </w:p>
  </w:footnote>
  <w:footnote w:id="30">
    <w:p w:rsidR="000C5E75" w:rsidRDefault="000C5E75" w:rsidP="000455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45570" w:rsidRPr="00045570">
        <w:rPr>
          <w:sz w:val="16"/>
        </w:rPr>
        <w:t>Making Sense of Inquir</w:t>
      </w:r>
      <w:r w:rsidR="00045570" w:rsidRPr="00045570">
        <w:rPr>
          <w:sz w:val="16"/>
        </w:rPr>
        <w:t xml:space="preserve">y Sensemaking, Andrew D. Brown, </w:t>
      </w:r>
      <w:r w:rsidR="00045570" w:rsidRPr="00045570">
        <w:rPr>
          <w:sz w:val="16"/>
        </w:rPr>
        <w:t>Journal of Management Studies 37: 1 January 2000</w:t>
      </w:r>
    </w:p>
  </w:footnote>
  <w:footnote w:id="31">
    <w:p w:rsidR="000C5E75" w:rsidRPr="00045570" w:rsidRDefault="000C5E75" w:rsidP="0004557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045570" w:rsidRPr="00045570">
        <w:rPr>
          <w:sz w:val="16"/>
        </w:rPr>
        <w:t>Jill Peay, above, at p</w:t>
      </w:r>
      <w:r w:rsidR="00045570" w:rsidRPr="00045570">
        <w:rPr>
          <w:sz w:val="16"/>
        </w:rPr>
        <w:t xml:space="preserve">age 29 and Louis </w:t>
      </w:r>
      <w:proofErr w:type="spellStart"/>
      <w:r w:rsidR="00045570" w:rsidRPr="00045570">
        <w:rPr>
          <w:sz w:val="16"/>
        </w:rPr>
        <w:t>Blom</w:t>
      </w:r>
      <w:proofErr w:type="spellEnd"/>
      <w:r w:rsidR="00045570" w:rsidRPr="00045570">
        <w:rPr>
          <w:sz w:val="16"/>
        </w:rPr>
        <w:t xml:space="preserve">-Cooper at </w:t>
      </w:r>
      <w:r w:rsidR="00045570" w:rsidRPr="00045570">
        <w:rPr>
          <w:sz w:val="16"/>
        </w:rPr>
        <w:t>page 59</w:t>
      </w:r>
    </w:p>
  </w:footnote>
  <w:footnote w:id="32">
    <w:p w:rsidR="00045570" w:rsidRPr="00045570" w:rsidRDefault="000C5E75" w:rsidP="0004557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045570" w:rsidRPr="00045570">
        <w:rPr>
          <w:sz w:val="16"/>
        </w:rPr>
        <w:t>Review of Homicides by Patien</w:t>
      </w:r>
      <w:r w:rsidR="00045570" w:rsidRPr="00045570">
        <w:rPr>
          <w:sz w:val="16"/>
        </w:rPr>
        <w:t xml:space="preserve">ts with Severe Mental </w:t>
      </w:r>
      <w:r w:rsidR="00045570" w:rsidRPr="00045570">
        <w:rPr>
          <w:sz w:val="16"/>
        </w:rPr>
        <w:t>Illness, Tony Maden, Professor of Forensic Psychiatry,</w:t>
      </w:r>
    </w:p>
    <w:p w:rsidR="00045570" w:rsidRPr="00045570" w:rsidRDefault="00045570" w:rsidP="00045570">
      <w:pPr>
        <w:pStyle w:val="FootnoteText"/>
        <w:rPr>
          <w:sz w:val="16"/>
        </w:rPr>
      </w:pPr>
      <w:r w:rsidRPr="00045570">
        <w:rPr>
          <w:sz w:val="16"/>
        </w:rPr>
        <w:t>Imperial College, Lo</w:t>
      </w:r>
      <w:r w:rsidRPr="00045570">
        <w:rPr>
          <w:sz w:val="16"/>
        </w:rPr>
        <w:t xml:space="preserve">ndon, 15 March 2006, at page 66 </w:t>
      </w:r>
      <w:r w:rsidRPr="00045570">
        <w:rPr>
          <w:sz w:val="16"/>
        </w:rPr>
        <w:t>states ‘When reviewing Inquiry reports one is confronted</w:t>
      </w:r>
    </w:p>
    <w:p w:rsidR="000C5E75" w:rsidRDefault="00045570" w:rsidP="00045570">
      <w:pPr>
        <w:pStyle w:val="FootnoteText"/>
      </w:pPr>
      <w:proofErr w:type="gramStart"/>
      <w:r w:rsidRPr="00045570">
        <w:rPr>
          <w:sz w:val="16"/>
        </w:rPr>
        <w:t>by</w:t>
      </w:r>
      <w:proofErr w:type="gramEnd"/>
      <w:r w:rsidRPr="00045570">
        <w:rPr>
          <w:sz w:val="16"/>
        </w:rPr>
        <w:t xml:space="preserve"> the unfairness of some</w:t>
      </w:r>
      <w:r w:rsidRPr="00045570">
        <w:rPr>
          <w:sz w:val="16"/>
        </w:rPr>
        <w:t xml:space="preserve"> comments made with the benefit </w:t>
      </w:r>
      <w:r w:rsidRPr="00045570">
        <w:rPr>
          <w:sz w:val="16"/>
        </w:rPr>
        <w:t>of hindsight, and the</w:t>
      </w:r>
      <w:r w:rsidRPr="00045570">
        <w:rPr>
          <w:sz w:val="16"/>
        </w:rPr>
        <w:t xml:space="preserve"> consequent damage to morale in </w:t>
      </w:r>
      <w:r w:rsidRPr="00045570">
        <w:rPr>
          <w:sz w:val="16"/>
        </w:rPr>
        <w:t>general, as well as to the staff directly involved’.</w:t>
      </w:r>
    </w:p>
  </w:footnote>
  <w:footnote w:id="33">
    <w:p w:rsidR="000C5E75" w:rsidRDefault="000C5E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45570" w:rsidRPr="00045570">
        <w:rPr>
          <w:sz w:val="16"/>
        </w:rPr>
        <w:t>Supra page 66.</w:t>
      </w:r>
    </w:p>
  </w:footnote>
  <w:footnote w:id="34">
    <w:p w:rsidR="000C5E75" w:rsidRPr="00045570" w:rsidRDefault="000C5E75" w:rsidP="0004557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045570" w:rsidRPr="00045570">
        <w:rPr>
          <w:sz w:val="16"/>
        </w:rPr>
        <w:t>Sinclair and Bullock, abo</w:t>
      </w:r>
      <w:r w:rsidR="00045570">
        <w:rPr>
          <w:sz w:val="16"/>
        </w:rPr>
        <w:t xml:space="preserve">ve, at page 51 comment that the </w:t>
      </w:r>
      <w:r w:rsidR="00045570" w:rsidRPr="00045570">
        <w:rPr>
          <w:sz w:val="16"/>
        </w:rPr>
        <w:t>difficulty of predicting vuln</w:t>
      </w:r>
      <w:r w:rsidR="00045570">
        <w:rPr>
          <w:sz w:val="16"/>
        </w:rPr>
        <w:t xml:space="preserve">erable children who are at risk </w:t>
      </w:r>
      <w:r w:rsidR="00045570" w:rsidRPr="00045570">
        <w:rPr>
          <w:sz w:val="16"/>
        </w:rPr>
        <w:t>of violent death or seri</w:t>
      </w:r>
      <w:r w:rsidR="00045570">
        <w:rPr>
          <w:sz w:val="16"/>
        </w:rPr>
        <w:t xml:space="preserve">ous injury can result in ‘false </w:t>
      </w:r>
      <w:r w:rsidR="00045570" w:rsidRPr="00045570">
        <w:rPr>
          <w:sz w:val="16"/>
        </w:rPr>
        <w:t>positive’ cases, with provis</w:t>
      </w:r>
      <w:r w:rsidR="00045570">
        <w:rPr>
          <w:sz w:val="16"/>
        </w:rPr>
        <w:t xml:space="preserve">ion of services to those who do </w:t>
      </w:r>
      <w:r w:rsidR="00045570" w:rsidRPr="00045570">
        <w:rPr>
          <w:sz w:val="16"/>
        </w:rPr>
        <w:t>not need them</w:t>
      </w:r>
    </w:p>
  </w:footnote>
  <w:footnote w:id="35">
    <w:p w:rsidR="000C5E75" w:rsidRDefault="000C5E75" w:rsidP="000455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45570" w:rsidRPr="00045570">
        <w:rPr>
          <w:sz w:val="16"/>
        </w:rPr>
        <w:t>The National Confidential I</w:t>
      </w:r>
      <w:r w:rsidR="00045570" w:rsidRPr="00045570">
        <w:rPr>
          <w:sz w:val="16"/>
        </w:rPr>
        <w:t xml:space="preserve">nquiry, above, states at page 5 </w:t>
      </w:r>
      <w:r w:rsidR="00045570" w:rsidRPr="00045570">
        <w:rPr>
          <w:sz w:val="16"/>
        </w:rPr>
        <w:t xml:space="preserve">‘At final service contact, </w:t>
      </w:r>
      <w:r w:rsidR="00045570" w:rsidRPr="00045570">
        <w:rPr>
          <w:sz w:val="16"/>
        </w:rPr>
        <w:t xml:space="preserve">immediate risk was judged to be </w:t>
      </w:r>
      <w:r w:rsidR="00045570" w:rsidRPr="00045570">
        <w:rPr>
          <w:sz w:val="16"/>
        </w:rPr>
        <w:t>low or absent in 88% of cases’.</w:t>
      </w:r>
    </w:p>
  </w:footnote>
  <w:footnote w:id="36">
    <w:p w:rsidR="000C5E75" w:rsidRPr="00045570" w:rsidRDefault="000C5E75" w:rsidP="0004557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045570" w:rsidRPr="00045570">
        <w:rPr>
          <w:sz w:val="16"/>
        </w:rPr>
        <w:t xml:space="preserve">Supra at page 4 ‘Our </w:t>
      </w:r>
      <w:r w:rsidR="00045570">
        <w:rPr>
          <w:sz w:val="16"/>
        </w:rPr>
        <w:t xml:space="preserve">data show no clear evidence for </w:t>
      </w:r>
      <w:r w:rsidR="00045570" w:rsidRPr="00045570">
        <w:rPr>
          <w:sz w:val="16"/>
        </w:rPr>
        <w:t xml:space="preserve">either a rise or a fall in the number of homicides </w:t>
      </w:r>
      <w:r w:rsidR="00045570">
        <w:rPr>
          <w:sz w:val="16"/>
        </w:rPr>
        <w:t xml:space="preserve">by people </w:t>
      </w:r>
      <w:r w:rsidR="00045570" w:rsidRPr="00045570">
        <w:rPr>
          <w:sz w:val="16"/>
        </w:rPr>
        <w:t xml:space="preserve">with mental </w:t>
      </w:r>
      <w:proofErr w:type="gramStart"/>
      <w:r w:rsidR="00045570" w:rsidRPr="00045570">
        <w:rPr>
          <w:sz w:val="16"/>
        </w:rPr>
        <w:t>illness’</w:t>
      </w:r>
      <w:proofErr w:type="gramEnd"/>
      <w:r w:rsidR="00045570" w:rsidRPr="00045570">
        <w:rPr>
          <w:sz w:val="16"/>
        </w:rPr>
        <w:t>.</w:t>
      </w:r>
    </w:p>
  </w:footnote>
  <w:footnote w:id="37">
    <w:p w:rsidR="000C5E75" w:rsidRDefault="000C5E75" w:rsidP="000455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45570" w:rsidRPr="00045570">
        <w:rPr>
          <w:sz w:val="16"/>
        </w:rPr>
        <w:t>Supra page 5. It further st</w:t>
      </w:r>
      <w:r w:rsidR="00045570" w:rsidRPr="00045570">
        <w:rPr>
          <w:sz w:val="16"/>
        </w:rPr>
        <w:t xml:space="preserve">ates that this 14 per cent ‘are </w:t>
      </w:r>
      <w:r w:rsidR="00045570" w:rsidRPr="00045570">
        <w:rPr>
          <w:sz w:val="16"/>
        </w:rPr>
        <w:t>the cases most clearly related to service failure’.</w:t>
      </w:r>
    </w:p>
  </w:footnote>
  <w:footnote w:id="38">
    <w:p w:rsidR="000C5E75" w:rsidRDefault="000C5E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45570" w:rsidRPr="00045570">
        <w:rPr>
          <w:sz w:val="16"/>
        </w:rPr>
        <w:t>Supra page 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3B"/>
    <w:rsid w:val="00034025"/>
    <w:rsid w:val="0003761A"/>
    <w:rsid w:val="00045570"/>
    <w:rsid w:val="000A057C"/>
    <w:rsid w:val="000C5E75"/>
    <w:rsid w:val="00100E1A"/>
    <w:rsid w:val="00127551"/>
    <w:rsid w:val="001628B1"/>
    <w:rsid w:val="0017324B"/>
    <w:rsid w:val="00211B4C"/>
    <w:rsid w:val="00263636"/>
    <w:rsid w:val="00292AF1"/>
    <w:rsid w:val="00312059"/>
    <w:rsid w:val="00320B64"/>
    <w:rsid w:val="0032639A"/>
    <w:rsid w:val="003527A8"/>
    <w:rsid w:val="003B3D7C"/>
    <w:rsid w:val="00402ADF"/>
    <w:rsid w:val="00454B49"/>
    <w:rsid w:val="004D3016"/>
    <w:rsid w:val="004D720F"/>
    <w:rsid w:val="004D7C02"/>
    <w:rsid w:val="00557DBF"/>
    <w:rsid w:val="00557FF1"/>
    <w:rsid w:val="005745DF"/>
    <w:rsid w:val="00582F1B"/>
    <w:rsid w:val="005F6ADB"/>
    <w:rsid w:val="00617C22"/>
    <w:rsid w:val="0062617C"/>
    <w:rsid w:val="006343E9"/>
    <w:rsid w:val="00650590"/>
    <w:rsid w:val="00682C61"/>
    <w:rsid w:val="006A42DA"/>
    <w:rsid w:val="006D6A32"/>
    <w:rsid w:val="006E288C"/>
    <w:rsid w:val="00740666"/>
    <w:rsid w:val="0076683B"/>
    <w:rsid w:val="0077724C"/>
    <w:rsid w:val="007B25C7"/>
    <w:rsid w:val="007E0214"/>
    <w:rsid w:val="007F6E49"/>
    <w:rsid w:val="0081763B"/>
    <w:rsid w:val="00836830"/>
    <w:rsid w:val="00842190"/>
    <w:rsid w:val="00854868"/>
    <w:rsid w:val="008A1B58"/>
    <w:rsid w:val="008A4B1D"/>
    <w:rsid w:val="008B6829"/>
    <w:rsid w:val="00965775"/>
    <w:rsid w:val="009A66A2"/>
    <w:rsid w:val="009C7E47"/>
    <w:rsid w:val="009D0423"/>
    <w:rsid w:val="009D4D10"/>
    <w:rsid w:val="009E7892"/>
    <w:rsid w:val="009F7E40"/>
    <w:rsid w:val="00A04A4D"/>
    <w:rsid w:val="00A31A4A"/>
    <w:rsid w:val="00A454DC"/>
    <w:rsid w:val="00A51EE5"/>
    <w:rsid w:val="00AA4EA3"/>
    <w:rsid w:val="00AC435C"/>
    <w:rsid w:val="00AD21E2"/>
    <w:rsid w:val="00AF31A9"/>
    <w:rsid w:val="00AF7CDF"/>
    <w:rsid w:val="00B22F53"/>
    <w:rsid w:val="00BB3C89"/>
    <w:rsid w:val="00BB416F"/>
    <w:rsid w:val="00BB4854"/>
    <w:rsid w:val="00BF0B30"/>
    <w:rsid w:val="00CE03BB"/>
    <w:rsid w:val="00CF4B60"/>
    <w:rsid w:val="00D70C58"/>
    <w:rsid w:val="00D82655"/>
    <w:rsid w:val="00DC1073"/>
    <w:rsid w:val="00DC4E99"/>
    <w:rsid w:val="00E854B5"/>
    <w:rsid w:val="00EC1645"/>
    <w:rsid w:val="00ED50AE"/>
    <w:rsid w:val="00F315A0"/>
    <w:rsid w:val="00F41F5C"/>
    <w:rsid w:val="00F66346"/>
    <w:rsid w:val="00FC4155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D21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1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1E2"/>
    <w:rPr>
      <w:vertAlign w:val="superscript"/>
    </w:rPr>
  </w:style>
  <w:style w:type="paragraph" w:styleId="NoSpacing">
    <w:name w:val="No Spacing"/>
    <w:uiPriority w:val="1"/>
    <w:qFormat/>
    <w:rsid w:val="00AF3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5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4DC"/>
  </w:style>
  <w:style w:type="paragraph" w:styleId="Footer">
    <w:name w:val="footer"/>
    <w:basedOn w:val="Normal"/>
    <w:link w:val="FooterChar"/>
    <w:uiPriority w:val="99"/>
    <w:unhideWhenUsed/>
    <w:rsid w:val="00A45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4DC"/>
  </w:style>
  <w:style w:type="paragraph" w:styleId="EndnoteText">
    <w:name w:val="endnote text"/>
    <w:basedOn w:val="Normal"/>
    <w:link w:val="EndnoteTextChar"/>
    <w:uiPriority w:val="99"/>
    <w:semiHidden/>
    <w:unhideWhenUsed/>
    <w:rsid w:val="000C5E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5E7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5E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D21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1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1E2"/>
    <w:rPr>
      <w:vertAlign w:val="superscript"/>
    </w:rPr>
  </w:style>
  <w:style w:type="paragraph" w:styleId="NoSpacing">
    <w:name w:val="No Spacing"/>
    <w:uiPriority w:val="1"/>
    <w:qFormat/>
    <w:rsid w:val="00AF3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5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4DC"/>
  </w:style>
  <w:style w:type="paragraph" w:styleId="Footer">
    <w:name w:val="footer"/>
    <w:basedOn w:val="Normal"/>
    <w:link w:val="FooterChar"/>
    <w:uiPriority w:val="99"/>
    <w:unhideWhenUsed/>
    <w:rsid w:val="00A45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4DC"/>
  </w:style>
  <w:style w:type="paragraph" w:styleId="EndnoteText">
    <w:name w:val="endnote text"/>
    <w:basedOn w:val="Normal"/>
    <w:link w:val="EndnoteTextChar"/>
    <w:uiPriority w:val="99"/>
    <w:semiHidden/>
    <w:unhideWhenUsed/>
    <w:rsid w:val="000C5E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5E7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5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17</Pages>
  <Words>5728</Words>
  <Characters>32655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82</cp:revision>
  <dcterms:created xsi:type="dcterms:W3CDTF">2014-11-17T13:04:00Z</dcterms:created>
  <dcterms:modified xsi:type="dcterms:W3CDTF">2014-11-17T16:10:00Z</dcterms:modified>
</cp:coreProperties>
</file>