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4EE" w:rsidRDefault="00147603" w:rsidP="00843E35">
      <w:pPr>
        <w:jc w:val="both"/>
        <w:rPr>
          <w:rFonts w:ascii="GoudyOldStyleMT" w:hAnsi="GoudyOldStyleMT" w:cs="GoudyOldStyleMT"/>
          <w:sz w:val="70"/>
          <w:szCs w:val="70"/>
        </w:rPr>
      </w:pPr>
      <w:r>
        <w:rPr>
          <w:rFonts w:ascii="GoudyOldStyleMT" w:hAnsi="GoudyOldStyleMT" w:cs="GoudyOldStyleMT"/>
          <w:sz w:val="70"/>
          <w:szCs w:val="70"/>
        </w:rPr>
        <w:t>Foreword</w:t>
      </w:r>
    </w:p>
    <w:p w:rsidR="00147603" w:rsidRPr="00147603" w:rsidRDefault="00147603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47603">
        <w:rPr>
          <w:rFonts w:cstheme="minorHAnsi"/>
        </w:rPr>
        <w:t>Over the last six months there have been two significant legislative developments in mental health</w:t>
      </w:r>
    </w:p>
    <w:p w:rsidR="00147603" w:rsidRPr="00147603" w:rsidRDefault="00147603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147603">
        <w:rPr>
          <w:rFonts w:cstheme="minorHAnsi"/>
        </w:rPr>
        <w:t>law</w:t>
      </w:r>
      <w:proofErr w:type="gramEnd"/>
      <w:r w:rsidRPr="00147603">
        <w:rPr>
          <w:rFonts w:cstheme="minorHAnsi"/>
        </w:rPr>
        <w:t xml:space="preserve">. In March, Scotland pressed ahead with its programme of mental </w:t>
      </w:r>
      <w:proofErr w:type="spellStart"/>
      <w:r w:rsidRPr="00147603">
        <w:rPr>
          <w:rFonts w:cstheme="minorHAnsi"/>
        </w:rPr>
        <w:t>heath</w:t>
      </w:r>
      <w:proofErr w:type="spellEnd"/>
      <w:r w:rsidRPr="00147603">
        <w:rPr>
          <w:rFonts w:cstheme="minorHAnsi"/>
        </w:rPr>
        <w:t xml:space="preserve"> law reform with the</w:t>
      </w:r>
    </w:p>
    <w:p w:rsidR="00147603" w:rsidRPr="00147603" w:rsidRDefault="00147603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147603">
        <w:rPr>
          <w:rFonts w:cstheme="minorHAnsi"/>
        </w:rPr>
        <w:t>passage</w:t>
      </w:r>
      <w:proofErr w:type="gramEnd"/>
      <w:r w:rsidRPr="00147603">
        <w:rPr>
          <w:rFonts w:cstheme="minorHAnsi"/>
        </w:rPr>
        <w:t xml:space="preserve"> of the </w:t>
      </w:r>
      <w:r w:rsidRPr="00147603">
        <w:rPr>
          <w:rFonts w:cstheme="minorHAnsi"/>
          <w:i/>
          <w:iCs/>
        </w:rPr>
        <w:t xml:space="preserve">Mental Health (Care and Treatment) (Scotland) Act 2003 </w:t>
      </w:r>
      <w:r w:rsidRPr="00147603">
        <w:rPr>
          <w:rFonts w:cstheme="minorHAnsi"/>
        </w:rPr>
        <w:t>through the Scottish</w:t>
      </w:r>
    </w:p>
    <w:p w:rsidR="00147603" w:rsidRPr="00147603" w:rsidRDefault="00147603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proofErr w:type="gramStart"/>
      <w:r w:rsidRPr="00147603">
        <w:rPr>
          <w:rFonts w:cstheme="minorHAnsi"/>
        </w:rPr>
        <w:t>Parliament.</w:t>
      </w:r>
      <w:proofErr w:type="gramEnd"/>
      <w:r w:rsidRPr="00147603">
        <w:rPr>
          <w:rFonts w:cstheme="minorHAnsi"/>
        </w:rPr>
        <w:t xml:space="preserve"> The new Act broadly reflects the recommendations contained in the </w:t>
      </w:r>
      <w:r w:rsidRPr="00147603">
        <w:rPr>
          <w:rFonts w:cstheme="minorHAnsi"/>
          <w:i/>
          <w:iCs/>
        </w:rPr>
        <w:t>Millan</w:t>
      </w:r>
    </w:p>
    <w:p w:rsidR="00147603" w:rsidRPr="00147603" w:rsidRDefault="00147603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47603">
        <w:rPr>
          <w:rFonts w:cstheme="minorHAnsi"/>
        </w:rPr>
        <w:t xml:space="preserve">Committee report </w:t>
      </w:r>
      <w:r w:rsidRPr="00147603">
        <w:rPr>
          <w:rFonts w:cstheme="minorHAnsi"/>
          <w:i/>
          <w:iCs/>
        </w:rPr>
        <w:t xml:space="preserve">New Directions </w:t>
      </w:r>
      <w:r w:rsidRPr="00147603">
        <w:rPr>
          <w:rFonts w:cstheme="minorHAnsi"/>
        </w:rPr>
        <w:t>(2001), and includes a new system of mental health tribunals,</w:t>
      </w:r>
    </w:p>
    <w:p w:rsidR="00147603" w:rsidRPr="00147603" w:rsidRDefault="00147603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147603">
        <w:rPr>
          <w:rFonts w:cstheme="minorHAnsi"/>
        </w:rPr>
        <w:t>improved</w:t>
      </w:r>
      <w:proofErr w:type="gramEnd"/>
      <w:r w:rsidRPr="00147603">
        <w:rPr>
          <w:rFonts w:cstheme="minorHAnsi"/>
        </w:rPr>
        <w:t xml:space="preserve"> safeguards for patients receiving compulsory treatment and a range of new orders,</w:t>
      </w:r>
    </w:p>
    <w:p w:rsidR="00147603" w:rsidRPr="00147603" w:rsidRDefault="00147603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147603">
        <w:rPr>
          <w:rFonts w:cstheme="minorHAnsi"/>
        </w:rPr>
        <w:t>including</w:t>
      </w:r>
      <w:proofErr w:type="gramEnd"/>
      <w:r w:rsidRPr="00147603">
        <w:rPr>
          <w:rFonts w:cstheme="minorHAnsi"/>
        </w:rPr>
        <w:t xml:space="preserve"> the controversial community treatment orders. The Act is underpinned by a</w:t>
      </w:r>
    </w:p>
    <w:p w:rsidR="00147603" w:rsidRPr="00147603" w:rsidRDefault="00147603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147603">
        <w:rPr>
          <w:rFonts w:cstheme="minorHAnsi"/>
        </w:rPr>
        <w:t>comprehensive</w:t>
      </w:r>
      <w:proofErr w:type="gramEnd"/>
      <w:r w:rsidRPr="00147603">
        <w:rPr>
          <w:rFonts w:cstheme="minorHAnsi"/>
        </w:rPr>
        <w:t xml:space="preserve"> set of ethical principles promoting good practice and, with some minor exceptions,</w:t>
      </w:r>
    </w:p>
    <w:p w:rsidR="00147603" w:rsidRPr="00147603" w:rsidRDefault="00147603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147603">
        <w:rPr>
          <w:rFonts w:cstheme="minorHAnsi"/>
        </w:rPr>
        <w:t>has</w:t>
      </w:r>
      <w:proofErr w:type="gramEnd"/>
      <w:r w:rsidRPr="00147603">
        <w:rPr>
          <w:rFonts w:cstheme="minorHAnsi"/>
        </w:rPr>
        <w:t xml:space="preserve"> received widespread general approval. We are pleased to be able to provide a timely review of</w:t>
      </w:r>
    </w:p>
    <w:p w:rsidR="00147603" w:rsidRDefault="00147603" w:rsidP="00843E35">
      <w:pPr>
        <w:jc w:val="both"/>
        <w:rPr>
          <w:rFonts w:cstheme="minorHAnsi"/>
        </w:rPr>
      </w:pPr>
      <w:proofErr w:type="gramStart"/>
      <w:r w:rsidRPr="00147603">
        <w:rPr>
          <w:rFonts w:cstheme="minorHAnsi"/>
        </w:rPr>
        <w:t>the</w:t>
      </w:r>
      <w:proofErr w:type="gramEnd"/>
      <w:r w:rsidRPr="00147603">
        <w:rPr>
          <w:rFonts w:cstheme="minorHAnsi"/>
        </w:rPr>
        <w:t xml:space="preserve"> new Act by Hilary Patrick in this issue of the Journal.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3E35">
        <w:rPr>
          <w:rFonts w:cstheme="minorHAnsi"/>
        </w:rPr>
        <w:t>As the current parliamentary session draws to a close south of the border, there continues to be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uncertainty</w:t>
      </w:r>
      <w:proofErr w:type="gramEnd"/>
      <w:r w:rsidRPr="00843E35">
        <w:rPr>
          <w:rFonts w:cstheme="minorHAnsi"/>
        </w:rPr>
        <w:t xml:space="preserve"> over the exact fate of the </w:t>
      </w:r>
      <w:r w:rsidRPr="00843E35">
        <w:rPr>
          <w:rFonts w:cstheme="minorHAnsi"/>
          <w:i/>
          <w:iCs/>
        </w:rPr>
        <w:t xml:space="preserve">Mental Health Bill </w:t>
      </w:r>
      <w:r w:rsidRPr="00843E35">
        <w:rPr>
          <w:rFonts w:cstheme="minorHAnsi"/>
        </w:rPr>
        <w:t>for England and Wales published in June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3E35">
        <w:rPr>
          <w:rFonts w:cstheme="minorHAnsi"/>
        </w:rPr>
        <w:t>2002. However, considerable consolation can be drawn from the publication of the draft Mental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3E35">
        <w:rPr>
          <w:rFonts w:cstheme="minorHAnsi"/>
          <w:i/>
          <w:iCs/>
        </w:rPr>
        <w:t xml:space="preserve">Incapacity Bill </w:t>
      </w:r>
      <w:r w:rsidRPr="00843E35">
        <w:rPr>
          <w:rFonts w:cstheme="minorHAnsi"/>
        </w:rPr>
        <w:t>on the 27th June. The Bill is the culmination of over a decade of lengthy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consultation</w:t>
      </w:r>
      <w:proofErr w:type="gramEnd"/>
      <w:r w:rsidRPr="00843E35">
        <w:rPr>
          <w:rFonts w:cstheme="minorHAnsi"/>
        </w:rPr>
        <w:t xml:space="preserve"> carried out by the Law Commission and Lord Chancellor’s Department, and is based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on</w:t>
      </w:r>
      <w:proofErr w:type="gramEnd"/>
      <w:r w:rsidRPr="00843E35">
        <w:rPr>
          <w:rFonts w:cstheme="minorHAnsi"/>
        </w:rPr>
        <w:t xml:space="preserve"> recommendations contained in the consultation paper </w:t>
      </w:r>
      <w:r w:rsidRPr="00843E35">
        <w:rPr>
          <w:rFonts w:cstheme="minorHAnsi"/>
          <w:i/>
          <w:iCs/>
        </w:rPr>
        <w:t xml:space="preserve">Who Decides? </w:t>
      </w:r>
      <w:proofErr w:type="gramStart"/>
      <w:r w:rsidRPr="00843E35">
        <w:rPr>
          <w:rFonts w:cstheme="minorHAnsi"/>
        </w:rPr>
        <w:t>published</w:t>
      </w:r>
      <w:proofErr w:type="gramEnd"/>
      <w:r w:rsidRPr="00843E35">
        <w:rPr>
          <w:rFonts w:cstheme="minorHAnsi"/>
        </w:rPr>
        <w:t xml:space="preserve"> by the Lord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3E35">
        <w:rPr>
          <w:rFonts w:cstheme="minorHAnsi"/>
        </w:rPr>
        <w:t xml:space="preserve">Chancellor’s Department in 1997 and the Government’s Policy Statement, </w:t>
      </w:r>
      <w:r w:rsidRPr="00843E35">
        <w:rPr>
          <w:rFonts w:cstheme="minorHAnsi"/>
          <w:i/>
          <w:iCs/>
        </w:rPr>
        <w:t>Making Decisions</w:t>
      </w:r>
      <w:r w:rsidRPr="00843E35">
        <w:rPr>
          <w:rFonts w:cstheme="minorHAnsi"/>
        </w:rPr>
        <w:t>, in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3E35">
        <w:rPr>
          <w:rFonts w:cstheme="minorHAnsi"/>
        </w:rPr>
        <w:t>1999. Both papers followed the earlier recommendations and draft Bill published by the Law</w:t>
      </w:r>
    </w:p>
    <w:p w:rsidR="00147603" w:rsidRDefault="00843E35" w:rsidP="00843E35">
      <w:pPr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Commission in 1995.</w:t>
      </w:r>
      <w:proofErr w:type="gramEnd"/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3E35">
        <w:rPr>
          <w:rFonts w:cstheme="minorHAnsi"/>
        </w:rPr>
        <w:t>The new Bill aims to provide a comprehensive legal framework for decision-making on behalf of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those</w:t>
      </w:r>
      <w:proofErr w:type="gramEnd"/>
      <w:r w:rsidRPr="00843E35">
        <w:rPr>
          <w:rFonts w:cstheme="minorHAnsi"/>
        </w:rPr>
        <w:t xml:space="preserve"> who lack the capacity to make decisions for themselves. The Bill contains a number of key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principles</w:t>
      </w:r>
      <w:proofErr w:type="gramEnd"/>
      <w:r w:rsidRPr="00843E35">
        <w:rPr>
          <w:rFonts w:cstheme="minorHAnsi"/>
        </w:rPr>
        <w:t xml:space="preserve"> that aim to ensure incapacitated adults enjoy ‘a maximum level of autonomy in the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decision</w:t>
      </w:r>
      <w:proofErr w:type="gramEnd"/>
      <w:r w:rsidRPr="00843E35">
        <w:rPr>
          <w:rFonts w:cstheme="minorHAnsi"/>
        </w:rPr>
        <w:t xml:space="preserve"> making process’ and to safeguard the vulnerable from abuse. Some of its more important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proposals</w:t>
      </w:r>
      <w:proofErr w:type="gramEnd"/>
      <w:r w:rsidRPr="00843E35">
        <w:rPr>
          <w:rFonts w:cstheme="minorHAnsi"/>
        </w:rPr>
        <w:t xml:space="preserve"> for change include the abolition of the present Court of Protection, which is to be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replaced</w:t>
      </w:r>
      <w:proofErr w:type="gramEnd"/>
      <w:r w:rsidRPr="00843E35">
        <w:rPr>
          <w:rFonts w:cstheme="minorHAnsi"/>
        </w:rPr>
        <w:t xml:space="preserve"> by a new superior court of record with extended jurisdiction to intervene in decisions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about</w:t>
      </w:r>
      <w:proofErr w:type="gramEnd"/>
      <w:r w:rsidRPr="00843E35">
        <w:rPr>
          <w:rFonts w:cstheme="minorHAnsi"/>
        </w:rPr>
        <w:t xml:space="preserve"> a person’s welfare and healthcare as well as financial decisions. Enduring powers of attorney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are</w:t>
      </w:r>
      <w:proofErr w:type="gramEnd"/>
      <w:r w:rsidRPr="00843E35">
        <w:rPr>
          <w:rFonts w:cstheme="minorHAnsi"/>
        </w:rPr>
        <w:t xml:space="preserve"> also to be replaced by a new system of lasting powers of attorney, again, with extended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application</w:t>
      </w:r>
      <w:proofErr w:type="gramEnd"/>
      <w:r w:rsidRPr="00843E35">
        <w:rPr>
          <w:rFonts w:cstheme="minorHAnsi"/>
        </w:rPr>
        <w:t xml:space="preserve"> to welfare and healthcare, as well as financial matters. Over the forthcoming months,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the</w:t>
      </w:r>
      <w:proofErr w:type="gramEnd"/>
      <w:r w:rsidRPr="00843E35">
        <w:rPr>
          <w:rFonts w:cstheme="minorHAnsi"/>
        </w:rPr>
        <w:t xml:space="preserve"> Bill will be scrutinised by a joint committee of both Houses of Parliament, which will hear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representations</w:t>
      </w:r>
      <w:proofErr w:type="gramEnd"/>
      <w:r w:rsidRPr="00843E35">
        <w:rPr>
          <w:rFonts w:cstheme="minorHAnsi"/>
        </w:rPr>
        <w:t xml:space="preserve"> from interested groups. The Committee aims to present a report to the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Government later in the year.</w:t>
      </w:r>
      <w:proofErr w:type="gramEnd"/>
      <w:r w:rsidRPr="00843E35">
        <w:rPr>
          <w:rFonts w:cstheme="minorHAnsi"/>
        </w:rPr>
        <w:t xml:space="preserve"> Unfortunately, due to the timing of the publication of the draft Bill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we</w:t>
      </w:r>
      <w:proofErr w:type="gramEnd"/>
      <w:r w:rsidRPr="00843E35">
        <w:rPr>
          <w:rFonts w:cstheme="minorHAnsi"/>
        </w:rPr>
        <w:t xml:space="preserve"> have not been able to publish detailed comment on its proposals in this issue of the Journal.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3E35">
        <w:rPr>
          <w:rFonts w:cstheme="minorHAnsi"/>
        </w:rPr>
        <w:t>Space will be set aside for its consideration in the next issue of the Journal, which will be published</w:t>
      </w:r>
    </w:p>
    <w:p w:rsidR="00843E35" w:rsidRDefault="00843E35" w:rsidP="00843E35">
      <w:pPr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in</w:t>
      </w:r>
      <w:proofErr w:type="gramEnd"/>
      <w:r w:rsidRPr="00843E35">
        <w:rPr>
          <w:rFonts w:cstheme="minorHAnsi"/>
        </w:rPr>
        <w:t xml:space="preserve"> December.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43E35">
        <w:rPr>
          <w:rFonts w:ascii="Calibri" w:hAnsi="Calibri" w:cs="Calibri"/>
        </w:rPr>
        <w:t>Following the renewed focus on mental incapacity laws, it seems appropriate that we lead this issue</w:t>
      </w:r>
      <w:r w:rsidRPr="00843E35">
        <w:rPr>
          <w:rFonts w:ascii="Calibri" w:hAnsi="Calibri" w:cs="Calibri"/>
        </w:rPr>
        <w:t xml:space="preserve"> </w:t>
      </w:r>
      <w:r w:rsidRPr="00843E35">
        <w:rPr>
          <w:rFonts w:ascii="Calibri" w:hAnsi="Calibri" w:cs="Calibri"/>
        </w:rPr>
        <w:t>of the Journal with two empirical studies that focus on the assessment of mental incapacity,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conducted</w:t>
      </w:r>
      <w:proofErr w:type="gramEnd"/>
      <w:r w:rsidRPr="00843E35">
        <w:rPr>
          <w:rFonts w:ascii="Calibri" w:hAnsi="Calibri" w:cs="Calibri"/>
        </w:rPr>
        <w:t xml:space="preserve"> by Dr John </w:t>
      </w:r>
      <w:proofErr w:type="spellStart"/>
      <w:r w:rsidRPr="00843E35">
        <w:rPr>
          <w:rFonts w:ascii="Calibri" w:hAnsi="Calibri" w:cs="Calibri"/>
        </w:rPr>
        <w:t>Bellhouse</w:t>
      </w:r>
      <w:proofErr w:type="spellEnd"/>
      <w:r w:rsidRPr="00843E35">
        <w:rPr>
          <w:rFonts w:ascii="Calibri" w:hAnsi="Calibri" w:cs="Calibri"/>
        </w:rPr>
        <w:t>, Professor Tony Holland, Isabel Clare, Professor Michael Gunn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and</w:t>
      </w:r>
      <w:proofErr w:type="gramEnd"/>
      <w:r w:rsidRPr="00843E35">
        <w:rPr>
          <w:rFonts w:ascii="Calibri" w:hAnsi="Calibri" w:cs="Calibri"/>
        </w:rPr>
        <w:t xml:space="preserve"> Peter Watson. The first study seeks to determine the extent to which informal and formal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patients</w:t>
      </w:r>
      <w:proofErr w:type="gramEnd"/>
      <w:r w:rsidRPr="00843E35">
        <w:rPr>
          <w:rFonts w:ascii="Calibri" w:hAnsi="Calibri" w:cs="Calibri"/>
        </w:rPr>
        <w:t xml:space="preserve"> are capable of consenting to admission to hospital. The second study looks at the capacity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of</w:t>
      </w:r>
      <w:proofErr w:type="gramEnd"/>
      <w:r w:rsidRPr="00843E35">
        <w:rPr>
          <w:rFonts w:ascii="Calibri" w:hAnsi="Calibri" w:cs="Calibri"/>
        </w:rPr>
        <w:t xml:space="preserve"> patients to consent to medical treatment and the relationship between capacity to consent to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treatment</w:t>
      </w:r>
      <w:proofErr w:type="gramEnd"/>
      <w:r w:rsidRPr="00843E35">
        <w:rPr>
          <w:rFonts w:ascii="Calibri" w:hAnsi="Calibri" w:cs="Calibri"/>
        </w:rPr>
        <w:t>, diagnosis and the present legal status. In both contexts, the reliability of the capacity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assessments</w:t>
      </w:r>
      <w:proofErr w:type="gramEnd"/>
      <w:r w:rsidRPr="00843E35">
        <w:rPr>
          <w:rFonts w:ascii="Calibri" w:hAnsi="Calibri" w:cs="Calibri"/>
        </w:rPr>
        <w:t xml:space="preserve"> undertaken is explored to see whether capacity can be assessed with a reasonable level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of</w:t>
      </w:r>
      <w:proofErr w:type="gramEnd"/>
      <w:r w:rsidRPr="00843E35">
        <w:rPr>
          <w:rFonts w:ascii="Calibri" w:hAnsi="Calibri" w:cs="Calibri"/>
        </w:rPr>
        <w:t xml:space="preserve"> agreement to enable consistent clinical practice. Both the timing of these studies and their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findings</w:t>
      </w:r>
      <w:proofErr w:type="gramEnd"/>
      <w:r w:rsidRPr="00843E35">
        <w:rPr>
          <w:rFonts w:ascii="Calibri" w:hAnsi="Calibri" w:cs="Calibri"/>
        </w:rPr>
        <w:t xml:space="preserve"> are of tremendous importance – not least because the Government’s plans for a new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43E35">
        <w:rPr>
          <w:rFonts w:ascii="Calibri" w:hAnsi="Calibri" w:cs="Calibri"/>
        </w:rPr>
        <w:t>Mental Health Act to date, have not included making capacity assessment part of the criteria for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lastRenderedPageBreak/>
        <w:t>the</w:t>
      </w:r>
      <w:proofErr w:type="gramEnd"/>
      <w:r w:rsidRPr="00843E35">
        <w:rPr>
          <w:rFonts w:ascii="Calibri" w:hAnsi="Calibri" w:cs="Calibri"/>
        </w:rPr>
        <w:t xml:space="preserve"> use of compulsion. The authors conclude that this is not only a ‘missed opportunity’ on the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part</w:t>
      </w:r>
      <w:proofErr w:type="gramEnd"/>
      <w:r w:rsidRPr="00843E35">
        <w:rPr>
          <w:rFonts w:ascii="Calibri" w:hAnsi="Calibri" w:cs="Calibri"/>
        </w:rPr>
        <w:t xml:space="preserve"> of the Government, but also that such a change would neither be unworkable nor have</w:t>
      </w:r>
    </w:p>
    <w:p w:rsidR="00843E35" w:rsidRDefault="00843E35" w:rsidP="00843E35">
      <w:pPr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disastrous</w:t>
      </w:r>
      <w:proofErr w:type="gramEnd"/>
      <w:r w:rsidRPr="00843E35">
        <w:rPr>
          <w:rFonts w:ascii="Calibri" w:hAnsi="Calibri" w:cs="Calibri"/>
        </w:rPr>
        <w:t xml:space="preserve"> consequences.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43E35">
        <w:rPr>
          <w:rFonts w:ascii="Calibri" w:hAnsi="Calibri" w:cs="Calibri"/>
        </w:rPr>
        <w:t xml:space="preserve">In June this year, Northumbria University and </w:t>
      </w:r>
      <w:proofErr w:type="spellStart"/>
      <w:r w:rsidRPr="00843E35">
        <w:rPr>
          <w:rFonts w:ascii="Calibri" w:hAnsi="Calibri" w:cs="Calibri"/>
        </w:rPr>
        <w:t>Eversheds</w:t>
      </w:r>
      <w:proofErr w:type="spellEnd"/>
      <w:r w:rsidRPr="00843E35">
        <w:rPr>
          <w:rFonts w:ascii="Calibri" w:hAnsi="Calibri" w:cs="Calibri"/>
        </w:rPr>
        <w:t xml:space="preserve"> Solicitors jointly hosted the North of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England Mental Health Law Conference in Newcastle upon Tyne.</w:t>
      </w:r>
      <w:proofErr w:type="gramEnd"/>
      <w:r w:rsidRPr="00843E35">
        <w:rPr>
          <w:rFonts w:ascii="Calibri" w:hAnsi="Calibri" w:cs="Calibri"/>
        </w:rPr>
        <w:t xml:space="preserve"> The aim of the one day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43E35">
        <w:rPr>
          <w:rFonts w:ascii="Calibri" w:hAnsi="Calibri" w:cs="Calibri"/>
        </w:rPr>
        <w:t>Conference was to address topical legal issues in mental health in the light of the Government’s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proposed</w:t>
      </w:r>
      <w:proofErr w:type="gramEnd"/>
      <w:r w:rsidRPr="00843E35">
        <w:rPr>
          <w:rFonts w:ascii="Calibri" w:hAnsi="Calibri" w:cs="Calibri"/>
        </w:rPr>
        <w:t xml:space="preserve"> legislative reforms and the Human Rights Act 1998. In this issue, we are pleased to be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able</w:t>
      </w:r>
      <w:proofErr w:type="gramEnd"/>
      <w:r w:rsidRPr="00843E35">
        <w:rPr>
          <w:rFonts w:ascii="Calibri" w:hAnsi="Calibri" w:cs="Calibri"/>
        </w:rPr>
        <w:t xml:space="preserve"> to publish a paper delivered at the Conference by </w:t>
      </w:r>
      <w:proofErr w:type="spellStart"/>
      <w:r w:rsidRPr="00843E35">
        <w:rPr>
          <w:rFonts w:ascii="Calibri" w:hAnsi="Calibri" w:cs="Calibri"/>
        </w:rPr>
        <w:t>Fenella</w:t>
      </w:r>
      <w:proofErr w:type="spellEnd"/>
      <w:r w:rsidRPr="00843E35">
        <w:rPr>
          <w:rFonts w:ascii="Calibri" w:hAnsi="Calibri" w:cs="Calibri"/>
        </w:rPr>
        <w:t xml:space="preserve"> Morris, which focuses on the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complex</w:t>
      </w:r>
      <w:proofErr w:type="gramEnd"/>
      <w:r w:rsidRPr="00843E35">
        <w:rPr>
          <w:rFonts w:ascii="Calibri" w:hAnsi="Calibri" w:cs="Calibri"/>
        </w:rPr>
        <w:t xml:space="preserve"> legal framework governing confidentiality and information sharing in a mental health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context</w:t>
      </w:r>
      <w:proofErr w:type="gramEnd"/>
      <w:r w:rsidRPr="00843E35">
        <w:rPr>
          <w:rFonts w:ascii="Calibri" w:hAnsi="Calibri" w:cs="Calibri"/>
        </w:rPr>
        <w:t>. The paper considers the nature and extent of the duty of patient confidentiality, the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circumstances</w:t>
      </w:r>
      <w:proofErr w:type="gramEnd"/>
      <w:r w:rsidRPr="00843E35">
        <w:rPr>
          <w:rFonts w:ascii="Calibri" w:hAnsi="Calibri" w:cs="Calibri"/>
        </w:rPr>
        <w:t xml:space="preserve"> in which it may be overridden and the rights of access to health information for</w:t>
      </w:r>
    </w:p>
    <w:p w:rsidR="00843E35" w:rsidRDefault="00843E35" w:rsidP="00843E35">
      <w:pPr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incapacitated</w:t>
      </w:r>
      <w:proofErr w:type="gramEnd"/>
      <w:r w:rsidRPr="00843E35">
        <w:rPr>
          <w:rFonts w:ascii="Calibri" w:hAnsi="Calibri" w:cs="Calibri"/>
        </w:rPr>
        <w:t xml:space="preserve"> adults and applicants to the Mental Health Review Tribunal.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3E35">
        <w:rPr>
          <w:rFonts w:cstheme="minorHAnsi"/>
        </w:rPr>
        <w:t>Since its introduction in the 1959 Mental Health Act, the role of the nearest relative has attracted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widespread</w:t>
      </w:r>
      <w:proofErr w:type="gramEnd"/>
      <w:r w:rsidRPr="00843E35">
        <w:rPr>
          <w:rFonts w:cstheme="minorHAnsi"/>
        </w:rPr>
        <w:t xml:space="preserve"> controversy. Joan </w:t>
      </w:r>
      <w:proofErr w:type="spellStart"/>
      <w:r w:rsidRPr="00843E35">
        <w:rPr>
          <w:rFonts w:cstheme="minorHAnsi"/>
        </w:rPr>
        <w:t>Rapaport’s</w:t>
      </w:r>
      <w:proofErr w:type="spellEnd"/>
      <w:r w:rsidRPr="00843E35">
        <w:rPr>
          <w:rFonts w:cstheme="minorHAnsi"/>
        </w:rPr>
        <w:t xml:space="preserve"> article examines the nearest relative from its historical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origins</w:t>
      </w:r>
      <w:proofErr w:type="gramEnd"/>
      <w:r w:rsidRPr="00843E35">
        <w:rPr>
          <w:rFonts w:cstheme="minorHAnsi"/>
        </w:rPr>
        <w:t xml:space="preserve"> to present day function under the provisions of the </w:t>
      </w:r>
      <w:r w:rsidRPr="00843E35">
        <w:rPr>
          <w:rFonts w:cstheme="minorHAnsi"/>
          <w:i/>
          <w:iCs/>
        </w:rPr>
        <w:t xml:space="preserve">Mental Health Act 1983 </w:t>
      </w:r>
      <w:r w:rsidRPr="00843E35">
        <w:rPr>
          <w:rFonts w:cstheme="minorHAnsi"/>
        </w:rPr>
        <w:t>(MHA). In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doing</w:t>
      </w:r>
      <w:proofErr w:type="gramEnd"/>
      <w:r w:rsidRPr="00843E35">
        <w:rPr>
          <w:rFonts w:cstheme="minorHAnsi"/>
        </w:rPr>
        <w:t xml:space="preserve"> so, she explores the relationship between the nearest relative and the Approved Social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3E35">
        <w:rPr>
          <w:rFonts w:cstheme="minorHAnsi"/>
        </w:rPr>
        <w:t>Worker and goes on to analyse the problems that have so often been associated with the nearest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relative’s</w:t>
      </w:r>
      <w:proofErr w:type="gramEnd"/>
      <w:r w:rsidRPr="00843E35">
        <w:rPr>
          <w:rFonts w:cstheme="minorHAnsi"/>
        </w:rPr>
        <w:t xml:space="preserve"> role. As the Government moves to abolish the nearest relative under </w:t>
      </w:r>
      <w:proofErr w:type="gramStart"/>
      <w:r w:rsidRPr="00843E35">
        <w:rPr>
          <w:rFonts w:cstheme="minorHAnsi"/>
        </w:rPr>
        <w:t>its</w:t>
      </w:r>
      <w:proofErr w:type="gramEnd"/>
      <w:r w:rsidRPr="00843E35">
        <w:rPr>
          <w:rFonts w:cstheme="minorHAnsi"/>
        </w:rPr>
        <w:t xml:space="preserve"> proposed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legislative</w:t>
      </w:r>
      <w:proofErr w:type="gramEnd"/>
      <w:r w:rsidRPr="00843E35">
        <w:rPr>
          <w:rFonts w:cstheme="minorHAnsi"/>
        </w:rPr>
        <w:t xml:space="preserve"> reforms, this article is a useful reminder that without careful and serious consideration</w:t>
      </w:r>
    </w:p>
    <w:p w:rsidR="00843E35" w:rsidRDefault="00843E35" w:rsidP="00843E35">
      <w:pPr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of</w:t>
      </w:r>
      <w:proofErr w:type="gramEnd"/>
      <w:r w:rsidRPr="00843E35">
        <w:rPr>
          <w:rFonts w:cstheme="minorHAnsi"/>
        </w:rPr>
        <w:t xml:space="preserve"> the current problems associated with the role, history may have a tendency to repeat itself.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3E35">
        <w:rPr>
          <w:rFonts w:cstheme="minorHAnsi"/>
        </w:rPr>
        <w:t>The common law doctrine of necessity allows treatment to be given to compliant incapacitated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patents</w:t>
      </w:r>
      <w:proofErr w:type="gramEnd"/>
      <w:r w:rsidRPr="00843E35">
        <w:rPr>
          <w:rFonts w:cstheme="minorHAnsi"/>
        </w:rPr>
        <w:t xml:space="preserve"> for their mental disorder, so long as the proposed treatment is considered to be in the best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interests</w:t>
      </w:r>
      <w:proofErr w:type="gramEnd"/>
      <w:r w:rsidRPr="00843E35">
        <w:rPr>
          <w:rFonts w:cstheme="minorHAnsi"/>
        </w:rPr>
        <w:t xml:space="preserve"> of the patient. Nevertheless, many practitioners still feel it necessary to detain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incapacitated</w:t>
      </w:r>
      <w:proofErr w:type="gramEnd"/>
      <w:r w:rsidRPr="00843E35">
        <w:rPr>
          <w:rFonts w:cstheme="minorHAnsi"/>
        </w:rPr>
        <w:t xml:space="preserve"> patients under the MHA 1983 and invoke the safeguards contained in section 58 of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the</w:t>
      </w:r>
      <w:proofErr w:type="gramEnd"/>
      <w:r w:rsidRPr="00843E35">
        <w:rPr>
          <w:rFonts w:cstheme="minorHAnsi"/>
        </w:rPr>
        <w:t xml:space="preserve"> Act when administering ECT. Robert Robinson’s comment explores the reasons why ECT is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seen</w:t>
      </w:r>
      <w:proofErr w:type="gramEnd"/>
      <w:r w:rsidRPr="00843E35">
        <w:rPr>
          <w:rFonts w:cstheme="minorHAnsi"/>
        </w:rPr>
        <w:t xml:space="preserve"> as somehow different from other forms of treatment for mental disorder and considers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whether</w:t>
      </w:r>
      <w:proofErr w:type="gramEnd"/>
      <w:r w:rsidRPr="00843E35">
        <w:rPr>
          <w:rFonts w:cstheme="minorHAnsi"/>
        </w:rPr>
        <w:t xml:space="preserve"> recent case law on non-consensual psychiatric treatment of detained patients suggests that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powers</w:t>
      </w:r>
      <w:proofErr w:type="gramEnd"/>
      <w:r w:rsidRPr="00843E35">
        <w:rPr>
          <w:rFonts w:cstheme="minorHAnsi"/>
        </w:rPr>
        <w:t xml:space="preserve"> to administer ECT to incapacitated patients under common law may have to be qualified</w:t>
      </w:r>
    </w:p>
    <w:p w:rsidR="00843E35" w:rsidRDefault="00843E35" w:rsidP="00843E35">
      <w:pPr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in</w:t>
      </w:r>
      <w:proofErr w:type="gramEnd"/>
      <w:r w:rsidRPr="00843E35">
        <w:rPr>
          <w:rFonts w:cstheme="minorHAnsi"/>
        </w:rPr>
        <w:t xml:space="preserve"> light of the Human Rights Act 1998.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3E35">
        <w:rPr>
          <w:rFonts w:cstheme="minorHAnsi"/>
        </w:rPr>
        <w:t xml:space="preserve">In our case review section Oliver Lewis reviews the case of </w:t>
      </w:r>
      <w:r w:rsidRPr="00843E35">
        <w:rPr>
          <w:rFonts w:cstheme="minorHAnsi"/>
          <w:i/>
          <w:iCs/>
        </w:rPr>
        <w:t xml:space="preserve">Edwards v United Kingdom (2002) </w:t>
      </w:r>
      <w:r w:rsidRPr="00843E35">
        <w:rPr>
          <w:rFonts w:cstheme="minorHAnsi"/>
        </w:rPr>
        <w:t>which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came</w:t>
      </w:r>
      <w:proofErr w:type="gramEnd"/>
      <w:r w:rsidRPr="00843E35">
        <w:rPr>
          <w:rFonts w:cstheme="minorHAnsi"/>
        </w:rPr>
        <w:t xml:space="preserve"> before the European Court of Human Rights early last year following the homicide of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Christopher Edwards in prison custody in 1994.</w:t>
      </w:r>
      <w:proofErr w:type="gramEnd"/>
      <w:r w:rsidRPr="00843E35">
        <w:rPr>
          <w:rFonts w:cstheme="minorHAnsi"/>
        </w:rPr>
        <w:t xml:space="preserve"> The judgment and the tragic circumstances that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surround</w:t>
      </w:r>
      <w:proofErr w:type="gramEnd"/>
      <w:r w:rsidRPr="00843E35">
        <w:rPr>
          <w:rFonts w:cstheme="minorHAnsi"/>
        </w:rPr>
        <w:t xml:space="preserve"> this case are a stark illustration of the way that a State system may fail not only to protect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the</w:t>
      </w:r>
      <w:proofErr w:type="gramEnd"/>
      <w:r w:rsidRPr="00843E35">
        <w:rPr>
          <w:rFonts w:cstheme="minorHAnsi"/>
        </w:rPr>
        <w:t xml:space="preserve"> life of an individual in its care, but also to conduct an adequate investigation into the</w:t>
      </w:r>
      <w:r>
        <w:rPr>
          <w:rFonts w:cstheme="minorHAnsi"/>
        </w:rPr>
        <w:t xml:space="preserve"> </w:t>
      </w:r>
      <w:r w:rsidRPr="00843E35">
        <w:rPr>
          <w:rFonts w:cstheme="minorHAnsi"/>
        </w:rPr>
        <w:t>circumstances surrounding the death of that individual. The case is of interest for clarifying the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required</w:t>
      </w:r>
      <w:proofErr w:type="gramEnd"/>
      <w:r w:rsidRPr="00843E35">
        <w:rPr>
          <w:rFonts w:cstheme="minorHAnsi"/>
        </w:rPr>
        <w:t xml:space="preserve"> standards of the procedural aspects of Article 2 of the Convention regarding a State’s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positive</w:t>
      </w:r>
      <w:proofErr w:type="gramEnd"/>
      <w:r w:rsidRPr="00843E35">
        <w:rPr>
          <w:rFonts w:cstheme="minorHAnsi"/>
        </w:rPr>
        <w:t xml:space="preserve"> obligation to investigate such homicides and the role of relatives and other secondary</w:t>
      </w:r>
    </w:p>
    <w:p w:rsidR="00843E35" w:rsidRDefault="00843E35" w:rsidP="00843E35">
      <w:pPr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victims</w:t>
      </w:r>
      <w:proofErr w:type="gramEnd"/>
      <w:r w:rsidRPr="00843E35">
        <w:rPr>
          <w:rFonts w:cstheme="minorHAnsi"/>
        </w:rPr>
        <w:t xml:space="preserve"> in the process.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</w:rPr>
      </w:pPr>
      <w:r w:rsidRPr="00843E35">
        <w:rPr>
          <w:rFonts w:ascii="Calibri" w:hAnsi="Calibri" w:cs="Calibri"/>
        </w:rPr>
        <w:t xml:space="preserve">David Hewitt reviews the important decision of </w:t>
      </w:r>
      <w:r w:rsidRPr="00843E35">
        <w:rPr>
          <w:rFonts w:ascii="Calibri" w:hAnsi="Calibri" w:cs="Calibri"/>
          <w:i/>
          <w:iCs/>
        </w:rPr>
        <w:t>R (on the application of DR) v Mersey Care NHS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43E35">
        <w:rPr>
          <w:rFonts w:ascii="Calibri" w:hAnsi="Calibri" w:cs="Calibri"/>
          <w:i/>
          <w:iCs/>
        </w:rPr>
        <w:t>Trust (2002)</w:t>
      </w:r>
      <w:r w:rsidRPr="00843E35">
        <w:rPr>
          <w:rFonts w:ascii="Calibri" w:hAnsi="Calibri" w:cs="Calibri"/>
        </w:rPr>
        <w:t>, which joins an increasing number of cases focusing on the renewal of detention under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the</w:t>
      </w:r>
      <w:proofErr w:type="gramEnd"/>
      <w:r w:rsidRPr="00843E35">
        <w:rPr>
          <w:rFonts w:ascii="Calibri" w:hAnsi="Calibri" w:cs="Calibri"/>
        </w:rPr>
        <w:t xml:space="preserve"> MHA 1983. The controversial judgment of the </w:t>
      </w:r>
      <w:proofErr w:type="spellStart"/>
      <w:r w:rsidRPr="00843E35">
        <w:rPr>
          <w:rFonts w:ascii="Calibri" w:hAnsi="Calibri" w:cs="Calibri"/>
        </w:rPr>
        <w:t>Administartive</w:t>
      </w:r>
      <w:proofErr w:type="spellEnd"/>
      <w:r w:rsidRPr="00843E35">
        <w:rPr>
          <w:rFonts w:ascii="Calibri" w:hAnsi="Calibri" w:cs="Calibri"/>
        </w:rPr>
        <w:t xml:space="preserve"> Court confirms that a patient</w:t>
      </w:r>
    </w:p>
    <w:p w:rsid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on</w:t>
      </w:r>
      <w:proofErr w:type="gramEnd"/>
      <w:r w:rsidRPr="00843E35">
        <w:rPr>
          <w:rFonts w:ascii="Calibri" w:hAnsi="Calibri" w:cs="Calibri"/>
        </w:rPr>
        <w:t xml:space="preserve"> s17 leave who is </w:t>
      </w:r>
      <w:proofErr w:type="spellStart"/>
      <w:r w:rsidRPr="00843E35">
        <w:rPr>
          <w:rFonts w:ascii="Calibri" w:hAnsi="Calibri" w:cs="Calibri"/>
        </w:rPr>
        <w:t>receieving</w:t>
      </w:r>
      <w:proofErr w:type="spellEnd"/>
      <w:r w:rsidRPr="00843E35">
        <w:rPr>
          <w:rFonts w:ascii="Calibri" w:hAnsi="Calibri" w:cs="Calibri"/>
        </w:rPr>
        <w:t xml:space="preserve"> treatment at a hospital, such treatment being a significant component</w:t>
      </w:r>
      <w:r>
        <w:rPr>
          <w:rFonts w:ascii="Calibri" w:hAnsi="Calibri" w:cs="Calibri"/>
        </w:rPr>
        <w:t xml:space="preserve"> </w:t>
      </w:r>
      <w:r w:rsidRPr="00843E35">
        <w:rPr>
          <w:rFonts w:ascii="Calibri" w:hAnsi="Calibri" w:cs="Calibri"/>
        </w:rPr>
        <w:t>of that patient’s treatment plan, is able to have their detention renewed even though there is no</w:t>
      </w:r>
      <w:r>
        <w:rPr>
          <w:rFonts w:ascii="Calibri" w:hAnsi="Calibri" w:cs="Calibri"/>
        </w:rPr>
        <w:t xml:space="preserve"> </w:t>
      </w:r>
      <w:r w:rsidRPr="00843E35">
        <w:rPr>
          <w:rFonts w:ascii="Calibri" w:hAnsi="Calibri" w:cs="Calibri"/>
        </w:rPr>
        <w:t>intention that the patient is to resume ‘in-patient’ status.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</w:rPr>
      </w:pPr>
      <w:r w:rsidRPr="00843E35">
        <w:rPr>
          <w:rFonts w:ascii="Calibri" w:hAnsi="Calibri" w:cs="Calibri"/>
        </w:rPr>
        <w:t xml:space="preserve">Robert Robinson reviews the Court of Appeal decision in </w:t>
      </w:r>
      <w:r w:rsidRPr="00843E35">
        <w:rPr>
          <w:rFonts w:ascii="Calibri" w:hAnsi="Calibri" w:cs="Calibri"/>
          <w:i/>
          <w:iCs/>
        </w:rPr>
        <w:t>R (on the application of the Secretary of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  <w:i/>
          <w:iCs/>
        </w:rPr>
        <w:t>State for the Home Department) v Mental Health Review Tribunal and PH (2002)</w:t>
      </w:r>
      <w:r w:rsidRPr="00843E35">
        <w:rPr>
          <w:rFonts w:ascii="Calibri" w:hAnsi="Calibri" w:cs="Calibri"/>
        </w:rPr>
        <w:t>.</w:t>
      </w:r>
      <w:proofErr w:type="gramEnd"/>
      <w:r w:rsidRPr="00843E35">
        <w:rPr>
          <w:rFonts w:ascii="Calibri" w:hAnsi="Calibri" w:cs="Calibri"/>
        </w:rPr>
        <w:t xml:space="preserve"> In this significant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lastRenderedPageBreak/>
        <w:t>case</w:t>
      </w:r>
      <w:proofErr w:type="gramEnd"/>
      <w:r w:rsidRPr="00843E35">
        <w:rPr>
          <w:rFonts w:ascii="Calibri" w:hAnsi="Calibri" w:cs="Calibri"/>
        </w:rPr>
        <w:t>, the Court considered whether the conditional discharge of a restricted patient by a Tribunal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to</w:t>
      </w:r>
      <w:proofErr w:type="gramEnd"/>
      <w:r w:rsidRPr="00843E35">
        <w:rPr>
          <w:rFonts w:ascii="Calibri" w:hAnsi="Calibri" w:cs="Calibri"/>
        </w:rPr>
        <w:t xml:space="preserve"> another institution where liability would be restricted, which could include another hospital,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amounted</w:t>
      </w:r>
      <w:proofErr w:type="gramEnd"/>
      <w:r w:rsidRPr="00843E35">
        <w:rPr>
          <w:rFonts w:ascii="Calibri" w:hAnsi="Calibri" w:cs="Calibri"/>
        </w:rPr>
        <w:t xml:space="preserve"> to a discharge for the purposes of s73 of the MHA 1983 or whether it amounted to a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hospital</w:t>
      </w:r>
      <w:proofErr w:type="gramEnd"/>
      <w:r w:rsidRPr="00843E35">
        <w:rPr>
          <w:rFonts w:ascii="Calibri" w:hAnsi="Calibri" w:cs="Calibri"/>
        </w:rPr>
        <w:t xml:space="preserve"> transfer, in which case the Tribunal had exceeded its powers in making the order. The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judgment</w:t>
      </w:r>
      <w:proofErr w:type="gramEnd"/>
      <w:r w:rsidRPr="00843E35">
        <w:rPr>
          <w:rFonts w:ascii="Calibri" w:hAnsi="Calibri" w:cs="Calibri"/>
        </w:rPr>
        <w:t xml:space="preserve"> in </w:t>
      </w:r>
      <w:r w:rsidRPr="00843E35">
        <w:rPr>
          <w:rFonts w:ascii="Calibri" w:hAnsi="Calibri" w:cs="Calibri"/>
          <w:i/>
          <w:iCs/>
        </w:rPr>
        <w:t xml:space="preserve">PH </w:t>
      </w:r>
      <w:r w:rsidRPr="00843E35">
        <w:rPr>
          <w:rFonts w:ascii="Calibri" w:hAnsi="Calibri" w:cs="Calibri"/>
        </w:rPr>
        <w:t>is of particular relevance for Tribunals dealing with cases of restricted patients</w:t>
      </w:r>
    </w:p>
    <w:p w:rsidR="00843E35" w:rsidRDefault="00843E35" w:rsidP="00843E35">
      <w:pPr>
        <w:jc w:val="both"/>
        <w:rPr>
          <w:rFonts w:ascii="Calibri" w:hAnsi="Calibri" w:cs="Calibri"/>
        </w:rPr>
      </w:pPr>
      <w:proofErr w:type="gramStart"/>
      <w:r w:rsidRPr="00843E35">
        <w:rPr>
          <w:rFonts w:ascii="Calibri" w:hAnsi="Calibri" w:cs="Calibri"/>
        </w:rPr>
        <w:t>where</w:t>
      </w:r>
      <w:proofErr w:type="gramEnd"/>
      <w:r w:rsidRPr="00843E35">
        <w:rPr>
          <w:rFonts w:ascii="Calibri" w:hAnsi="Calibri" w:cs="Calibri"/>
        </w:rPr>
        <w:t xml:space="preserve"> the possibility of conditional discharge arises.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843E35">
        <w:rPr>
          <w:rFonts w:cstheme="minorHAnsi"/>
        </w:rPr>
        <w:t xml:space="preserve">Our final review by Anna Harding considers the Court of Appeal judgment in </w:t>
      </w:r>
      <w:r w:rsidRPr="00843E35">
        <w:rPr>
          <w:rFonts w:cstheme="minorHAnsi"/>
          <w:i/>
          <w:iCs/>
        </w:rPr>
        <w:t>R (on the application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  <w:i/>
          <w:iCs/>
        </w:rPr>
        <w:t>of</w:t>
      </w:r>
      <w:proofErr w:type="gramEnd"/>
      <w:r w:rsidRPr="00843E35">
        <w:rPr>
          <w:rFonts w:cstheme="minorHAnsi"/>
          <w:i/>
          <w:iCs/>
        </w:rPr>
        <w:t xml:space="preserve"> B) v Ashworth Hospital (2003) </w:t>
      </w:r>
      <w:r w:rsidRPr="00843E35">
        <w:rPr>
          <w:rFonts w:cstheme="minorHAnsi"/>
        </w:rPr>
        <w:t>which overturned the previous Administrative Court decision of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3E35">
        <w:rPr>
          <w:rFonts w:cstheme="minorHAnsi"/>
        </w:rPr>
        <w:t>Sir Richard Tucker on the construction of section 63 of the MHA 1983 and whether it would be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lawful</w:t>
      </w:r>
      <w:proofErr w:type="gramEnd"/>
      <w:r w:rsidRPr="00843E35">
        <w:rPr>
          <w:rFonts w:cstheme="minorHAnsi"/>
        </w:rPr>
        <w:t xml:space="preserve"> to provide compulsory treatment for a disorder which is different to the classified disorder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for</w:t>
      </w:r>
      <w:proofErr w:type="gramEnd"/>
      <w:r w:rsidRPr="00843E35">
        <w:rPr>
          <w:rFonts w:cstheme="minorHAnsi"/>
        </w:rPr>
        <w:t xml:space="preserve"> which a patient was originally detained for treatment. The review pays particular attention to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the</w:t>
      </w:r>
      <w:proofErr w:type="gramEnd"/>
      <w:r w:rsidRPr="00843E35">
        <w:rPr>
          <w:rFonts w:cstheme="minorHAnsi"/>
        </w:rPr>
        <w:t xml:space="preserve"> leading judgment of Dyson J which clarifies that the requirements that Part IV of the MHA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must</w:t>
      </w:r>
      <w:proofErr w:type="gramEnd"/>
      <w:r w:rsidRPr="00843E35">
        <w:rPr>
          <w:rFonts w:cstheme="minorHAnsi"/>
        </w:rPr>
        <w:t xml:space="preserve"> be interpreted by looking at the whole of the Act and that therefore Part IV is only</w:t>
      </w:r>
    </w:p>
    <w:p w:rsidR="00843E35" w:rsidRPr="00843E35" w:rsidRDefault="00843E35" w:rsidP="00843E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843E35">
        <w:rPr>
          <w:rFonts w:cstheme="minorHAnsi"/>
        </w:rPr>
        <w:t>concerned</w:t>
      </w:r>
      <w:proofErr w:type="gramEnd"/>
      <w:r w:rsidRPr="00843E35">
        <w:rPr>
          <w:rFonts w:cstheme="minorHAnsi"/>
        </w:rPr>
        <w:t xml:space="preserve"> with mental disorders that are treatable and which justify detention for their treatment.</w:t>
      </w:r>
    </w:p>
    <w:p w:rsidR="00843E35" w:rsidRDefault="00843E35" w:rsidP="00843E35">
      <w:pPr>
        <w:jc w:val="both"/>
        <w:rPr>
          <w:rFonts w:cstheme="minorHAnsi"/>
        </w:rPr>
      </w:pPr>
      <w:r w:rsidRPr="00843E35">
        <w:rPr>
          <w:rFonts w:cstheme="minorHAnsi"/>
        </w:rPr>
        <w:t>As ever, we are grateful to all the authors for their useful contributions to this issue of the Journal.</w:t>
      </w:r>
    </w:p>
    <w:p w:rsidR="00843E35" w:rsidRDefault="00843E35" w:rsidP="00843E35">
      <w:pPr>
        <w:jc w:val="both"/>
        <w:rPr>
          <w:rFonts w:cstheme="minorHAnsi"/>
        </w:rPr>
      </w:pPr>
    </w:p>
    <w:p w:rsidR="00843E35" w:rsidRPr="00843E35" w:rsidRDefault="00843E35" w:rsidP="00843E35">
      <w:pPr>
        <w:rPr>
          <w:rFonts w:cstheme="minorHAnsi"/>
        </w:rPr>
      </w:pPr>
      <w:r>
        <w:rPr>
          <w:rFonts w:cstheme="minorHAnsi"/>
        </w:rPr>
        <w:t>Charlotte Emmett</w:t>
      </w:r>
      <w:r>
        <w:rPr>
          <w:rFonts w:cstheme="minorHAnsi"/>
        </w:rPr>
        <w:br/>
        <w:t>Editor</w:t>
      </w:r>
      <w:bookmarkStart w:id="0" w:name="_GoBack"/>
      <w:bookmarkEnd w:id="0"/>
      <w:r>
        <w:rPr>
          <w:rFonts w:cstheme="minorHAnsi"/>
        </w:rPr>
        <w:br/>
      </w:r>
    </w:p>
    <w:sectPr w:rsidR="00843E35" w:rsidRPr="00843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OldStyle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03"/>
    <w:rsid w:val="00147603"/>
    <w:rsid w:val="00843E35"/>
    <w:rsid w:val="00F0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King</dc:creator>
  <cp:lastModifiedBy>Nicola King</cp:lastModifiedBy>
  <cp:revision>2</cp:revision>
  <dcterms:created xsi:type="dcterms:W3CDTF">2014-10-09T13:46:00Z</dcterms:created>
  <dcterms:modified xsi:type="dcterms:W3CDTF">2014-10-09T13:56:00Z</dcterms:modified>
</cp:coreProperties>
</file>