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53" w:rsidRPr="00E10353" w:rsidRDefault="00E10353" w:rsidP="00E10353">
      <w:pPr>
        <w:spacing w:line="240" w:lineRule="auto"/>
        <w:rPr>
          <w:sz w:val="56"/>
          <w:szCs w:val="56"/>
        </w:rPr>
      </w:pPr>
      <w:r w:rsidRPr="00E10353">
        <w:rPr>
          <w:sz w:val="56"/>
          <w:szCs w:val="56"/>
        </w:rPr>
        <w:t>Foreword</w:t>
      </w:r>
    </w:p>
    <w:p w:rsidR="00B22936" w:rsidRDefault="00B22936" w:rsidP="00E10353">
      <w:pPr>
        <w:spacing w:line="240" w:lineRule="auto"/>
      </w:pPr>
    </w:p>
    <w:p w:rsidR="00E10353" w:rsidRDefault="00E10353" w:rsidP="00E10353">
      <w:pPr>
        <w:spacing w:line="240" w:lineRule="auto"/>
      </w:pPr>
      <w:r>
        <w:t>It seems probable that publication of this issue of the Journal will coincide with publication by the</w:t>
      </w:r>
    </w:p>
    <w:p w:rsidR="00E10353" w:rsidRDefault="00E10353" w:rsidP="00E10353">
      <w:pPr>
        <w:spacing w:line="240" w:lineRule="auto"/>
      </w:pPr>
      <w:r>
        <w:t>Department of Health of the eagerly awaited White Paper containing the Government’s intended</w:t>
      </w:r>
    </w:p>
    <w:p w:rsidR="00E10353" w:rsidRDefault="00E10353" w:rsidP="00E10353">
      <w:pPr>
        <w:spacing w:line="240" w:lineRule="auto"/>
      </w:pPr>
      <w:r>
        <w:t>reform of mental health legislation. The last issue contained a number of articles and reflections</w:t>
      </w:r>
    </w:p>
    <w:p w:rsidR="00E10353" w:rsidRDefault="00E10353" w:rsidP="00E10353">
      <w:pPr>
        <w:spacing w:line="240" w:lineRule="auto"/>
      </w:pPr>
      <w:r>
        <w:t>on both the Green Paper of November 1999 and the Report of the Expert Committee which</w:t>
      </w:r>
    </w:p>
    <w:p w:rsidR="00E10353" w:rsidRDefault="00E10353" w:rsidP="00E10353">
      <w:pPr>
        <w:spacing w:line="240" w:lineRule="auto"/>
      </w:pPr>
      <w:r>
        <w:t>preceded it. This issue begins with a detailed consideration by Paul Bowen of the Human Rights</w:t>
      </w:r>
    </w:p>
    <w:p w:rsidR="00E10353" w:rsidRDefault="00E10353" w:rsidP="00E10353">
      <w:pPr>
        <w:spacing w:line="240" w:lineRule="auto"/>
      </w:pPr>
      <w:r>
        <w:t>implications of the Green Paper. The coming into effect of the Human Rights Act 1998 on 2nd</w:t>
      </w:r>
    </w:p>
    <w:p w:rsidR="00E10353" w:rsidRDefault="00E10353" w:rsidP="00E10353">
      <w:pPr>
        <w:spacing w:line="240" w:lineRule="auto"/>
      </w:pPr>
      <w:r>
        <w:t>October 2000 has made such an analysis of the utmost importance, and we are sure that Paul</w:t>
      </w:r>
    </w:p>
    <w:p w:rsidR="00E10353" w:rsidRDefault="00E10353" w:rsidP="00E10353">
      <w:pPr>
        <w:spacing w:line="240" w:lineRule="auto"/>
      </w:pPr>
      <w:r>
        <w:t>Bowen’s article will be of considerable assistance in the debate that inevitably will be generated by</w:t>
      </w:r>
    </w:p>
    <w:p w:rsidR="00E10353" w:rsidRDefault="00E10353" w:rsidP="00E10353">
      <w:pPr>
        <w:spacing w:line="240" w:lineRule="auto"/>
      </w:pPr>
      <w:r>
        <w:t>the White Paper’s</w:t>
      </w:r>
      <w:bookmarkStart w:id="0" w:name="_GoBack"/>
      <w:bookmarkEnd w:id="0"/>
      <w:r>
        <w:t xml:space="preserve"> publication.</w:t>
      </w:r>
    </w:p>
    <w:p w:rsidR="00E10353" w:rsidRDefault="00E10353" w:rsidP="00E10353">
      <w:pPr>
        <w:spacing w:line="240" w:lineRule="auto"/>
      </w:pPr>
    </w:p>
    <w:p w:rsidR="00E10353" w:rsidRDefault="00E10353" w:rsidP="00E10353">
      <w:pPr>
        <w:spacing w:line="240" w:lineRule="auto"/>
      </w:pPr>
      <w:r>
        <w:t>The White Paper will clarify the Government’s intentions for the Mental Health Act Commission.</w:t>
      </w:r>
    </w:p>
    <w:p w:rsidR="00E10353" w:rsidRDefault="00E10353" w:rsidP="00E10353">
      <w:pPr>
        <w:spacing w:line="240" w:lineRule="auto"/>
      </w:pPr>
      <w:r>
        <w:t>We are grateful to Margaret Clayton, Chairman of the Commission, for summarising within her</w:t>
      </w:r>
    </w:p>
    <w:p w:rsidR="00E10353" w:rsidRDefault="00E10353" w:rsidP="00E10353">
      <w:pPr>
        <w:spacing w:line="240" w:lineRule="auto"/>
      </w:pPr>
      <w:r>
        <w:t>article, the Commission’s view of what they should be. Similarly, given the central role played by</w:t>
      </w:r>
    </w:p>
    <w:p w:rsidR="00E10353" w:rsidRDefault="00E10353" w:rsidP="00E10353">
      <w:pPr>
        <w:spacing w:line="240" w:lineRule="auto"/>
      </w:pPr>
      <w:r>
        <w:t>the ASW in the application of the provisions of the Mental Health Act 1983, and the speculation</w:t>
      </w:r>
    </w:p>
    <w:p w:rsidR="00E10353" w:rsidRDefault="00E10353" w:rsidP="00E10353">
      <w:pPr>
        <w:spacing w:line="240" w:lineRule="auto"/>
      </w:pPr>
      <w:r>
        <w:t>about the part to be played following legislative reform, Roger Hargreaves’ reflection on the role of</w:t>
      </w:r>
    </w:p>
    <w:p w:rsidR="00E10353" w:rsidRDefault="00E10353" w:rsidP="00E10353">
      <w:pPr>
        <w:spacing w:line="240" w:lineRule="auto"/>
      </w:pPr>
      <w:r>
        <w:t>the Approved Social Worker is timely.</w:t>
      </w:r>
    </w:p>
    <w:p w:rsidR="00E10353" w:rsidRDefault="00E10353" w:rsidP="00E10353">
      <w:pPr>
        <w:spacing w:line="240" w:lineRule="auto"/>
      </w:pPr>
    </w:p>
    <w:p w:rsidR="00E10353" w:rsidRDefault="00E10353" w:rsidP="00E10353">
      <w:pPr>
        <w:spacing w:line="240" w:lineRule="auto"/>
      </w:pPr>
      <w:r>
        <w:t>The White Paper will of course confine itself to the law in England and Wales. It is to the Report</w:t>
      </w:r>
    </w:p>
    <w:p w:rsidR="00E10353" w:rsidRDefault="00E10353" w:rsidP="00E10353">
      <w:pPr>
        <w:spacing w:line="240" w:lineRule="auto"/>
      </w:pPr>
      <w:r>
        <w:t>of the Millan Committee, due to be published early in 2001, that one must turn for an indication</w:t>
      </w:r>
    </w:p>
    <w:p w:rsidR="00E10353" w:rsidRDefault="00E10353" w:rsidP="00E10353">
      <w:pPr>
        <w:spacing w:line="240" w:lineRule="auto"/>
      </w:pPr>
      <w:r>
        <w:t>as to how mental health legislation might develop in Scotland. We are pleased to include within</w:t>
      </w:r>
    </w:p>
    <w:p w:rsidR="00E10353" w:rsidRDefault="00E10353" w:rsidP="00E10353">
      <w:pPr>
        <w:spacing w:line="240" w:lineRule="auto"/>
      </w:pPr>
      <w:r>
        <w:t>this issue, an article by Hilary Patrick, a member of the Committee, which provides an informative</w:t>
      </w:r>
    </w:p>
    <w:p w:rsidR="00E10353" w:rsidRDefault="00E10353" w:rsidP="00E10353">
      <w:pPr>
        <w:spacing w:line="240" w:lineRule="auto"/>
      </w:pPr>
      <w:r>
        <w:t>preview of what the Report might contain.</w:t>
      </w:r>
    </w:p>
    <w:p w:rsidR="00E10353" w:rsidRDefault="00E10353" w:rsidP="00E10353">
      <w:pPr>
        <w:spacing w:line="240" w:lineRule="auto"/>
      </w:pPr>
    </w:p>
    <w:p w:rsidR="00E10353" w:rsidRDefault="00E10353" w:rsidP="00E10353">
      <w:pPr>
        <w:spacing w:line="240" w:lineRule="auto"/>
      </w:pPr>
      <w:r>
        <w:t>Over the last year there have been a number of Court decisions of considerable significance. Kevin</w:t>
      </w:r>
    </w:p>
    <w:p w:rsidR="00E10353" w:rsidRDefault="00E10353" w:rsidP="00E10353">
      <w:pPr>
        <w:spacing w:line="240" w:lineRule="auto"/>
      </w:pPr>
      <w:r>
        <w:t>Kerrigan has developed an analysis of the House of Lords decision in R v Antoine into a</w:t>
      </w:r>
    </w:p>
    <w:p w:rsidR="00E10353" w:rsidRDefault="00E10353" w:rsidP="00E10353">
      <w:pPr>
        <w:spacing w:line="240" w:lineRule="auto"/>
      </w:pPr>
      <w:r>
        <w:t>comprehensive review of the law relating to unfitness to plead and the special verdict of not guilty</w:t>
      </w:r>
    </w:p>
    <w:p w:rsidR="00E10353" w:rsidRDefault="00E10353" w:rsidP="00E10353">
      <w:pPr>
        <w:spacing w:line="240" w:lineRule="auto"/>
      </w:pPr>
      <w:r>
        <w:t>by reason of insanity. The other important cases which have been subjected to close examination</w:t>
      </w:r>
    </w:p>
    <w:p w:rsidR="00C6224C" w:rsidRDefault="00E10353" w:rsidP="00E10353">
      <w:pPr>
        <w:spacing w:line="240" w:lineRule="auto"/>
      </w:pPr>
      <w:r>
        <w:lastRenderedPageBreak/>
        <w:t xml:space="preserve">within this issue are </w:t>
      </w:r>
      <w:r w:rsidRPr="008F75D5">
        <w:rPr>
          <w:i/>
        </w:rPr>
        <w:t>R v London Borough of Richmond upon Thames ex parte Watson, R v Redcar</w:t>
      </w:r>
      <w:r>
        <w:t xml:space="preserve"> </w:t>
      </w:r>
    </w:p>
    <w:p w:rsidR="00C6224C" w:rsidRDefault="00C6224C" w:rsidP="00E10353">
      <w:pPr>
        <w:spacing w:line="240" w:lineRule="auto"/>
      </w:pPr>
    </w:p>
    <w:p w:rsidR="008F75D5" w:rsidRPr="008F75D5" w:rsidRDefault="00E10353" w:rsidP="00E10353">
      <w:pPr>
        <w:spacing w:line="240" w:lineRule="auto"/>
        <w:rPr>
          <w:i/>
        </w:rPr>
      </w:pPr>
      <w:proofErr w:type="gramStart"/>
      <w:r w:rsidRPr="008F75D5">
        <w:rPr>
          <w:i/>
        </w:rPr>
        <w:t>and</w:t>
      </w:r>
      <w:proofErr w:type="gramEnd"/>
      <w:r w:rsidR="00C6224C" w:rsidRPr="008F75D5">
        <w:rPr>
          <w:i/>
        </w:rPr>
        <w:t xml:space="preserve"> </w:t>
      </w:r>
      <w:r w:rsidRPr="008F75D5">
        <w:rPr>
          <w:i/>
        </w:rPr>
        <w:t xml:space="preserve">Cleveland Borough Council ex parte Armstrong, R v Manchester City Council ex parte Stennett, R </w:t>
      </w:r>
    </w:p>
    <w:p w:rsidR="008F75D5" w:rsidRPr="008F75D5" w:rsidRDefault="008F75D5" w:rsidP="00E10353">
      <w:pPr>
        <w:spacing w:line="240" w:lineRule="auto"/>
        <w:rPr>
          <w:i/>
        </w:rPr>
      </w:pPr>
      <w:proofErr w:type="gramStart"/>
      <w:r w:rsidRPr="008F75D5">
        <w:rPr>
          <w:i/>
        </w:rPr>
        <w:t>v</w:t>
      </w:r>
      <w:proofErr w:type="gramEnd"/>
      <w:r w:rsidRPr="008F75D5">
        <w:rPr>
          <w:i/>
        </w:rPr>
        <w:t xml:space="preserve"> </w:t>
      </w:r>
      <w:r w:rsidR="00E10353" w:rsidRPr="008F75D5">
        <w:rPr>
          <w:i/>
        </w:rPr>
        <w:t xml:space="preserve">London Borough of Harrow ex parte Cobham </w:t>
      </w:r>
      <w:r w:rsidR="00E10353">
        <w:t xml:space="preserve">(within one review); </w:t>
      </w:r>
      <w:r w:rsidR="00E10353" w:rsidRPr="008F75D5">
        <w:rPr>
          <w:i/>
        </w:rPr>
        <w:t xml:space="preserve">R v London South and South </w:t>
      </w:r>
    </w:p>
    <w:p w:rsidR="00E10353" w:rsidRPr="00F17590" w:rsidRDefault="008F75D5" w:rsidP="00E10353">
      <w:pPr>
        <w:spacing w:line="240" w:lineRule="auto"/>
        <w:rPr>
          <w:i/>
        </w:rPr>
      </w:pPr>
      <w:r w:rsidRPr="008F75D5">
        <w:rPr>
          <w:i/>
        </w:rPr>
        <w:t xml:space="preserve">West </w:t>
      </w:r>
      <w:r w:rsidR="00E10353" w:rsidRPr="008F75D5">
        <w:rPr>
          <w:i/>
        </w:rPr>
        <w:t>Region MHRT ex parte Moyle</w:t>
      </w:r>
      <w:r w:rsidR="00E10353">
        <w:t xml:space="preserve">; </w:t>
      </w:r>
      <w:r w:rsidR="00E10353" w:rsidRPr="00F17590">
        <w:rPr>
          <w:i/>
        </w:rPr>
        <w:t>R v Collins and Ashworth Hospital Authority ex parte Brady; Re F</w:t>
      </w:r>
    </w:p>
    <w:p w:rsidR="00E10353" w:rsidRDefault="00E10353" w:rsidP="00E10353">
      <w:pPr>
        <w:spacing w:line="240" w:lineRule="auto"/>
      </w:pPr>
      <w:r w:rsidRPr="00F17590">
        <w:rPr>
          <w:i/>
        </w:rPr>
        <w:t>(Mental Health Act: Guardianship)</w:t>
      </w:r>
      <w:r>
        <w:t xml:space="preserve">; </w:t>
      </w:r>
      <w:r w:rsidRPr="00F17590">
        <w:rPr>
          <w:i/>
        </w:rPr>
        <w:t>Re F (Adult: Court’s Jurisdiction)</w:t>
      </w:r>
      <w:r>
        <w:t>.</w:t>
      </w:r>
    </w:p>
    <w:p w:rsidR="00F17590" w:rsidRDefault="00F17590" w:rsidP="00E10353">
      <w:pPr>
        <w:spacing w:line="240" w:lineRule="auto"/>
      </w:pPr>
    </w:p>
    <w:p w:rsidR="00E10353" w:rsidRDefault="00E10353" w:rsidP="00E10353">
      <w:pPr>
        <w:spacing w:line="240" w:lineRule="auto"/>
      </w:pPr>
      <w:r>
        <w:t xml:space="preserve">Finally we have included reviews of four books: </w:t>
      </w:r>
      <w:r w:rsidRPr="00F17590">
        <w:rPr>
          <w:i/>
        </w:rPr>
        <w:t xml:space="preserve">Mental Health Law - Policy and Practice </w:t>
      </w:r>
      <w:r>
        <w:t>by Peter</w:t>
      </w:r>
    </w:p>
    <w:p w:rsidR="00E10353" w:rsidRPr="00F17590" w:rsidRDefault="00E10353" w:rsidP="00E10353">
      <w:pPr>
        <w:spacing w:line="240" w:lineRule="auto"/>
        <w:rPr>
          <w:i/>
        </w:rPr>
      </w:pPr>
      <w:r>
        <w:t xml:space="preserve">Bartlett and Ralph </w:t>
      </w:r>
      <w:proofErr w:type="spellStart"/>
      <w:r>
        <w:t>Sandland</w:t>
      </w:r>
      <w:proofErr w:type="spellEnd"/>
      <w:r>
        <w:t xml:space="preserve"> published by Blackstone Press; the second edition of </w:t>
      </w:r>
      <w:r w:rsidRPr="00F17590">
        <w:rPr>
          <w:i/>
        </w:rPr>
        <w:t>Community Care</w:t>
      </w:r>
    </w:p>
    <w:p w:rsidR="00E10353" w:rsidRPr="00F17590" w:rsidRDefault="00E10353" w:rsidP="00E10353">
      <w:pPr>
        <w:spacing w:line="240" w:lineRule="auto"/>
        <w:rPr>
          <w:i/>
        </w:rPr>
      </w:pPr>
      <w:proofErr w:type="gramStart"/>
      <w:r w:rsidRPr="00F17590">
        <w:rPr>
          <w:i/>
        </w:rPr>
        <w:t>and</w:t>
      </w:r>
      <w:proofErr w:type="gramEnd"/>
      <w:r w:rsidRPr="00F17590">
        <w:rPr>
          <w:i/>
        </w:rPr>
        <w:t xml:space="preserve"> the Law</w:t>
      </w:r>
      <w:r>
        <w:t xml:space="preserve"> by Luke Clements published by LAG; </w:t>
      </w:r>
      <w:r w:rsidRPr="00F17590">
        <w:rPr>
          <w:i/>
        </w:rPr>
        <w:t>Advising Mentally Disordered Offenders -</w:t>
      </w:r>
    </w:p>
    <w:p w:rsidR="00E10353" w:rsidRDefault="00E10353" w:rsidP="00E10353">
      <w:pPr>
        <w:spacing w:line="240" w:lineRule="auto"/>
      </w:pPr>
      <w:r w:rsidRPr="00F17590">
        <w:rPr>
          <w:i/>
        </w:rPr>
        <w:t xml:space="preserve">A Practical Guide </w:t>
      </w:r>
      <w:r>
        <w:t xml:space="preserve">by Deborah </w:t>
      </w:r>
      <w:proofErr w:type="spellStart"/>
      <w:r>
        <w:t>Postgate</w:t>
      </w:r>
      <w:proofErr w:type="spellEnd"/>
      <w:r>
        <w:t xml:space="preserve"> and Carolyn Taylor published by The Law Society; and</w:t>
      </w:r>
    </w:p>
    <w:p w:rsidR="00E10353" w:rsidRDefault="00E10353" w:rsidP="00E10353">
      <w:pPr>
        <w:spacing w:line="240" w:lineRule="auto"/>
      </w:pPr>
      <w:r w:rsidRPr="00F17590">
        <w:rPr>
          <w:i/>
        </w:rPr>
        <w:t>Care or Custody? Mentally Disordered Offenders in the Criminal Justice System</w:t>
      </w:r>
      <w:r>
        <w:t xml:space="preserve"> by Judith M Laing</w:t>
      </w:r>
    </w:p>
    <w:p w:rsidR="00E10353" w:rsidRDefault="00E10353" w:rsidP="00E10353">
      <w:pPr>
        <w:spacing w:line="240" w:lineRule="auto"/>
      </w:pPr>
      <w:r>
        <w:t>published by Oxford University Press.</w:t>
      </w:r>
    </w:p>
    <w:p w:rsidR="00F17590" w:rsidRDefault="00F17590" w:rsidP="00E10353">
      <w:pPr>
        <w:spacing w:line="240" w:lineRule="auto"/>
      </w:pPr>
    </w:p>
    <w:p w:rsidR="00E10353" w:rsidRDefault="00E10353" w:rsidP="00E10353">
      <w:pPr>
        <w:spacing w:line="240" w:lineRule="auto"/>
      </w:pPr>
      <w:r>
        <w:t>As always we are very grateful to all those who have generously submitted contributions for</w:t>
      </w:r>
    </w:p>
    <w:p w:rsidR="00E10353" w:rsidRDefault="00E10353" w:rsidP="00E10353">
      <w:pPr>
        <w:spacing w:line="240" w:lineRule="auto"/>
      </w:pPr>
      <w:r>
        <w:t>inclusion within the Journal.</w:t>
      </w:r>
    </w:p>
    <w:p w:rsidR="00F17590" w:rsidRDefault="00F17590" w:rsidP="00E10353">
      <w:pPr>
        <w:spacing w:line="240" w:lineRule="auto"/>
      </w:pPr>
    </w:p>
    <w:p w:rsidR="00E10353" w:rsidRPr="00F17590" w:rsidRDefault="00E10353" w:rsidP="00E10353">
      <w:pPr>
        <w:spacing w:line="240" w:lineRule="auto"/>
        <w:rPr>
          <w:i/>
        </w:rPr>
      </w:pPr>
      <w:r w:rsidRPr="00F17590">
        <w:rPr>
          <w:i/>
        </w:rPr>
        <w:t>Charlotte Emmett</w:t>
      </w:r>
    </w:p>
    <w:p w:rsidR="00D41682" w:rsidRDefault="00E10353" w:rsidP="00E10353">
      <w:pPr>
        <w:spacing w:line="240" w:lineRule="auto"/>
      </w:pPr>
      <w:r>
        <w:t>Editor</w:t>
      </w:r>
    </w:p>
    <w:sectPr w:rsidR="00D41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53"/>
    <w:rsid w:val="002E5494"/>
    <w:rsid w:val="008F75D5"/>
    <w:rsid w:val="00B22936"/>
    <w:rsid w:val="00C6224C"/>
    <w:rsid w:val="00D41682"/>
    <w:rsid w:val="00E10353"/>
    <w:rsid w:val="00F1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2014-09-30T08:59:00Z</dcterms:created>
  <dcterms:modified xsi:type="dcterms:W3CDTF">2014-09-30T09:56:00Z</dcterms:modified>
</cp:coreProperties>
</file>