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AD" w:rsidRPr="00F052AD" w:rsidRDefault="00F052AD" w:rsidP="009F3D57">
      <w:pPr>
        <w:spacing w:line="240" w:lineRule="auto"/>
        <w:rPr>
          <w:sz w:val="56"/>
          <w:szCs w:val="56"/>
        </w:rPr>
      </w:pPr>
      <w:r w:rsidRPr="00F052AD">
        <w:rPr>
          <w:sz w:val="56"/>
          <w:szCs w:val="56"/>
        </w:rPr>
        <w:t>Reform of the Mental Health Act 1983 – Convention Implications of the Green Paper</w:t>
      </w:r>
    </w:p>
    <w:p w:rsidR="00F052AD" w:rsidRDefault="00F052AD" w:rsidP="009F3D57">
      <w:pPr>
        <w:spacing w:line="240" w:lineRule="auto"/>
        <w:rPr>
          <w:i/>
        </w:rPr>
      </w:pPr>
      <w:r>
        <w:rPr>
          <w:i/>
        </w:rPr>
        <w:t>Paul Bowen</w:t>
      </w:r>
      <w:r>
        <w:rPr>
          <w:rStyle w:val="FootnoteReference"/>
          <w:i/>
        </w:rPr>
        <w:footnoteReference w:customMarkFollows="1" w:id="1"/>
        <w:t>*</w:t>
      </w:r>
    </w:p>
    <w:p w:rsidR="00F052AD" w:rsidRPr="00F052AD" w:rsidRDefault="00F052AD" w:rsidP="009F3D57">
      <w:pPr>
        <w:spacing w:line="240" w:lineRule="auto"/>
        <w:rPr>
          <w:i/>
        </w:rPr>
      </w:pPr>
    </w:p>
    <w:p w:rsidR="00F052AD" w:rsidRDefault="00F052AD" w:rsidP="009F3D57">
      <w:pPr>
        <w:spacing w:line="240" w:lineRule="auto"/>
      </w:pPr>
      <w:r>
        <w:t>[This article is based upon two lectures given by the author to the Institute of Mental Health Act</w:t>
      </w:r>
    </w:p>
    <w:p w:rsidR="00F052AD" w:rsidRDefault="00F052AD" w:rsidP="009F3D57">
      <w:pPr>
        <w:spacing w:line="240" w:lineRule="auto"/>
      </w:pPr>
      <w:r>
        <w:t>Practitioners on 7 February and 6 March 2000.]</w:t>
      </w:r>
    </w:p>
    <w:p w:rsidR="00F052AD" w:rsidRDefault="00F052AD" w:rsidP="009F3D57">
      <w:pPr>
        <w:spacing w:line="240" w:lineRule="auto"/>
      </w:pPr>
    </w:p>
    <w:p w:rsidR="00F052AD" w:rsidRDefault="00F052AD" w:rsidP="009F3D57">
      <w:pPr>
        <w:spacing w:line="240" w:lineRule="auto"/>
      </w:pPr>
      <w:r>
        <w:t>Assessing the Convention compatibility of the Government proposals for reform of the Mental</w:t>
      </w:r>
    </w:p>
    <w:p w:rsidR="00F052AD" w:rsidRDefault="00F052AD" w:rsidP="009F3D57">
      <w:pPr>
        <w:spacing w:line="240" w:lineRule="auto"/>
      </w:pPr>
      <w:r>
        <w:t>Health Act 1983 set out in the Green Paper</w:t>
      </w:r>
      <w:r>
        <w:rPr>
          <w:rStyle w:val="FootnoteReference"/>
        </w:rPr>
        <w:footnoteReference w:id="2"/>
      </w:r>
      <w:r>
        <w:t xml:space="preserve"> is largely an exercise in speculation, for three reasons.</w:t>
      </w:r>
    </w:p>
    <w:p w:rsidR="00F052AD" w:rsidRDefault="00F052AD" w:rsidP="009F3D57">
      <w:pPr>
        <w:spacing w:line="240" w:lineRule="auto"/>
      </w:pPr>
      <w:r>
        <w:t>First, the proposals are very broad; the detail, where the devil may be found, is yet to come.</w:t>
      </w:r>
    </w:p>
    <w:p w:rsidR="00F052AD" w:rsidRDefault="00F052AD" w:rsidP="009F3D57">
      <w:pPr>
        <w:spacing w:line="240" w:lineRule="auto"/>
      </w:pPr>
      <w:r>
        <w:t>Second, the Convention does not permit the Strasbourg authorities to review the legality of</w:t>
      </w:r>
    </w:p>
    <w:p w:rsidR="00F052AD" w:rsidRDefault="00F052AD" w:rsidP="009F3D57">
      <w:pPr>
        <w:spacing w:line="240" w:lineRule="auto"/>
      </w:pPr>
      <w:r>
        <w:t>national legislation in the abstract, but only with reference to particular cases after the proceedings</w:t>
      </w:r>
    </w:p>
    <w:p w:rsidR="00F052AD" w:rsidRDefault="00F052AD" w:rsidP="009F3D57">
      <w:pPr>
        <w:spacing w:line="240" w:lineRule="auto"/>
      </w:pPr>
      <w:r>
        <w:t>are complete</w:t>
      </w:r>
      <w:r>
        <w:rPr>
          <w:rStyle w:val="FootnoteReference"/>
        </w:rPr>
        <w:footnoteReference w:id="3"/>
      </w:r>
      <w:r>
        <w:t>. Although that will not necessarily preclude a domestic court from reviewing the</w:t>
      </w:r>
    </w:p>
    <w:p w:rsidR="00F052AD" w:rsidRDefault="00F052AD" w:rsidP="009F3D57">
      <w:pPr>
        <w:spacing w:line="240" w:lineRule="auto"/>
      </w:pPr>
      <w:r>
        <w:t>lawfulness of any provision of the new Mental Health Act after incorporation of the Human</w:t>
      </w:r>
    </w:p>
    <w:p w:rsidR="00F052AD" w:rsidRDefault="00F052AD" w:rsidP="009F3D57">
      <w:pPr>
        <w:spacing w:line="240" w:lineRule="auto"/>
      </w:pPr>
      <w:r>
        <w:t>Rights Act 1998</w:t>
      </w:r>
      <w:r>
        <w:rPr>
          <w:rStyle w:val="FootnoteReference"/>
        </w:rPr>
        <w:footnoteReference w:id="4"/>
      </w:r>
      <w:r>
        <w:t>, the comments that can be made in this article are necessarily confined to the</w:t>
      </w:r>
    </w:p>
    <w:p w:rsidR="00F052AD" w:rsidRDefault="00F052AD" w:rsidP="009F3D57">
      <w:pPr>
        <w:spacing w:line="240" w:lineRule="auto"/>
      </w:pPr>
      <w:r>
        <w:t>general rather than the specific.</w:t>
      </w:r>
    </w:p>
    <w:p w:rsidR="00F052AD" w:rsidRDefault="00F052AD" w:rsidP="009F3D57">
      <w:pPr>
        <w:spacing w:line="240" w:lineRule="auto"/>
      </w:pPr>
    </w:p>
    <w:p w:rsidR="00F052AD" w:rsidRDefault="00F052AD" w:rsidP="009F3D57">
      <w:pPr>
        <w:spacing w:line="240" w:lineRule="auto"/>
      </w:pPr>
      <w:r>
        <w:t>Third, and perhaps most significantly, it is impossible to predict the impact of the Convention</w:t>
      </w:r>
    </w:p>
    <w:p w:rsidR="00F052AD" w:rsidRDefault="00F052AD" w:rsidP="009F3D57">
      <w:pPr>
        <w:spacing w:line="240" w:lineRule="auto"/>
      </w:pPr>
      <w:r>
        <w:t>following the coming into force of the Human Rights Act 1998 on 2 October 2000.</w:t>
      </w:r>
    </w:p>
    <w:p w:rsidR="00F052AD" w:rsidRDefault="00F052AD" w:rsidP="009F3D57">
      <w:pPr>
        <w:spacing w:line="240" w:lineRule="auto"/>
      </w:pPr>
      <w:r>
        <w:t>The consequences of that Act will be far-reaching, but one in particular deserves mention. The</w:t>
      </w:r>
    </w:p>
    <w:p w:rsidR="00F052AD" w:rsidRDefault="00F052AD" w:rsidP="009F3D57">
      <w:pPr>
        <w:spacing w:line="240" w:lineRule="auto"/>
      </w:pPr>
      <w:r>
        <w:t>Strasbourg Court’s decision-making is constrained by the concept of the ‘margin of appreciation’.</w:t>
      </w:r>
    </w:p>
    <w:p w:rsidR="00F052AD" w:rsidRDefault="00F052AD" w:rsidP="009F3D57">
      <w:pPr>
        <w:spacing w:line="240" w:lineRule="auto"/>
      </w:pPr>
      <w:r>
        <w:t>The principle has been developed by the Strasbourg authorities to reflect an appropriate degree of</w:t>
      </w:r>
    </w:p>
    <w:p w:rsidR="00F052AD" w:rsidRDefault="00F052AD" w:rsidP="009F3D57">
      <w:pPr>
        <w:spacing w:line="240" w:lineRule="auto"/>
      </w:pPr>
      <w:r>
        <w:t>deference by the international court to the expertise of national decision-makers, whether courts</w:t>
      </w:r>
    </w:p>
    <w:p w:rsidR="00F052AD" w:rsidRDefault="00F052AD" w:rsidP="009F3D57">
      <w:pPr>
        <w:spacing w:line="240" w:lineRule="auto"/>
      </w:pPr>
      <w:proofErr w:type="gramStart"/>
      <w:r>
        <w:lastRenderedPageBreak/>
        <w:t>or</w:t>
      </w:r>
      <w:proofErr w:type="gramEnd"/>
      <w:r>
        <w:t xml:space="preserve"> governments, in applying national law to national problems</w:t>
      </w:r>
      <w:r>
        <w:rPr>
          <w:rStyle w:val="FootnoteReference"/>
        </w:rPr>
        <w:footnoteReference w:id="5"/>
      </w:r>
      <w:r>
        <w:t>. It also reflects the practical</w:t>
      </w:r>
    </w:p>
    <w:p w:rsidR="00F052AD" w:rsidRDefault="00F052AD" w:rsidP="009F3D57">
      <w:pPr>
        <w:spacing w:line="240" w:lineRule="auto"/>
      </w:pPr>
      <w:r>
        <w:t>problem faced by the Strasbourg authorities in applying Convention principles in a manner that</w:t>
      </w:r>
    </w:p>
    <w:p w:rsidR="00F052AD" w:rsidRDefault="00F052AD" w:rsidP="009F3D57">
      <w:pPr>
        <w:spacing w:line="240" w:lineRule="auto"/>
      </w:pPr>
      <w:proofErr w:type="gramStart"/>
      <w:r>
        <w:t>can</w:t>
      </w:r>
      <w:proofErr w:type="gramEnd"/>
      <w:r>
        <w:t xml:space="preserve"> be relevant to all the Contracting States, which together present a wide range of different legal</w:t>
      </w:r>
    </w:p>
    <w:p w:rsidR="002211F0" w:rsidRDefault="00F052AD" w:rsidP="009F3D57">
      <w:pPr>
        <w:spacing w:line="240" w:lineRule="auto"/>
      </w:pPr>
      <w:r>
        <w:t>approaches to the same problems (and often widely different availability of resources). In practice</w:t>
      </w:r>
    </w:p>
    <w:p w:rsidR="00B130C5" w:rsidRDefault="00B130C5" w:rsidP="009F3D57">
      <w:pPr>
        <w:spacing w:line="240" w:lineRule="auto"/>
      </w:pPr>
      <w:proofErr w:type="gramStart"/>
      <w:r>
        <w:t>it</w:t>
      </w:r>
      <w:proofErr w:type="gramEnd"/>
      <w:r>
        <w:t xml:space="preserve"> has the effect of placing an additional hurdle for an applicant to clear in establishing a violation</w:t>
      </w:r>
    </w:p>
    <w:p w:rsidR="00B130C5" w:rsidRDefault="00B130C5" w:rsidP="009F3D57">
      <w:pPr>
        <w:spacing w:line="240" w:lineRule="auto"/>
      </w:pPr>
      <w:proofErr w:type="gramStart"/>
      <w:r>
        <w:t>of</w:t>
      </w:r>
      <w:proofErr w:type="gramEnd"/>
      <w:r>
        <w:t xml:space="preserve"> his Convention rights before the Strasbourg authorities.</w:t>
      </w:r>
    </w:p>
    <w:p w:rsidR="00B130C5" w:rsidRDefault="00B130C5" w:rsidP="009F3D57">
      <w:pPr>
        <w:spacing w:line="240" w:lineRule="auto"/>
      </w:pPr>
      <w:r>
        <w:t xml:space="preserve">However, as Lord Hope recently noted in the House of Lords in R v DPP </w:t>
      </w:r>
      <w:r w:rsidRPr="00B130C5">
        <w:rPr>
          <w:i/>
        </w:rPr>
        <w:t>ex p Kebilene.</w:t>
      </w:r>
      <w:r>
        <w:rPr>
          <w:rStyle w:val="FootnoteReference"/>
        </w:rPr>
        <w:footnoteReference w:customMarkFollows="1" w:id="6"/>
        <w:t>5</w:t>
      </w:r>
    </w:p>
    <w:p w:rsidR="00B130C5" w:rsidRDefault="00B130C5" w:rsidP="009F3D57">
      <w:pPr>
        <w:spacing w:line="240" w:lineRule="auto"/>
      </w:pPr>
      <w:r>
        <w:t>“This technique [the margin of appreciation] is not available to the national court when they are</w:t>
      </w:r>
    </w:p>
    <w:p w:rsidR="00B130C5" w:rsidRDefault="00B130C5" w:rsidP="009F3D57">
      <w:pPr>
        <w:spacing w:line="240" w:lineRule="auto"/>
      </w:pPr>
      <w:r>
        <w:t>considering Convention issues arising within their own countries.”</w:t>
      </w:r>
    </w:p>
    <w:p w:rsidR="00B130C5" w:rsidRDefault="00B130C5" w:rsidP="009F3D57">
      <w:pPr>
        <w:spacing w:line="240" w:lineRule="auto"/>
      </w:pPr>
      <w:r>
        <w:t>It follows that it should be easier to prove a Convention violation before the national courts than to</w:t>
      </w:r>
    </w:p>
    <w:p w:rsidR="00B130C5" w:rsidRDefault="00B130C5" w:rsidP="009F3D57">
      <w:pPr>
        <w:spacing w:line="240" w:lineRule="auto"/>
      </w:pPr>
      <w:proofErr w:type="gramStart"/>
      <w:r>
        <w:t>do</w:t>
      </w:r>
      <w:proofErr w:type="gramEnd"/>
      <w:r>
        <w:t xml:space="preserve"> so before the Strasbourg Court</w:t>
      </w:r>
      <w:r w:rsidR="003215A1">
        <w:rPr>
          <w:rStyle w:val="FootnoteReference"/>
        </w:rPr>
        <w:footnoteReference w:customMarkFollows="1" w:id="7"/>
        <w:t>6</w:t>
      </w:r>
      <w:r>
        <w:t>. It also follows that the principles developed by the Strasbourg</w:t>
      </w:r>
    </w:p>
    <w:p w:rsidR="00B130C5" w:rsidRDefault="00B130C5" w:rsidP="009F3D57">
      <w:pPr>
        <w:spacing w:line="240" w:lineRule="auto"/>
      </w:pPr>
      <w:r>
        <w:t>Court (which domestic courts must ‘take into account’, by s. 2(1) Human Rights Act 1998) are only a</w:t>
      </w:r>
    </w:p>
    <w:p w:rsidR="00B130C5" w:rsidRDefault="00B130C5" w:rsidP="009F3D57">
      <w:pPr>
        <w:spacing w:line="240" w:lineRule="auto"/>
      </w:pPr>
      <w:r>
        <w:t>starting-point in determining the extent of Convention rights as a matter of domestic law. A greater</w:t>
      </w:r>
    </w:p>
    <w:p w:rsidR="00B130C5" w:rsidRDefault="00B130C5" w:rsidP="009F3D57">
      <w:pPr>
        <w:spacing w:line="240" w:lineRule="auto"/>
      </w:pPr>
      <w:r>
        <w:t xml:space="preserve">degree of protection must, theoretically, be provided under domestic law than under international </w:t>
      </w:r>
    </w:p>
    <w:p w:rsidR="00B130C5" w:rsidRDefault="00B130C5" w:rsidP="009F3D57">
      <w:pPr>
        <w:spacing w:line="240" w:lineRule="auto"/>
      </w:pPr>
      <w:r>
        <w:t>law.</w:t>
      </w:r>
    </w:p>
    <w:p w:rsidR="00B130C5" w:rsidRDefault="00B130C5" w:rsidP="009F3D57">
      <w:pPr>
        <w:spacing w:line="240" w:lineRule="auto"/>
      </w:pPr>
      <w:r>
        <w:t>This paper can only address Convention law as it has been developed by the Strasbourg authorities.</w:t>
      </w:r>
    </w:p>
    <w:p w:rsidR="00B130C5" w:rsidRDefault="00B130C5" w:rsidP="009F3D57">
      <w:pPr>
        <w:spacing w:line="240" w:lineRule="auto"/>
      </w:pPr>
      <w:r>
        <w:t>With those reservations in mind, this article addresses the Convention implications of the specific</w:t>
      </w:r>
    </w:p>
    <w:p w:rsidR="00B130C5" w:rsidRDefault="00B130C5" w:rsidP="009F3D57">
      <w:pPr>
        <w:spacing w:line="240" w:lineRule="auto"/>
      </w:pPr>
      <w:r>
        <w:t>proposals contained in the Green Paper, under the following headings:</w:t>
      </w:r>
    </w:p>
    <w:p w:rsidR="00B130C5" w:rsidRDefault="00B130C5" w:rsidP="009F3D57">
      <w:pPr>
        <w:spacing w:line="240" w:lineRule="auto"/>
        <w:ind w:firstLine="284"/>
      </w:pPr>
      <w:r>
        <w:t>The new criteria for the exercise of compulsory powers (Chapters 4 &amp; 5)</w:t>
      </w:r>
    </w:p>
    <w:p w:rsidR="00B130C5" w:rsidRDefault="00B130C5" w:rsidP="009F3D57">
      <w:pPr>
        <w:spacing w:line="240" w:lineRule="auto"/>
        <w:ind w:firstLine="284"/>
      </w:pPr>
      <w:r>
        <w:t>The new procedure for Detention (Chapters 4 &amp; 6)</w:t>
      </w:r>
    </w:p>
    <w:p w:rsidR="00B130C5" w:rsidRDefault="00B130C5" w:rsidP="009F3D57">
      <w:pPr>
        <w:spacing w:line="240" w:lineRule="auto"/>
        <w:ind w:firstLine="284"/>
      </w:pPr>
      <w:r>
        <w:t>Discharge procedures (Chapters 7 &amp; 10)</w:t>
      </w:r>
    </w:p>
    <w:p w:rsidR="00B130C5" w:rsidRDefault="00B130C5" w:rsidP="009F3D57">
      <w:pPr>
        <w:spacing w:line="240" w:lineRule="auto"/>
        <w:ind w:firstLine="284"/>
      </w:pPr>
      <w:r>
        <w:t>Compulsory Community Orders (Chapter 6)</w:t>
      </w:r>
    </w:p>
    <w:p w:rsidR="00B130C5" w:rsidRDefault="00B130C5" w:rsidP="009F3D57">
      <w:pPr>
        <w:spacing w:line="240" w:lineRule="auto"/>
        <w:ind w:firstLine="284"/>
      </w:pPr>
      <w:r>
        <w:t>Compulsory Detention in Criminal Proceedings (Chapter 8)</w:t>
      </w:r>
    </w:p>
    <w:p w:rsidR="00B130C5" w:rsidRDefault="00B130C5" w:rsidP="009F3D57">
      <w:pPr>
        <w:spacing w:line="240" w:lineRule="auto"/>
        <w:ind w:firstLine="284"/>
      </w:pPr>
      <w:r>
        <w:t>Transferred prisoners (Chapter 8)</w:t>
      </w:r>
    </w:p>
    <w:p w:rsidR="00B130C5" w:rsidRDefault="00B130C5" w:rsidP="009F3D57">
      <w:pPr>
        <w:spacing w:line="240" w:lineRule="auto"/>
        <w:ind w:firstLine="284"/>
      </w:pPr>
      <w:r>
        <w:t>Severe Personality Disordered patients (Annex C)</w:t>
      </w:r>
    </w:p>
    <w:p w:rsidR="00B130C5" w:rsidRDefault="00B130C5" w:rsidP="009F3D57">
      <w:pPr>
        <w:spacing w:line="240" w:lineRule="auto"/>
        <w:ind w:firstLine="284"/>
      </w:pPr>
      <w:r>
        <w:t>The right to receive treatment</w:t>
      </w:r>
    </w:p>
    <w:p w:rsidR="00B130C5" w:rsidRDefault="00B130C5" w:rsidP="009F3D57">
      <w:pPr>
        <w:spacing w:line="240" w:lineRule="auto"/>
        <w:ind w:firstLine="284"/>
      </w:pPr>
      <w:r>
        <w:t>Compulsory treatment and the right to refuse treatment (Chapter 9)</w:t>
      </w:r>
    </w:p>
    <w:p w:rsidR="00B130C5" w:rsidRDefault="00B130C5" w:rsidP="009F3D57">
      <w:pPr>
        <w:spacing w:line="240" w:lineRule="auto"/>
        <w:ind w:firstLine="284"/>
      </w:pPr>
      <w:r>
        <w:lastRenderedPageBreak/>
        <w:t>The right to aftercare (Chapter 7)</w:t>
      </w:r>
    </w:p>
    <w:p w:rsidR="00B130C5" w:rsidRDefault="00B130C5" w:rsidP="009F3D57">
      <w:pPr>
        <w:spacing w:line="240" w:lineRule="auto"/>
        <w:ind w:firstLine="284"/>
      </w:pPr>
      <w:r>
        <w:t>Children and Incapacitated Adults (Bournewood).</w:t>
      </w:r>
    </w:p>
    <w:p w:rsidR="00B130C5" w:rsidRPr="001875B6" w:rsidRDefault="00B130C5" w:rsidP="009F3D57">
      <w:pPr>
        <w:spacing w:line="240" w:lineRule="auto"/>
        <w:rPr>
          <w:b/>
        </w:rPr>
      </w:pPr>
    </w:p>
    <w:p w:rsidR="00B130C5" w:rsidRPr="001875B6" w:rsidRDefault="00B130C5" w:rsidP="009F3D57">
      <w:pPr>
        <w:spacing w:line="240" w:lineRule="auto"/>
        <w:rPr>
          <w:b/>
        </w:rPr>
      </w:pPr>
      <w:r w:rsidRPr="001875B6">
        <w:rPr>
          <w:b/>
        </w:rPr>
        <w:t>(1) The new criteria for the exercise of compulsory powers</w:t>
      </w:r>
    </w:p>
    <w:p w:rsidR="00B130C5" w:rsidRDefault="00B130C5" w:rsidP="009F3D57">
      <w:pPr>
        <w:spacing w:line="240" w:lineRule="auto"/>
      </w:pPr>
      <w:r>
        <w:t>The Government’s proposals fall, broadly, under three headings: (a) a single, very broad, definition</w:t>
      </w:r>
    </w:p>
    <w:p w:rsidR="00B130C5" w:rsidRDefault="00B130C5" w:rsidP="009F3D57">
      <w:pPr>
        <w:spacing w:line="240" w:lineRule="auto"/>
      </w:pPr>
      <w:proofErr w:type="gramStart"/>
      <w:r>
        <w:t>of</w:t>
      </w:r>
      <w:proofErr w:type="gramEnd"/>
      <w:r>
        <w:t xml:space="preserve"> mental disorder to replace the four existing categories of mental disorder justifying the use of</w:t>
      </w:r>
    </w:p>
    <w:p w:rsidR="00B130C5" w:rsidRDefault="00B130C5" w:rsidP="009F3D57">
      <w:pPr>
        <w:spacing w:line="240" w:lineRule="auto"/>
      </w:pPr>
      <w:r>
        <w:t>compulsory powers (Green Paper, Chapter 4, §2-5); (b) a rejection of the Expert Committee’s</w:t>
      </w:r>
    </w:p>
    <w:p w:rsidR="00B130C5" w:rsidRDefault="00B130C5" w:rsidP="009F3D57">
      <w:pPr>
        <w:spacing w:line="240" w:lineRule="auto"/>
      </w:pPr>
      <w:r>
        <w:t>proposed capacity-based detention criteria; (c) a new formulation of the criteria for the exercise of</w:t>
      </w:r>
    </w:p>
    <w:p w:rsidR="00B130C5" w:rsidRDefault="00B130C5" w:rsidP="009F3D57">
      <w:pPr>
        <w:spacing w:line="240" w:lineRule="auto"/>
      </w:pPr>
      <w:r>
        <w:t>compulsory powers to replace the existing ‘appropriateness’, ‘treatability’ and ‘safety’ tests.</w:t>
      </w:r>
    </w:p>
    <w:p w:rsidR="001875B6" w:rsidRDefault="001875B6" w:rsidP="009F3D57">
      <w:pPr>
        <w:spacing w:line="240" w:lineRule="auto"/>
      </w:pPr>
    </w:p>
    <w:p w:rsidR="00B130C5" w:rsidRDefault="00B130C5" w:rsidP="009F3D57">
      <w:pPr>
        <w:spacing w:line="240" w:lineRule="auto"/>
      </w:pPr>
      <w:r>
        <w:t>Under the Mental Health Act 1983 an individual cannot be subjected to compulsory powers</w:t>
      </w:r>
    </w:p>
    <w:p w:rsidR="00B130C5" w:rsidRDefault="00B130C5" w:rsidP="009F3D57">
      <w:pPr>
        <w:spacing w:line="240" w:lineRule="auto"/>
      </w:pPr>
      <w:r>
        <w:t>(whether detention, a supervision order or guardianship) unless his mental disorder falls within</w:t>
      </w:r>
    </w:p>
    <w:p w:rsidR="00B130C5" w:rsidRDefault="00B130C5" w:rsidP="009F3D57">
      <w:pPr>
        <w:spacing w:line="240" w:lineRule="auto"/>
      </w:pPr>
      <w:r>
        <w:t>one of four categories, respectively ‘mental illness’, ‘psychopathic disorder’, ‘severe mental</w:t>
      </w:r>
    </w:p>
    <w:p w:rsidR="00B130C5" w:rsidRDefault="00B130C5" w:rsidP="009F3D57">
      <w:pPr>
        <w:spacing w:line="240" w:lineRule="auto"/>
      </w:pPr>
      <w:r>
        <w:t>impairment’ and ‘mental impairment. To fall within the definitions of ‘psychopathic disorder’,</w:t>
      </w:r>
    </w:p>
    <w:p w:rsidR="00B130C5" w:rsidRDefault="00B130C5" w:rsidP="009F3D57">
      <w:pPr>
        <w:spacing w:line="240" w:lineRule="auto"/>
      </w:pPr>
      <w:r>
        <w:t>‘mental impairment’ and ‘severe mental impairment’, an individual’s disorder must be ‘associated</w:t>
      </w:r>
    </w:p>
    <w:p w:rsidR="00B130C5" w:rsidRDefault="00B130C5" w:rsidP="009F3D57">
      <w:pPr>
        <w:spacing w:line="240" w:lineRule="auto"/>
      </w:pPr>
      <w:r>
        <w:t>with abnormally aggressive or seriously irresponsible conduct’. If that criterion is not satisfied the</w:t>
      </w:r>
    </w:p>
    <w:p w:rsidR="00B130C5" w:rsidRDefault="00B130C5" w:rsidP="009F3D57">
      <w:pPr>
        <w:spacing w:line="240" w:lineRule="auto"/>
      </w:pPr>
      <w:proofErr w:type="gramStart"/>
      <w:r>
        <w:t>individual</w:t>
      </w:r>
      <w:proofErr w:type="gramEnd"/>
      <w:r>
        <w:t xml:space="preserve"> cannot be subjected to compulsory powers.</w:t>
      </w:r>
    </w:p>
    <w:p w:rsidR="009F3D57" w:rsidRDefault="009F3D57" w:rsidP="009F3D57">
      <w:pPr>
        <w:spacing w:line="240" w:lineRule="auto"/>
      </w:pPr>
    </w:p>
    <w:p w:rsidR="009D1EA7" w:rsidRDefault="009D1EA7" w:rsidP="009F3D57">
      <w:pPr>
        <w:spacing w:line="240" w:lineRule="auto"/>
      </w:pPr>
      <w:r>
        <w:t>The Government proposes to follow the advice of the Expert Committee and remove the four</w:t>
      </w:r>
    </w:p>
    <w:p w:rsidR="009D1EA7" w:rsidRDefault="009D1EA7" w:rsidP="009F3D57">
      <w:pPr>
        <w:spacing w:line="240" w:lineRule="auto"/>
      </w:pPr>
      <w:r>
        <w:t>classifications of mental disorder and replace them with a single definition: ‘any disability or</w:t>
      </w:r>
    </w:p>
    <w:p w:rsidR="009D1EA7" w:rsidRDefault="009D1EA7" w:rsidP="009F3D57">
      <w:pPr>
        <w:spacing w:line="240" w:lineRule="auto"/>
      </w:pPr>
      <w:r>
        <w:t>disorder of mind or brain, whether permanent or temporary, which results in an impairment or</w:t>
      </w:r>
    </w:p>
    <w:p w:rsidR="009D1EA7" w:rsidRDefault="009D1EA7" w:rsidP="009F3D57">
      <w:pPr>
        <w:spacing w:line="240" w:lineRule="auto"/>
      </w:pPr>
      <w:r>
        <w:t>disturbance of Mental Functioning’ (Green Paper, Chapter 4, §2). The requirement that certain</w:t>
      </w:r>
    </w:p>
    <w:p w:rsidR="009D1EA7" w:rsidRDefault="009D1EA7" w:rsidP="009F3D57">
      <w:pPr>
        <w:spacing w:line="240" w:lineRule="auto"/>
      </w:pPr>
      <w:r>
        <w:t>types of disorder be ‘associated with abnormally aggressive or seriously irresponsible conduct’</w:t>
      </w:r>
    </w:p>
    <w:p w:rsidR="009D1EA7" w:rsidRDefault="009D1EA7" w:rsidP="009F3D57">
      <w:pPr>
        <w:spacing w:line="240" w:lineRule="auto"/>
      </w:pPr>
      <w:r>
        <w:t>before compulsion can be used will be abolished. The rationale for this broader definition is that</w:t>
      </w:r>
    </w:p>
    <w:p w:rsidR="009D1EA7" w:rsidRDefault="009D1EA7" w:rsidP="009F3D57">
      <w:pPr>
        <w:spacing w:line="240" w:lineRule="auto"/>
      </w:pPr>
      <w:r>
        <w:t>the more specific definitions in the current Mental Health Act may have the effect of excluding</w:t>
      </w:r>
    </w:p>
    <w:p w:rsidR="009D1EA7" w:rsidRDefault="009D1EA7" w:rsidP="009F3D57">
      <w:pPr>
        <w:spacing w:line="240" w:lineRule="auto"/>
      </w:pPr>
      <w:r>
        <w:t>some individuals who should fall within the compulsory powers of the Act. The only express</w:t>
      </w:r>
    </w:p>
    <w:p w:rsidR="009D1EA7" w:rsidRDefault="009D1EA7" w:rsidP="009F3D57">
      <w:pPr>
        <w:spacing w:line="240" w:lineRule="auto"/>
      </w:pPr>
      <w:r>
        <w:t>exclusions from the definition are disorders of sexual preference and misuse of alcohol or drugs.</w:t>
      </w:r>
    </w:p>
    <w:p w:rsidR="009D1EA7" w:rsidRDefault="009D1EA7" w:rsidP="009F3D57">
      <w:pPr>
        <w:spacing w:line="240" w:lineRule="auto"/>
      </w:pPr>
      <w:r>
        <w:t>The arguments in favour of a single, broader, definition of mental disorder are powerful. The</w:t>
      </w:r>
    </w:p>
    <w:p w:rsidR="009D1EA7" w:rsidRDefault="009D1EA7" w:rsidP="009F3D57">
      <w:pPr>
        <w:spacing w:line="240" w:lineRule="auto"/>
      </w:pPr>
      <w:r>
        <w:t>current definitions, some of which were set in 1959, no longer reflect current clinical diagnoses of</w:t>
      </w:r>
    </w:p>
    <w:p w:rsidR="009D1EA7" w:rsidRDefault="009D1EA7" w:rsidP="009F3D57">
      <w:pPr>
        <w:spacing w:line="240" w:lineRule="auto"/>
      </w:pPr>
      <w:r>
        <w:t>the disorders that they represent. Some, such as psychopathic disorder, are stigmatizing. Moreover,</w:t>
      </w:r>
    </w:p>
    <w:p w:rsidR="009D1EA7" w:rsidRDefault="009D1EA7" w:rsidP="00840710">
      <w:pPr>
        <w:spacing w:line="240" w:lineRule="auto"/>
      </w:pPr>
      <w:r>
        <w:lastRenderedPageBreak/>
        <w:t>to permit the exclusion of some individuals from the definition may be to deny them help and</w:t>
      </w:r>
    </w:p>
    <w:p w:rsidR="009D1EA7" w:rsidRDefault="009D1EA7" w:rsidP="00840710">
      <w:pPr>
        <w:spacing w:line="240" w:lineRule="auto"/>
      </w:pPr>
      <w:r>
        <w:t>treatment of which they are in need.</w:t>
      </w:r>
    </w:p>
    <w:p w:rsidR="009F3D57" w:rsidRDefault="009F3D57" w:rsidP="0093369D">
      <w:pPr>
        <w:spacing w:line="240" w:lineRule="auto"/>
      </w:pPr>
    </w:p>
    <w:p w:rsidR="009D1EA7" w:rsidRDefault="009D1EA7" w:rsidP="0093369D">
      <w:pPr>
        <w:spacing w:line="240" w:lineRule="auto"/>
      </w:pPr>
      <w:r>
        <w:t>On the other hand, the stricter the criteria for admission the greater the protection afforded to the</w:t>
      </w:r>
    </w:p>
    <w:p w:rsidR="009D1EA7" w:rsidRDefault="009D1EA7" w:rsidP="0093369D">
      <w:pPr>
        <w:spacing w:line="240" w:lineRule="auto"/>
      </w:pPr>
      <w:r>
        <w:t>individual against arbitrary detention. The current proposal constitutes an erosion of that</w:t>
      </w:r>
    </w:p>
    <w:p w:rsidR="009D1EA7" w:rsidRDefault="009D1EA7" w:rsidP="0093369D">
      <w:pPr>
        <w:spacing w:line="240" w:lineRule="auto"/>
      </w:pPr>
      <w:r>
        <w:t>protection and requires scrutiny as to its compatibility with the Convention.</w:t>
      </w:r>
    </w:p>
    <w:p w:rsidR="009D1EA7" w:rsidRDefault="009D1EA7" w:rsidP="0093369D">
      <w:pPr>
        <w:spacing w:line="240" w:lineRule="auto"/>
      </w:pPr>
      <w:r>
        <w:t>The relevant admission criteria for the purposes of Article 5(1</w:t>
      </w:r>
      <w:r w:rsidR="00840710">
        <w:t>) (</w:t>
      </w:r>
      <w:r>
        <w:t>e) (detention on the grounds of</w:t>
      </w:r>
    </w:p>
    <w:p w:rsidR="009D1EA7" w:rsidRDefault="009D1EA7" w:rsidP="0093369D">
      <w:pPr>
        <w:spacing w:line="240" w:lineRule="auto"/>
      </w:pPr>
      <w:r>
        <w:t>‘unsound mind’) are as follows:</w:t>
      </w:r>
    </w:p>
    <w:p w:rsidR="009D1EA7" w:rsidRDefault="009D1EA7" w:rsidP="0093369D">
      <w:pPr>
        <w:spacing w:line="240" w:lineRule="auto"/>
        <w:ind w:firstLine="284"/>
      </w:pPr>
      <w:r>
        <w:t>(a) The patient must be reliably shown, upon objective medical expertise, to be suffering from</w:t>
      </w:r>
    </w:p>
    <w:p w:rsidR="009D1EA7" w:rsidRDefault="009D1EA7" w:rsidP="0093369D">
      <w:pPr>
        <w:spacing w:line="240" w:lineRule="auto"/>
        <w:ind w:firstLine="284"/>
      </w:pPr>
      <w:r>
        <w:t>a ‘true mental disorder’</w:t>
      </w:r>
      <w:r w:rsidR="009F3D57">
        <w:rPr>
          <w:rStyle w:val="FootnoteReference"/>
        </w:rPr>
        <w:footnoteReference w:customMarkFollows="1" w:id="8"/>
        <w:t>7</w:t>
      </w:r>
      <w:r>
        <w:t>. A person may not be detained simply because his views or</w:t>
      </w:r>
    </w:p>
    <w:p w:rsidR="009D1EA7" w:rsidRDefault="009D1EA7" w:rsidP="0093369D">
      <w:pPr>
        <w:spacing w:line="240" w:lineRule="auto"/>
        <w:ind w:firstLine="284"/>
      </w:pPr>
      <w:r>
        <w:t>behaviour deviate from the norms pre</w:t>
      </w:r>
      <w:r w:rsidR="009F3D57">
        <w:t>vailing in a particular society</w:t>
      </w:r>
      <w:r w:rsidR="009F3D57">
        <w:rPr>
          <w:rStyle w:val="FootnoteReference"/>
        </w:rPr>
        <w:footnoteReference w:customMarkFollows="1" w:id="9"/>
        <w:t>8</w:t>
      </w:r>
      <w:r>
        <w:t>;</w:t>
      </w:r>
    </w:p>
    <w:p w:rsidR="009D1EA7" w:rsidRDefault="009D1EA7" w:rsidP="0093369D">
      <w:pPr>
        <w:spacing w:line="240" w:lineRule="auto"/>
        <w:ind w:firstLine="284"/>
      </w:pPr>
      <w:r>
        <w:t>(b) The disorder must be of a ‘kind or degree’ warranting compulsory confinement</w:t>
      </w:r>
      <w:r w:rsidR="009F3D57">
        <w:rPr>
          <w:rStyle w:val="FootnoteReference"/>
        </w:rPr>
        <w:footnoteReference w:customMarkFollows="1" w:id="10"/>
        <w:t>9</w:t>
      </w:r>
      <w:r>
        <w:t>;</w:t>
      </w:r>
    </w:p>
    <w:p w:rsidR="009D1EA7" w:rsidRDefault="009D1EA7" w:rsidP="0093369D">
      <w:pPr>
        <w:spacing w:line="240" w:lineRule="auto"/>
      </w:pPr>
      <w:r>
        <w:t>The new diagnostic criteria proposed in the Green Paper would cover, for example, a person</w:t>
      </w:r>
    </w:p>
    <w:p w:rsidR="009D1EA7" w:rsidRDefault="009D1EA7" w:rsidP="0093369D">
      <w:pPr>
        <w:spacing w:line="240" w:lineRule="auto"/>
      </w:pPr>
      <w:r>
        <w:t>suffering from a temporary needle-phobia</w:t>
      </w:r>
      <w:r w:rsidR="009F3D57">
        <w:rPr>
          <w:rStyle w:val="FootnoteReference"/>
        </w:rPr>
        <w:footnoteReference w:customMarkFollows="1" w:id="11"/>
        <w:t>10</w:t>
      </w:r>
      <w:r>
        <w:t>. It must be doubted whether all conditions falling</w:t>
      </w:r>
    </w:p>
    <w:p w:rsidR="009D1EA7" w:rsidRDefault="009D1EA7" w:rsidP="0093369D">
      <w:pPr>
        <w:spacing w:line="240" w:lineRule="auto"/>
      </w:pPr>
      <w:r>
        <w:t>within that broad definition could be termed a ‘true mental disorder’ for the purposes of Article</w:t>
      </w:r>
    </w:p>
    <w:p w:rsidR="009D1EA7" w:rsidRDefault="009D1EA7" w:rsidP="0093369D">
      <w:pPr>
        <w:spacing w:line="240" w:lineRule="auto"/>
      </w:pPr>
      <w:r>
        <w:t>5(1)</w:t>
      </w:r>
      <w:r w:rsidR="00840710">
        <w:rPr>
          <w:rStyle w:val="FootnoteReference"/>
        </w:rPr>
        <w:footnoteReference w:customMarkFollows="1" w:id="12"/>
        <w:t>11</w:t>
      </w:r>
      <w:r>
        <w:t>. The exceptions provided in relation to disorders of sexual preference and the misuse of</w:t>
      </w:r>
    </w:p>
    <w:p w:rsidR="009D1EA7" w:rsidRDefault="009D1EA7" w:rsidP="0093369D">
      <w:pPr>
        <w:spacing w:line="240" w:lineRule="auto"/>
      </w:pPr>
      <w:r>
        <w:t>alcohol or drugs may not be sufficient to exclude from the operation of the Act all those whose</w:t>
      </w:r>
    </w:p>
    <w:p w:rsidR="009D1EA7" w:rsidRDefault="009D1EA7" w:rsidP="0093369D">
      <w:pPr>
        <w:spacing w:line="240" w:lineRule="auto"/>
      </w:pPr>
      <w:r>
        <w:t>‘views or behaviour deviate from the norms prevailing in a particular society’. The example of</w:t>
      </w:r>
    </w:p>
    <w:p w:rsidR="009D1EA7" w:rsidRDefault="009D1EA7" w:rsidP="0093369D">
      <w:pPr>
        <w:spacing w:line="240" w:lineRule="auto"/>
      </w:pPr>
      <w:r>
        <w:t xml:space="preserve">Mrs. S in the case of </w:t>
      </w:r>
      <w:r w:rsidRPr="008F2744">
        <w:rPr>
          <w:i/>
        </w:rPr>
        <w:t>R v Collins ex p S</w:t>
      </w:r>
      <w:r>
        <w:t>, unlawfully detained under section 2 MHA because of her</w:t>
      </w:r>
    </w:p>
    <w:p w:rsidR="009D1EA7" w:rsidRDefault="009D1EA7" w:rsidP="0093369D">
      <w:pPr>
        <w:spacing w:line="240" w:lineRule="auto"/>
      </w:pPr>
      <w:r>
        <w:t>refusal to undergo a Caesarean, is in point;</w:t>
      </w:r>
      <w:r w:rsidR="00840710">
        <w:rPr>
          <w:rStyle w:val="FootnoteReference"/>
        </w:rPr>
        <w:footnoteReference w:customMarkFollows="1" w:id="13"/>
        <w:t>12</w:t>
      </w:r>
      <w:r>
        <w:t xml:space="preserve"> the new definition would arguably be wide enough to</w:t>
      </w:r>
    </w:p>
    <w:p w:rsidR="009D1EA7" w:rsidRDefault="009D1EA7" w:rsidP="0093369D">
      <w:pPr>
        <w:spacing w:line="240" w:lineRule="auto"/>
      </w:pPr>
      <w:r>
        <w:t>permit her detention</w:t>
      </w:r>
      <w:r w:rsidR="00840710">
        <w:rPr>
          <w:rStyle w:val="FootnoteReference"/>
        </w:rPr>
        <w:footnoteReference w:customMarkFollows="1" w:id="14"/>
        <w:t>13</w:t>
      </w:r>
      <w:r>
        <w:t>.</w:t>
      </w:r>
    </w:p>
    <w:p w:rsidR="00840710" w:rsidRDefault="00840710" w:rsidP="00840710">
      <w:pPr>
        <w:spacing w:line="240" w:lineRule="auto"/>
      </w:pPr>
    </w:p>
    <w:p w:rsidR="009D1EA7" w:rsidRDefault="009D1EA7" w:rsidP="00840710">
      <w:pPr>
        <w:spacing w:line="240" w:lineRule="auto"/>
      </w:pPr>
      <w:r>
        <w:t>As to the rejection of the ‘capacity’ test, the Strasbourg cases do not identify capacity, or lack of</w:t>
      </w:r>
    </w:p>
    <w:p w:rsidR="009D1EA7" w:rsidRDefault="009D1EA7" w:rsidP="0093369D">
      <w:pPr>
        <w:spacing w:line="240" w:lineRule="auto"/>
      </w:pPr>
      <w:r>
        <w:lastRenderedPageBreak/>
        <w:t>it, as being relevant in any way in determining the lawfulness of detention under Article 5. It must</w:t>
      </w:r>
    </w:p>
    <w:p w:rsidR="0093369D" w:rsidRDefault="0093369D" w:rsidP="0093369D">
      <w:pPr>
        <w:spacing w:line="240" w:lineRule="auto"/>
      </w:pPr>
      <w:r>
        <w:t>be the case, however, that the detention of a person who has capacity to consent to his admission</w:t>
      </w:r>
    </w:p>
    <w:p w:rsidR="0093369D" w:rsidRDefault="0093369D" w:rsidP="0093369D">
      <w:pPr>
        <w:spacing w:line="240" w:lineRule="auto"/>
      </w:pPr>
      <w:r>
        <w:t>to hospital, and who refuses that consent, is a relevant consideration in determining whether he is</w:t>
      </w:r>
    </w:p>
    <w:p w:rsidR="0093369D" w:rsidRDefault="0093369D" w:rsidP="0093369D">
      <w:pPr>
        <w:spacing w:line="240" w:lineRule="auto"/>
      </w:pPr>
      <w:r>
        <w:t>suffering from a disorder of a ‘kind or degree’ warranting compulsory confinement.</w:t>
      </w:r>
    </w:p>
    <w:p w:rsidR="0093369D" w:rsidRDefault="0093369D" w:rsidP="0093369D">
      <w:pPr>
        <w:spacing w:line="240" w:lineRule="auto"/>
      </w:pPr>
    </w:p>
    <w:p w:rsidR="0093369D" w:rsidRDefault="0093369D" w:rsidP="0093369D">
      <w:pPr>
        <w:spacing w:line="240" w:lineRule="auto"/>
      </w:pPr>
      <w:r>
        <w:t>Turning, then, to the proposals for the criteria for the exercise of compulsory powers. Under the</w:t>
      </w:r>
    </w:p>
    <w:p w:rsidR="0093369D" w:rsidRDefault="0093369D" w:rsidP="0093369D">
      <w:pPr>
        <w:spacing w:line="240" w:lineRule="auto"/>
      </w:pPr>
      <w:r>
        <w:t>current Mental Health Act the criteria for admission for treatment are threefold: the patient must</w:t>
      </w:r>
    </w:p>
    <w:p w:rsidR="0093369D" w:rsidRDefault="0093369D" w:rsidP="0093369D">
      <w:pPr>
        <w:spacing w:line="240" w:lineRule="auto"/>
      </w:pPr>
      <w:r>
        <w:t>be suffering from one of the four categories of mental disorder of a nature or degree which makes</w:t>
      </w:r>
    </w:p>
    <w:p w:rsidR="0093369D" w:rsidRDefault="0093369D" w:rsidP="0093369D">
      <w:pPr>
        <w:spacing w:line="240" w:lineRule="auto"/>
      </w:pPr>
      <w:proofErr w:type="gramStart"/>
      <w:r>
        <w:t>it</w:t>
      </w:r>
      <w:proofErr w:type="gramEnd"/>
      <w:r>
        <w:t xml:space="preserve"> appropriate for him to be detained in hospital</w:t>
      </w:r>
      <w:r>
        <w:rPr>
          <w:rStyle w:val="FootnoteReference"/>
        </w:rPr>
        <w:footnoteReference w:customMarkFollows="1" w:id="15"/>
        <w:t>14</w:t>
      </w:r>
      <w:r>
        <w:t xml:space="preserve"> (the ‘appropriateness test’); in the case of mental</w:t>
      </w:r>
    </w:p>
    <w:p w:rsidR="0093369D" w:rsidRDefault="0093369D" w:rsidP="0093369D">
      <w:pPr>
        <w:spacing w:line="240" w:lineRule="auto"/>
      </w:pPr>
      <w:r>
        <w:t>impairment or psychopathic disorder, any treatment must be likely to alleviate or prevent a</w:t>
      </w:r>
    </w:p>
    <w:p w:rsidR="0093369D" w:rsidRDefault="0093369D" w:rsidP="0093369D">
      <w:pPr>
        <w:spacing w:line="240" w:lineRule="auto"/>
      </w:pPr>
      <w:r>
        <w:t>deterioration of his condition (the ‘treatability test’); and it is necessary for the health or safety of</w:t>
      </w:r>
    </w:p>
    <w:p w:rsidR="0093369D" w:rsidRDefault="0093369D" w:rsidP="0093369D">
      <w:pPr>
        <w:spacing w:line="240" w:lineRule="auto"/>
      </w:pPr>
      <w:r>
        <w:t>the patient or for the protection of other persons that he should receive such treatment, and it</w:t>
      </w:r>
    </w:p>
    <w:p w:rsidR="0093369D" w:rsidRDefault="0093369D" w:rsidP="0093369D">
      <w:pPr>
        <w:spacing w:line="240" w:lineRule="auto"/>
      </w:pPr>
      <w:r>
        <w:t>cannot be provided unless he is detained under this section (the ‘safety test’).</w:t>
      </w:r>
    </w:p>
    <w:p w:rsidR="0093369D" w:rsidRDefault="0093369D" w:rsidP="0093369D">
      <w:pPr>
        <w:spacing w:line="240" w:lineRule="auto"/>
      </w:pPr>
    </w:p>
    <w:p w:rsidR="0093369D" w:rsidRDefault="0093369D" w:rsidP="0093369D">
      <w:pPr>
        <w:spacing w:line="240" w:lineRule="auto"/>
      </w:pPr>
      <w:r>
        <w:t>The Government proposes a new test, namely (Chapter 5, §7):</w:t>
      </w:r>
    </w:p>
    <w:p w:rsidR="0093369D" w:rsidRDefault="0093369D" w:rsidP="0093369D">
      <w:pPr>
        <w:spacing w:line="240" w:lineRule="auto"/>
      </w:pPr>
      <w:r>
        <w:t>(a) that the disorder be of ‘such seriousness that the patient requires care and treatment under the</w:t>
      </w:r>
    </w:p>
    <w:p w:rsidR="0093369D" w:rsidRDefault="0093369D" w:rsidP="0093369D">
      <w:pPr>
        <w:spacing w:line="240" w:lineRule="auto"/>
      </w:pPr>
      <w:r>
        <w:t>supervision of specialist mental health services’; and</w:t>
      </w:r>
    </w:p>
    <w:p w:rsidR="0093369D" w:rsidRDefault="0093369D" w:rsidP="0093369D">
      <w:pPr>
        <w:spacing w:line="240" w:lineRule="auto"/>
      </w:pPr>
      <w:r>
        <w:t>(b) that the care and treatment proposed for the mental disorder, and for conditions resulting from</w:t>
      </w:r>
    </w:p>
    <w:p w:rsidR="0093369D" w:rsidRDefault="0093369D" w:rsidP="0093369D">
      <w:pPr>
        <w:spacing w:line="240" w:lineRule="auto"/>
      </w:pPr>
      <w:r>
        <w:t>it, is the least restrictive alternative available consistent with safe and effective care; and</w:t>
      </w:r>
    </w:p>
    <w:p w:rsidR="0093369D" w:rsidRDefault="0093369D" w:rsidP="0093369D">
      <w:pPr>
        <w:spacing w:line="240" w:lineRule="auto"/>
      </w:pPr>
      <w:r>
        <w:t>(c) that proposed care and treatment cannot be implemented without the use of compulsory</w:t>
      </w:r>
    </w:p>
    <w:p w:rsidR="0093369D" w:rsidRDefault="0093369D" w:rsidP="0093369D">
      <w:pPr>
        <w:spacing w:line="240" w:lineRule="auto"/>
      </w:pPr>
      <w:r>
        <w:t>powers; and</w:t>
      </w:r>
    </w:p>
    <w:p w:rsidR="0093369D" w:rsidRDefault="0093369D" w:rsidP="0093369D">
      <w:pPr>
        <w:spacing w:line="240" w:lineRule="auto"/>
      </w:pPr>
      <w:r>
        <w:t>(d) such treatment is necessary for the health or safety of the patient and/ or for the protection of</w:t>
      </w:r>
    </w:p>
    <w:p w:rsidR="0093369D" w:rsidRDefault="0093369D" w:rsidP="0093369D">
      <w:pPr>
        <w:spacing w:line="240" w:lineRule="auto"/>
      </w:pPr>
      <w:r>
        <w:t>others from serious harm and/or for the protection of the patient from serious exploitation.</w:t>
      </w:r>
    </w:p>
    <w:p w:rsidR="00663B3E" w:rsidRDefault="00663B3E" w:rsidP="0093369D">
      <w:pPr>
        <w:spacing w:line="240" w:lineRule="auto"/>
      </w:pPr>
    </w:p>
    <w:p w:rsidR="0093369D" w:rsidRDefault="0093369D" w:rsidP="0093369D">
      <w:pPr>
        <w:spacing w:line="240" w:lineRule="auto"/>
      </w:pPr>
      <w:r>
        <w:t>These proposals differ little from the existing ‘appropriateness’ and ‘safety test’ and incorporate,</w:t>
      </w:r>
    </w:p>
    <w:p w:rsidR="0093369D" w:rsidRDefault="0093369D" w:rsidP="0093369D">
      <w:pPr>
        <w:spacing w:line="240" w:lineRule="auto"/>
      </w:pPr>
      <w:r>
        <w:t>in all but name, the European concept of ‘proportionality’: the degree of compulsion must be</w:t>
      </w:r>
    </w:p>
    <w:p w:rsidR="0093369D" w:rsidRDefault="0093369D" w:rsidP="0093369D">
      <w:pPr>
        <w:spacing w:line="240" w:lineRule="auto"/>
      </w:pPr>
      <w:r>
        <w:t>‘proportionate’ both to the nature and degree of the disorder and to the level of risk the patient</w:t>
      </w:r>
    </w:p>
    <w:p w:rsidR="0093369D" w:rsidRDefault="0093369D" w:rsidP="0093369D">
      <w:pPr>
        <w:spacing w:line="240" w:lineRule="auto"/>
      </w:pPr>
      <w:r>
        <w:t>presents. To that extent, the proposals are capable of complying with the requirements of Article</w:t>
      </w:r>
    </w:p>
    <w:p w:rsidR="0093369D" w:rsidRDefault="0093369D" w:rsidP="0093369D">
      <w:pPr>
        <w:spacing w:line="240" w:lineRule="auto"/>
      </w:pPr>
      <w:r>
        <w:t>5 as currently interpreted.</w:t>
      </w:r>
    </w:p>
    <w:p w:rsidR="0093369D" w:rsidRDefault="0093369D" w:rsidP="0093369D">
      <w:pPr>
        <w:spacing w:line="240" w:lineRule="auto"/>
      </w:pPr>
      <w:r>
        <w:lastRenderedPageBreak/>
        <w:t>Two aspects of the proposals call for greater scrutiny, however.</w:t>
      </w:r>
    </w:p>
    <w:p w:rsidR="00F04B69" w:rsidRDefault="00F04B69" w:rsidP="0093369D">
      <w:pPr>
        <w:spacing w:line="240" w:lineRule="auto"/>
      </w:pPr>
    </w:p>
    <w:p w:rsidR="0093369D" w:rsidRDefault="0093369D" w:rsidP="0093369D">
      <w:pPr>
        <w:spacing w:line="240" w:lineRule="auto"/>
      </w:pPr>
      <w:r>
        <w:t>First, does the removal of the ‘treatability’ test mean that a patient suffering from (what is now</w:t>
      </w:r>
    </w:p>
    <w:p w:rsidR="0093369D" w:rsidRDefault="0093369D" w:rsidP="0093369D">
      <w:pPr>
        <w:spacing w:line="240" w:lineRule="auto"/>
      </w:pPr>
      <w:r>
        <w:t>known as) ‘psychopathic disorder’ or ‘mental impairment’ may be detained notwithstanding there</w:t>
      </w:r>
    </w:p>
    <w:p w:rsidR="0093369D" w:rsidRDefault="0093369D" w:rsidP="0093369D">
      <w:pPr>
        <w:spacing w:line="240" w:lineRule="auto"/>
      </w:pPr>
      <w:proofErr w:type="gramStart"/>
      <w:r>
        <w:t>is</w:t>
      </w:r>
      <w:proofErr w:type="gramEnd"/>
      <w:r>
        <w:t xml:space="preserve"> no treatment that will ‘alleviate or prevent a deterioration’ of their condition? This issue is</w:t>
      </w:r>
    </w:p>
    <w:p w:rsidR="0093369D" w:rsidRDefault="0093369D" w:rsidP="0093369D">
      <w:pPr>
        <w:spacing w:line="240" w:lineRule="auto"/>
      </w:pPr>
      <w:r>
        <w:t>addressed further, below, in relation to the Government’s proposals for the detention of persons</w:t>
      </w:r>
    </w:p>
    <w:p w:rsidR="0093369D" w:rsidRDefault="0093369D" w:rsidP="0093369D">
      <w:pPr>
        <w:spacing w:line="240" w:lineRule="auto"/>
      </w:pPr>
      <w:r>
        <w:t>with ‘dangerous severe personality disorders’ (DSPDs).</w:t>
      </w:r>
    </w:p>
    <w:p w:rsidR="0093369D" w:rsidRDefault="0093369D" w:rsidP="0093369D">
      <w:pPr>
        <w:spacing w:line="240" w:lineRule="auto"/>
      </w:pPr>
    </w:p>
    <w:p w:rsidR="0093369D" w:rsidRDefault="0093369D" w:rsidP="0093369D">
      <w:pPr>
        <w:spacing w:line="240" w:lineRule="auto"/>
      </w:pPr>
      <w:r>
        <w:t>Second, little is said about the Secretary of State’s recall power in relation to conditionally</w:t>
      </w:r>
    </w:p>
    <w:p w:rsidR="0093369D" w:rsidRDefault="0093369D" w:rsidP="0093369D">
      <w:pPr>
        <w:spacing w:line="240" w:lineRule="auto"/>
      </w:pPr>
      <w:r>
        <w:t>discharged restricted patients (currently s. 42(3) Mental Health Act 1983) (Chapter 8, §27 &amp; 34).</w:t>
      </w:r>
    </w:p>
    <w:p w:rsidR="0093369D" w:rsidRDefault="0093369D" w:rsidP="0093369D">
      <w:pPr>
        <w:spacing w:line="240" w:lineRule="auto"/>
      </w:pPr>
      <w:r>
        <w:t>This power, as currently interpreted, permits recall in the absence of medical evidence of a</w:t>
      </w:r>
    </w:p>
    <w:p w:rsidR="0093369D" w:rsidRDefault="0093369D" w:rsidP="0093369D">
      <w:pPr>
        <w:spacing w:line="240" w:lineRule="auto"/>
      </w:pPr>
      <w:r>
        <w:t>qualifying mental disorder</w:t>
      </w:r>
      <w:r w:rsidR="002B2601">
        <w:rPr>
          <w:rStyle w:val="FootnoteReference"/>
        </w:rPr>
        <w:footnoteReference w:customMarkFollows="1" w:id="16"/>
        <w:t>15</w:t>
      </w:r>
      <w:r>
        <w:t>, which has been held to violate the requirement of Article 5(1) that</w:t>
      </w:r>
    </w:p>
    <w:p w:rsidR="0093369D" w:rsidRDefault="0093369D" w:rsidP="0093369D">
      <w:pPr>
        <w:spacing w:line="240" w:lineRule="auto"/>
      </w:pPr>
      <w:r>
        <w:t>the patient ‘be reliably shown, upon objective medical expertise, to be suffering from a true mental</w:t>
      </w:r>
    </w:p>
    <w:p w:rsidR="0093369D" w:rsidRDefault="0093369D" w:rsidP="0093369D">
      <w:pPr>
        <w:spacing w:line="240" w:lineRule="auto"/>
      </w:pPr>
      <w:r>
        <w:t>disorder’</w:t>
      </w:r>
      <w:r w:rsidR="002B2601">
        <w:rPr>
          <w:rStyle w:val="FootnoteReference"/>
        </w:rPr>
        <w:footnoteReference w:customMarkFollows="1" w:id="17"/>
        <w:t>16</w:t>
      </w:r>
      <w:r>
        <w:t>. The same issue arises in relation to the detention of patients who may be returned to</w:t>
      </w:r>
    </w:p>
    <w:p w:rsidR="0093369D" w:rsidRDefault="0093369D" w:rsidP="0093369D">
      <w:pPr>
        <w:spacing w:line="240" w:lineRule="auto"/>
      </w:pPr>
      <w:r>
        <w:t>hospital for failure to comply with Compulsory Community Orders (see below).</w:t>
      </w:r>
    </w:p>
    <w:p w:rsidR="00F04B69" w:rsidRPr="00F04B69" w:rsidRDefault="00F04B69" w:rsidP="0093369D">
      <w:pPr>
        <w:spacing w:line="240" w:lineRule="auto"/>
        <w:rPr>
          <w:b/>
        </w:rPr>
      </w:pPr>
    </w:p>
    <w:p w:rsidR="00F04B69" w:rsidRPr="00F04B69" w:rsidRDefault="00F04B69" w:rsidP="00F04B69">
      <w:pPr>
        <w:spacing w:line="240" w:lineRule="auto"/>
        <w:rPr>
          <w:b/>
        </w:rPr>
      </w:pPr>
      <w:r w:rsidRPr="00F04B69">
        <w:rPr>
          <w:b/>
        </w:rPr>
        <w:t>(2) The new procedure for Compulsory Detention</w:t>
      </w:r>
    </w:p>
    <w:p w:rsidR="00F04B69" w:rsidRDefault="00F04B69" w:rsidP="00F04B69">
      <w:pPr>
        <w:spacing w:line="240" w:lineRule="auto"/>
      </w:pPr>
      <w:r>
        <w:t>The government proposes that Compulsory Orders, whether requiring treatment in hospital or in</w:t>
      </w:r>
    </w:p>
    <w:p w:rsidR="00F04B69" w:rsidRDefault="00F04B69" w:rsidP="00F04B69">
      <w:pPr>
        <w:spacing w:line="240" w:lineRule="auto"/>
      </w:pPr>
      <w:r>
        <w:t>the community, beyond an initial defined maximum assessment period, can only be made by an</w:t>
      </w:r>
    </w:p>
    <w:p w:rsidR="00F04B69" w:rsidRDefault="00F04B69" w:rsidP="00F04B69">
      <w:pPr>
        <w:spacing w:line="240" w:lineRule="auto"/>
      </w:pPr>
      <w:r>
        <w:t>independent judicial body (Chapter 4, §24) (the Tribunal). The burden of proof (if the Expert</w:t>
      </w:r>
    </w:p>
    <w:p w:rsidR="00F04B69" w:rsidRDefault="00F04B69" w:rsidP="00F04B69">
      <w:pPr>
        <w:spacing w:line="240" w:lineRule="auto"/>
      </w:pPr>
      <w:r>
        <w:t>Committee’s proposal is adopted) will be on the care team ‘to demonstrate that a further period of</w:t>
      </w:r>
    </w:p>
    <w:p w:rsidR="00F04B69" w:rsidRDefault="00F04B69" w:rsidP="00F04B69">
      <w:pPr>
        <w:spacing w:line="240" w:lineRule="auto"/>
      </w:pPr>
      <w:r>
        <w:t>compulsory care was justified’ (§14). Patients will be able to challenge the application, and such</w:t>
      </w:r>
    </w:p>
    <w:p w:rsidR="00F04B69" w:rsidRDefault="00F04B69" w:rsidP="00F04B69">
      <w:pPr>
        <w:spacing w:line="240" w:lineRule="auto"/>
      </w:pPr>
      <w:r>
        <w:t>challenges will result in an oral hearing.</w:t>
      </w:r>
    </w:p>
    <w:p w:rsidR="007F6B74" w:rsidRDefault="007F6B74" w:rsidP="00F04B69">
      <w:pPr>
        <w:spacing w:line="240" w:lineRule="auto"/>
      </w:pPr>
    </w:p>
    <w:p w:rsidR="00F04B69" w:rsidRDefault="00F04B69" w:rsidP="00F04B69">
      <w:pPr>
        <w:spacing w:line="240" w:lineRule="auto"/>
      </w:pPr>
      <w:r>
        <w:t>The removal of the ‘reverse burden of proof’ in section 72 MHA 1983, long considered a potential</w:t>
      </w:r>
    </w:p>
    <w:p w:rsidR="00F04B69" w:rsidRDefault="00F04B69" w:rsidP="00F04B69">
      <w:pPr>
        <w:spacing w:line="240" w:lineRule="auto"/>
      </w:pPr>
      <w:proofErr w:type="gramStart"/>
      <w:r>
        <w:t>vio</w:t>
      </w:r>
      <w:r w:rsidR="007F6B74">
        <w:t>lation</w:t>
      </w:r>
      <w:proofErr w:type="gramEnd"/>
      <w:r w:rsidR="007F6B74">
        <w:t xml:space="preserve"> of Article 5(1) and 5(4)</w:t>
      </w:r>
      <w:r w:rsidR="007F6B74">
        <w:rPr>
          <w:rStyle w:val="FootnoteReference"/>
        </w:rPr>
        <w:footnoteReference w:customMarkFollows="1" w:id="18"/>
        <w:t>17</w:t>
      </w:r>
      <w:r>
        <w:t>, would be welcomed.</w:t>
      </w:r>
    </w:p>
    <w:p w:rsidR="007F6B74" w:rsidRDefault="007F6B74" w:rsidP="00F04B69">
      <w:pPr>
        <w:spacing w:line="240" w:lineRule="auto"/>
      </w:pPr>
    </w:p>
    <w:p w:rsidR="00F04B69" w:rsidRDefault="00F04B69" w:rsidP="00F04B69">
      <w:pPr>
        <w:spacing w:line="240" w:lineRule="auto"/>
      </w:pPr>
      <w:r>
        <w:t>The requirement that the initial detention-for-treatment decision be made by a ‘court’, rather than</w:t>
      </w:r>
    </w:p>
    <w:p w:rsidR="00F04B69" w:rsidRDefault="00F04B69" w:rsidP="00F04B69">
      <w:pPr>
        <w:spacing w:line="240" w:lineRule="auto"/>
      </w:pPr>
      <w:r>
        <w:lastRenderedPageBreak/>
        <w:t>the detaining authority itself (of course, in the case of those detained under criminal powers that</w:t>
      </w:r>
    </w:p>
    <w:p w:rsidR="00F04B69" w:rsidRDefault="00F04B69" w:rsidP="00F04B69">
      <w:pPr>
        <w:spacing w:line="240" w:lineRule="auto"/>
      </w:pPr>
      <w:r>
        <w:t>has always been the case), is aimed at ensuring compliance with the requirement in Article 5(4) of</w:t>
      </w:r>
    </w:p>
    <w:p w:rsidR="00F04B69" w:rsidRDefault="00F04B69" w:rsidP="00F04B69">
      <w:pPr>
        <w:spacing w:line="240" w:lineRule="auto"/>
      </w:pPr>
      <w:proofErr w:type="gramStart"/>
      <w:r>
        <w:t>a</w:t>
      </w:r>
      <w:proofErr w:type="gramEnd"/>
      <w:r>
        <w:t xml:space="preserve"> ‘speedy’ review by a court of the lawfulness of the detention; whether it does so is considered</w:t>
      </w:r>
    </w:p>
    <w:p w:rsidR="00F04B69" w:rsidRDefault="00F04B69" w:rsidP="00F04B69">
      <w:pPr>
        <w:spacing w:line="240" w:lineRule="auto"/>
      </w:pPr>
      <w:r>
        <w:t>below under “Discharge procedures”.</w:t>
      </w:r>
    </w:p>
    <w:p w:rsidR="007F6B74" w:rsidRDefault="007F6B74" w:rsidP="00F04B69">
      <w:pPr>
        <w:spacing w:line="240" w:lineRule="auto"/>
      </w:pPr>
    </w:p>
    <w:p w:rsidR="00F04B69" w:rsidRDefault="00F04B69" w:rsidP="00F04B69">
      <w:pPr>
        <w:spacing w:line="240" w:lineRule="auto"/>
      </w:pPr>
      <w:r>
        <w:t>Two aspects of the proposals raise serious Convention issues.</w:t>
      </w:r>
    </w:p>
    <w:p w:rsidR="007F6B74" w:rsidRDefault="007F6B74" w:rsidP="00F04B69">
      <w:pPr>
        <w:spacing w:line="240" w:lineRule="auto"/>
      </w:pPr>
    </w:p>
    <w:p w:rsidR="00F04B69" w:rsidRDefault="00F04B69" w:rsidP="00F04B69">
      <w:pPr>
        <w:spacing w:line="240" w:lineRule="auto"/>
      </w:pPr>
      <w:r>
        <w:t>First, where a patient does not contest a Compulsory Order, it is suggested that ‘the tribunal</w:t>
      </w:r>
    </w:p>
    <w:p w:rsidR="00F04B69" w:rsidRDefault="00F04B69" w:rsidP="00F04B69">
      <w:pPr>
        <w:spacing w:line="240" w:lineRule="auto"/>
      </w:pPr>
      <w:r>
        <w:t>decision should be straightforward, a one-person panel should be sufficient and there should</w:t>
      </w:r>
    </w:p>
    <w:p w:rsidR="00F04B69" w:rsidRDefault="00F04B69" w:rsidP="00F04B69">
      <w:pPr>
        <w:spacing w:line="240" w:lineRule="auto"/>
      </w:pPr>
      <w:r>
        <w:t>usually be no need for an oral hearing’ (Chapter 4, §39). Neither is it considered essential for an</w:t>
      </w:r>
    </w:p>
    <w:p w:rsidR="00F04B69" w:rsidRDefault="00F04B69" w:rsidP="00F04B69">
      <w:pPr>
        <w:spacing w:line="240" w:lineRule="auto"/>
      </w:pPr>
      <w:r>
        <w:t xml:space="preserve">independent second opinion to be sought (although the Tribunal would have </w:t>
      </w:r>
      <w:r w:rsidR="007F6B74">
        <w:t>discretion</w:t>
      </w:r>
      <w:r>
        <w:t xml:space="preserve"> to obtain</w:t>
      </w:r>
    </w:p>
    <w:p w:rsidR="00F04B69" w:rsidRDefault="00F04B69" w:rsidP="00F04B69">
      <w:pPr>
        <w:spacing w:line="240" w:lineRule="auto"/>
      </w:pPr>
      <w:r>
        <w:t>one). There is a real danger that the Tribunal would become a ‘rubber-stamp’, particularly in the</w:t>
      </w:r>
    </w:p>
    <w:p w:rsidR="00F04B69" w:rsidRDefault="00F04B69" w:rsidP="00F04B69">
      <w:pPr>
        <w:spacing w:line="240" w:lineRule="auto"/>
      </w:pPr>
      <w:r>
        <w:t>absence of an independent second opinion or a medical member on the sitting in the Tribunal. In</w:t>
      </w:r>
    </w:p>
    <w:p w:rsidR="00F04B69" w:rsidRDefault="00F04B69" w:rsidP="00F04B69">
      <w:pPr>
        <w:spacing w:line="240" w:lineRule="auto"/>
      </w:pPr>
      <w:r>
        <w:t>those circumstances it would be difficult to say that the patient had been ‘reliably shown, upon</w:t>
      </w:r>
    </w:p>
    <w:p w:rsidR="00F04B69" w:rsidRDefault="00F04B69" w:rsidP="00F04B69">
      <w:pPr>
        <w:spacing w:line="240" w:lineRule="auto"/>
      </w:pPr>
      <w:r>
        <w:t>objective medical expertise’ to be suffering from a qualifying disorder, in accordance with Article</w:t>
      </w:r>
    </w:p>
    <w:p w:rsidR="00F04B69" w:rsidRDefault="00F04B69" w:rsidP="00F04B69">
      <w:pPr>
        <w:spacing w:line="240" w:lineRule="auto"/>
      </w:pPr>
      <w:r>
        <w:t>5(1). This also engages important issues under Article 5(4), considered below under ‘Discharge</w:t>
      </w:r>
    </w:p>
    <w:p w:rsidR="00F04B69" w:rsidRDefault="00F04B69" w:rsidP="00F04B69">
      <w:pPr>
        <w:spacing w:line="240" w:lineRule="auto"/>
      </w:pPr>
      <w:r>
        <w:t>procedures’.</w:t>
      </w:r>
    </w:p>
    <w:p w:rsidR="007F6B74" w:rsidRDefault="007F6B74" w:rsidP="00F04B69">
      <w:pPr>
        <w:spacing w:line="240" w:lineRule="auto"/>
      </w:pPr>
    </w:p>
    <w:p w:rsidR="00F04B69" w:rsidRDefault="00F04B69" w:rsidP="00F04B69">
      <w:pPr>
        <w:spacing w:line="240" w:lineRule="auto"/>
      </w:pPr>
      <w:r>
        <w:t>Second, it is suggested that, at the time of detaining a patient, a Tribunal may order that he cannot</w:t>
      </w:r>
    </w:p>
    <w:p w:rsidR="00F04B69" w:rsidRDefault="00F04B69" w:rsidP="00F04B69">
      <w:pPr>
        <w:spacing w:line="240" w:lineRule="auto"/>
      </w:pPr>
      <w:proofErr w:type="gramStart"/>
      <w:r>
        <w:t>be</w:t>
      </w:r>
      <w:proofErr w:type="gramEnd"/>
      <w:r>
        <w:t xml:space="preserve"> discharged without the Tribunal’s approval (see Chapter 7, §5 &amp; Consultation Point I). This</w:t>
      </w:r>
    </w:p>
    <w:p w:rsidR="00F04B69" w:rsidRDefault="00F04B69" w:rsidP="00F04B69">
      <w:pPr>
        <w:spacing w:line="240" w:lineRule="auto"/>
      </w:pPr>
      <w:r>
        <w:t>conflicts with the principle that ‘the validity of any continued detention depend[s] upon the</w:t>
      </w:r>
    </w:p>
    <w:p w:rsidR="00F04B69" w:rsidRDefault="00F04B69" w:rsidP="00F04B69">
      <w:pPr>
        <w:spacing w:line="240" w:lineRule="auto"/>
      </w:pPr>
      <w:r>
        <w:t>persistence of a [qualifying] mental disorder’. Once the RMO has concluded that the patient no</w:t>
      </w:r>
    </w:p>
    <w:p w:rsidR="00F04B69" w:rsidRDefault="00F04B69" w:rsidP="00F04B69">
      <w:pPr>
        <w:spacing w:line="240" w:lineRule="auto"/>
      </w:pPr>
      <w:r>
        <w:t>longer suffers from a mental disorder justifying detention, the patient should, in the absence of</w:t>
      </w:r>
    </w:p>
    <w:p w:rsidR="00F04B69" w:rsidRDefault="00F04B69" w:rsidP="00F04B69">
      <w:pPr>
        <w:spacing w:line="240" w:lineRule="auto"/>
      </w:pPr>
      <w:r>
        <w:t>conflicting medical evidence, be discharged. Any detention between that time and a reconvened</w:t>
      </w:r>
    </w:p>
    <w:p w:rsidR="00F04B69" w:rsidRDefault="00F04B69" w:rsidP="00F04B69">
      <w:pPr>
        <w:spacing w:line="240" w:lineRule="auto"/>
      </w:pPr>
      <w:r>
        <w:t>Tribunal hearing (which might take weeks) would, arguably, be unlawful. Moreover, where the</w:t>
      </w:r>
    </w:p>
    <w:p w:rsidR="00F04B69" w:rsidRDefault="00F04B69" w:rsidP="00F04B69">
      <w:pPr>
        <w:spacing w:line="240" w:lineRule="auto"/>
      </w:pPr>
      <w:r>
        <w:t>detaining authority seeks to discharge the patient, for the Tribunal to refuse a discharge puts it in</w:t>
      </w:r>
    </w:p>
    <w:p w:rsidR="00F04B69" w:rsidRDefault="00F04B69" w:rsidP="00F04B69">
      <w:pPr>
        <w:spacing w:line="240" w:lineRule="auto"/>
      </w:pPr>
      <w:r>
        <w:t>the position of gaoler, not guardian, and would arguably be in breach of Article 5(4). This proposal</w:t>
      </w:r>
    </w:p>
    <w:p w:rsidR="00F04B69" w:rsidRDefault="00F04B69" w:rsidP="00F04B69">
      <w:pPr>
        <w:spacing w:line="240" w:lineRule="auto"/>
      </w:pPr>
      <w:r>
        <w:t>should be reconsidered.</w:t>
      </w:r>
    </w:p>
    <w:p w:rsidR="007F6B74" w:rsidRDefault="007F6B74" w:rsidP="00F04B69">
      <w:pPr>
        <w:spacing w:line="240" w:lineRule="auto"/>
      </w:pPr>
    </w:p>
    <w:p w:rsidR="007F6B74" w:rsidRDefault="007F6B74" w:rsidP="00F04B69">
      <w:pPr>
        <w:spacing w:line="240" w:lineRule="auto"/>
      </w:pPr>
    </w:p>
    <w:p w:rsidR="00F04B69" w:rsidRPr="007F6B74" w:rsidRDefault="00F04B69" w:rsidP="001A09A0">
      <w:pPr>
        <w:spacing w:line="240" w:lineRule="auto"/>
        <w:rPr>
          <w:b/>
        </w:rPr>
      </w:pPr>
      <w:r w:rsidRPr="007F6B74">
        <w:rPr>
          <w:b/>
        </w:rPr>
        <w:lastRenderedPageBreak/>
        <w:t>(3) Discharge procedures</w:t>
      </w:r>
    </w:p>
    <w:p w:rsidR="00F04B69" w:rsidRDefault="00F04B69" w:rsidP="001A09A0">
      <w:pPr>
        <w:spacing w:line="240" w:lineRule="auto"/>
      </w:pPr>
      <w:r>
        <w:t>The Government proposals contain few details concerning the procedures for the new Tribunal.</w:t>
      </w:r>
    </w:p>
    <w:p w:rsidR="00F04B69" w:rsidRDefault="00F04B69" w:rsidP="001A09A0">
      <w:pPr>
        <w:spacing w:line="240" w:lineRule="auto"/>
      </w:pPr>
      <w:r>
        <w:t>I propose setting out, first, the requirements of Article 5(4) and then considering their possible</w:t>
      </w:r>
    </w:p>
    <w:p w:rsidR="00F04B69" w:rsidRDefault="00F04B69" w:rsidP="001A09A0">
      <w:pPr>
        <w:spacing w:line="240" w:lineRule="auto"/>
      </w:pPr>
      <w:r>
        <w:t>consequences for the proposals in the Green Paper.</w:t>
      </w:r>
    </w:p>
    <w:p w:rsidR="00ED267D" w:rsidRDefault="00ED267D" w:rsidP="001A09A0">
      <w:pPr>
        <w:spacing w:line="240" w:lineRule="auto"/>
      </w:pPr>
    </w:p>
    <w:p w:rsidR="00ED267D" w:rsidRDefault="00ED267D" w:rsidP="001A09A0">
      <w:pPr>
        <w:spacing w:line="240" w:lineRule="auto"/>
      </w:pPr>
      <w:r>
        <w:t>Article 5(4) provides:</w:t>
      </w:r>
    </w:p>
    <w:p w:rsidR="00ED267D" w:rsidRDefault="00ED267D" w:rsidP="001A09A0">
      <w:pPr>
        <w:spacing w:line="240" w:lineRule="auto"/>
      </w:pPr>
      <w:r>
        <w:t>(4) Everyone who is deprived of his liberty by arrest or detention shall be entitled to take</w:t>
      </w:r>
    </w:p>
    <w:p w:rsidR="00ED267D" w:rsidRDefault="00ED267D" w:rsidP="001A09A0">
      <w:pPr>
        <w:spacing w:line="240" w:lineRule="auto"/>
      </w:pPr>
      <w:r>
        <w:t>proceedings by which the lawfulness of his detention shall be decided speedily by a court and his</w:t>
      </w:r>
    </w:p>
    <w:p w:rsidR="00ED267D" w:rsidRDefault="00ED267D" w:rsidP="001A09A0">
      <w:pPr>
        <w:spacing w:line="240" w:lineRule="auto"/>
      </w:pPr>
      <w:r>
        <w:t>release ordered if the detention is not lawful.</w:t>
      </w:r>
    </w:p>
    <w:p w:rsidR="00ED267D" w:rsidRDefault="00ED267D" w:rsidP="001A09A0">
      <w:pPr>
        <w:spacing w:line="240" w:lineRule="auto"/>
      </w:pPr>
      <w:r>
        <w:t>Relevant requirements of Article 5(4) are as follows:</w:t>
      </w:r>
    </w:p>
    <w:p w:rsidR="00ED267D" w:rsidRDefault="00ED267D" w:rsidP="001A09A0">
      <w:pPr>
        <w:spacing w:line="240" w:lineRule="auto"/>
      </w:pPr>
      <w:r>
        <w:t>(a) The review must be by a ‘court’ that is ‘independent both of the executive and the parties to</w:t>
      </w:r>
    </w:p>
    <w:p w:rsidR="00ED267D" w:rsidRDefault="00ED267D" w:rsidP="001A09A0">
      <w:pPr>
        <w:spacing w:line="240" w:lineRule="auto"/>
      </w:pPr>
      <w:r>
        <w:t>the case’</w:t>
      </w:r>
      <w:r>
        <w:rPr>
          <w:rStyle w:val="FootnoteReference"/>
        </w:rPr>
        <w:footnoteReference w:customMarkFollows="1" w:id="19"/>
        <w:t>18</w:t>
      </w:r>
      <w:r>
        <w:t>.</w:t>
      </w:r>
    </w:p>
    <w:p w:rsidR="00ED267D" w:rsidRDefault="00ED267D" w:rsidP="001A09A0">
      <w:pPr>
        <w:spacing w:line="240" w:lineRule="auto"/>
      </w:pPr>
      <w:r>
        <w:t>(b) The ‘court’ must be of a ‘judicial character’ in the sense of being competent to take a legally</w:t>
      </w:r>
    </w:p>
    <w:p w:rsidR="00ED267D" w:rsidRDefault="00ED267D" w:rsidP="001A09A0">
      <w:pPr>
        <w:spacing w:line="240" w:lineRule="auto"/>
      </w:pPr>
      <w:r>
        <w:t>binding decision leading to the patient’s release. It was the absence of the Tribunal’s power to</w:t>
      </w:r>
    </w:p>
    <w:p w:rsidR="00ED267D" w:rsidRDefault="00ED267D" w:rsidP="001A09A0">
      <w:pPr>
        <w:spacing w:line="240" w:lineRule="auto"/>
      </w:pPr>
      <w:r>
        <w:t>order the patient’s discharge without the consent of the Secretary of State that constituted a</w:t>
      </w:r>
    </w:p>
    <w:p w:rsidR="00ED267D" w:rsidRDefault="00ED267D" w:rsidP="001A09A0">
      <w:pPr>
        <w:spacing w:line="240" w:lineRule="auto"/>
      </w:pPr>
      <w:r>
        <w:t>violation of Article 5(4) in X v United Kingdom</w:t>
      </w:r>
      <w:r>
        <w:rPr>
          <w:rStyle w:val="FootnoteReference"/>
        </w:rPr>
        <w:footnoteReference w:customMarkFollows="1" w:id="20"/>
        <w:t>19</w:t>
      </w:r>
      <w:r>
        <w:t>.</w:t>
      </w:r>
    </w:p>
    <w:p w:rsidR="00ED267D" w:rsidRDefault="00ED267D" w:rsidP="001A09A0">
      <w:pPr>
        <w:spacing w:line="240" w:lineRule="auto"/>
      </w:pPr>
      <w:r>
        <w:t>(c) The Tribunal must also have power to mandate the fulfillment of conditions placed upon a</w:t>
      </w:r>
    </w:p>
    <w:p w:rsidR="00ED267D" w:rsidRDefault="00ED267D" w:rsidP="001A09A0">
      <w:pPr>
        <w:spacing w:line="240" w:lineRule="auto"/>
      </w:pPr>
      <w:r>
        <w:t>patient’s discharge, or to amend conditions subsequently so as to avoid an impasse developing</w:t>
      </w:r>
      <w:r>
        <w:rPr>
          <w:rStyle w:val="FootnoteReference"/>
        </w:rPr>
        <w:footnoteReference w:customMarkFollows="1" w:id="21"/>
        <w:t>20</w:t>
      </w:r>
      <w:r>
        <w:t>.</w:t>
      </w:r>
    </w:p>
    <w:p w:rsidR="00ED267D" w:rsidRDefault="00ED267D" w:rsidP="001A09A0">
      <w:pPr>
        <w:spacing w:line="240" w:lineRule="auto"/>
      </w:pPr>
      <w:r>
        <w:t>Arguably, it should also have power to compel the fulfillment of conditions that have an impact</w:t>
      </w:r>
    </w:p>
    <w:p w:rsidR="00ED267D" w:rsidRDefault="00ED267D" w:rsidP="001A09A0">
      <w:pPr>
        <w:spacing w:line="240" w:lineRule="auto"/>
      </w:pPr>
      <w:r>
        <w:t>upon the patient’s future release, such as transfer to conditions of lesser security and leaves of</w:t>
      </w:r>
    </w:p>
    <w:p w:rsidR="00ED267D" w:rsidRDefault="00ED267D" w:rsidP="001A09A0">
      <w:pPr>
        <w:spacing w:line="240" w:lineRule="auto"/>
      </w:pPr>
      <w:r>
        <w:t>absence. To extend the protection of Article 5(4) to decisions affecting a patient’s prospects of</w:t>
      </w:r>
    </w:p>
    <w:p w:rsidR="00ED267D" w:rsidRDefault="00ED267D" w:rsidP="001A09A0">
      <w:pPr>
        <w:spacing w:line="240" w:lineRule="auto"/>
      </w:pPr>
      <w:r>
        <w:t>future release as well as his immediate release is consonant with the approach taken by domestic</w:t>
      </w:r>
    </w:p>
    <w:p w:rsidR="00ED267D" w:rsidRDefault="00ED267D" w:rsidP="001A09A0">
      <w:pPr>
        <w:spacing w:line="240" w:lineRule="auto"/>
      </w:pPr>
      <w:r>
        <w:t>courts in relation to the standards of procedural fairness required of such decisions at common</w:t>
      </w:r>
    </w:p>
    <w:p w:rsidR="00ED267D" w:rsidRDefault="00ED267D" w:rsidP="001A09A0">
      <w:pPr>
        <w:spacing w:line="240" w:lineRule="auto"/>
      </w:pPr>
      <w:r>
        <w:t>law</w:t>
      </w:r>
      <w:r>
        <w:rPr>
          <w:rStyle w:val="FootnoteReference"/>
        </w:rPr>
        <w:footnoteReference w:customMarkFollows="1" w:id="22"/>
        <w:t>21</w:t>
      </w:r>
      <w:r>
        <w:t>. However, in R v United Kingdom</w:t>
      </w:r>
      <w:r>
        <w:rPr>
          <w:rStyle w:val="FootnoteReference"/>
        </w:rPr>
        <w:footnoteReference w:customMarkFollows="1" w:id="23"/>
        <w:t>22</w:t>
      </w:r>
      <w:r>
        <w:t xml:space="preserve"> the European Commission held that the lack of a power</w:t>
      </w:r>
    </w:p>
    <w:p w:rsidR="00ED267D" w:rsidRDefault="00ED267D" w:rsidP="001A09A0">
      <w:pPr>
        <w:spacing w:line="240" w:lineRule="auto"/>
      </w:pPr>
      <w:r>
        <w:t>to order a patient’s leave of absence from hospital did not constitute a violation of Article 5(4).</w:t>
      </w:r>
    </w:p>
    <w:p w:rsidR="00ED267D" w:rsidRDefault="00ED267D" w:rsidP="001A09A0">
      <w:pPr>
        <w:spacing w:line="240" w:lineRule="auto"/>
      </w:pPr>
      <w:r>
        <w:t>It remains to be seen what the national courts make of the argument.</w:t>
      </w:r>
    </w:p>
    <w:p w:rsidR="001A09A0" w:rsidRDefault="00ED267D" w:rsidP="00BE0161">
      <w:pPr>
        <w:spacing w:line="240" w:lineRule="auto"/>
      </w:pPr>
      <w:r>
        <w:lastRenderedPageBreak/>
        <w:t xml:space="preserve">(d) The ‘judicial character’ of the court must extend to the giving of procedural safeguards </w:t>
      </w:r>
    </w:p>
    <w:p w:rsidR="001A09A0" w:rsidRDefault="001A09A0" w:rsidP="00BE0161">
      <w:pPr>
        <w:spacing w:line="240" w:lineRule="auto"/>
      </w:pPr>
      <w:r>
        <w:t xml:space="preserve">Appropriate </w:t>
      </w:r>
      <w:r w:rsidR="00ED267D">
        <w:t xml:space="preserve">to the kind of deprivation of liberty in question. Where a lengthy deprivation of liberty </w:t>
      </w:r>
    </w:p>
    <w:p w:rsidR="00ED267D" w:rsidRDefault="001A09A0" w:rsidP="00BE0161">
      <w:pPr>
        <w:spacing w:line="240" w:lineRule="auto"/>
      </w:pPr>
      <w:r>
        <w:t xml:space="preserve">Is </w:t>
      </w:r>
      <w:r w:rsidR="00ED267D">
        <w:t>involved, resembling that which might be imposed by a court in criminal proceedings, the</w:t>
      </w:r>
    </w:p>
    <w:p w:rsidR="00ED267D" w:rsidRDefault="00ED267D" w:rsidP="00BE0161">
      <w:pPr>
        <w:spacing w:line="240" w:lineRule="auto"/>
      </w:pPr>
      <w:r>
        <w:t>guarantees must be ‘not markedly inferior’ to those guaranteed by Article 6 in criminal</w:t>
      </w:r>
    </w:p>
    <w:p w:rsidR="00ED267D" w:rsidRDefault="00ED267D" w:rsidP="00BE0161">
      <w:pPr>
        <w:spacing w:line="240" w:lineRule="auto"/>
      </w:pPr>
      <w:r>
        <w:t>proceedings</w:t>
      </w:r>
      <w:r w:rsidR="001A09A0">
        <w:rPr>
          <w:rStyle w:val="FootnoteReference"/>
        </w:rPr>
        <w:footnoteReference w:customMarkFollows="1" w:id="24"/>
        <w:t>23</w:t>
      </w:r>
      <w:r>
        <w:t>, and in some circumstances must be the same</w:t>
      </w:r>
      <w:r w:rsidR="001A09A0">
        <w:rPr>
          <w:rStyle w:val="FootnoteReference"/>
        </w:rPr>
        <w:footnoteReference w:customMarkFollows="1" w:id="25"/>
        <w:t>24</w:t>
      </w:r>
      <w:r>
        <w:t>. This imports the Article 6 concept,</w:t>
      </w:r>
    </w:p>
    <w:p w:rsidR="00ED267D" w:rsidRDefault="00ED267D" w:rsidP="00BE0161">
      <w:pPr>
        <w:spacing w:line="240" w:lineRule="auto"/>
      </w:pPr>
      <w:r>
        <w:t>among others, of ‘equality of arms’, which requires that a detained person must have ‘a reasonable</w:t>
      </w:r>
    </w:p>
    <w:p w:rsidR="00ED267D" w:rsidRDefault="00ED267D" w:rsidP="00BE0161">
      <w:pPr>
        <w:spacing w:line="240" w:lineRule="auto"/>
      </w:pPr>
      <w:r>
        <w:t>opportunity of presenting his case to the court under conditions which do not place him at a</w:t>
      </w:r>
    </w:p>
    <w:p w:rsidR="00ED267D" w:rsidRDefault="00ED267D" w:rsidP="00BE0161">
      <w:pPr>
        <w:spacing w:line="240" w:lineRule="auto"/>
      </w:pPr>
      <w:r>
        <w:t>substantial disadvantage vis-a-vis his opponent’</w:t>
      </w:r>
      <w:r w:rsidR="001A09A0">
        <w:rPr>
          <w:rStyle w:val="FootnoteReference"/>
        </w:rPr>
        <w:footnoteReference w:customMarkFollows="1" w:id="26"/>
        <w:t>25</w:t>
      </w:r>
      <w:r>
        <w:t>. Special procedural safeguards may prove called</w:t>
      </w:r>
    </w:p>
    <w:p w:rsidR="00ED267D" w:rsidRDefault="00ED267D" w:rsidP="00BE0161">
      <w:pPr>
        <w:spacing w:line="240" w:lineRule="auto"/>
      </w:pPr>
      <w:r>
        <w:t>for in order to protect the interests of persons who, on account of their mental disabilities, are not</w:t>
      </w:r>
    </w:p>
    <w:p w:rsidR="00ED267D" w:rsidRDefault="00ED267D" w:rsidP="00BE0161">
      <w:pPr>
        <w:spacing w:line="240" w:lineRule="auto"/>
      </w:pPr>
      <w:r>
        <w:t>fully capable of acting for themselves</w:t>
      </w:r>
      <w:r w:rsidR="001A09A0">
        <w:rPr>
          <w:rStyle w:val="FootnoteReference"/>
        </w:rPr>
        <w:footnoteReference w:customMarkFollows="1" w:id="27"/>
        <w:t>26</w:t>
      </w:r>
      <w:r>
        <w:t>. The specific minimum guarantees that are required include:</w:t>
      </w:r>
    </w:p>
    <w:p w:rsidR="00ED267D" w:rsidRDefault="00ED267D" w:rsidP="00BE0161">
      <w:pPr>
        <w:spacing w:line="240" w:lineRule="auto"/>
      </w:pPr>
      <w:r>
        <w:t>(</w:t>
      </w:r>
      <w:proofErr w:type="spellStart"/>
      <w:r>
        <w:t>i</w:t>
      </w:r>
      <w:proofErr w:type="spellEnd"/>
      <w:r>
        <w:t>) A right to be heard either in person or, where necessary, through some form of</w:t>
      </w:r>
    </w:p>
    <w:p w:rsidR="00ED267D" w:rsidRDefault="00ED267D" w:rsidP="00BE0161">
      <w:pPr>
        <w:tabs>
          <w:tab w:val="left" w:pos="5937"/>
        </w:tabs>
        <w:spacing w:line="240" w:lineRule="auto"/>
      </w:pPr>
      <w:r>
        <w:t>representation</w:t>
      </w:r>
      <w:r w:rsidR="001A09A0">
        <w:rPr>
          <w:rStyle w:val="FootnoteReference"/>
        </w:rPr>
        <w:footnoteReference w:customMarkFollows="1" w:id="28"/>
        <w:t>27</w:t>
      </w:r>
      <w:r>
        <w:t>.</w:t>
      </w:r>
      <w:r w:rsidR="001A09A0">
        <w:tab/>
      </w:r>
    </w:p>
    <w:p w:rsidR="00ED267D" w:rsidRDefault="00ED267D" w:rsidP="00BE0161">
      <w:pPr>
        <w:spacing w:line="240" w:lineRule="auto"/>
      </w:pPr>
      <w:r>
        <w:t>(ii) The right to legal representation, paid for by the state</w:t>
      </w:r>
      <w:r w:rsidR="001A09A0">
        <w:rPr>
          <w:rStyle w:val="FootnoteReference"/>
        </w:rPr>
        <w:footnoteReference w:customMarkFollows="1" w:id="29"/>
        <w:t>28</w:t>
      </w:r>
      <w:r>
        <w:t>. This has been held to extend to</w:t>
      </w:r>
    </w:p>
    <w:p w:rsidR="00ED267D" w:rsidRDefault="00ED267D" w:rsidP="00BE0161">
      <w:pPr>
        <w:spacing w:line="240" w:lineRule="auto"/>
      </w:pPr>
      <w:proofErr w:type="gramStart"/>
      <w:r>
        <w:t>the</w:t>
      </w:r>
      <w:proofErr w:type="gramEnd"/>
      <w:r>
        <w:t xml:space="preserve"> right to be represented by a lawyer of the patient’s choice</w:t>
      </w:r>
      <w:r w:rsidR="001A09A0">
        <w:rPr>
          <w:rStyle w:val="FootnoteReference"/>
        </w:rPr>
        <w:footnoteReference w:customMarkFollows="1" w:id="30"/>
        <w:t>29</w:t>
      </w:r>
      <w:r>
        <w:t>.</w:t>
      </w:r>
    </w:p>
    <w:p w:rsidR="00BE0161" w:rsidRDefault="00BE0161" w:rsidP="00BE0161">
      <w:pPr>
        <w:spacing w:line="240" w:lineRule="auto"/>
      </w:pPr>
      <w:r>
        <w:t>(iii) The right (as a component of the principle of ‘equality of arms’), in appropriate cases, to</w:t>
      </w:r>
    </w:p>
    <w:p w:rsidR="00BE0161" w:rsidRDefault="00BE0161" w:rsidP="00BE0161">
      <w:pPr>
        <w:spacing w:line="240" w:lineRule="auto"/>
      </w:pPr>
      <w:r>
        <w:t>independent expert medical opinion</w:t>
      </w:r>
      <w:r>
        <w:rPr>
          <w:rStyle w:val="FootnoteReference"/>
        </w:rPr>
        <w:footnoteReference w:customMarkFollows="1" w:id="31"/>
        <w:t>30</w:t>
      </w:r>
      <w:r>
        <w:t>.</w:t>
      </w:r>
    </w:p>
    <w:p w:rsidR="00BE0161" w:rsidRDefault="00BE0161" w:rsidP="00BE0161">
      <w:pPr>
        <w:spacing w:line="240" w:lineRule="auto"/>
      </w:pPr>
      <w:r>
        <w:t>(iv) The right to a ‘speedy’ hearing. The obligation is more onerous in respect of the first</w:t>
      </w:r>
    </w:p>
    <w:p w:rsidR="00BE0161" w:rsidRDefault="00BE0161" w:rsidP="00BE0161">
      <w:pPr>
        <w:spacing w:line="240" w:lineRule="auto"/>
      </w:pPr>
      <w:r>
        <w:t>review after detention (or recall of a restricted patient</w:t>
      </w:r>
      <w:r>
        <w:rPr>
          <w:rStyle w:val="FootnoteReference"/>
        </w:rPr>
        <w:footnoteReference w:customMarkFollows="1" w:id="32"/>
        <w:t>31</w:t>
      </w:r>
      <w:r>
        <w:t>) than for subsequent reviews</w:t>
      </w:r>
      <w:r>
        <w:rPr>
          <w:rStyle w:val="FootnoteReference"/>
        </w:rPr>
        <w:footnoteReference w:customMarkFollows="1" w:id="33"/>
        <w:t>32</w:t>
      </w:r>
      <w:r>
        <w:t>.</w:t>
      </w:r>
    </w:p>
    <w:p w:rsidR="00BE0161" w:rsidRDefault="00BE0161" w:rsidP="00BE0161">
      <w:pPr>
        <w:spacing w:line="240" w:lineRule="auto"/>
      </w:pPr>
      <w:r>
        <w:t>For first reviews, a period of 8 weeks between application and final determination has</w:t>
      </w:r>
    </w:p>
    <w:p w:rsidR="00BE0161" w:rsidRDefault="00BE0161" w:rsidP="00BE0161">
      <w:pPr>
        <w:spacing w:line="240" w:lineRule="auto"/>
      </w:pPr>
      <w:r>
        <w:t>been held to constitute a violation of Article 5(4)</w:t>
      </w:r>
      <w:r>
        <w:rPr>
          <w:rStyle w:val="FootnoteReference"/>
        </w:rPr>
        <w:footnoteReference w:customMarkFollows="1" w:id="34"/>
        <w:t>33</w:t>
      </w:r>
      <w:r>
        <w:t>. Where, however, the delay is caused</w:t>
      </w:r>
    </w:p>
    <w:p w:rsidR="00BE0161" w:rsidRDefault="00BE0161" w:rsidP="00BE0161">
      <w:pPr>
        <w:spacing w:line="240" w:lineRule="auto"/>
      </w:pPr>
      <w:proofErr w:type="gramStart"/>
      <w:r>
        <w:t>at</w:t>
      </w:r>
      <w:proofErr w:type="gramEnd"/>
      <w:r>
        <w:t xml:space="preserve"> the patient’s request, so as to enable the solicitor of his choice to represent him, a delay</w:t>
      </w:r>
    </w:p>
    <w:p w:rsidR="00BE0161" w:rsidRDefault="00BE0161" w:rsidP="00BE0161">
      <w:pPr>
        <w:spacing w:line="240" w:lineRule="auto"/>
      </w:pPr>
      <w:proofErr w:type="gramStart"/>
      <w:r>
        <w:t>of</w:t>
      </w:r>
      <w:proofErr w:type="gramEnd"/>
      <w:r>
        <w:t xml:space="preserve"> 10 months has been found not to constitute a violation of Article 5(4)</w:t>
      </w:r>
      <w:r>
        <w:rPr>
          <w:rStyle w:val="FootnoteReference"/>
        </w:rPr>
        <w:footnoteReference w:customMarkFollows="1" w:id="35"/>
        <w:t>34</w:t>
      </w:r>
      <w:r>
        <w:t>.</w:t>
      </w:r>
    </w:p>
    <w:p w:rsidR="00BE0161" w:rsidRDefault="00BE0161" w:rsidP="00BE0161">
      <w:pPr>
        <w:spacing w:line="240" w:lineRule="auto"/>
      </w:pPr>
      <w:r>
        <w:t>(v) Adequate time and facilities to prepare the case. In particular, a time limit should not be</w:t>
      </w:r>
    </w:p>
    <w:p w:rsidR="00BE0161" w:rsidRDefault="00BE0161" w:rsidP="00BE0161">
      <w:pPr>
        <w:spacing w:line="240" w:lineRule="auto"/>
      </w:pPr>
      <w:r>
        <w:lastRenderedPageBreak/>
        <w:t>placed upon the exercise of the right to apply to a Tribunal which is so short ‘as to restrict</w:t>
      </w:r>
    </w:p>
    <w:p w:rsidR="00BE0161" w:rsidRDefault="00BE0161" w:rsidP="00BE0161">
      <w:pPr>
        <w:spacing w:line="240" w:lineRule="auto"/>
      </w:pPr>
      <w:r>
        <w:t>the availability and tangibility of the remedy’</w:t>
      </w:r>
      <w:r>
        <w:rPr>
          <w:rStyle w:val="FootnoteReference"/>
        </w:rPr>
        <w:footnoteReference w:customMarkFollows="1" w:id="36"/>
        <w:t>35</w:t>
      </w:r>
      <w:r>
        <w:t>.</w:t>
      </w:r>
    </w:p>
    <w:p w:rsidR="00BE0161" w:rsidRDefault="00BE0161" w:rsidP="00BE0161">
      <w:pPr>
        <w:spacing w:line="240" w:lineRule="auto"/>
      </w:pPr>
      <w:r>
        <w:t>(vi) The right to a speedy decision following the hearing.</w:t>
      </w:r>
      <w:r>
        <w:rPr>
          <w:rStyle w:val="FootnoteReference"/>
        </w:rPr>
        <w:footnoteReference w:customMarkFollows="1" w:id="37"/>
        <w:t>36</w:t>
      </w:r>
    </w:p>
    <w:p w:rsidR="00BE0161" w:rsidRDefault="00BE0161" w:rsidP="00BE0161">
      <w:pPr>
        <w:spacing w:line="240" w:lineRule="auto"/>
      </w:pPr>
      <w:r>
        <w:t>(vii) Right to reasons</w:t>
      </w:r>
      <w:r>
        <w:rPr>
          <w:rStyle w:val="FootnoteReference"/>
        </w:rPr>
        <w:footnoteReference w:customMarkFollows="1" w:id="38"/>
        <w:t>37</w:t>
      </w:r>
      <w:r>
        <w:t xml:space="preserve"> in ‘simple, non-technical language that he can understand’, containing</w:t>
      </w:r>
    </w:p>
    <w:p w:rsidR="00BE0161" w:rsidRDefault="00BE0161" w:rsidP="00BE0161">
      <w:pPr>
        <w:spacing w:line="240" w:lineRule="auto"/>
      </w:pPr>
      <w:r>
        <w:t>‘the essential legal and factual grounds for his [detention]’, so the patient may, if he sees</w:t>
      </w:r>
    </w:p>
    <w:p w:rsidR="00BE0161" w:rsidRDefault="00BE0161" w:rsidP="00BE0161">
      <w:pPr>
        <w:spacing w:line="240" w:lineRule="auto"/>
      </w:pPr>
      <w:r>
        <w:t>fit, ‘apply to a court to challenge its lawfulness in accordance with’ Article 5(4)</w:t>
      </w:r>
      <w:r>
        <w:rPr>
          <w:rStyle w:val="FootnoteReference"/>
        </w:rPr>
        <w:footnoteReference w:customMarkFollows="1" w:id="39"/>
        <w:t>38</w:t>
      </w:r>
      <w:r>
        <w:t>.</w:t>
      </w:r>
    </w:p>
    <w:p w:rsidR="00BE0161" w:rsidRDefault="00BE0161" w:rsidP="00BE0161">
      <w:pPr>
        <w:spacing w:line="240" w:lineRule="auto"/>
      </w:pPr>
      <w:r>
        <w:t>(viii) Right to further reviews at regular intervals</w:t>
      </w:r>
      <w:r>
        <w:rPr>
          <w:rStyle w:val="FootnoteReference"/>
        </w:rPr>
        <w:footnoteReference w:customMarkFollows="1" w:id="40"/>
        <w:t>39</w:t>
      </w:r>
      <w:r>
        <w:t>.</w:t>
      </w:r>
    </w:p>
    <w:p w:rsidR="00BE0161" w:rsidRDefault="00BE0161" w:rsidP="00BE0161">
      <w:pPr>
        <w:spacing w:line="240" w:lineRule="auto"/>
      </w:pPr>
      <w:r>
        <w:t>One overriding considerations must also be borne in mind. The obligation is on the</w:t>
      </w:r>
    </w:p>
    <w:p w:rsidR="00BE0161" w:rsidRDefault="00BE0161" w:rsidP="00BE0161">
      <w:pPr>
        <w:spacing w:line="240" w:lineRule="auto"/>
      </w:pPr>
      <w:r>
        <w:t>Contracting State to secure for its citizens the rights set out in the Convention. It is</w:t>
      </w:r>
    </w:p>
    <w:p w:rsidR="00BE0161" w:rsidRDefault="00BE0161" w:rsidP="00BE0161">
      <w:pPr>
        <w:spacing w:line="240" w:lineRule="auto"/>
      </w:pPr>
      <w:r>
        <w:t>therefore the Tribunal’s responsibility to ensure that the specific safeguards referred to are</w:t>
      </w:r>
    </w:p>
    <w:p w:rsidR="00BE0161" w:rsidRDefault="00BE0161" w:rsidP="00BE0161">
      <w:pPr>
        <w:spacing w:line="240" w:lineRule="auto"/>
      </w:pPr>
      <w:r>
        <w:t>made available to a patient, including to ensure that delays are not caused by, for example,</w:t>
      </w:r>
    </w:p>
    <w:p w:rsidR="00BE0161" w:rsidRDefault="00BE0161" w:rsidP="00BE0161">
      <w:pPr>
        <w:spacing w:line="240" w:lineRule="auto"/>
      </w:pPr>
      <w:r>
        <w:t>medical experts appointed by the defence</w:t>
      </w:r>
      <w:r>
        <w:rPr>
          <w:rStyle w:val="FootnoteReference"/>
        </w:rPr>
        <w:footnoteReference w:customMarkFollows="1" w:id="41"/>
        <w:t>40</w:t>
      </w:r>
      <w:r>
        <w:t>. It is not for the patient to take the initiative</w:t>
      </w:r>
    </w:p>
    <w:p w:rsidR="00BE0161" w:rsidRDefault="00BE0161" w:rsidP="00BE0161">
      <w:pPr>
        <w:spacing w:line="240" w:lineRule="auto"/>
      </w:pPr>
      <w:r>
        <w:t>in securing those safeguards</w:t>
      </w:r>
      <w:r>
        <w:rPr>
          <w:rStyle w:val="FootnoteReference"/>
        </w:rPr>
        <w:footnoteReference w:customMarkFollows="1" w:id="42"/>
        <w:t>41</w:t>
      </w:r>
      <w:r>
        <w:t>; nor is the onus on the patient even to apply for a tribunal</w:t>
      </w:r>
    </w:p>
    <w:p w:rsidR="00BE0161" w:rsidRDefault="00BE0161" w:rsidP="00BE0161">
      <w:pPr>
        <w:spacing w:line="240" w:lineRule="auto"/>
      </w:pPr>
      <w:r>
        <w:t>in the first place</w:t>
      </w:r>
      <w:r>
        <w:rPr>
          <w:rStyle w:val="FootnoteReference"/>
        </w:rPr>
        <w:footnoteReference w:customMarkFollows="1" w:id="43"/>
        <w:t>42</w:t>
      </w:r>
      <w:r>
        <w:t>.</w:t>
      </w:r>
    </w:p>
    <w:p w:rsidR="00165486" w:rsidRDefault="00165486" w:rsidP="00165486">
      <w:pPr>
        <w:spacing w:line="240" w:lineRule="auto"/>
      </w:pPr>
    </w:p>
    <w:p w:rsidR="00165486" w:rsidRDefault="00165486" w:rsidP="00165486">
      <w:pPr>
        <w:spacing w:line="240" w:lineRule="auto"/>
      </w:pPr>
      <w:r>
        <w:t>Applying these principles to the Government proposals:</w:t>
      </w:r>
    </w:p>
    <w:p w:rsidR="00165486" w:rsidRDefault="00165486" w:rsidP="00165486">
      <w:pPr>
        <w:spacing w:line="240" w:lineRule="auto"/>
      </w:pPr>
      <w:r w:rsidRPr="00165486">
        <w:rPr>
          <w:i/>
        </w:rPr>
        <w:t>Constitution of the Tribunal</w:t>
      </w:r>
      <w:r>
        <w:t>. Three alternative models are mooted (Chapter 4, §28-30) which are</w:t>
      </w:r>
    </w:p>
    <w:p w:rsidR="00165486" w:rsidRDefault="00165486" w:rsidP="00165486">
      <w:pPr>
        <w:spacing w:line="240" w:lineRule="auto"/>
      </w:pPr>
      <w:r>
        <w:t>intended to replace the current Tribunal constituted by a lawyer, psychiatrist and lay member.</w:t>
      </w:r>
    </w:p>
    <w:p w:rsidR="00165486" w:rsidRDefault="00165486" w:rsidP="00165486">
      <w:pPr>
        <w:spacing w:line="240" w:lineRule="auto"/>
      </w:pPr>
      <w:r>
        <w:t>The proposals stem from the justifiable concern that the current role of the psychiatrist as both</w:t>
      </w:r>
    </w:p>
    <w:p w:rsidR="00165486" w:rsidRDefault="00165486" w:rsidP="00165486">
      <w:pPr>
        <w:spacing w:line="240" w:lineRule="auto"/>
      </w:pPr>
      <w:r>
        <w:t>witness and judge violates the patient’s rights under Article 5(4), which requires that the tribunal</w:t>
      </w:r>
    </w:p>
    <w:p w:rsidR="00165486" w:rsidRDefault="00165486" w:rsidP="00165486">
      <w:pPr>
        <w:spacing w:line="240" w:lineRule="auto"/>
      </w:pPr>
      <w:r>
        <w:t>be ‘impartial’. The first proposed change will retain the psychiatrist, but he will no longer conduct</w:t>
      </w:r>
    </w:p>
    <w:p w:rsidR="00165486" w:rsidRDefault="00165486" w:rsidP="00165486">
      <w:pPr>
        <w:spacing w:line="240" w:lineRule="auto"/>
      </w:pPr>
      <w:r>
        <w:t>his own assessment of the patient; instead, the assessment will be carried out by an independent</w:t>
      </w:r>
    </w:p>
    <w:p w:rsidR="00165486" w:rsidRDefault="00165486" w:rsidP="00165486">
      <w:pPr>
        <w:spacing w:line="240" w:lineRule="auto"/>
      </w:pPr>
      <w:r>
        <w:t>psychiatrist drawn from an approved panel who will then give evidence to the Tribunal. In the</w:t>
      </w:r>
    </w:p>
    <w:p w:rsidR="00ED267D" w:rsidRDefault="00165486" w:rsidP="00165486">
      <w:pPr>
        <w:spacing w:line="240" w:lineRule="auto"/>
      </w:pPr>
      <w:r>
        <w:t>second option no psychiatrist will sit on the Tribunal, but the lawyer will be assisted by two people</w:t>
      </w:r>
    </w:p>
    <w:p w:rsidR="00F04B69" w:rsidRDefault="00F04B69" w:rsidP="00BE0161">
      <w:pPr>
        <w:spacing w:line="240" w:lineRule="auto"/>
      </w:pPr>
    </w:p>
    <w:p w:rsidR="00B26368" w:rsidRDefault="00B26368" w:rsidP="0062398A">
      <w:pPr>
        <w:spacing w:line="240" w:lineRule="auto"/>
      </w:pPr>
      <w:r>
        <w:lastRenderedPageBreak/>
        <w:t>with experience of mental health services. Independent psychiatric evidence will again be drawn</w:t>
      </w:r>
    </w:p>
    <w:p w:rsidR="00B26368" w:rsidRDefault="00B26368" w:rsidP="0062398A">
      <w:pPr>
        <w:spacing w:line="240" w:lineRule="auto"/>
      </w:pPr>
      <w:r>
        <w:t>from an expert panel. In the third option the legal member sits alone.</w:t>
      </w:r>
    </w:p>
    <w:p w:rsidR="00B26368" w:rsidRDefault="00B26368" w:rsidP="0062398A">
      <w:pPr>
        <w:spacing w:line="240" w:lineRule="auto"/>
      </w:pPr>
    </w:p>
    <w:p w:rsidR="00B26368" w:rsidRDefault="00B26368" w:rsidP="0062398A">
      <w:pPr>
        <w:spacing w:line="240" w:lineRule="auto"/>
      </w:pPr>
      <w:r>
        <w:t>There must be concern about the appointment of second medical experts from a panel, if as a</w:t>
      </w:r>
    </w:p>
    <w:p w:rsidR="00B26368" w:rsidRDefault="00B26368" w:rsidP="0062398A">
      <w:pPr>
        <w:spacing w:line="240" w:lineRule="auto"/>
      </w:pPr>
      <w:r>
        <w:t>consequence, a patient’s ability to appoint an independent expert is to be prohibited or limited.</w:t>
      </w:r>
    </w:p>
    <w:p w:rsidR="00B26368" w:rsidRDefault="00B26368" w:rsidP="0062398A">
      <w:pPr>
        <w:spacing w:line="240" w:lineRule="auto"/>
      </w:pPr>
      <w:r>
        <w:t>The principle of equality of arms suggests that a patient should be able to choose his own expert.</w:t>
      </w:r>
    </w:p>
    <w:p w:rsidR="00B26368" w:rsidRDefault="00B26368" w:rsidP="0062398A">
      <w:pPr>
        <w:spacing w:line="240" w:lineRule="auto"/>
      </w:pPr>
      <w:r>
        <w:t>A panel might be preferable to the existing system of an expert Tribunal member, but the existing</w:t>
      </w:r>
    </w:p>
    <w:p w:rsidR="00B26368" w:rsidRDefault="00B26368" w:rsidP="0062398A">
      <w:pPr>
        <w:spacing w:line="240" w:lineRule="auto"/>
      </w:pPr>
      <w:r>
        <w:t>system (although it has its drawbacks) could be improved by the following suggestions: (1) At the</w:t>
      </w:r>
    </w:p>
    <w:p w:rsidR="00B26368" w:rsidRDefault="00B26368" w:rsidP="0062398A">
      <w:pPr>
        <w:spacing w:line="240" w:lineRule="auto"/>
      </w:pPr>
      <w:r>
        <w:t>outset of the hearing, the medical member should be asked to identify those matters which he or</w:t>
      </w:r>
    </w:p>
    <w:p w:rsidR="00B26368" w:rsidRDefault="00B26368" w:rsidP="0062398A">
      <w:pPr>
        <w:spacing w:line="240" w:lineRule="auto"/>
      </w:pPr>
      <w:r>
        <w:t>she considers significant, thereby giving the patient the opportunity to make representations; and</w:t>
      </w:r>
    </w:p>
    <w:p w:rsidR="00B26368" w:rsidRDefault="00B26368" w:rsidP="0062398A">
      <w:pPr>
        <w:spacing w:line="240" w:lineRule="auto"/>
      </w:pPr>
      <w:r>
        <w:t>(2) at the end of the hearing the medical member should be asked to raise any matters which have</w:t>
      </w:r>
    </w:p>
    <w:p w:rsidR="00B26368" w:rsidRDefault="00B26368" w:rsidP="0062398A">
      <w:pPr>
        <w:spacing w:line="240" w:lineRule="auto"/>
      </w:pPr>
      <w:r>
        <w:t>not been dealt with in the course of the proceedings.</w:t>
      </w:r>
    </w:p>
    <w:p w:rsidR="00B26368" w:rsidRDefault="00B26368" w:rsidP="0062398A">
      <w:pPr>
        <w:spacing w:line="240" w:lineRule="auto"/>
        <w:rPr>
          <w:i/>
        </w:rPr>
      </w:pPr>
    </w:p>
    <w:p w:rsidR="00B26368" w:rsidRDefault="00B26368" w:rsidP="0062398A">
      <w:pPr>
        <w:spacing w:line="240" w:lineRule="auto"/>
      </w:pPr>
      <w:r w:rsidRPr="00B26368">
        <w:rPr>
          <w:i/>
        </w:rPr>
        <w:t>The onus is on the patient to choose to contest the care team’s application to the Tribunal</w:t>
      </w:r>
      <w:r>
        <w:t xml:space="preserve"> (Chapter </w:t>
      </w:r>
    </w:p>
    <w:p w:rsidR="00B26368" w:rsidRDefault="00B26368" w:rsidP="0062398A">
      <w:pPr>
        <w:spacing w:line="240" w:lineRule="auto"/>
      </w:pPr>
      <w:r>
        <w:t xml:space="preserve">4, §39).This conflicts directly with the principle that the onus is on the state, not the patient, to </w:t>
      </w:r>
    </w:p>
    <w:p w:rsidR="00B26368" w:rsidRDefault="00B26368" w:rsidP="0062398A">
      <w:pPr>
        <w:spacing w:line="240" w:lineRule="auto"/>
      </w:pPr>
      <w:r>
        <w:t>ensure the guarantees in Article 5(4) are provided.</w:t>
      </w:r>
    </w:p>
    <w:p w:rsidR="00B26368" w:rsidRDefault="00B26368" w:rsidP="0062398A">
      <w:pPr>
        <w:spacing w:line="240" w:lineRule="auto"/>
      </w:pPr>
    </w:p>
    <w:p w:rsidR="00B26368" w:rsidRDefault="00B26368" w:rsidP="0062398A">
      <w:pPr>
        <w:spacing w:line="240" w:lineRule="auto"/>
      </w:pPr>
      <w:r w:rsidRPr="00B26368">
        <w:rPr>
          <w:i/>
        </w:rPr>
        <w:t>Power to mandate discharge conditions.</w:t>
      </w:r>
      <w:r>
        <w:t xml:space="preserve"> The absence of any power to require local health and social</w:t>
      </w:r>
    </w:p>
    <w:p w:rsidR="00B26368" w:rsidRDefault="00B26368" w:rsidP="0062398A">
      <w:pPr>
        <w:spacing w:line="240" w:lineRule="auto"/>
      </w:pPr>
      <w:r>
        <w:t>services authorities to fulfill conditions of discharge, or to amend conditions, was a factor in the</w:t>
      </w:r>
    </w:p>
    <w:p w:rsidR="00B26368" w:rsidRDefault="00B26368" w:rsidP="0062398A">
      <w:pPr>
        <w:spacing w:line="240" w:lineRule="auto"/>
      </w:pPr>
      <w:r>
        <w:t xml:space="preserve">Court’s decision that there had been a violation of Article 5(1) </w:t>
      </w:r>
      <w:r w:rsidRPr="008F2744">
        <w:rPr>
          <w:i/>
        </w:rPr>
        <w:t>in Johnson v United Kingdom</w:t>
      </w:r>
      <w:r>
        <w:t>, by</w:t>
      </w:r>
    </w:p>
    <w:p w:rsidR="00B26368" w:rsidRDefault="00B26368" w:rsidP="0062398A">
      <w:pPr>
        <w:spacing w:line="240" w:lineRule="auto"/>
      </w:pPr>
      <w:r>
        <w:t>reason of the applicant’s continuing detention for 3 years after an order of deferred conditional</w:t>
      </w:r>
    </w:p>
    <w:p w:rsidR="00B26368" w:rsidRDefault="00B26368" w:rsidP="0062398A">
      <w:pPr>
        <w:spacing w:line="240" w:lineRule="auto"/>
      </w:pPr>
      <w:r>
        <w:t>discharge. The absence of any such powers continues to cause regular delays in discharge and</w:t>
      </w:r>
    </w:p>
    <w:p w:rsidR="00B26368" w:rsidRDefault="00B26368" w:rsidP="0062398A">
      <w:pPr>
        <w:spacing w:line="240" w:lineRule="auto"/>
      </w:pPr>
      <w:r>
        <w:t>frequent applications to the High Court</w:t>
      </w:r>
      <w:r w:rsidR="0062398A">
        <w:rPr>
          <w:rStyle w:val="FootnoteReference"/>
        </w:rPr>
        <w:footnoteReference w:customMarkFollows="1" w:id="44"/>
        <w:t>43</w:t>
      </w:r>
      <w:r>
        <w:t>. There are no proposals in the Green Paper which</w:t>
      </w:r>
    </w:p>
    <w:p w:rsidR="00B26368" w:rsidRDefault="00B26368" w:rsidP="0062398A">
      <w:pPr>
        <w:spacing w:line="240" w:lineRule="auto"/>
      </w:pPr>
      <w:r>
        <w:t>remedy that situation (see Chapter 8, §34).</w:t>
      </w:r>
    </w:p>
    <w:p w:rsidR="0062398A" w:rsidRDefault="0062398A" w:rsidP="0062398A">
      <w:pPr>
        <w:spacing w:line="240" w:lineRule="auto"/>
      </w:pPr>
    </w:p>
    <w:p w:rsidR="0062398A" w:rsidRDefault="00B26368" w:rsidP="0062398A">
      <w:pPr>
        <w:spacing w:line="240" w:lineRule="auto"/>
      </w:pPr>
      <w:r w:rsidRPr="0062398A">
        <w:rPr>
          <w:i/>
        </w:rPr>
        <w:t xml:space="preserve">Power to amend or vary conditions of </w:t>
      </w:r>
      <w:r w:rsidR="0062398A" w:rsidRPr="0062398A">
        <w:rPr>
          <w:i/>
        </w:rPr>
        <w:t>discharge.</w:t>
      </w:r>
      <w:r w:rsidR="0062398A">
        <w:t xml:space="preserve"> Where</w:t>
      </w:r>
      <w:r>
        <w:t xml:space="preserve"> a Tribunal condit</w:t>
      </w:r>
      <w:r w:rsidR="0062398A">
        <w:t xml:space="preserve">ionally discharges a </w:t>
      </w:r>
    </w:p>
    <w:p w:rsidR="0062398A" w:rsidRDefault="0062398A" w:rsidP="0062398A">
      <w:pPr>
        <w:spacing w:line="240" w:lineRule="auto"/>
      </w:pPr>
      <w:r>
        <w:t xml:space="preserve">restricted </w:t>
      </w:r>
      <w:r w:rsidR="00B26368">
        <w:t>patient, and then defers the patient’s release pending suitable</w:t>
      </w:r>
      <w:r>
        <w:t xml:space="preserve"> conditions being put in </w:t>
      </w:r>
    </w:p>
    <w:p w:rsidR="0062398A" w:rsidRDefault="0062398A" w:rsidP="0062398A">
      <w:pPr>
        <w:spacing w:line="240" w:lineRule="auto"/>
      </w:pPr>
      <w:r>
        <w:t xml:space="preserve">place, </w:t>
      </w:r>
      <w:r w:rsidR="00B26368">
        <w:t xml:space="preserve">Tribunals have no power to reconsider the case to amend </w:t>
      </w:r>
      <w:r>
        <w:t xml:space="preserve">or remove conditions where they </w:t>
      </w:r>
    </w:p>
    <w:p w:rsidR="00B26368" w:rsidRDefault="00B26368" w:rsidP="0062398A">
      <w:pPr>
        <w:spacing w:line="240" w:lineRule="auto"/>
      </w:pPr>
      <w:r>
        <w:t>have</w:t>
      </w:r>
      <w:r w:rsidR="0062398A">
        <w:t xml:space="preserve"> </w:t>
      </w:r>
      <w:r>
        <w:t>proved impossible to fulfil</w:t>
      </w:r>
      <w:r w:rsidR="0062398A">
        <w:rPr>
          <w:rStyle w:val="FootnoteReference"/>
        </w:rPr>
        <w:footnoteReference w:customMarkFollows="1" w:id="45"/>
        <w:t>44</w:t>
      </w:r>
      <w:r>
        <w:t>. There is no proposal in the Green Paper giving the Tribunal this</w:t>
      </w:r>
    </w:p>
    <w:p w:rsidR="00B26368" w:rsidRDefault="00B26368" w:rsidP="00114D41">
      <w:pPr>
        <w:spacing w:line="240" w:lineRule="auto"/>
      </w:pPr>
      <w:r>
        <w:lastRenderedPageBreak/>
        <w:t>power. The only option currently is for the Home Secretary to remit the case back to a Tribunal to</w:t>
      </w:r>
    </w:p>
    <w:p w:rsidR="00B26368" w:rsidRDefault="00B26368" w:rsidP="00114D41">
      <w:pPr>
        <w:spacing w:line="240" w:lineRule="auto"/>
      </w:pPr>
      <w:r>
        <w:t>reconsider the matter afresh, in which case the patient is to be treated as if he had not been</w:t>
      </w:r>
    </w:p>
    <w:p w:rsidR="00B26368" w:rsidRDefault="00B26368" w:rsidP="00114D41">
      <w:pPr>
        <w:spacing w:line="240" w:lineRule="auto"/>
      </w:pPr>
      <w:r>
        <w:t>discharged at all (section 73(7) Mental Health Act 1983)</w:t>
      </w:r>
      <w:r w:rsidR="0062398A">
        <w:rPr>
          <w:rStyle w:val="FootnoteReference"/>
        </w:rPr>
        <w:footnoteReference w:customMarkFollows="1" w:id="46"/>
        <w:t>45</w:t>
      </w:r>
      <w:r>
        <w:t>. This raises profound issues under the</w:t>
      </w:r>
    </w:p>
    <w:p w:rsidR="00B26368" w:rsidRDefault="00B26368" w:rsidP="00114D41">
      <w:pPr>
        <w:spacing w:line="240" w:lineRule="auto"/>
      </w:pPr>
      <w:r>
        <w:t>Convention and it is strongly arguable that section 73(7) is itself incompatible with Article 5.</w:t>
      </w:r>
    </w:p>
    <w:p w:rsidR="00B26368" w:rsidRDefault="00B26368" w:rsidP="00114D41">
      <w:pPr>
        <w:spacing w:line="240" w:lineRule="auto"/>
      </w:pPr>
      <w:r>
        <w:t>Power to mandate leaves of absence and transfers. At present the Tribunal has no power to order</w:t>
      </w:r>
    </w:p>
    <w:p w:rsidR="00B26368" w:rsidRDefault="00B26368" w:rsidP="00114D41">
      <w:pPr>
        <w:spacing w:line="240" w:lineRule="auto"/>
      </w:pPr>
      <w:r>
        <w:t>leaves of absence or transfer. In the case of unrestricted patients, the decision is taken by the RMO;</w:t>
      </w:r>
    </w:p>
    <w:p w:rsidR="00B26368" w:rsidRDefault="00B26368" w:rsidP="00114D41">
      <w:pPr>
        <w:spacing w:line="240" w:lineRule="auto"/>
      </w:pPr>
      <w:proofErr w:type="gramStart"/>
      <w:r>
        <w:t>in</w:t>
      </w:r>
      <w:proofErr w:type="gramEnd"/>
      <w:r>
        <w:t xml:space="preserve"> restricted cases the Secretary of State must consent. No proposals are made for giving the</w:t>
      </w:r>
    </w:p>
    <w:p w:rsidR="00B26368" w:rsidRDefault="00B26368" w:rsidP="00114D41">
      <w:pPr>
        <w:spacing w:line="240" w:lineRule="auto"/>
      </w:pPr>
      <w:r>
        <w:t>necessary powers to the Tribunal, notwithstanding (in the case of restricted patients) they already</w:t>
      </w:r>
    </w:p>
    <w:p w:rsidR="00B26368" w:rsidRDefault="00B26368" w:rsidP="00114D41">
      <w:pPr>
        <w:spacing w:line="240" w:lineRule="auto"/>
      </w:pPr>
      <w:r>
        <w:t xml:space="preserve">have the greater power of discharge (see Chapter 8, §34). In the light of </w:t>
      </w:r>
      <w:r w:rsidRPr="008F2744">
        <w:rPr>
          <w:i/>
        </w:rPr>
        <w:t>R v United Kingdom</w:t>
      </w:r>
      <w:r>
        <w:t xml:space="preserve"> (above)</w:t>
      </w:r>
    </w:p>
    <w:p w:rsidR="00B26368" w:rsidRDefault="00B26368" w:rsidP="00114D41">
      <w:pPr>
        <w:spacing w:line="240" w:lineRule="auto"/>
      </w:pPr>
      <w:proofErr w:type="gramStart"/>
      <w:r>
        <w:t>it</w:t>
      </w:r>
      <w:proofErr w:type="gramEnd"/>
      <w:r>
        <w:t xml:space="preserve"> is questionable whether this constitutes a violation of Article 5(4).</w:t>
      </w:r>
    </w:p>
    <w:p w:rsidR="0062398A" w:rsidRDefault="0062398A" w:rsidP="00114D41">
      <w:pPr>
        <w:spacing w:line="240" w:lineRule="auto"/>
      </w:pPr>
    </w:p>
    <w:p w:rsidR="00B26368" w:rsidRDefault="00B26368" w:rsidP="00114D41">
      <w:pPr>
        <w:spacing w:line="240" w:lineRule="auto"/>
      </w:pPr>
      <w:r w:rsidRPr="00AD058C">
        <w:rPr>
          <w:i/>
        </w:rPr>
        <w:t>Adequate time and facilities to prepare a case.</w:t>
      </w:r>
      <w:r>
        <w:t xml:space="preserve"> The procedures in the Green Paper are geared</w:t>
      </w:r>
    </w:p>
    <w:p w:rsidR="00B26368" w:rsidRDefault="00B26368" w:rsidP="00114D41">
      <w:pPr>
        <w:spacing w:line="240" w:lineRule="auto"/>
      </w:pPr>
      <w:r>
        <w:t>disproportionately towards ‘speedy’ hearings; insufficient regard has been had to the necessary</w:t>
      </w:r>
    </w:p>
    <w:p w:rsidR="00B26368" w:rsidRDefault="00B26368" w:rsidP="00114D41">
      <w:pPr>
        <w:spacing w:line="240" w:lineRule="auto"/>
      </w:pPr>
      <w:r>
        <w:t>corollary, ensuring effective legal representation and independent expert evidence. One suggestion</w:t>
      </w:r>
    </w:p>
    <w:p w:rsidR="00B26368" w:rsidRDefault="00B26368" w:rsidP="00114D41">
      <w:pPr>
        <w:spacing w:line="240" w:lineRule="auto"/>
      </w:pPr>
      <w:r>
        <w:t>would be for the Tribunal to grant legal aid for legal representation and, in suitable cases,</w:t>
      </w:r>
    </w:p>
    <w:p w:rsidR="00F04B69" w:rsidRDefault="00B26368" w:rsidP="00114D41">
      <w:pPr>
        <w:spacing w:line="240" w:lineRule="auto"/>
      </w:pPr>
      <w:r>
        <w:t>independent expert evidence at the outset of a patient’s detention. Moreover, strict timetables</w:t>
      </w:r>
    </w:p>
    <w:p w:rsidR="00A7013F" w:rsidRDefault="00A7013F" w:rsidP="00114D41">
      <w:pPr>
        <w:spacing w:line="240" w:lineRule="auto"/>
      </w:pPr>
      <w:proofErr w:type="gramStart"/>
      <w:r>
        <w:t>must</w:t>
      </w:r>
      <w:proofErr w:type="gramEnd"/>
      <w:r>
        <w:t xml:space="preserve"> be laid down and adhered to for the service of the RMO’s report and, where appropriate, the</w:t>
      </w:r>
    </w:p>
    <w:p w:rsidR="00A7013F" w:rsidRDefault="00A7013F" w:rsidP="00114D41">
      <w:pPr>
        <w:spacing w:line="240" w:lineRule="auto"/>
      </w:pPr>
      <w:r>
        <w:t>Secretary of State’s objections, bearing in mind the obligation in Article 5(4) that hearings be</w:t>
      </w:r>
    </w:p>
    <w:p w:rsidR="00A7013F" w:rsidRDefault="00A7013F" w:rsidP="00114D41">
      <w:pPr>
        <w:spacing w:line="240" w:lineRule="auto"/>
      </w:pPr>
      <w:r>
        <w:t>‘speedy’. It should be noted, however, that where the Tribunal has given a patient adequate time</w:t>
      </w:r>
    </w:p>
    <w:p w:rsidR="00A7013F" w:rsidRDefault="00A7013F" w:rsidP="00114D41">
      <w:pPr>
        <w:spacing w:line="240" w:lineRule="auto"/>
      </w:pPr>
      <w:r>
        <w:t>and facilities to prepare his case by adjourning the proceedings, there is unlikely to be a breach of</w:t>
      </w:r>
    </w:p>
    <w:p w:rsidR="00A7013F" w:rsidRDefault="00A7013F" w:rsidP="00114D41">
      <w:pPr>
        <w:spacing w:line="240" w:lineRule="auto"/>
      </w:pPr>
      <w:r>
        <w:t>Article 5(4) if the final hearing does not take place within the usual time limits</w:t>
      </w:r>
      <w:r>
        <w:rPr>
          <w:rStyle w:val="FootnoteReference"/>
        </w:rPr>
        <w:footnoteReference w:customMarkFollows="1" w:id="47"/>
        <w:t>46</w:t>
      </w:r>
      <w:r>
        <w:t>.</w:t>
      </w:r>
    </w:p>
    <w:p w:rsidR="00A7013F" w:rsidRDefault="00A7013F" w:rsidP="00114D41">
      <w:pPr>
        <w:spacing w:line="240" w:lineRule="auto"/>
      </w:pPr>
      <w:r>
        <w:t>Further comment must await more detailed proposals.</w:t>
      </w:r>
    </w:p>
    <w:p w:rsidR="009F6CD8" w:rsidRPr="009F6CD8" w:rsidRDefault="009F6CD8" w:rsidP="00114D41">
      <w:pPr>
        <w:spacing w:line="240" w:lineRule="auto"/>
        <w:rPr>
          <w:b/>
        </w:rPr>
      </w:pPr>
    </w:p>
    <w:p w:rsidR="009F6CD8" w:rsidRPr="009F6CD8" w:rsidRDefault="009F6CD8" w:rsidP="00114D41">
      <w:pPr>
        <w:spacing w:line="240" w:lineRule="auto"/>
        <w:rPr>
          <w:b/>
        </w:rPr>
      </w:pPr>
      <w:r w:rsidRPr="009F6CD8">
        <w:rPr>
          <w:b/>
        </w:rPr>
        <w:t>(4) Compulsory Community Orders</w:t>
      </w:r>
    </w:p>
    <w:p w:rsidR="009F6CD8" w:rsidRDefault="009F6CD8" w:rsidP="00114D41">
      <w:pPr>
        <w:spacing w:line="240" w:lineRule="auto"/>
      </w:pPr>
      <w:r>
        <w:t>The centerpiece of the Government proposals is the Compulsory Community Order (CCO)</w:t>
      </w:r>
    </w:p>
    <w:p w:rsidR="009F6CD8" w:rsidRDefault="009F6CD8" w:rsidP="00114D41">
      <w:pPr>
        <w:spacing w:line="240" w:lineRule="auto"/>
      </w:pPr>
      <w:r>
        <w:t>(Chapter 6, §§4-12). The CCO will place patients subject to similar conditions as restricted patients</w:t>
      </w:r>
    </w:p>
    <w:p w:rsidR="009F6CD8" w:rsidRDefault="009F6CD8" w:rsidP="00114D41">
      <w:pPr>
        <w:spacing w:line="240" w:lineRule="auto"/>
      </w:pPr>
      <w:r>
        <w:t>who are currently subject to conditional discharge. It will impose greater restrictions on the</w:t>
      </w:r>
    </w:p>
    <w:p w:rsidR="009F6CD8" w:rsidRDefault="009F6CD8" w:rsidP="009F6CD8">
      <w:pPr>
        <w:spacing w:line="240" w:lineRule="auto"/>
      </w:pPr>
      <w:r>
        <w:lastRenderedPageBreak/>
        <w:t>patient’s liberty than supervision orders imposed under section 25A Mental Health Act, as there</w:t>
      </w:r>
    </w:p>
    <w:p w:rsidR="009F6CD8" w:rsidRDefault="009F6CD8" w:rsidP="009F6CD8">
      <w:pPr>
        <w:spacing w:line="240" w:lineRule="auto"/>
      </w:pPr>
      <w:r>
        <w:t>will be a power to impose compulsory treatment in the community (albeit in a ‘stipulated place’).</w:t>
      </w:r>
    </w:p>
    <w:p w:rsidR="009F6CD8" w:rsidRDefault="009F6CD8" w:rsidP="009F6CD8">
      <w:pPr>
        <w:spacing w:line="240" w:lineRule="auto"/>
      </w:pPr>
      <w:r>
        <w:t>A CCO will not usually have Article 5 implications as a patient who is subject to conditions upon</w:t>
      </w:r>
    </w:p>
    <w:p w:rsidR="009F6CD8" w:rsidRDefault="009F6CD8" w:rsidP="009F6CD8">
      <w:pPr>
        <w:spacing w:line="240" w:lineRule="auto"/>
      </w:pPr>
      <w:proofErr w:type="gramStart"/>
      <w:r>
        <w:t>his</w:t>
      </w:r>
      <w:proofErr w:type="gramEnd"/>
      <w:r>
        <w:t xml:space="preserve"> freedom of movement (such as conditions of residence, treatment and the like) is not usually</w:t>
      </w:r>
    </w:p>
    <w:p w:rsidR="009F6CD8" w:rsidRDefault="009F6CD8" w:rsidP="009F6CD8">
      <w:pPr>
        <w:spacing w:line="240" w:lineRule="auto"/>
      </w:pPr>
      <w:r>
        <w:t>‘deprived of his liberty’ for the purposes of Article 5; he is merely subject to restrictions on his</w:t>
      </w:r>
    </w:p>
    <w:p w:rsidR="009F6CD8" w:rsidRDefault="009F6CD8" w:rsidP="009F6CD8">
      <w:pPr>
        <w:spacing w:line="240" w:lineRule="auto"/>
      </w:pPr>
      <w:r>
        <w:t>liberty of movement</w:t>
      </w:r>
      <w:r w:rsidR="00114D41">
        <w:rPr>
          <w:rStyle w:val="FootnoteReference"/>
        </w:rPr>
        <w:footnoteReference w:customMarkFollows="1" w:id="48"/>
        <w:t>47</w:t>
      </w:r>
      <w:r>
        <w:t>. Article 2 of Protocol No. 4, which prohibits unjustifiable restrictions on</w:t>
      </w:r>
    </w:p>
    <w:p w:rsidR="009F6CD8" w:rsidRDefault="009F6CD8" w:rsidP="009F6CD8">
      <w:pPr>
        <w:spacing w:line="240" w:lineRule="auto"/>
      </w:pPr>
      <w:r>
        <w:t>liberty of movement, has not been incorporated by the Human Rights Act. There will be</w:t>
      </w:r>
    </w:p>
    <w:p w:rsidR="009F6CD8" w:rsidRDefault="009F6CD8" w:rsidP="009F6CD8">
      <w:pPr>
        <w:spacing w:line="240" w:lineRule="auto"/>
      </w:pPr>
      <w:r>
        <w:t>circumstances, however, where the conditions under a CCO (e.g. the requirement to stay in a</w:t>
      </w:r>
    </w:p>
    <w:p w:rsidR="009F6CD8" w:rsidRDefault="009F6CD8" w:rsidP="009F6CD8">
      <w:pPr>
        <w:spacing w:line="240" w:lineRule="auto"/>
      </w:pPr>
      <w:r>
        <w:t>‘stipulated place’) may be so invasive as to constitute a ‘deprivation’ of liberty; the question is one</w:t>
      </w:r>
    </w:p>
    <w:p w:rsidR="009F6CD8" w:rsidRDefault="009F6CD8" w:rsidP="009F6CD8">
      <w:pPr>
        <w:spacing w:line="240" w:lineRule="auto"/>
      </w:pPr>
      <w:proofErr w:type="gramStart"/>
      <w:r>
        <w:t>of</w:t>
      </w:r>
      <w:proofErr w:type="gramEnd"/>
      <w:r>
        <w:t xml:space="preserve"> the ‘degree or intensity’ of the restrictions, rather than their ‘nature or substance’.</w:t>
      </w:r>
    </w:p>
    <w:p w:rsidR="009F6CD8" w:rsidRDefault="009F6CD8" w:rsidP="009F6CD8">
      <w:pPr>
        <w:spacing w:line="240" w:lineRule="auto"/>
      </w:pPr>
      <w:r>
        <w:t>A CCO will, however, have Article 8 (Right to respect for private and family life) implications,</w:t>
      </w:r>
    </w:p>
    <w:p w:rsidR="009F6CD8" w:rsidRDefault="009F6CD8" w:rsidP="009F6CD8">
      <w:pPr>
        <w:spacing w:line="240" w:lineRule="auto"/>
      </w:pPr>
      <w:r>
        <w:t>although potentially justifiable under the exception in Article 8(2) in relation to ‘health’ or the</w:t>
      </w:r>
    </w:p>
    <w:p w:rsidR="009F6CD8" w:rsidRDefault="009F6CD8" w:rsidP="009F6CD8">
      <w:pPr>
        <w:spacing w:line="240" w:lineRule="auto"/>
      </w:pPr>
      <w:r>
        <w:t>protection of the rights and freedoms of others in all cases other than where it will be a</w:t>
      </w:r>
    </w:p>
    <w:p w:rsidR="009F6CD8" w:rsidRDefault="009F6CD8" w:rsidP="009F6CD8">
      <w:pPr>
        <w:spacing w:line="240" w:lineRule="auto"/>
      </w:pPr>
      <w:r>
        <w:t>‘disproportionate’ response to the patient’s condition. It will very much depend on the kind of</w:t>
      </w:r>
    </w:p>
    <w:p w:rsidR="009F6CD8" w:rsidRDefault="009F6CD8" w:rsidP="009F6CD8">
      <w:pPr>
        <w:spacing w:line="240" w:lineRule="auto"/>
      </w:pPr>
      <w:r>
        <w:t>treatment that is imposed in the community as to whether it will be justified under Article 8(2).</w:t>
      </w:r>
    </w:p>
    <w:p w:rsidR="009F6CD8" w:rsidRDefault="009F6CD8" w:rsidP="009F6CD8">
      <w:pPr>
        <w:spacing w:line="240" w:lineRule="auto"/>
      </w:pPr>
      <w:r>
        <w:t>The proposed power to convey a patient to hospital (Chapter 6, §12) will, on the other hand,</w:t>
      </w:r>
    </w:p>
    <w:p w:rsidR="009F6CD8" w:rsidRDefault="009F6CD8" w:rsidP="009F6CD8">
      <w:pPr>
        <w:spacing w:line="240" w:lineRule="auto"/>
      </w:pPr>
      <w:r>
        <w:t>engage Article 5. As with recalled conditionally discharged patients (see above), the recall must be</w:t>
      </w:r>
    </w:p>
    <w:p w:rsidR="009F6CD8" w:rsidRDefault="009F6CD8" w:rsidP="009F6CD8">
      <w:pPr>
        <w:spacing w:line="240" w:lineRule="auto"/>
      </w:pPr>
      <w:r>
        <w:t>on the basis of objective medical evidence of a ‘true mental disorder’, with a right to a speedy</w:t>
      </w:r>
    </w:p>
    <w:p w:rsidR="009F6CD8" w:rsidRDefault="009F6CD8" w:rsidP="009F6CD8">
      <w:pPr>
        <w:spacing w:line="240" w:lineRule="auto"/>
      </w:pPr>
      <w:r>
        <w:t>tribunal hearing, to satisfy the requirements of Article 5(1) and 5(4), other than in emergency</w:t>
      </w:r>
    </w:p>
    <w:p w:rsidR="009F6CD8" w:rsidRDefault="009F6CD8" w:rsidP="009F6CD8">
      <w:pPr>
        <w:spacing w:line="240" w:lineRule="auto"/>
      </w:pPr>
      <w:r>
        <w:t>situations.</w:t>
      </w:r>
    </w:p>
    <w:p w:rsidR="00A7013F" w:rsidRDefault="00A7013F" w:rsidP="00A7013F">
      <w:pPr>
        <w:spacing w:line="240" w:lineRule="auto"/>
      </w:pPr>
    </w:p>
    <w:p w:rsidR="00256C84" w:rsidRPr="00256C84" w:rsidRDefault="00256C84" w:rsidP="00256C84">
      <w:pPr>
        <w:spacing w:line="240" w:lineRule="auto"/>
        <w:rPr>
          <w:b/>
        </w:rPr>
      </w:pPr>
      <w:r w:rsidRPr="00256C84">
        <w:rPr>
          <w:b/>
        </w:rPr>
        <w:t>(5) Compulsory Detention in Criminal Proceedings</w:t>
      </w:r>
    </w:p>
    <w:p w:rsidR="00256C84" w:rsidRDefault="00256C84" w:rsidP="00256C84">
      <w:pPr>
        <w:spacing w:line="240" w:lineRule="auto"/>
      </w:pPr>
      <w:r>
        <w:t>The Government proposals for compulsory detention in the criminal justice system differ little</w:t>
      </w:r>
    </w:p>
    <w:p w:rsidR="00256C84" w:rsidRDefault="00256C84" w:rsidP="00256C84">
      <w:pPr>
        <w:spacing w:line="240" w:lineRule="auto"/>
      </w:pPr>
      <w:r>
        <w:t>from the current Mental Health Act Part III procedures (Green Paper, Chapter 8), save in respect</w:t>
      </w:r>
    </w:p>
    <w:p w:rsidR="00256C84" w:rsidRDefault="00256C84" w:rsidP="00256C84">
      <w:pPr>
        <w:spacing w:line="240" w:lineRule="auto"/>
      </w:pPr>
      <w:r>
        <w:t>of those considered to suffer from Dangerous Severe Personality Disorder (DSPD), considered</w:t>
      </w:r>
    </w:p>
    <w:p w:rsidR="00256C84" w:rsidRDefault="00256C84" w:rsidP="00256C84">
      <w:pPr>
        <w:spacing w:line="240" w:lineRule="auto"/>
      </w:pPr>
      <w:r>
        <w:t>later in this article. Two Convention issues do arise, however; one from the existing Mental Health</w:t>
      </w:r>
    </w:p>
    <w:p w:rsidR="00995280" w:rsidRDefault="00256C84" w:rsidP="00256C84">
      <w:pPr>
        <w:spacing w:line="240" w:lineRule="auto"/>
      </w:pPr>
      <w:r>
        <w:t>Act, one from the new proposals.</w:t>
      </w:r>
    </w:p>
    <w:p w:rsidR="00256C84" w:rsidRDefault="00256C84" w:rsidP="00256C84">
      <w:pPr>
        <w:spacing w:line="240" w:lineRule="auto"/>
      </w:pPr>
      <w:r>
        <w:t>First, Section 51 of the Mental Health Act, which permits a Crown Court judge to make a section</w:t>
      </w:r>
    </w:p>
    <w:p w:rsidR="00256C84" w:rsidRDefault="00256C84" w:rsidP="008652B8">
      <w:pPr>
        <w:spacing w:line="240" w:lineRule="auto"/>
      </w:pPr>
      <w:r>
        <w:lastRenderedPageBreak/>
        <w:t>37/41 restriction order in respect of a person charged with an offence who is suffering from a</w:t>
      </w:r>
    </w:p>
    <w:p w:rsidR="00256C84" w:rsidRDefault="00256C84" w:rsidP="008652B8">
      <w:pPr>
        <w:spacing w:line="240" w:lineRule="auto"/>
      </w:pPr>
      <w:r>
        <w:t>mental disorder, without a conviction or a finding that he had ‘done the act or made the omission</w:t>
      </w:r>
    </w:p>
    <w:p w:rsidR="00256C84" w:rsidRDefault="00256C84" w:rsidP="008652B8">
      <w:pPr>
        <w:spacing w:line="240" w:lineRule="auto"/>
      </w:pPr>
      <w:r>
        <w:t>charged’ (as required for a finding of Unfitness to Plead or Insanity), where it is ‘impracticable or</w:t>
      </w:r>
    </w:p>
    <w:p w:rsidR="00256C84" w:rsidRDefault="00256C84" w:rsidP="008652B8">
      <w:pPr>
        <w:spacing w:line="240" w:lineRule="auto"/>
      </w:pPr>
      <w:r>
        <w:t>inappropriate to bring the detainee before the court’. There is no appeal against such an order (as</w:t>
      </w:r>
    </w:p>
    <w:p w:rsidR="00256C84" w:rsidRDefault="00256C84" w:rsidP="008652B8">
      <w:pPr>
        <w:spacing w:line="240" w:lineRule="auto"/>
      </w:pPr>
      <w:r>
        <w:t>an appeal against sentence under section 9 Criminal Appeals Act 1968 requires a person to have</w:t>
      </w:r>
    </w:p>
    <w:p w:rsidR="00256C84" w:rsidRDefault="00256C84" w:rsidP="008652B8">
      <w:pPr>
        <w:spacing w:line="240" w:lineRule="auto"/>
      </w:pPr>
      <w:r>
        <w:t>been ‘convicted’), and there is no power (unlike in the case of a person found unfit to plead) to</w:t>
      </w:r>
    </w:p>
    <w:p w:rsidR="00256C84" w:rsidRDefault="00256C84" w:rsidP="008652B8">
      <w:pPr>
        <w:spacing w:line="240" w:lineRule="auto"/>
      </w:pPr>
      <w:r>
        <w:t>remit his case back to Court for trial in the event that he recovers. Accordingly, the patient is</w:t>
      </w:r>
    </w:p>
    <w:p w:rsidR="00256C84" w:rsidRDefault="00256C84" w:rsidP="008652B8">
      <w:pPr>
        <w:spacing w:line="240" w:lineRule="auto"/>
      </w:pPr>
      <w:r>
        <w:t>subject to ‘sentence’ in criminal proceedings in circumstances where there has been no trial, and</w:t>
      </w:r>
    </w:p>
    <w:p w:rsidR="00256C84" w:rsidRDefault="00256C84" w:rsidP="008652B8">
      <w:pPr>
        <w:spacing w:line="240" w:lineRule="auto"/>
      </w:pPr>
      <w:r>
        <w:t>where there is no prospect of any such trial in future. Section 51 appears to be incompatible with</w:t>
      </w:r>
    </w:p>
    <w:p w:rsidR="00256C84" w:rsidRDefault="00256C84" w:rsidP="008652B8">
      <w:pPr>
        <w:spacing w:line="240" w:lineRule="auto"/>
      </w:pPr>
      <w:r>
        <w:t>Article 6.</w:t>
      </w:r>
    </w:p>
    <w:p w:rsidR="00256C84" w:rsidRDefault="00256C84" w:rsidP="008652B8">
      <w:pPr>
        <w:spacing w:line="240" w:lineRule="auto"/>
      </w:pPr>
      <w:r>
        <w:t>Second, of some concern is the Green Paper proposal that a criminal court can make an</w:t>
      </w:r>
    </w:p>
    <w:p w:rsidR="00256C84" w:rsidRDefault="00256C84" w:rsidP="008652B8">
      <w:pPr>
        <w:spacing w:line="240" w:lineRule="auto"/>
      </w:pPr>
      <w:r>
        <w:t>assessment order of up to 3 months, renewable up to 12 months (Chapter 8, §13) - if the proposal</w:t>
      </w:r>
    </w:p>
    <w:p w:rsidR="00256C84" w:rsidRDefault="00256C84" w:rsidP="008652B8">
      <w:pPr>
        <w:spacing w:line="240" w:lineRule="auto"/>
      </w:pPr>
      <w:r>
        <w:t>is intended to cover unconvicted defendants as well as those convicted. At present a court may</w:t>
      </w:r>
    </w:p>
    <w:p w:rsidR="00256C84" w:rsidRDefault="00256C84" w:rsidP="008652B8">
      <w:pPr>
        <w:spacing w:line="240" w:lineRule="auto"/>
      </w:pPr>
      <w:r>
        <w:t>only remand an unconvicted defendant to hospital for assessment (s. 35) or treatment (s. 36) for 28</w:t>
      </w:r>
    </w:p>
    <w:p w:rsidR="00256C84" w:rsidRDefault="00256C84" w:rsidP="008652B8">
      <w:pPr>
        <w:spacing w:line="240" w:lineRule="auto"/>
      </w:pPr>
      <w:r>
        <w:t>days, renewable for up to 12 weeks. A detention of up to 12 months prior to conviction cannot be</w:t>
      </w:r>
    </w:p>
    <w:p w:rsidR="00256C84" w:rsidRDefault="00256C84" w:rsidP="008652B8">
      <w:pPr>
        <w:spacing w:line="240" w:lineRule="auto"/>
      </w:pPr>
      <w:proofErr w:type="gramStart"/>
      <w:r>
        <w:t>justified</w:t>
      </w:r>
      <w:proofErr w:type="gramEnd"/>
      <w:r>
        <w:t xml:space="preserve"> under Article 5(1</w:t>
      </w:r>
      <w:r w:rsidR="008652B8">
        <w:t>) (</w:t>
      </w:r>
      <w:r>
        <w:t>a) (conviction by a competent court) or Article 5(1)(c) if the offence</w:t>
      </w:r>
    </w:p>
    <w:p w:rsidR="00256C84" w:rsidRDefault="00256C84" w:rsidP="008652B8">
      <w:pPr>
        <w:spacing w:line="240" w:lineRule="auto"/>
      </w:pPr>
      <w:r>
        <w:t>with which the patient is charged is not one that would justify a remand in custody for such a long</w:t>
      </w:r>
    </w:p>
    <w:p w:rsidR="00256C84" w:rsidRDefault="00256C84" w:rsidP="008652B8">
      <w:pPr>
        <w:spacing w:line="240" w:lineRule="auto"/>
      </w:pPr>
      <w:r>
        <w:t>period (i.e. most offences). Nor could a detention for such a period for assessment be justified</w:t>
      </w:r>
    </w:p>
    <w:p w:rsidR="00256C84" w:rsidRDefault="00256C84" w:rsidP="008652B8">
      <w:pPr>
        <w:spacing w:line="240" w:lineRule="auto"/>
      </w:pPr>
      <w:r>
        <w:t>under Article 5(1) (e), which permits detention for only a short ‘emergency’ assessment period of 28</w:t>
      </w:r>
    </w:p>
    <w:p w:rsidR="00256C84" w:rsidRDefault="00256C84" w:rsidP="008652B8">
      <w:pPr>
        <w:spacing w:line="240" w:lineRule="auto"/>
      </w:pPr>
      <w:r>
        <w:t>days before the full criteria for detention have to be satisfied.</w:t>
      </w:r>
    </w:p>
    <w:p w:rsidR="00256C84" w:rsidRDefault="00256C84" w:rsidP="008652B8">
      <w:pPr>
        <w:spacing w:line="240" w:lineRule="auto"/>
      </w:pPr>
    </w:p>
    <w:p w:rsidR="00256C84" w:rsidRPr="008652B8" w:rsidRDefault="00256C84" w:rsidP="008652B8">
      <w:pPr>
        <w:spacing w:line="240" w:lineRule="auto"/>
        <w:rPr>
          <w:b/>
        </w:rPr>
      </w:pPr>
      <w:r w:rsidRPr="008652B8">
        <w:rPr>
          <w:b/>
        </w:rPr>
        <w:t>(6) Patients transferred from prison</w:t>
      </w:r>
    </w:p>
    <w:p w:rsidR="00256C84" w:rsidRDefault="00256C84" w:rsidP="008652B8">
      <w:pPr>
        <w:spacing w:line="240" w:lineRule="auto"/>
      </w:pPr>
      <w:r>
        <w:t>The current arrangements for the transfer of prisoners to hospital are not considered to need</w:t>
      </w:r>
    </w:p>
    <w:p w:rsidR="00256C84" w:rsidRDefault="00256C84" w:rsidP="008652B8">
      <w:pPr>
        <w:spacing w:line="240" w:lineRule="auto"/>
      </w:pPr>
      <w:r>
        <w:t>‘significant legislative change’ (Chapter 8, §36). However, two aspects of the current regime do</w:t>
      </w:r>
    </w:p>
    <w:p w:rsidR="00256C84" w:rsidRDefault="00256C84" w:rsidP="008652B8">
      <w:pPr>
        <w:spacing w:line="240" w:lineRule="auto"/>
      </w:pPr>
      <w:r>
        <w:t>require scrutiny in the light of Convention principles. They are:</w:t>
      </w:r>
    </w:p>
    <w:p w:rsidR="00256C84" w:rsidRDefault="00256C84" w:rsidP="008652B8">
      <w:pPr>
        <w:spacing w:line="240" w:lineRule="auto"/>
      </w:pPr>
      <w:r>
        <w:t>(</w:t>
      </w:r>
      <w:proofErr w:type="spellStart"/>
      <w:r>
        <w:t>i</w:t>
      </w:r>
      <w:proofErr w:type="spellEnd"/>
      <w:r>
        <w:t>) Treatment of prisoners with mental disorders.</w:t>
      </w:r>
    </w:p>
    <w:p w:rsidR="00256C84" w:rsidRDefault="00256C84" w:rsidP="008652B8">
      <w:pPr>
        <w:spacing w:line="240" w:lineRule="auto"/>
      </w:pPr>
      <w:r>
        <w:t>(ii) Discharge of transferred life prisoners.</w:t>
      </w:r>
    </w:p>
    <w:p w:rsidR="00256C84" w:rsidRDefault="00256C84" w:rsidP="008652B8">
      <w:pPr>
        <w:spacing w:line="240" w:lineRule="auto"/>
      </w:pPr>
      <w:r w:rsidRPr="008652B8">
        <w:rPr>
          <w:i/>
        </w:rPr>
        <w:t>Treatment of prisoners with mental disorders.</w:t>
      </w:r>
      <w:r>
        <w:t xml:space="preserve"> Neither the current, nor the proposed, Mental Health</w:t>
      </w:r>
    </w:p>
    <w:p w:rsidR="00256C84" w:rsidRDefault="00256C84" w:rsidP="008652B8">
      <w:pPr>
        <w:spacing w:line="240" w:lineRule="auto"/>
      </w:pPr>
      <w:r>
        <w:t>Acts provide any power to treat prisoners with mental disorders without their consent; nor, it</w:t>
      </w:r>
    </w:p>
    <w:p w:rsidR="00256C84" w:rsidRDefault="00256C84" w:rsidP="008652B8">
      <w:pPr>
        <w:spacing w:line="240" w:lineRule="auto"/>
      </w:pPr>
      <w:r>
        <w:t>follows, are there any statutory safeguards against inappropriate or arbitrary treatment. This is in</w:t>
      </w:r>
    </w:p>
    <w:p w:rsidR="00256C84" w:rsidRDefault="00256C84" w:rsidP="008652B8">
      <w:pPr>
        <w:spacing w:line="240" w:lineRule="auto"/>
      </w:pPr>
      <w:r>
        <w:lastRenderedPageBreak/>
        <w:t>contrast with the position of patients detained in mental hospitals, who may be treated without</w:t>
      </w:r>
    </w:p>
    <w:p w:rsidR="00256C84" w:rsidRDefault="00256C84" w:rsidP="008652B8">
      <w:pPr>
        <w:spacing w:line="240" w:lineRule="auto"/>
      </w:pPr>
      <w:r>
        <w:t>their consent provided the safeguards set out in Part IV of the Mental Health Act 1983 are</w:t>
      </w:r>
    </w:p>
    <w:p w:rsidR="00256C84" w:rsidRDefault="00256C84" w:rsidP="008652B8">
      <w:pPr>
        <w:spacing w:line="240" w:lineRule="auto"/>
      </w:pPr>
      <w:r>
        <w:t>complied with. Those safeguards include the requirement that certain treatment (including any</w:t>
      </w:r>
    </w:p>
    <w:p w:rsidR="00256C84" w:rsidRDefault="00256C84" w:rsidP="008652B8">
      <w:pPr>
        <w:spacing w:line="240" w:lineRule="auto"/>
      </w:pPr>
      <w:r>
        <w:t>course of medication administered for more than three months) may be given only where a second</w:t>
      </w:r>
    </w:p>
    <w:p w:rsidR="00256C84" w:rsidRDefault="00256C84" w:rsidP="008652B8">
      <w:pPr>
        <w:spacing w:line="240" w:lineRule="auto"/>
      </w:pPr>
      <w:r>
        <w:t>opinion has been obtained from an independent psychiatrist appointed by the Mental Health Act</w:t>
      </w:r>
    </w:p>
    <w:p w:rsidR="00256C84" w:rsidRDefault="00256C84" w:rsidP="008652B8">
      <w:pPr>
        <w:spacing w:line="240" w:lineRule="auto"/>
      </w:pPr>
      <w:r>
        <w:t>Commission.</w:t>
      </w:r>
    </w:p>
    <w:p w:rsidR="00F002F2" w:rsidRDefault="00F002F2" w:rsidP="008652B8">
      <w:pPr>
        <w:spacing w:line="240" w:lineRule="auto"/>
      </w:pPr>
    </w:p>
    <w:p w:rsidR="00256C84" w:rsidRDefault="00256C84" w:rsidP="008652B8">
      <w:pPr>
        <w:spacing w:line="240" w:lineRule="auto"/>
      </w:pPr>
      <w:r>
        <w:t>The compulsory treatment of mentally disordered prisoners may be justified at common law</w:t>
      </w:r>
    </w:p>
    <w:p w:rsidR="00256C84" w:rsidRDefault="00256C84" w:rsidP="008652B8">
      <w:pPr>
        <w:spacing w:line="240" w:lineRule="auto"/>
      </w:pPr>
      <w:r>
        <w:t>under the doctrine of ‘necessity’, where the prisoner lacks capacity to consent to such treatment</w:t>
      </w:r>
    </w:p>
    <w:p w:rsidR="00256C84" w:rsidRDefault="00256C84" w:rsidP="008652B8">
      <w:pPr>
        <w:spacing w:line="240" w:lineRule="auto"/>
      </w:pPr>
      <w:r>
        <w:t>which must be in his ‘best interests’. This is considered further, below, under ‘the right to refuse</w:t>
      </w:r>
    </w:p>
    <w:p w:rsidR="00256C84" w:rsidRDefault="00256C84" w:rsidP="008652B8">
      <w:pPr>
        <w:spacing w:line="240" w:lineRule="auto"/>
      </w:pPr>
      <w:r>
        <w:t>treatment’. The imposition of such treatment is regulated by Standing Order 25 and Health Care</w:t>
      </w:r>
    </w:p>
    <w:p w:rsidR="00256C84" w:rsidRDefault="00256C84" w:rsidP="008652B8">
      <w:pPr>
        <w:spacing w:line="240" w:lineRule="auto"/>
      </w:pPr>
      <w:r>
        <w:t>Standards 2.4(f) and 9.4(m), which provide some safeguards (including the requirement of an</w:t>
      </w:r>
    </w:p>
    <w:p w:rsidR="00256C84" w:rsidRDefault="00256C84" w:rsidP="008652B8">
      <w:pPr>
        <w:spacing w:line="240" w:lineRule="auto"/>
      </w:pPr>
      <w:r>
        <w:t>independent second opinion). However, these guidelines do not have statutory force. Bearing in</w:t>
      </w:r>
    </w:p>
    <w:p w:rsidR="008652B8" w:rsidRDefault="008652B8" w:rsidP="008652B8">
      <w:pPr>
        <w:spacing w:line="240" w:lineRule="auto"/>
      </w:pPr>
      <w:r>
        <w:t>mind that any invasive treatment constitutes an interference with an individual’s right to private</w:t>
      </w:r>
    </w:p>
    <w:p w:rsidR="008652B8" w:rsidRDefault="008652B8" w:rsidP="008652B8">
      <w:pPr>
        <w:spacing w:line="240" w:lineRule="auto"/>
      </w:pPr>
      <w:r>
        <w:t>life under Article 8(1), to be justified under Article 8(2) it must be ‘in accordance with the law’.</w:t>
      </w:r>
    </w:p>
    <w:p w:rsidR="008652B8" w:rsidRDefault="008652B8" w:rsidP="008652B8">
      <w:pPr>
        <w:spacing w:line="240" w:lineRule="auto"/>
      </w:pPr>
      <w:r>
        <w:t>The word ‘law’ in the expression ‘in accordance with the law’ covers not only statute but also</w:t>
      </w:r>
    </w:p>
    <w:p w:rsidR="008652B8" w:rsidRDefault="008652B8" w:rsidP="008652B8">
      <w:pPr>
        <w:spacing w:line="240" w:lineRule="auto"/>
      </w:pPr>
      <w:r>
        <w:t>unwritten law such as the English common law</w:t>
      </w:r>
      <w:r>
        <w:rPr>
          <w:rStyle w:val="FootnoteReference"/>
        </w:rPr>
        <w:footnoteReference w:customMarkFollows="1" w:id="49"/>
        <w:t>48</w:t>
      </w:r>
      <w:r>
        <w:t>. However, the expression ‘prescribed by law’ is</w:t>
      </w:r>
    </w:p>
    <w:p w:rsidR="008652B8" w:rsidRDefault="008652B8" w:rsidP="008652B8">
      <w:pPr>
        <w:spacing w:line="240" w:lineRule="auto"/>
      </w:pPr>
      <w:r>
        <w:t>not limited to the requirement that the measure in question has some basis in ‘law’, whether statute</w:t>
      </w:r>
    </w:p>
    <w:p w:rsidR="008652B8" w:rsidRDefault="008652B8" w:rsidP="008652B8">
      <w:pPr>
        <w:spacing w:line="240" w:lineRule="auto"/>
      </w:pPr>
      <w:proofErr w:type="gramStart"/>
      <w:r>
        <w:t>or</w:t>
      </w:r>
      <w:proofErr w:type="gramEnd"/>
      <w:r>
        <w:t xml:space="preserve"> common law, but includes the following further requirements: (a) the law in question must be</w:t>
      </w:r>
    </w:p>
    <w:p w:rsidR="008652B8" w:rsidRDefault="008652B8" w:rsidP="008652B8">
      <w:pPr>
        <w:spacing w:line="240" w:lineRule="auto"/>
      </w:pPr>
      <w:r>
        <w:t>sufficiently accessible: the citizen must be able to have an indication that is adequate in the</w:t>
      </w:r>
    </w:p>
    <w:p w:rsidR="008652B8" w:rsidRDefault="008652B8" w:rsidP="008652B8">
      <w:pPr>
        <w:spacing w:line="240" w:lineRule="auto"/>
      </w:pPr>
      <w:r>
        <w:t>circumstances of the legal rules applicable to a given case</w:t>
      </w:r>
      <w:r>
        <w:rPr>
          <w:rStyle w:val="FootnoteReference"/>
        </w:rPr>
        <w:footnoteReference w:customMarkFollows="1" w:id="50"/>
        <w:t>49</w:t>
      </w:r>
      <w:r>
        <w:t xml:space="preserve"> (the ‘accessibility test’); (b) the law in</w:t>
      </w:r>
    </w:p>
    <w:p w:rsidR="008652B8" w:rsidRDefault="008652B8" w:rsidP="008652B8">
      <w:pPr>
        <w:spacing w:line="240" w:lineRule="auto"/>
      </w:pPr>
      <w:r>
        <w:t>question must be formulated with sufficient precision to enable the citizen to regulate his conduct</w:t>
      </w:r>
    </w:p>
    <w:p w:rsidR="008652B8" w:rsidRDefault="008652B8" w:rsidP="008652B8">
      <w:pPr>
        <w:spacing w:line="240" w:lineRule="auto"/>
      </w:pPr>
      <w:r>
        <w:t>(</w:t>
      </w:r>
      <w:proofErr w:type="gramStart"/>
      <w:r>
        <w:t>the</w:t>
      </w:r>
      <w:proofErr w:type="gramEnd"/>
      <w:r>
        <w:t xml:space="preserve"> ‘foreseeability’ test). This element of the test requires the law in question to be compatible</w:t>
      </w:r>
    </w:p>
    <w:p w:rsidR="008652B8" w:rsidRDefault="008652B8" w:rsidP="008652B8">
      <w:pPr>
        <w:spacing w:line="240" w:lineRule="auto"/>
      </w:pPr>
      <w:r>
        <w:t>with the rule of law so as to include sufficient safeguards to protect the citizen from arbitrary</w:t>
      </w:r>
    </w:p>
    <w:p w:rsidR="008652B8" w:rsidRDefault="008652B8" w:rsidP="008652B8">
      <w:pPr>
        <w:spacing w:line="240" w:lineRule="auto"/>
      </w:pPr>
      <w:r>
        <w:t>interference with his Convention rights</w:t>
      </w:r>
      <w:r>
        <w:rPr>
          <w:rStyle w:val="FootnoteReference"/>
        </w:rPr>
        <w:footnoteReference w:customMarkFollows="1" w:id="51"/>
        <w:t>50</w:t>
      </w:r>
      <w:r>
        <w:t>.</w:t>
      </w:r>
    </w:p>
    <w:p w:rsidR="008652B8" w:rsidRDefault="008652B8" w:rsidP="008652B8">
      <w:pPr>
        <w:spacing w:line="240" w:lineRule="auto"/>
      </w:pPr>
    </w:p>
    <w:p w:rsidR="008652B8" w:rsidRDefault="008652B8" w:rsidP="008652B8">
      <w:pPr>
        <w:spacing w:line="240" w:lineRule="auto"/>
      </w:pPr>
      <w:r>
        <w:t>It is extremely doubtful whether the common law doctrine of ‘necessity’, taken together with the</w:t>
      </w:r>
    </w:p>
    <w:p w:rsidR="008652B8" w:rsidRDefault="008652B8" w:rsidP="008652B8">
      <w:pPr>
        <w:spacing w:line="240" w:lineRule="auto"/>
      </w:pPr>
      <w:r>
        <w:lastRenderedPageBreak/>
        <w:t>guidance contained in the Standing Order and Health Care guidance, complies with the</w:t>
      </w:r>
    </w:p>
    <w:p w:rsidR="008652B8" w:rsidRDefault="008652B8" w:rsidP="008652B8">
      <w:pPr>
        <w:spacing w:line="240" w:lineRule="auto"/>
      </w:pPr>
      <w:r>
        <w:t>requirement in Article 8(2) that the interference be ‘in accordance with the law’. This is particularly</w:t>
      </w:r>
    </w:p>
    <w:p w:rsidR="008652B8" w:rsidRDefault="008652B8" w:rsidP="008652B8">
      <w:pPr>
        <w:spacing w:line="240" w:lineRule="auto"/>
      </w:pPr>
      <w:proofErr w:type="gramStart"/>
      <w:r>
        <w:t>so</w:t>
      </w:r>
      <w:proofErr w:type="gramEnd"/>
      <w:r>
        <w:t xml:space="preserve"> as there is no means by which a patient may challenge the lawfulness of his treatment other than</w:t>
      </w:r>
    </w:p>
    <w:p w:rsidR="008652B8" w:rsidRDefault="008652B8" w:rsidP="008652B8">
      <w:pPr>
        <w:spacing w:line="240" w:lineRule="auto"/>
      </w:pPr>
      <w:proofErr w:type="gramStart"/>
      <w:r>
        <w:t>by</w:t>
      </w:r>
      <w:proofErr w:type="gramEnd"/>
      <w:r>
        <w:t xml:space="preserve"> bringing an action for damages after the event. There is no requirement for the prison</w:t>
      </w:r>
    </w:p>
    <w:p w:rsidR="008652B8" w:rsidRDefault="008652B8" w:rsidP="008652B8">
      <w:pPr>
        <w:spacing w:line="240" w:lineRule="auto"/>
      </w:pPr>
      <w:r>
        <w:t>authorities to seek prior authorization of a prisoner’s compulsory treatment</w:t>
      </w:r>
      <w:r w:rsidR="00F002F2">
        <w:rPr>
          <w:rStyle w:val="FootnoteReference"/>
        </w:rPr>
        <w:footnoteReference w:customMarkFollows="1" w:id="52"/>
        <w:t>51</w:t>
      </w:r>
      <w:r>
        <w:t>, so no judicial</w:t>
      </w:r>
    </w:p>
    <w:p w:rsidR="008652B8" w:rsidRDefault="008652B8" w:rsidP="008652B8">
      <w:pPr>
        <w:spacing w:line="240" w:lineRule="auto"/>
      </w:pPr>
      <w:r>
        <w:t>consideration is given to whether the prisoner has ‘capacity’ to consent to treatment and, if he does</w:t>
      </w:r>
    </w:p>
    <w:p w:rsidR="008652B8" w:rsidRDefault="008652B8" w:rsidP="008652B8">
      <w:pPr>
        <w:spacing w:line="240" w:lineRule="auto"/>
      </w:pPr>
      <w:r>
        <w:t>not, whether such treatment is in his ‘best interests’.</w:t>
      </w:r>
    </w:p>
    <w:p w:rsidR="00F002F2" w:rsidRDefault="00F002F2" w:rsidP="008652B8">
      <w:pPr>
        <w:spacing w:line="240" w:lineRule="auto"/>
      </w:pPr>
    </w:p>
    <w:p w:rsidR="008652B8" w:rsidRDefault="008652B8" w:rsidP="008652B8">
      <w:pPr>
        <w:spacing w:line="240" w:lineRule="auto"/>
      </w:pPr>
      <w:r>
        <w:t>In an action for damages a prisoner will face three particular hurdles which further erode the</w:t>
      </w:r>
    </w:p>
    <w:p w:rsidR="008652B8" w:rsidRDefault="008652B8" w:rsidP="008652B8">
      <w:pPr>
        <w:spacing w:line="240" w:lineRule="auto"/>
      </w:pPr>
      <w:r>
        <w:t>protection against arbitrary interference with his rights. First, it is for the prisoner to prove absence</w:t>
      </w:r>
    </w:p>
    <w:p w:rsidR="008652B8" w:rsidRDefault="008652B8" w:rsidP="008652B8">
      <w:pPr>
        <w:spacing w:line="240" w:lineRule="auto"/>
      </w:pPr>
      <w:proofErr w:type="gramStart"/>
      <w:r>
        <w:t>of</w:t>
      </w:r>
      <w:proofErr w:type="gramEnd"/>
      <w:r>
        <w:t xml:space="preserve"> consent</w:t>
      </w:r>
      <w:r w:rsidR="00F002F2">
        <w:rPr>
          <w:rStyle w:val="FootnoteReference"/>
        </w:rPr>
        <w:footnoteReference w:customMarkFollows="1" w:id="53"/>
        <w:t>52</w:t>
      </w:r>
      <w:r>
        <w:t>. Second, the duty of care owed by a prison is a lower one than that owed by a</w:t>
      </w:r>
    </w:p>
    <w:p w:rsidR="008652B8" w:rsidRDefault="008652B8" w:rsidP="008652B8">
      <w:pPr>
        <w:spacing w:line="240" w:lineRule="auto"/>
      </w:pPr>
      <w:r>
        <w:t>hospital</w:t>
      </w:r>
      <w:r w:rsidR="00F002F2">
        <w:rPr>
          <w:rStyle w:val="FootnoteReference"/>
        </w:rPr>
        <w:footnoteReference w:customMarkFollows="1" w:id="54"/>
        <w:t>53</w:t>
      </w:r>
      <w:r>
        <w:t xml:space="preserve">. Third, the defendant will be entitled to rely upon the maxim </w:t>
      </w:r>
      <w:r w:rsidRPr="00DE5A2E">
        <w:rPr>
          <w:i/>
        </w:rPr>
        <w:t>‘volenti non fit injuria’</w:t>
      </w:r>
      <w:r>
        <w:t>,</w:t>
      </w:r>
    </w:p>
    <w:p w:rsidR="008652B8" w:rsidRDefault="008652B8" w:rsidP="008652B8">
      <w:pPr>
        <w:spacing w:line="240" w:lineRule="auto"/>
      </w:pPr>
      <w:r>
        <w:t xml:space="preserve">explained by Donaldson MR in </w:t>
      </w:r>
      <w:r w:rsidRPr="00DE5A2E">
        <w:rPr>
          <w:i/>
        </w:rPr>
        <w:t>Freeman v Home Office</w:t>
      </w:r>
      <w:r w:rsidR="00F002F2">
        <w:rPr>
          <w:rStyle w:val="FootnoteReference"/>
        </w:rPr>
        <w:footnoteReference w:customMarkFollows="1" w:id="55"/>
        <w:t>54</w:t>
      </w:r>
      <w:r>
        <w:t>:</w:t>
      </w:r>
    </w:p>
    <w:p w:rsidR="008652B8" w:rsidRDefault="008652B8" w:rsidP="008652B8">
      <w:pPr>
        <w:spacing w:line="240" w:lineRule="auto"/>
      </w:pPr>
      <w:r>
        <w:t>“The maxim “volenti non fit injuria” can be roughly translated as “You cannot claim damages if</w:t>
      </w:r>
    </w:p>
    <w:p w:rsidR="008652B8" w:rsidRDefault="008652B8" w:rsidP="008652B8">
      <w:pPr>
        <w:spacing w:line="240" w:lineRule="auto"/>
      </w:pPr>
      <w:r>
        <w:t>you have asked for it,” and “it” is something which is and remains a tort. The maxim, where it</w:t>
      </w:r>
    </w:p>
    <w:p w:rsidR="008652B8" w:rsidRDefault="008652B8" w:rsidP="008652B8">
      <w:pPr>
        <w:spacing w:line="240" w:lineRule="auto"/>
      </w:pPr>
      <w:r>
        <w:t>applies, provides a bar to enforcing a cause of action. It does not negative the cause of action itself.</w:t>
      </w:r>
    </w:p>
    <w:p w:rsidR="008652B8" w:rsidRDefault="008652B8" w:rsidP="008652B8">
      <w:pPr>
        <w:spacing w:line="240" w:lineRule="auto"/>
      </w:pPr>
      <w:r>
        <w:t>This is a wholly different concept from consent which, in this context, deprives the act of its</w:t>
      </w:r>
    </w:p>
    <w:p w:rsidR="008652B8" w:rsidRDefault="008652B8" w:rsidP="008652B8">
      <w:pPr>
        <w:spacing w:line="240" w:lineRule="auto"/>
      </w:pPr>
      <w:r>
        <w:t>tortious character. “Volenti” would be a defence in the unlikely scenario of a patient being held</w:t>
      </w:r>
    </w:p>
    <w:p w:rsidR="008652B8" w:rsidRDefault="008652B8" w:rsidP="008652B8">
      <w:pPr>
        <w:spacing w:line="240" w:lineRule="auto"/>
      </w:pPr>
      <w:r>
        <w:t>not to have in fact consented to treatment, but having by his conduct caused the doctor to believe</w:t>
      </w:r>
    </w:p>
    <w:p w:rsidR="008652B8" w:rsidRDefault="008652B8" w:rsidP="008652B8">
      <w:pPr>
        <w:spacing w:line="240" w:lineRule="auto"/>
      </w:pPr>
      <w:r>
        <w:t>that he had consented.”</w:t>
      </w:r>
    </w:p>
    <w:p w:rsidR="008652B8" w:rsidRDefault="008652B8" w:rsidP="008652B8">
      <w:pPr>
        <w:spacing w:line="240" w:lineRule="auto"/>
      </w:pPr>
      <w:r>
        <w:t>In those circumstances it appears to the writer that the current legal framework for the compulsory</w:t>
      </w:r>
    </w:p>
    <w:p w:rsidR="008652B8" w:rsidRDefault="008652B8" w:rsidP="008652B8">
      <w:pPr>
        <w:spacing w:line="240" w:lineRule="auto"/>
      </w:pPr>
      <w:r>
        <w:t>treatment of mentally disordered prisoners does not comply with Article 8. Moreover, the absence</w:t>
      </w:r>
    </w:p>
    <w:p w:rsidR="008652B8" w:rsidRDefault="008652B8" w:rsidP="008652B8">
      <w:pPr>
        <w:spacing w:line="240" w:lineRule="auto"/>
      </w:pPr>
      <w:proofErr w:type="gramStart"/>
      <w:r>
        <w:t>of</w:t>
      </w:r>
      <w:proofErr w:type="gramEnd"/>
      <w:r>
        <w:t xml:space="preserve"> any court hearing prior to the treatment being imposed, and the restrictions on bringing</w:t>
      </w:r>
    </w:p>
    <w:p w:rsidR="00FE0A2B" w:rsidRDefault="00FE0A2B" w:rsidP="00FE0A2B">
      <w:pPr>
        <w:spacing w:line="240" w:lineRule="auto"/>
      </w:pPr>
      <w:r>
        <w:t>proceedings thereafter, together give rise to a potential violation of the right to a fair trial under</w:t>
      </w:r>
    </w:p>
    <w:p w:rsidR="00FE0A2B" w:rsidRDefault="00FE0A2B" w:rsidP="00FE0A2B">
      <w:pPr>
        <w:spacing w:line="240" w:lineRule="auto"/>
      </w:pPr>
      <w:r>
        <w:t>Article 6.</w:t>
      </w:r>
    </w:p>
    <w:p w:rsidR="00FE0A2B" w:rsidRDefault="00FE0A2B" w:rsidP="00FE0A2B">
      <w:pPr>
        <w:spacing w:line="240" w:lineRule="auto"/>
      </w:pPr>
    </w:p>
    <w:p w:rsidR="00FE0A2B" w:rsidRDefault="00FE0A2B" w:rsidP="00FE0A2B">
      <w:pPr>
        <w:spacing w:line="240" w:lineRule="auto"/>
      </w:pPr>
      <w:r>
        <w:lastRenderedPageBreak/>
        <w:t>A further issue arises in relation to the lawfulness of a failure to transfer a prisoner who requires</w:t>
      </w:r>
    </w:p>
    <w:p w:rsidR="00FE0A2B" w:rsidRDefault="00FE0A2B" w:rsidP="00FE0A2B">
      <w:pPr>
        <w:spacing w:line="240" w:lineRule="auto"/>
      </w:pPr>
      <w:r>
        <w:t>in-patient treatment on the grounds that there are insufficient hospital beds. Although the point</w:t>
      </w:r>
    </w:p>
    <w:p w:rsidR="00FE0A2B" w:rsidRDefault="00FE0A2B" w:rsidP="00FE0A2B">
      <w:pPr>
        <w:spacing w:line="240" w:lineRule="auto"/>
      </w:pPr>
      <w:r>
        <w:t>has not yet been considered, it is the writer’s view that a failure to transfer to hospital a mentally</w:t>
      </w:r>
    </w:p>
    <w:p w:rsidR="00FE0A2B" w:rsidRDefault="00FE0A2B" w:rsidP="00FE0A2B">
      <w:pPr>
        <w:spacing w:line="240" w:lineRule="auto"/>
      </w:pPr>
      <w:r>
        <w:t>disordered prisoner who requires in-patient treatment constitutes a potential violation of both</w:t>
      </w:r>
    </w:p>
    <w:p w:rsidR="00FE0A2B" w:rsidRDefault="00FE0A2B" w:rsidP="00FE0A2B">
      <w:pPr>
        <w:spacing w:line="240" w:lineRule="auto"/>
      </w:pPr>
      <w:r>
        <w:t>Articles 3 and 8 (see further, below, under ‘Right to Treatment’).</w:t>
      </w:r>
      <w:r w:rsidR="00622098">
        <w:t xml:space="preserve"> </w:t>
      </w:r>
    </w:p>
    <w:p w:rsidR="00622098" w:rsidRDefault="00622098" w:rsidP="00FE0A2B">
      <w:pPr>
        <w:spacing w:line="240" w:lineRule="auto"/>
      </w:pPr>
    </w:p>
    <w:p w:rsidR="00FE0A2B" w:rsidRDefault="00FE0A2B" w:rsidP="00FE0A2B">
      <w:pPr>
        <w:spacing w:line="240" w:lineRule="auto"/>
      </w:pPr>
      <w:r w:rsidRPr="00622098">
        <w:rPr>
          <w:i/>
        </w:rPr>
        <w:t>Discharge of transferred life prisoners.</w:t>
      </w:r>
      <w:r>
        <w:t xml:space="preserve"> The second issue relates to the discharge of life prisoners</w:t>
      </w:r>
    </w:p>
    <w:p w:rsidR="00FE0A2B" w:rsidRDefault="00FE0A2B" w:rsidP="00FE0A2B">
      <w:pPr>
        <w:spacing w:line="240" w:lineRule="auto"/>
      </w:pPr>
      <w:r>
        <w:t>transferred to psychiatric hospitals under sections 47 and 49 Mental Health Act 1983.</w:t>
      </w:r>
    </w:p>
    <w:p w:rsidR="00FE0A2B" w:rsidRDefault="00FE0A2B" w:rsidP="00FE0A2B">
      <w:pPr>
        <w:spacing w:line="240" w:lineRule="auto"/>
      </w:pPr>
      <w:r>
        <w:t>As already seen, Article 5(4) requires regular reviews of the lawfulness of a patient’s detention. Not</w:t>
      </w:r>
    </w:p>
    <w:p w:rsidR="00FE0A2B" w:rsidRDefault="00FE0A2B" w:rsidP="00FE0A2B">
      <w:pPr>
        <w:spacing w:line="240" w:lineRule="auto"/>
      </w:pPr>
      <w:r>
        <w:t>all detentions require such regular review, however: they are only necessary where ‘the very nature</w:t>
      </w:r>
    </w:p>
    <w:p w:rsidR="00FE0A2B" w:rsidRDefault="00FE0A2B" w:rsidP="00FE0A2B">
      <w:pPr>
        <w:spacing w:line="240" w:lineRule="auto"/>
      </w:pPr>
      <w:r>
        <w:t>of the deprivation of liberty under consideration would appear to require a review of lawfulness</w:t>
      </w:r>
    </w:p>
    <w:p w:rsidR="00FE0A2B" w:rsidRDefault="00622098" w:rsidP="00FE0A2B">
      <w:pPr>
        <w:spacing w:line="240" w:lineRule="auto"/>
      </w:pPr>
      <w:r>
        <w:t>at reasonable intervals’</w:t>
      </w:r>
      <w:r>
        <w:rPr>
          <w:rStyle w:val="FootnoteReference"/>
        </w:rPr>
        <w:footnoteReference w:customMarkFollows="1" w:id="56"/>
        <w:t>55</w:t>
      </w:r>
      <w:r w:rsidR="00FE0A2B">
        <w:t>.</w:t>
      </w:r>
    </w:p>
    <w:p w:rsidR="00622098" w:rsidRDefault="00622098" w:rsidP="00FE0A2B">
      <w:pPr>
        <w:spacing w:line="240" w:lineRule="auto"/>
      </w:pPr>
    </w:p>
    <w:p w:rsidR="00FE0A2B" w:rsidRDefault="00FE0A2B" w:rsidP="00FE0A2B">
      <w:pPr>
        <w:spacing w:line="240" w:lineRule="auto"/>
      </w:pPr>
      <w:r>
        <w:t>Two concepts that have been considered to be changeable concepts requiring review at reasonable</w:t>
      </w:r>
    </w:p>
    <w:p w:rsidR="00FE0A2B" w:rsidRDefault="00FE0A2B" w:rsidP="00FE0A2B">
      <w:pPr>
        <w:spacing w:line="240" w:lineRule="auto"/>
      </w:pPr>
      <w:r>
        <w:t>intervals are mental disorder and the risk posed to self and others. Both concepts are necessarily</w:t>
      </w:r>
    </w:p>
    <w:p w:rsidR="00FE0A2B" w:rsidRDefault="00FE0A2B" w:rsidP="00FE0A2B">
      <w:pPr>
        <w:spacing w:line="240" w:lineRule="auto"/>
      </w:pPr>
      <w:r>
        <w:t>engaged where patients are sectioned under the Mental Health Act. The requirement under Article</w:t>
      </w:r>
    </w:p>
    <w:p w:rsidR="00FE0A2B" w:rsidRDefault="00FE0A2B" w:rsidP="00FE0A2B">
      <w:pPr>
        <w:spacing w:line="240" w:lineRule="auto"/>
      </w:pPr>
      <w:r>
        <w:t>5(4) that the lawfulness of detention under the Mental Health Act be regularly reviewed is satisfied</w:t>
      </w:r>
    </w:p>
    <w:p w:rsidR="00FE0A2B" w:rsidRDefault="00FE0A2B" w:rsidP="00FE0A2B">
      <w:pPr>
        <w:spacing w:line="240" w:lineRule="auto"/>
      </w:pPr>
      <w:proofErr w:type="gramStart"/>
      <w:r>
        <w:t>by</w:t>
      </w:r>
      <w:proofErr w:type="gramEnd"/>
      <w:r>
        <w:t xml:space="preserve"> the powers and procedures of the Mental Health Review Tribunal, in particular the power to</w:t>
      </w:r>
    </w:p>
    <w:p w:rsidR="00FE0A2B" w:rsidRDefault="00FE0A2B" w:rsidP="00FE0A2B">
      <w:pPr>
        <w:spacing w:line="240" w:lineRule="auto"/>
      </w:pPr>
      <w:proofErr w:type="gramStart"/>
      <w:r>
        <w:t>discharge</w:t>
      </w:r>
      <w:proofErr w:type="gramEnd"/>
      <w:r>
        <w:t xml:space="preserve"> restricted patients introduced following the decision in </w:t>
      </w:r>
      <w:r w:rsidRPr="008F2744">
        <w:rPr>
          <w:i/>
        </w:rPr>
        <w:t>X v United Kingdom</w:t>
      </w:r>
      <w:r w:rsidR="00622098">
        <w:rPr>
          <w:rStyle w:val="FootnoteReference"/>
        </w:rPr>
        <w:footnoteReference w:customMarkFollows="1" w:id="57"/>
        <w:t>56</w:t>
      </w:r>
      <w:r>
        <w:t>.</w:t>
      </w:r>
    </w:p>
    <w:p w:rsidR="00FE0A2B" w:rsidRDefault="00FE0A2B" w:rsidP="00FE0A2B">
      <w:pPr>
        <w:spacing w:line="240" w:lineRule="auto"/>
      </w:pPr>
      <w:r>
        <w:t>Tribunals do not, however, have power to discharge transferred prisoners who are subject to</w:t>
      </w:r>
    </w:p>
    <w:p w:rsidR="00FE0A2B" w:rsidRDefault="00FE0A2B" w:rsidP="00FE0A2B">
      <w:pPr>
        <w:spacing w:line="240" w:lineRule="auto"/>
      </w:pPr>
      <w:r>
        <w:t>restriction directions, as it is for the Secretary of State to make the final decision as to discharge</w:t>
      </w:r>
    </w:p>
    <w:p w:rsidR="00FE0A2B" w:rsidRDefault="00FE0A2B" w:rsidP="00FE0A2B">
      <w:pPr>
        <w:spacing w:line="240" w:lineRule="auto"/>
      </w:pPr>
      <w:r>
        <w:t>(</w:t>
      </w:r>
      <w:proofErr w:type="gramStart"/>
      <w:r>
        <w:t>see</w:t>
      </w:r>
      <w:proofErr w:type="gramEnd"/>
      <w:r>
        <w:t xml:space="preserve"> sections 50 and 74). He may permit the patient to be discharged, or may by warrant direct the</w:t>
      </w:r>
    </w:p>
    <w:p w:rsidR="00FE0A2B" w:rsidRDefault="00FE0A2B" w:rsidP="00FE0A2B">
      <w:pPr>
        <w:spacing w:line="240" w:lineRule="auto"/>
      </w:pPr>
      <w:r>
        <w:t>patient’s return to prison</w:t>
      </w:r>
      <w:r w:rsidR="00622098">
        <w:rPr>
          <w:rStyle w:val="FootnoteReference"/>
        </w:rPr>
        <w:footnoteReference w:customMarkFollows="1" w:id="58"/>
        <w:t>57</w:t>
      </w:r>
      <w:r>
        <w:t>. A particular issue arises in relation to transferred discretionary lifers.</w:t>
      </w:r>
    </w:p>
    <w:p w:rsidR="00FE0A2B" w:rsidRDefault="00FE0A2B" w:rsidP="00FE0A2B">
      <w:pPr>
        <w:spacing w:line="240" w:lineRule="auto"/>
      </w:pPr>
      <w:r>
        <w:t>While they cannot be discharged by a Tribunal</w:t>
      </w:r>
      <w:r w:rsidR="00622098">
        <w:rPr>
          <w:rStyle w:val="FootnoteReference"/>
        </w:rPr>
        <w:footnoteReference w:customMarkFollows="1" w:id="59"/>
        <w:t>58</w:t>
      </w:r>
      <w:r>
        <w:t>, nor are they entitled to be released on life licence</w:t>
      </w:r>
    </w:p>
    <w:p w:rsidR="00FE0A2B" w:rsidRDefault="00FE0A2B" w:rsidP="00FE0A2B">
      <w:pPr>
        <w:spacing w:line="240" w:lineRule="auto"/>
      </w:pPr>
      <w:proofErr w:type="gramStart"/>
      <w:r>
        <w:t>by</w:t>
      </w:r>
      <w:proofErr w:type="gramEnd"/>
      <w:r>
        <w:t xml:space="preserve"> a Discretionary Lifer Panel (DLP) under section 34 Criminal Justice Act 1991 until they are</w:t>
      </w:r>
    </w:p>
    <w:p w:rsidR="00FE0A2B" w:rsidRDefault="00FE0A2B" w:rsidP="00FE0A2B">
      <w:pPr>
        <w:spacing w:line="240" w:lineRule="auto"/>
      </w:pPr>
      <w:proofErr w:type="gramStart"/>
      <w:r>
        <w:t>returned</w:t>
      </w:r>
      <w:proofErr w:type="gramEnd"/>
      <w:r>
        <w:t xml:space="preserve"> to prison (</w:t>
      </w:r>
      <w:r w:rsidRPr="008F2744">
        <w:rPr>
          <w:i/>
        </w:rPr>
        <w:t>R v Home Secretary ex p Hickey</w:t>
      </w:r>
      <w:r w:rsidR="00622098">
        <w:rPr>
          <w:rStyle w:val="FootnoteReference"/>
        </w:rPr>
        <w:footnoteReference w:customMarkFollows="1" w:id="60"/>
        <w:t>59</w:t>
      </w:r>
      <w:r>
        <w:t>).</w:t>
      </w:r>
    </w:p>
    <w:p w:rsidR="00622098" w:rsidRDefault="00622098" w:rsidP="00FE0A2B">
      <w:pPr>
        <w:spacing w:line="240" w:lineRule="auto"/>
      </w:pPr>
    </w:p>
    <w:p w:rsidR="00FE0A2B" w:rsidRDefault="00FE0A2B" w:rsidP="00C2406A">
      <w:pPr>
        <w:spacing w:line="240" w:lineRule="auto"/>
      </w:pPr>
      <w:r>
        <w:t>For a discretionary lifer who has served the ‘tariff’ period of his sentence, this is potentially a</w:t>
      </w:r>
    </w:p>
    <w:p w:rsidR="00FE0A2B" w:rsidRDefault="00FE0A2B" w:rsidP="00C2406A">
      <w:pPr>
        <w:spacing w:line="240" w:lineRule="auto"/>
      </w:pPr>
      <w:r>
        <w:t>violation of Article 5(4). A discretionary lifer is lawfully detained under Article 5(1</w:t>
      </w:r>
      <w:proofErr w:type="gramStart"/>
      <w:r>
        <w:t>)(</w:t>
      </w:r>
      <w:proofErr w:type="gramEnd"/>
      <w:r>
        <w:t>a) (lawful</w:t>
      </w:r>
    </w:p>
    <w:p w:rsidR="00FE0A2B" w:rsidRDefault="00FE0A2B" w:rsidP="00C2406A">
      <w:pPr>
        <w:spacing w:line="240" w:lineRule="auto"/>
      </w:pPr>
      <w:r>
        <w:t>conviction by a court). In respect of the ‘tariff’ period of the sentence, the requirements of Article</w:t>
      </w:r>
    </w:p>
    <w:p w:rsidR="00FE0A2B" w:rsidRDefault="00FE0A2B" w:rsidP="00C2406A">
      <w:pPr>
        <w:spacing w:line="240" w:lineRule="auto"/>
      </w:pPr>
      <w:r>
        <w:t>5(4) are satisfied by the sentencing proceedings before the Criminal Court, so no further review is</w:t>
      </w:r>
    </w:p>
    <w:p w:rsidR="00FE0A2B" w:rsidRDefault="00FE0A2B" w:rsidP="00C2406A">
      <w:pPr>
        <w:spacing w:line="240" w:lineRule="auto"/>
      </w:pPr>
      <w:r>
        <w:t>necessary during that period. Thereafter, however, he is entitled to regular reviews by a ‘court’ with</w:t>
      </w:r>
    </w:p>
    <w:p w:rsidR="00FE0A2B" w:rsidRDefault="00FE0A2B" w:rsidP="00C2406A">
      <w:pPr>
        <w:spacing w:line="240" w:lineRule="auto"/>
      </w:pPr>
      <w:r>
        <w:t xml:space="preserve">power to discharge him from detention: </w:t>
      </w:r>
      <w:r w:rsidRPr="00FC5FD7">
        <w:rPr>
          <w:i/>
        </w:rPr>
        <w:t>Thynne, Willson &amp; Gunnell v UK</w:t>
      </w:r>
      <w:r w:rsidR="00FC5FD7">
        <w:rPr>
          <w:rStyle w:val="FootnoteReference"/>
          <w:i/>
        </w:rPr>
        <w:footnoteReference w:customMarkFollows="1" w:id="61"/>
        <w:t>60</w:t>
      </w:r>
      <w:r>
        <w:t>. Prior to Thynne the</w:t>
      </w:r>
    </w:p>
    <w:p w:rsidR="00FE0A2B" w:rsidRDefault="00FE0A2B" w:rsidP="00C2406A">
      <w:pPr>
        <w:spacing w:line="240" w:lineRule="auto"/>
      </w:pPr>
      <w:r>
        <w:t>Home Secretary retained the power to veto the release of a discretionary lifer; since then, in order</w:t>
      </w:r>
    </w:p>
    <w:p w:rsidR="00FE0A2B" w:rsidRDefault="00FE0A2B" w:rsidP="00C2406A">
      <w:pPr>
        <w:spacing w:line="240" w:lineRule="auto"/>
      </w:pPr>
      <w:proofErr w:type="gramStart"/>
      <w:r>
        <w:t>to</w:t>
      </w:r>
      <w:proofErr w:type="gramEnd"/>
      <w:r>
        <w:t xml:space="preserve"> comply with the UK’s Convention obligations, section 34 Criminal Justice Act 1991 was</w:t>
      </w:r>
    </w:p>
    <w:p w:rsidR="00FE0A2B" w:rsidRDefault="00FE0A2B" w:rsidP="00C2406A">
      <w:pPr>
        <w:spacing w:line="240" w:lineRule="auto"/>
      </w:pPr>
      <w:r>
        <w:t>introduced to confer the necessary power on the DLP.</w:t>
      </w:r>
    </w:p>
    <w:p w:rsidR="009F1666" w:rsidRDefault="009F1666" w:rsidP="00C2406A">
      <w:pPr>
        <w:spacing w:line="240" w:lineRule="auto"/>
      </w:pPr>
    </w:p>
    <w:p w:rsidR="009F1666" w:rsidRDefault="009F1666" w:rsidP="00C2406A">
      <w:pPr>
        <w:spacing w:line="240" w:lineRule="auto"/>
      </w:pPr>
      <w:r>
        <w:t>Once transferred to hospital, a discretionary lifer is lawfully detained under both Article 5(1</w:t>
      </w:r>
      <w:proofErr w:type="gramStart"/>
      <w:r>
        <w:t>)(</w:t>
      </w:r>
      <w:proofErr w:type="gramEnd"/>
      <w:r>
        <w:t>a)</w:t>
      </w:r>
    </w:p>
    <w:p w:rsidR="009F1666" w:rsidRDefault="009F1666" w:rsidP="00C2406A">
      <w:pPr>
        <w:spacing w:line="240" w:lineRule="auto"/>
      </w:pPr>
      <w:r>
        <w:t>and 5(1</w:t>
      </w:r>
      <w:r w:rsidR="00FC5FD7">
        <w:t>) (</w:t>
      </w:r>
      <w:r>
        <w:t>e). When his tariff expires Article 5(4) entitles him to a review by a ‘court’ with power to</w:t>
      </w:r>
    </w:p>
    <w:p w:rsidR="009F1666" w:rsidRDefault="009F1666" w:rsidP="00C2406A">
      <w:pPr>
        <w:spacing w:line="240" w:lineRule="auto"/>
      </w:pPr>
      <w:r>
        <w:t>discharge him from detention under both 5(1</w:t>
      </w:r>
      <w:r w:rsidR="00FC5FD7">
        <w:t>) (</w:t>
      </w:r>
      <w:r>
        <w:t>a) (namely, a DLP); in any event, he is entitled to a</w:t>
      </w:r>
    </w:p>
    <w:p w:rsidR="009F1666" w:rsidRDefault="009F1666" w:rsidP="00C2406A">
      <w:pPr>
        <w:spacing w:line="240" w:lineRule="auto"/>
      </w:pPr>
      <w:r>
        <w:t>review by a Tribunal to discharge him from his detention under 5(1</w:t>
      </w:r>
      <w:r w:rsidR="00FC5FD7">
        <w:t>) (</w:t>
      </w:r>
      <w:r>
        <w:t>e). As matters currently stand,</w:t>
      </w:r>
    </w:p>
    <w:p w:rsidR="009F1666" w:rsidRDefault="009F1666" w:rsidP="00C2406A">
      <w:pPr>
        <w:spacing w:line="240" w:lineRule="auto"/>
      </w:pPr>
      <w:r>
        <w:t>such an individual gets neither.</w:t>
      </w:r>
    </w:p>
    <w:p w:rsidR="00FC5FD7" w:rsidRDefault="00FC5FD7" w:rsidP="00C2406A">
      <w:pPr>
        <w:spacing w:line="240" w:lineRule="auto"/>
      </w:pPr>
    </w:p>
    <w:p w:rsidR="009F1666" w:rsidRDefault="009F1666" w:rsidP="00C2406A">
      <w:pPr>
        <w:spacing w:line="240" w:lineRule="auto"/>
      </w:pPr>
      <w:r>
        <w:t>The European Commission has declared admissible an application complaining of a violation of</w:t>
      </w:r>
    </w:p>
    <w:p w:rsidR="009F1666" w:rsidRDefault="009F1666" w:rsidP="00C2406A">
      <w:pPr>
        <w:spacing w:line="240" w:lineRule="auto"/>
      </w:pPr>
      <w:r>
        <w:t>Article 5(4) in precisely these circumstances; the case has yet to be heard on its merits</w:t>
      </w:r>
      <w:r w:rsidR="00C2406A">
        <w:rPr>
          <w:rStyle w:val="FootnoteReference"/>
        </w:rPr>
        <w:footnoteReference w:customMarkFollows="1" w:id="62"/>
        <w:t>61</w:t>
      </w:r>
      <w:r>
        <w:t>.</w:t>
      </w:r>
    </w:p>
    <w:p w:rsidR="009F1666" w:rsidRDefault="009F1666" w:rsidP="00C2406A">
      <w:pPr>
        <w:spacing w:line="240" w:lineRule="auto"/>
      </w:pPr>
      <w:r>
        <w:t>For mandatory lifers, those convicted of murder, Article 5(4) is satisfied by the initial sentencing</w:t>
      </w:r>
    </w:p>
    <w:p w:rsidR="009F1666" w:rsidRDefault="009F1666" w:rsidP="00C2406A">
      <w:pPr>
        <w:spacing w:line="240" w:lineRule="auto"/>
      </w:pPr>
      <w:r>
        <w:t>process by the criminal court; no further review is necessary so the same anomaly does not arise</w:t>
      </w:r>
      <w:r w:rsidR="00C2406A">
        <w:rPr>
          <w:rStyle w:val="FootnoteReference"/>
        </w:rPr>
        <w:footnoteReference w:customMarkFollows="1" w:id="63"/>
        <w:t>62</w:t>
      </w:r>
      <w:r>
        <w:t>.</w:t>
      </w:r>
    </w:p>
    <w:p w:rsidR="00C2406A" w:rsidRDefault="00C2406A" w:rsidP="00C2406A">
      <w:pPr>
        <w:spacing w:line="240" w:lineRule="auto"/>
      </w:pPr>
    </w:p>
    <w:p w:rsidR="00C2406A" w:rsidRPr="00C2406A" w:rsidRDefault="00C2406A" w:rsidP="00C2406A">
      <w:pPr>
        <w:spacing w:line="240" w:lineRule="auto"/>
        <w:rPr>
          <w:b/>
        </w:rPr>
      </w:pPr>
      <w:r w:rsidRPr="00C2406A">
        <w:rPr>
          <w:b/>
        </w:rPr>
        <w:t>(7) Dangerous People with Severe Personality Disorders</w:t>
      </w:r>
    </w:p>
    <w:p w:rsidR="00C2406A" w:rsidRDefault="00C2406A" w:rsidP="00C2406A">
      <w:pPr>
        <w:spacing w:line="240" w:lineRule="auto"/>
      </w:pPr>
      <w:r>
        <w:t>The Green Paper confirms the Government’s proposals for this category of patient, originally set</w:t>
      </w:r>
    </w:p>
    <w:p w:rsidR="00C2406A" w:rsidRDefault="00C2406A" w:rsidP="00C2406A">
      <w:pPr>
        <w:spacing w:line="240" w:lineRule="auto"/>
      </w:pPr>
      <w:r>
        <w:t>out in their July 1999 consultation paper ‘Managing Dangerous People with Severe Personality</w:t>
      </w:r>
    </w:p>
    <w:p w:rsidR="00C2406A" w:rsidRDefault="00C2406A" w:rsidP="00C2406A">
      <w:pPr>
        <w:spacing w:line="240" w:lineRule="auto"/>
      </w:pPr>
      <w:r>
        <w:t>Disorder: Proposals for Policy Development’ (the DPSD Paper).</w:t>
      </w:r>
    </w:p>
    <w:p w:rsidR="00C2406A" w:rsidRDefault="00C2406A" w:rsidP="00C2406A">
      <w:pPr>
        <w:spacing w:line="240" w:lineRule="auto"/>
      </w:pPr>
    </w:p>
    <w:p w:rsidR="00C2406A" w:rsidRDefault="00C2406A" w:rsidP="00C2406A">
      <w:pPr>
        <w:spacing w:line="240" w:lineRule="auto"/>
      </w:pPr>
      <w:r>
        <w:lastRenderedPageBreak/>
        <w:t>The Government proposes to remove the so-called ‘treatability’ requirement in relation to patients</w:t>
      </w:r>
    </w:p>
    <w:p w:rsidR="00C2406A" w:rsidRDefault="00C2406A" w:rsidP="00C2406A">
      <w:pPr>
        <w:spacing w:line="240" w:lineRule="auto"/>
      </w:pPr>
      <w:r>
        <w:t xml:space="preserve">falling within the category of ‘psychopathic disorder’, permitting the indefinite detention – and, </w:t>
      </w:r>
    </w:p>
    <w:p w:rsidR="00C2406A" w:rsidRDefault="00C2406A" w:rsidP="00C2406A">
      <w:pPr>
        <w:spacing w:line="240" w:lineRule="auto"/>
      </w:pPr>
      <w:r>
        <w:t xml:space="preserve">where released, power of recall - of such individuals solely on the ground of their dangerousness. </w:t>
      </w:r>
    </w:p>
    <w:p w:rsidR="00C2406A" w:rsidRDefault="00C2406A" w:rsidP="00C2406A">
      <w:pPr>
        <w:spacing w:line="240" w:lineRule="auto"/>
      </w:pPr>
      <w:r>
        <w:t xml:space="preserve">The proposals are intended to apply both in criminal proceedings and in civil proceedings. Such </w:t>
      </w:r>
    </w:p>
    <w:p w:rsidR="00C2406A" w:rsidRDefault="00C2406A" w:rsidP="00C2406A">
      <w:pPr>
        <w:spacing w:line="240" w:lineRule="auto"/>
      </w:pPr>
      <w:r>
        <w:t xml:space="preserve">Individuals would not be detained in either a prison or a hospital, but in custom-built detention </w:t>
      </w:r>
    </w:p>
    <w:p w:rsidR="00C2406A" w:rsidRDefault="00C2406A" w:rsidP="00C2406A">
      <w:pPr>
        <w:spacing w:line="240" w:lineRule="auto"/>
      </w:pPr>
      <w:r>
        <w:t>centers.</w:t>
      </w:r>
    </w:p>
    <w:p w:rsidR="00C2406A" w:rsidRDefault="00C2406A" w:rsidP="00C2406A">
      <w:pPr>
        <w:spacing w:line="240" w:lineRule="auto"/>
      </w:pPr>
    </w:p>
    <w:p w:rsidR="00C2406A" w:rsidRDefault="00C2406A" w:rsidP="00C2406A">
      <w:pPr>
        <w:spacing w:line="240" w:lineRule="auto"/>
      </w:pPr>
      <w:r>
        <w:t>The Government defines a person with DPSD as having an ‘identifiable personality disorder to a</w:t>
      </w:r>
    </w:p>
    <w:p w:rsidR="00C2406A" w:rsidRDefault="00C2406A" w:rsidP="00C2406A">
      <w:pPr>
        <w:spacing w:line="240" w:lineRule="auto"/>
      </w:pPr>
      <w:r>
        <w:t>severe degree, who pose a high risk to other people because of serious anti-social behaviour</w:t>
      </w:r>
    </w:p>
    <w:p w:rsidR="00C2406A" w:rsidRDefault="00C2406A" w:rsidP="00C2406A">
      <w:pPr>
        <w:spacing w:line="240" w:lineRule="auto"/>
      </w:pPr>
      <w:r>
        <w:t>resulting from their disorder’ (DPSD Paper, Part 2 Para 1). It is estimated that in the United</w:t>
      </w:r>
    </w:p>
    <w:p w:rsidR="00C2406A" w:rsidRDefault="00C2406A" w:rsidP="00C2406A">
      <w:pPr>
        <w:spacing w:line="240" w:lineRule="auto"/>
      </w:pPr>
      <w:r>
        <w:t>Kingdom between 300 and 600 men, and no more than 18-20 women, fall within this category.</w:t>
      </w:r>
    </w:p>
    <w:p w:rsidR="00C2406A" w:rsidRDefault="00C2406A" w:rsidP="00C2406A">
      <w:pPr>
        <w:spacing w:line="240" w:lineRule="auto"/>
      </w:pPr>
    </w:p>
    <w:p w:rsidR="00C2406A" w:rsidRDefault="00C2406A" w:rsidP="00C2406A">
      <w:pPr>
        <w:spacing w:line="240" w:lineRule="auto"/>
      </w:pPr>
      <w:r>
        <w:t>In determining the compatibility of these proposals with the Convention, a distinction should be</w:t>
      </w:r>
    </w:p>
    <w:p w:rsidR="00C2406A" w:rsidRDefault="00C2406A" w:rsidP="00C2406A">
      <w:pPr>
        <w:spacing w:line="240" w:lineRule="auto"/>
      </w:pPr>
      <w:r>
        <w:t>drawn between offender and non-offender patients. In relation to offenders, it is lawful to detain</w:t>
      </w:r>
    </w:p>
    <w:p w:rsidR="00C2406A" w:rsidRDefault="00C2406A" w:rsidP="00C2406A">
      <w:pPr>
        <w:spacing w:line="240" w:lineRule="auto"/>
      </w:pPr>
      <w:r>
        <w:t>those who have committed serious criminal offences by way of life sentences, and to recall them</w:t>
      </w:r>
    </w:p>
    <w:p w:rsidR="00C2406A" w:rsidRDefault="00C2406A" w:rsidP="00C2406A">
      <w:pPr>
        <w:spacing w:line="240" w:lineRule="auto"/>
      </w:pPr>
      <w:proofErr w:type="gramStart"/>
      <w:r>
        <w:t>after</w:t>
      </w:r>
      <w:proofErr w:type="gramEnd"/>
      <w:r>
        <w:t xml:space="preserve"> release on licence</w:t>
      </w:r>
      <w:r>
        <w:rPr>
          <w:rStyle w:val="FootnoteReference"/>
        </w:rPr>
        <w:footnoteReference w:customMarkFollows="1" w:id="64"/>
        <w:t>63</w:t>
      </w:r>
      <w:r>
        <w:t>, under Article 5(1)(a). It may also be lawful to impose an indefinite</w:t>
      </w:r>
    </w:p>
    <w:p w:rsidR="00C2406A" w:rsidRDefault="00C2406A" w:rsidP="00C2406A">
      <w:pPr>
        <w:spacing w:line="240" w:lineRule="auto"/>
      </w:pPr>
      <w:r>
        <w:t>sentence, with a power of recall, upon recidivist offenders under Article 5(1) (a)</w:t>
      </w:r>
      <w:r>
        <w:rPr>
          <w:rStyle w:val="FootnoteReference"/>
        </w:rPr>
        <w:footnoteReference w:customMarkFollows="1" w:id="65"/>
        <w:t>64</w:t>
      </w:r>
      <w:r>
        <w:t>. In both cases,</w:t>
      </w:r>
    </w:p>
    <w:p w:rsidR="00C2406A" w:rsidRDefault="00C2406A" w:rsidP="00C2406A">
      <w:pPr>
        <w:spacing w:line="240" w:lineRule="auto"/>
      </w:pPr>
      <w:r>
        <w:t>Article 5(4) requires adequate judicial scrutiny of the continued detention and of any recall</w:t>
      </w:r>
      <w:r>
        <w:rPr>
          <w:rStyle w:val="FootnoteReference"/>
        </w:rPr>
        <w:footnoteReference w:customMarkFollows="1" w:id="66"/>
        <w:t>65</w:t>
      </w:r>
      <w:r>
        <w:t>. It is</w:t>
      </w:r>
    </w:p>
    <w:p w:rsidR="00C2406A" w:rsidRDefault="00C2406A" w:rsidP="00C2406A">
      <w:pPr>
        <w:spacing w:line="240" w:lineRule="auto"/>
      </w:pPr>
      <w:r>
        <w:t>also lawful to detain a person under Article 5(1) (e) as a ‘vagrant’ without any reciprocal right to</w:t>
      </w:r>
    </w:p>
    <w:p w:rsidR="00C2406A" w:rsidRDefault="00C2406A" w:rsidP="00C2406A">
      <w:pPr>
        <w:spacing w:line="240" w:lineRule="auto"/>
      </w:pPr>
      <w:r>
        <w:t>treatment</w:t>
      </w:r>
      <w:r>
        <w:rPr>
          <w:rStyle w:val="FootnoteReference"/>
        </w:rPr>
        <w:footnoteReference w:customMarkFollows="1" w:id="67"/>
        <w:t>66</w:t>
      </w:r>
      <w:r>
        <w:t>. There is plainly no need for the individual to receive treatment for detention to be</w:t>
      </w:r>
    </w:p>
    <w:p w:rsidR="00C2406A" w:rsidRDefault="00C2406A" w:rsidP="00C2406A">
      <w:pPr>
        <w:spacing w:line="240" w:lineRule="auto"/>
      </w:pPr>
      <w:r>
        <w:t>lawful under Article 5(1) (a).</w:t>
      </w:r>
    </w:p>
    <w:p w:rsidR="00C2406A" w:rsidRDefault="00C2406A" w:rsidP="00C2406A">
      <w:pPr>
        <w:spacing w:line="240" w:lineRule="auto"/>
      </w:pPr>
    </w:p>
    <w:p w:rsidR="00C2406A" w:rsidRDefault="00C2406A" w:rsidP="00C2406A">
      <w:pPr>
        <w:spacing w:line="240" w:lineRule="auto"/>
      </w:pPr>
      <w:r>
        <w:t>However, where the justification for the person’s detention is that they are of ‘unsound mind’, the</w:t>
      </w:r>
    </w:p>
    <w:p w:rsidR="00C2406A" w:rsidRDefault="00C2406A" w:rsidP="00C2406A">
      <w:pPr>
        <w:spacing w:line="240" w:lineRule="auto"/>
      </w:pPr>
      <w:r>
        <w:t>issue of treatability becomes very live indeed. There is conflicting authority as to whether a patient</w:t>
      </w:r>
    </w:p>
    <w:p w:rsidR="00C2406A" w:rsidRDefault="00C2406A" w:rsidP="00C2406A">
      <w:pPr>
        <w:spacing w:line="240" w:lineRule="auto"/>
      </w:pPr>
      <w:r>
        <w:t>must be ‘treatable’ to be lawfully detained under Article 5(1</w:t>
      </w:r>
      <w:r w:rsidR="00AD34D2">
        <w:t>) (</w:t>
      </w:r>
      <w:r>
        <w:t>e).</w:t>
      </w:r>
    </w:p>
    <w:p w:rsidR="00C2406A" w:rsidRDefault="00C2406A" w:rsidP="00C2406A">
      <w:pPr>
        <w:spacing w:line="240" w:lineRule="auto"/>
      </w:pPr>
      <w:r>
        <w:t>The Strasbourg Court has expressed the view in the past that no ‘right to treatment’ can be derived</w:t>
      </w:r>
    </w:p>
    <w:p w:rsidR="00C2406A" w:rsidRDefault="00C2406A" w:rsidP="00C2406A">
      <w:pPr>
        <w:spacing w:line="240" w:lineRule="auto"/>
      </w:pPr>
      <w:r>
        <w:t>from the fact of a person’s detention under Article 5(1</w:t>
      </w:r>
      <w:r w:rsidR="00AD34D2">
        <w:t>) (</w:t>
      </w:r>
      <w:r>
        <w:t>e) on the grounds he is of ‘unsound mind’.</w:t>
      </w:r>
    </w:p>
    <w:p w:rsidR="00AD34D2" w:rsidRDefault="00AD34D2" w:rsidP="003D0C23">
      <w:pPr>
        <w:spacing w:line="240" w:lineRule="auto"/>
      </w:pPr>
      <w:r>
        <w:lastRenderedPageBreak/>
        <w:t xml:space="preserve">In </w:t>
      </w:r>
      <w:r w:rsidRPr="00AD34D2">
        <w:rPr>
          <w:i/>
        </w:rPr>
        <w:t>Winterwerp v Netherlands</w:t>
      </w:r>
      <w:r>
        <w:t xml:space="preserve"> the Court stated that ‘a mental patient’s right to treatment appropriate</w:t>
      </w:r>
    </w:p>
    <w:p w:rsidR="00AD34D2" w:rsidRDefault="00AD34D2" w:rsidP="003D0C23">
      <w:pPr>
        <w:spacing w:line="240" w:lineRule="auto"/>
      </w:pPr>
      <w:proofErr w:type="gramStart"/>
      <w:r>
        <w:t>to</w:t>
      </w:r>
      <w:proofErr w:type="gramEnd"/>
      <w:r>
        <w:t xml:space="preserve"> his condition cannot as such be derived from Article 5(1)(e)’</w:t>
      </w:r>
      <w:r>
        <w:rPr>
          <w:rStyle w:val="FootnoteReference"/>
        </w:rPr>
        <w:footnoteReference w:customMarkFollows="1" w:id="68"/>
        <w:t>67</w:t>
      </w:r>
      <w:r>
        <w:t>. All that Article 5(1) (e) requires</w:t>
      </w:r>
    </w:p>
    <w:p w:rsidR="00AD34D2" w:rsidRDefault="00AD34D2" w:rsidP="003D0C23">
      <w:pPr>
        <w:spacing w:line="240" w:lineRule="auto"/>
      </w:pPr>
      <w:proofErr w:type="gramStart"/>
      <w:r>
        <w:t>is</w:t>
      </w:r>
      <w:proofErr w:type="gramEnd"/>
      <w:r>
        <w:t xml:space="preserve"> that the detention is effected in a ‘hospital, clinic or other appropriate institution’</w:t>
      </w:r>
      <w:r>
        <w:rPr>
          <w:rStyle w:val="FootnoteReference"/>
        </w:rPr>
        <w:footnoteReference w:customMarkFollows="1" w:id="69"/>
        <w:t>68</w:t>
      </w:r>
      <w:r>
        <w:t>. Detention</w:t>
      </w:r>
    </w:p>
    <w:p w:rsidR="00AD34D2" w:rsidRDefault="00AD34D2" w:rsidP="003D0C23">
      <w:pPr>
        <w:spacing w:line="240" w:lineRule="auto"/>
      </w:pPr>
      <w:r>
        <w:t>without treatment may raise issues under Article 3</w:t>
      </w:r>
      <w:r>
        <w:rPr>
          <w:rStyle w:val="FootnoteReference"/>
        </w:rPr>
        <w:footnoteReference w:customMarkFollows="1" w:id="70"/>
        <w:t>69</w:t>
      </w:r>
      <w:r>
        <w:t>, but treatment is not a necessary ingredient</w:t>
      </w:r>
    </w:p>
    <w:p w:rsidR="00AD34D2" w:rsidRDefault="00AD34D2" w:rsidP="003D0C23">
      <w:pPr>
        <w:spacing w:line="240" w:lineRule="auto"/>
      </w:pPr>
      <w:r>
        <w:t>for a lawful detention under Article 5(1) (e).</w:t>
      </w:r>
    </w:p>
    <w:p w:rsidR="00AD34D2" w:rsidRDefault="00AD34D2" w:rsidP="003D0C23">
      <w:pPr>
        <w:spacing w:line="240" w:lineRule="auto"/>
      </w:pPr>
    </w:p>
    <w:p w:rsidR="00AD34D2" w:rsidRDefault="00AD34D2" w:rsidP="003D0C23">
      <w:pPr>
        <w:spacing w:line="240" w:lineRule="auto"/>
      </w:pPr>
      <w:r>
        <w:t>The House of Lords has, however, reached a different conclusion. In the recent case of Reid v</w:t>
      </w:r>
    </w:p>
    <w:p w:rsidR="00AD34D2" w:rsidRDefault="00AD34D2" w:rsidP="003D0C23">
      <w:pPr>
        <w:spacing w:line="240" w:lineRule="auto"/>
      </w:pPr>
      <w:r>
        <w:t>Secretary of State for Scotland</w:t>
      </w:r>
      <w:r>
        <w:rPr>
          <w:rStyle w:val="FootnoteReference"/>
        </w:rPr>
        <w:footnoteReference w:customMarkFollows="1" w:id="71"/>
        <w:t>70</w:t>
      </w:r>
      <w:r>
        <w:t>, the House of Lords held that, in order for domestic law to comply</w:t>
      </w:r>
    </w:p>
    <w:p w:rsidR="00AD34D2" w:rsidRDefault="00AD34D2" w:rsidP="003D0C23">
      <w:pPr>
        <w:spacing w:line="240" w:lineRule="auto"/>
      </w:pPr>
      <w:r>
        <w:t>with Article 5(1) (e), the ‘treatability’ criterion had to be considered by a Sheriff on an application</w:t>
      </w:r>
    </w:p>
    <w:p w:rsidR="00AD34D2" w:rsidRDefault="00AD34D2" w:rsidP="003D0C23">
      <w:pPr>
        <w:spacing w:line="240" w:lineRule="auto"/>
      </w:pPr>
      <w:r>
        <w:t>by a patient for his discharge from hospital. Accordingly, if a patient is ‘untreatable’ then he must</w:t>
      </w:r>
    </w:p>
    <w:p w:rsidR="00AD34D2" w:rsidRDefault="00AD34D2" w:rsidP="003D0C23">
      <w:pPr>
        <w:spacing w:line="240" w:lineRule="auto"/>
      </w:pPr>
      <w:r>
        <w:t>be discharged. Lord Clyde said:</w:t>
      </w:r>
    </w:p>
    <w:p w:rsidR="00AD34D2" w:rsidRDefault="00AD34D2" w:rsidP="003D0C23">
      <w:pPr>
        <w:spacing w:line="240" w:lineRule="auto"/>
        <w:ind w:left="284"/>
      </w:pPr>
      <w:r>
        <w:t>“It was pointed out that the European Court did not specify the treatability of the patient as a</w:t>
      </w:r>
    </w:p>
    <w:p w:rsidR="00AD34D2" w:rsidRDefault="00AD34D2" w:rsidP="003D0C23">
      <w:pPr>
        <w:spacing w:line="240" w:lineRule="auto"/>
        <w:ind w:left="284"/>
      </w:pPr>
      <w:r>
        <w:t>condition to be examined by the court. But the court was concerned with the procedures rather</w:t>
      </w:r>
    </w:p>
    <w:p w:rsidR="00AD34D2" w:rsidRDefault="00AD34D2" w:rsidP="003D0C23">
      <w:pPr>
        <w:spacing w:line="240" w:lineRule="auto"/>
        <w:ind w:left="284"/>
      </w:pPr>
      <w:r>
        <w:t>than the grounds for discharge and it is not to be concluded from what the court said that in the</w:t>
      </w:r>
    </w:p>
    <w:p w:rsidR="00AD34D2" w:rsidRDefault="00AD34D2" w:rsidP="003D0C23">
      <w:pPr>
        <w:spacing w:line="240" w:lineRule="auto"/>
        <w:ind w:left="284"/>
      </w:pPr>
      <w:r>
        <w:t xml:space="preserve">present case the susceptibility of treatment may not be a proper criterion in determining </w:t>
      </w:r>
    </w:p>
    <w:p w:rsidR="00AD34D2" w:rsidRDefault="00AD34D2" w:rsidP="003D0C23">
      <w:pPr>
        <w:spacing w:line="240" w:lineRule="auto"/>
        <w:ind w:left="284"/>
      </w:pPr>
      <w:r>
        <w:t>discharge.”</w:t>
      </w:r>
    </w:p>
    <w:p w:rsidR="00AD34D2" w:rsidRDefault="00AD34D2" w:rsidP="003D0C23">
      <w:pPr>
        <w:spacing w:line="240" w:lineRule="auto"/>
      </w:pPr>
      <w:r>
        <w:t>The question is likely soon to arise before the Privy Council. In Anderson, Doherty &amp; Reid v Scottish</w:t>
      </w:r>
    </w:p>
    <w:p w:rsidR="00AD34D2" w:rsidRDefault="00AD34D2" w:rsidP="003D0C23">
      <w:pPr>
        <w:spacing w:line="240" w:lineRule="auto"/>
      </w:pPr>
      <w:r>
        <w:t>Ministers</w:t>
      </w:r>
      <w:r>
        <w:rPr>
          <w:rStyle w:val="FootnoteReference"/>
        </w:rPr>
        <w:footnoteReference w:customMarkFollows="1" w:id="72"/>
        <w:t>71</w:t>
      </w:r>
      <w:r>
        <w:t>, the Scottish Court of Session rejected arguments that section 1 Mental Health (Public</w:t>
      </w:r>
    </w:p>
    <w:p w:rsidR="00AD34D2" w:rsidRDefault="00AD34D2" w:rsidP="003D0C23">
      <w:pPr>
        <w:spacing w:line="240" w:lineRule="auto"/>
      </w:pPr>
      <w:r>
        <w:t>Safety and Appeals) (Scotland) Act 1999 violated the Appellants rights under Articles 5(1) and 5(4).</w:t>
      </w:r>
    </w:p>
    <w:p w:rsidR="00AD34D2" w:rsidRDefault="00AD34D2" w:rsidP="003D0C23">
      <w:pPr>
        <w:spacing w:line="240" w:lineRule="auto"/>
      </w:pPr>
      <w:r>
        <w:t xml:space="preserve">By section 1 of that Act a Sheriff must refuse to discharge a restricted patient suffering from a </w:t>
      </w:r>
    </w:p>
    <w:p w:rsidR="00AD34D2" w:rsidRDefault="00AD34D2" w:rsidP="003D0C23">
      <w:pPr>
        <w:spacing w:line="240" w:lineRule="auto"/>
      </w:pPr>
      <w:r>
        <w:t xml:space="preserve">mental disorder ‘the effect of which is such that it is necessary, in order to protect the public from </w:t>
      </w:r>
    </w:p>
    <w:p w:rsidR="00AD34D2" w:rsidRDefault="00AD34D2" w:rsidP="003D0C23">
      <w:pPr>
        <w:spacing w:line="240" w:lineRule="auto"/>
      </w:pPr>
      <w:r>
        <w:t xml:space="preserve">serious harm, that the patient continue to be detained in a hospital, whether for medical treatment </w:t>
      </w:r>
    </w:p>
    <w:p w:rsidR="003D0C23" w:rsidRDefault="003D0C23" w:rsidP="003D0C23">
      <w:pPr>
        <w:spacing w:line="240" w:lineRule="auto"/>
      </w:pPr>
      <w:r>
        <w:t xml:space="preserve">or not’. </w:t>
      </w:r>
      <w:r w:rsidR="00AD34D2">
        <w:t>The Court of Session ruled that for a detention to be lawful under Article 5(1</w:t>
      </w:r>
      <w:r w:rsidR="001D5E71">
        <w:t>) (</w:t>
      </w:r>
      <w:r w:rsidR="00AD34D2">
        <w:t xml:space="preserve">e) it was </w:t>
      </w:r>
    </w:p>
    <w:p w:rsidR="003D0C23" w:rsidRDefault="003D0C23" w:rsidP="003D0C23">
      <w:pPr>
        <w:spacing w:line="240" w:lineRule="auto"/>
      </w:pPr>
      <w:r>
        <w:t xml:space="preserve">necessary </w:t>
      </w:r>
      <w:r w:rsidR="00AD34D2">
        <w:t xml:space="preserve">only for the patient to be detained in a hospital or other appropriate institution; it did not </w:t>
      </w:r>
    </w:p>
    <w:p w:rsidR="003D0C23" w:rsidRDefault="003D0C23" w:rsidP="003D0C23">
      <w:pPr>
        <w:spacing w:line="240" w:lineRule="auto"/>
      </w:pPr>
      <w:r>
        <w:t xml:space="preserve">require </w:t>
      </w:r>
      <w:r w:rsidR="00AD34D2">
        <w:t xml:space="preserve">that the patient should actually be treated. This case is currently on appeal to the Privy </w:t>
      </w:r>
    </w:p>
    <w:p w:rsidR="00AD34D2" w:rsidRDefault="00AD34D2" w:rsidP="003D0C23">
      <w:pPr>
        <w:spacing w:line="240" w:lineRule="auto"/>
      </w:pPr>
      <w:r>
        <w:t>Council.</w:t>
      </w:r>
    </w:p>
    <w:p w:rsidR="003D0C23" w:rsidRDefault="003D0C23" w:rsidP="003D0C23">
      <w:pPr>
        <w:spacing w:line="240" w:lineRule="auto"/>
      </w:pPr>
    </w:p>
    <w:p w:rsidR="00AD34D2" w:rsidRDefault="00AD34D2" w:rsidP="00A74BE6">
      <w:pPr>
        <w:spacing w:line="240" w:lineRule="auto"/>
      </w:pPr>
      <w:r>
        <w:lastRenderedPageBreak/>
        <w:t>The question therefore awaits a conclusive determination. In this writer’s opinion, however, it must</w:t>
      </w:r>
    </w:p>
    <w:p w:rsidR="00AD34D2" w:rsidRDefault="00AD34D2" w:rsidP="00A74BE6">
      <w:pPr>
        <w:spacing w:line="240" w:lineRule="auto"/>
      </w:pPr>
      <w:r>
        <w:t>be that any patient, whether one who has committed a criminal offence or not, has a right to</w:t>
      </w:r>
    </w:p>
    <w:p w:rsidR="00AD34D2" w:rsidRDefault="00AD34D2" w:rsidP="00A74BE6">
      <w:pPr>
        <w:spacing w:line="240" w:lineRule="auto"/>
      </w:pPr>
      <w:r>
        <w:t>receive treatment that is reciprocal to his detention on the grounds that he is of ‘unsound mind’,</w:t>
      </w:r>
    </w:p>
    <w:p w:rsidR="00AD34D2" w:rsidRDefault="00AD34D2" w:rsidP="00A74BE6">
      <w:pPr>
        <w:spacing w:line="240" w:lineRule="auto"/>
      </w:pPr>
      <w:r>
        <w:t>and any such detention will be unlawful unless it is for the purpose of administering such</w:t>
      </w:r>
    </w:p>
    <w:p w:rsidR="00AD34D2" w:rsidRDefault="00AD34D2" w:rsidP="00A74BE6">
      <w:pPr>
        <w:spacing w:line="240" w:lineRule="auto"/>
      </w:pPr>
      <w:r>
        <w:t>treatment. An exception may be justified where the person is truly ‘untreatable’.</w:t>
      </w:r>
    </w:p>
    <w:p w:rsidR="00640877" w:rsidRDefault="00640877" w:rsidP="00A74BE6">
      <w:pPr>
        <w:spacing w:line="240" w:lineRule="auto"/>
      </w:pPr>
    </w:p>
    <w:p w:rsidR="00AD34D2" w:rsidRDefault="00AD34D2" w:rsidP="00A74BE6">
      <w:pPr>
        <w:spacing w:line="240" w:lineRule="auto"/>
      </w:pPr>
      <w:r>
        <w:t>The argument is easier to put in relation to those who have not committed an offence.</w:t>
      </w:r>
    </w:p>
    <w:p w:rsidR="00640877" w:rsidRDefault="00AD34D2" w:rsidP="00A74BE6">
      <w:pPr>
        <w:spacing w:line="240" w:lineRule="auto"/>
      </w:pPr>
      <w:r>
        <w:t>Th</w:t>
      </w:r>
      <w:r w:rsidR="00640877">
        <w:t>e following points may be made.</w:t>
      </w:r>
    </w:p>
    <w:p w:rsidR="00640877" w:rsidRDefault="00640877" w:rsidP="00A74BE6">
      <w:pPr>
        <w:spacing w:line="240" w:lineRule="auto"/>
      </w:pPr>
    </w:p>
    <w:p w:rsidR="00AD34D2" w:rsidRDefault="00AD34D2" w:rsidP="00A74BE6">
      <w:pPr>
        <w:spacing w:line="240" w:lineRule="auto"/>
      </w:pPr>
      <w:r>
        <w:t>Without a requirement that a mental disorder (particularly a personality disorder) is ‘treatable’ to</w:t>
      </w:r>
    </w:p>
    <w:p w:rsidR="00AD34D2" w:rsidRDefault="00AD34D2" w:rsidP="00A74BE6">
      <w:pPr>
        <w:spacing w:line="240" w:lineRule="auto"/>
      </w:pPr>
      <w:r>
        <w:t>justify detention, there is a danger that patients will be detained on the grounds only that their</w:t>
      </w:r>
    </w:p>
    <w:p w:rsidR="00AD34D2" w:rsidRDefault="00AD34D2" w:rsidP="00A74BE6">
      <w:pPr>
        <w:spacing w:line="240" w:lineRule="auto"/>
      </w:pPr>
      <w:r>
        <w:t>‘views or behaviour deviate from the norms prevailing in a particular society</w:t>
      </w:r>
      <w:r w:rsidR="00640877">
        <w:rPr>
          <w:rStyle w:val="FootnoteReference"/>
        </w:rPr>
        <w:footnoteReference w:customMarkFollows="1" w:id="73"/>
        <w:t>72</w:t>
      </w:r>
      <w:r>
        <w:t>’, contrary to Article</w:t>
      </w:r>
    </w:p>
    <w:p w:rsidR="00AD34D2" w:rsidRDefault="00AD34D2" w:rsidP="00A74BE6">
      <w:pPr>
        <w:spacing w:line="240" w:lineRule="auto"/>
      </w:pPr>
      <w:r>
        <w:t>5(1</w:t>
      </w:r>
      <w:proofErr w:type="gramStart"/>
      <w:r>
        <w:t>)(</w:t>
      </w:r>
      <w:proofErr w:type="gramEnd"/>
      <w:r>
        <w:t>e). This was acknowledged by the Percy Commission in its 1957 Report</w:t>
      </w:r>
      <w:r w:rsidR="00640877">
        <w:rPr>
          <w:rStyle w:val="FootnoteReference"/>
        </w:rPr>
        <w:footnoteReference w:customMarkFollows="1" w:id="74"/>
        <w:t>73</w:t>
      </w:r>
      <w:r>
        <w:t>, at §338:</w:t>
      </w:r>
    </w:p>
    <w:p w:rsidR="00AD34D2" w:rsidRDefault="00AD34D2" w:rsidP="00A74BE6">
      <w:pPr>
        <w:spacing w:line="240" w:lineRule="auto"/>
      </w:pPr>
      <w:r>
        <w:t>“If one concentrates on the patient’s behaviour rather than on the mental condition which lies</w:t>
      </w:r>
    </w:p>
    <w:p w:rsidR="00AD34D2" w:rsidRDefault="00AD34D2" w:rsidP="00A74BE6">
      <w:pPr>
        <w:spacing w:line="240" w:lineRule="auto"/>
      </w:pPr>
      <w:r>
        <w:t>behind it, one comes very close to making certain forms of behaviour in themselves grounds for</w:t>
      </w:r>
    </w:p>
    <w:p w:rsidR="005A722D" w:rsidRDefault="00AD34D2" w:rsidP="00A74BE6">
      <w:pPr>
        <w:spacing w:line="240" w:lineRule="auto"/>
      </w:pPr>
      <w:r>
        <w:t>segregation from society, which almost amounts to the creation of new criminal offences.”</w:t>
      </w:r>
    </w:p>
    <w:p w:rsidR="005A722D" w:rsidRDefault="005A722D" w:rsidP="00A74BE6">
      <w:pPr>
        <w:spacing w:line="240" w:lineRule="auto"/>
      </w:pPr>
    </w:p>
    <w:p w:rsidR="005A722D" w:rsidRDefault="005A722D" w:rsidP="00A74BE6">
      <w:pPr>
        <w:spacing w:line="240" w:lineRule="auto"/>
      </w:pPr>
      <w:r>
        <w:t>It should be noted that the importance placed by the Percy Commission upon the requirement of</w:t>
      </w:r>
    </w:p>
    <w:p w:rsidR="005A722D" w:rsidRDefault="005A722D" w:rsidP="00A74BE6">
      <w:pPr>
        <w:spacing w:line="240" w:lineRule="auto"/>
      </w:pPr>
      <w:r>
        <w:t>‘treatability’ led to proposals that personality disordered (‘psychopathic’) patients who were over 21</w:t>
      </w:r>
    </w:p>
    <w:p w:rsidR="005A722D" w:rsidRDefault="005A722D" w:rsidP="00A74BE6">
      <w:pPr>
        <w:spacing w:line="240" w:lineRule="auto"/>
      </w:pPr>
      <w:r>
        <w:t>could not be detained at all, as by then the prospects of their benefiting from treatment were</w:t>
      </w:r>
    </w:p>
    <w:p w:rsidR="005A722D" w:rsidRDefault="005A722D" w:rsidP="00A74BE6">
      <w:pPr>
        <w:spacing w:line="240" w:lineRule="auto"/>
      </w:pPr>
      <w:r>
        <w:t>considered to be too small to justify detaining them. That recommendation was incorporated into</w:t>
      </w:r>
    </w:p>
    <w:p w:rsidR="005A722D" w:rsidRDefault="005A722D" w:rsidP="00A74BE6">
      <w:pPr>
        <w:spacing w:line="240" w:lineRule="auto"/>
      </w:pPr>
      <w:r>
        <w:t>the 1959 Mental Health Act and was not removed until the Mental Health (Amendment) Act 1982.</w:t>
      </w:r>
    </w:p>
    <w:p w:rsidR="005A722D" w:rsidRDefault="005A722D" w:rsidP="00A74BE6">
      <w:pPr>
        <w:spacing w:line="240" w:lineRule="auto"/>
      </w:pPr>
      <w:r>
        <w:t>The current proposals demonstrate a radical departure from the liberal philosophy that</w:t>
      </w:r>
    </w:p>
    <w:p w:rsidR="005A722D" w:rsidRDefault="005A722D" w:rsidP="00A74BE6">
      <w:pPr>
        <w:spacing w:line="240" w:lineRule="auto"/>
      </w:pPr>
      <w:r>
        <w:t>underpinned the 1959 reforms.</w:t>
      </w:r>
    </w:p>
    <w:p w:rsidR="005A722D" w:rsidRDefault="005A722D" w:rsidP="00A74BE6">
      <w:pPr>
        <w:spacing w:line="240" w:lineRule="auto"/>
      </w:pPr>
    </w:p>
    <w:p w:rsidR="005A722D" w:rsidRDefault="005A722D" w:rsidP="00A74BE6">
      <w:pPr>
        <w:spacing w:line="240" w:lineRule="auto"/>
      </w:pPr>
      <w:r>
        <w:t>Furthermore, it is arguable that an untreatable personality disorder is insufficient to constitute, on</w:t>
      </w:r>
    </w:p>
    <w:p w:rsidR="005A722D" w:rsidRDefault="005A722D" w:rsidP="00A74BE6">
      <w:pPr>
        <w:spacing w:line="240" w:lineRule="auto"/>
      </w:pPr>
      <w:r>
        <w:t>‘objective medical expertise’, a ‘true mental disorder … of a kind or degree warranting compulsory</w:t>
      </w:r>
    </w:p>
    <w:p w:rsidR="005A722D" w:rsidRDefault="005A722D" w:rsidP="00A74BE6">
      <w:pPr>
        <w:spacing w:line="240" w:lineRule="auto"/>
      </w:pPr>
      <w:r>
        <w:t>detention’, as required by Article 5(1</w:t>
      </w:r>
      <w:r w:rsidR="00A74BE6">
        <w:t>) (</w:t>
      </w:r>
      <w:r>
        <w:t>e)</w:t>
      </w:r>
      <w:r w:rsidR="00A74BE6">
        <w:rPr>
          <w:rStyle w:val="FootnoteReference"/>
        </w:rPr>
        <w:footnoteReference w:customMarkFollows="1" w:id="75"/>
        <w:t>74</w:t>
      </w:r>
      <w:r w:rsidR="00A74BE6">
        <w:t xml:space="preserve">, </w:t>
      </w:r>
      <w:r>
        <w:t>bearing in mind:</w:t>
      </w:r>
    </w:p>
    <w:p w:rsidR="005A722D" w:rsidRDefault="005A722D" w:rsidP="005A722D">
      <w:pPr>
        <w:spacing w:line="240" w:lineRule="auto"/>
      </w:pPr>
      <w:r>
        <w:lastRenderedPageBreak/>
        <w:t>(a) Between 10-13% of the population are considered to suffer from a personality disorder;</w:t>
      </w:r>
    </w:p>
    <w:p w:rsidR="005A722D" w:rsidRDefault="005A722D" w:rsidP="005A722D">
      <w:pPr>
        <w:spacing w:line="240" w:lineRule="auto"/>
      </w:pPr>
      <w:r>
        <w:t>(b) The condition is notoriously difficult to define; it is not known what causes it, how it is to be</w:t>
      </w:r>
    </w:p>
    <w:p w:rsidR="005A722D" w:rsidRDefault="005A722D" w:rsidP="005A722D">
      <w:pPr>
        <w:spacing w:line="240" w:lineRule="auto"/>
      </w:pPr>
      <w:r>
        <w:t>measured, what interventions are effective and how to measure the consequences of</w:t>
      </w:r>
    </w:p>
    <w:p w:rsidR="005A722D" w:rsidRDefault="00A74BE6" w:rsidP="005A722D">
      <w:pPr>
        <w:spacing w:line="240" w:lineRule="auto"/>
      </w:pPr>
      <w:r>
        <w:t>intervention</w:t>
      </w:r>
      <w:r>
        <w:rPr>
          <w:rStyle w:val="FootnoteReference"/>
        </w:rPr>
        <w:footnoteReference w:customMarkFollows="1" w:id="76"/>
        <w:t>75</w:t>
      </w:r>
      <w:r w:rsidR="005A722D">
        <w:t>.</w:t>
      </w:r>
    </w:p>
    <w:p w:rsidR="005A722D" w:rsidRDefault="005A722D" w:rsidP="005A722D">
      <w:pPr>
        <w:spacing w:line="240" w:lineRule="auto"/>
      </w:pPr>
      <w:r>
        <w:t>(c) The proposals require psychiatrists (and psychologists) to assess the risk of offending in the</w:t>
      </w:r>
    </w:p>
    <w:p w:rsidR="005A722D" w:rsidRDefault="005A722D" w:rsidP="005A722D">
      <w:pPr>
        <w:spacing w:line="240" w:lineRule="auto"/>
      </w:pPr>
      <w:r>
        <w:t>future. Quite apart from the question of whether it is proper to use the medical profession to</w:t>
      </w:r>
    </w:p>
    <w:p w:rsidR="005A722D" w:rsidRDefault="005A722D" w:rsidP="005A722D">
      <w:pPr>
        <w:spacing w:line="240" w:lineRule="auto"/>
      </w:pPr>
      <w:r>
        <w:t>justify that which would not otherwise be justifiable, there must be grave concern as to the</w:t>
      </w:r>
    </w:p>
    <w:p w:rsidR="005A722D" w:rsidRDefault="005A722D" w:rsidP="005A722D">
      <w:pPr>
        <w:spacing w:line="240" w:lineRule="auto"/>
      </w:pPr>
      <w:r>
        <w:t>reliability of any assessment of dangerousness where a patient has not been proved to have</w:t>
      </w:r>
    </w:p>
    <w:p w:rsidR="005A722D" w:rsidRDefault="005A722D" w:rsidP="005A722D">
      <w:pPr>
        <w:spacing w:line="240" w:lineRule="auto"/>
      </w:pPr>
      <w:r>
        <w:t>committed any offence.</w:t>
      </w:r>
    </w:p>
    <w:p w:rsidR="005A722D" w:rsidRDefault="005A722D" w:rsidP="005A722D">
      <w:pPr>
        <w:spacing w:line="240" w:lineRule="auto"/>
      </w:pPr>
      <w:r>
        <w:t>This leads to a further, more disturbing question. What of an individual who is tried, and</w:t>
      </w:r>
    </w:p>
    <w:p w:rsidR="005A722D" w:rsidRDefault="005A722D" w:rsidP="005A722D">
      <w:pPr>
        <w:spacing w:line="240" w:lineRule="auto"/>
      </w:pPr>
      <w:r>
        <w:t>acquitted, of a serious offence? Can he then be detained indefinitely as suffering from DSPD on</w:t>
      </w:r>
    </w:p>
    <w:p w:rsidR="005A722D" w:rsidRDefault="005A722D" w:rsidP="005A722D">
      <w:pPr>
        <w:spacing w:line="240" w:lineRule="auto"/>
      </w:pPr>
      <w:r>
        <w:t>evidence that a criminal court has decided is insufficient to convict him of a criminal offence? If</w:t>
      </w:r>
    </w:p>
    <w:p w:rsidR="005A722D" w:rsidRDefault="005A722D" w:rsidP="005A722D">
      <w:pPr>
        <w:spacing w:line="240" w:lineRule="auto"/>
      </w:pPr>
      <w:r>
        <w:t>so, the fundamental premise of the criminal justice system that a person is innocent until proved</w:t>
      </w:r>
    </w:p>
    <w:p w:rsidR="005A722D" w:rsidRDefault="005A722D" w:rsidP="005A722D">
      <w:pPr>
        <w:spacing w:line="240" w:lineRule="auto"/>
      </w:pPr>
      <w:r>
        <w:t>guilty (expressly preserved by Article 6(2) of the Convention) is undermined.</w:t>
      </w:r>
    </w:p>
    <w:p w:rsidR="00A74BE6" w:rsidRDefault="00A74BE6" w:rsidP="005A722D">
      <w:pPr>
        <w:spacing w:line="240" w:lineRule="auto"/>
      </w:pPr>
    </w:p>
    <w:p w:rsidR="005A722D" w:rsidRDefault="005A722D" w:rsidP="005A722D">
      <w:pPr>
        <w:spacing w:line="240" w:lineRule="auto"/>
      </w:pPr>
      <w:r>
        <w:t>These points are all relevant to an assessment of whether indefinite detention is a proportionate</w:t>
      </w:r>
    </w:p>
    <w:p w:rsidR="005A722D" w:rsidRDefault="005A722D" w:rsidP="005A722D">
      <w:pPr>
        <w:spacing w:line="240" w:lineRule="auto"/>
      </w:pPr>
      <w:r>
        <w:t>response in any case other than where a serious criminal offence has been committed or where the</w:t>
      </w:r>
    </w:p>
    <w:p w:rsidR="005A722D" w:rsidRDefault="005A722D" w:rsidP="005A722D">
      <w:pPr>
        <w:spacing w:line="240" w:lineRule="auto"/>
      </w:pPr>
      <w:r>
        <w:t>individual is a serious recidivist. It may be, in practice (given that only 300-600 individuals are</w:t>
      </w:r>
    </w:p>
    <w:p w:rsidR="005A722D" w:rsidRDefault="005A722D" w:rsidP="005A722D">
      <w:pPr>
        <w:spacing w:line="240" w:lineRule="auto"/>
      </w:pPr>
      <w:r>
        <w:t>considered to fall within the DSPD category) that these new powers will not, in practice, be</w:t>
      </w:r>
    </w:p>
    <w:p w:rsidR="005A722D" w:rsidRDefault="005A722D" w:rsidP="005A722D">
      <w:pPr>
        <w:spacing w:line="240" w:lineRule="auto"/>
      </w:pPr>
      <w:r>
        <w:t>exercised so as to lead to violations of Article 5(1</w:t>
      </w:r>
      <w:r w:rsidR="008A677A">
        <w:t>) (</w:t>
      </w:r>
      <w:r>
        <w:t>a) or (e). But the existing powers of the Criminal</w:t>
      </w:r>
    </w:p>
    <w:p w:rsidR="005A722D" w:rsidRDefault="005A722D" w:rsidP="005A722D">
      <w:pPr>
        <w:spacing w:line="240" w:lineRule="auto"/>
      </w:pPr>
      <w:r>
        <w:t>Courts to impose life sentences are already sufficient, it is submitted, to deal with those</w:t>
      </w:r>
    </w:p>
    <w:p w:rsidR="008A677A" w:rsidRDefault="005A722D" w:rsidP="005A722D">
      <w:pPr>
        <w:spacing w:line="240" w:lineRule="auto"/>
      </w:pPr>
      <w:r>
        <w:t>individuals.</w:t>
      </w:r>
    </w:p>
    <w:p w:rsidR="005A722D" w:rsidRPr="008A677A" w:rsidRDefault="008A677A" w:rsidP="005A722D">
      <w:pPr>
        <w:spacing w:line="240" w:lineRule="auto"/>
        <w:rPr>
          <w:b/>
        </w:rPr>
      </w:pPr>
      <w:r w:rsidRPr="008A677A">
        <w:rPr>
          <w:b/>
        </w:rPr>
        <w:br/>
      </w:r>
      <w:r w:rsidR="005A722D" w:rsidRPr="008A677A">
        <w:rPr>
          <w:b/>
        </w:rPr>
        <w:t>(8) The right to treatment</w:t>
      </w:r>
    </w:p>
    <w:p w:rsidR="005A722D" w:rsidRDefault="005A722D" w:rsidP="005A722D">
      <w:pPr>
        <w:spacing w:line="240" w:lineRule="auto"/>
      </w:pPr>
      <w:r>
        <w:t>The Expert Committee recommended that a new Mental Health Act should create a positive right</w:t>
      </w:r>
    </w:p>
    <w:p w:rsidR="005A722D" w:rsidRDefault="005A722D" w:rsidP="005A722D">
      <w:pPr>
        <w:spacing w:line="240" w:lineRule="auto"/>
      </w:pPr>
      <w:r>
        <w:t>to treatment, flowing from the principle of reciprocity</w:t>
      </w:r>
      <w:r w:rsidR="00922E4F">
        <w:rPr>
          <w:rStyle w:val="FootnoteReference"/>
        </w:rPr>
        <w:footnoteReference w:customMarkFollows="1" w:id="77"/>
        <w:t>76</w:t>
      </w:r>
      <w:r>
        <w:t>, one of the guiding principles the</w:t>
      </w:r>
    </w:p>
    <w:p w:rsidR="005A722D" w:rsidRDefault="005A722D" w:rsidP="005A722D">
      <w:pPr>
        <w:spacing w:line="240" w:lineRule="auto"/>
      </w:pPr>
      <w:r>
        <w:t>Committee considered should be enshrined in the new legislation (Expert Committee Report,</w:t>
      </w:r>
    </w:p>
    <w:p w:rsidR="005A722D" w:rsidRDefault="005A722D" w:rsidP="00B75216">
      <w:pPr>
        <w:spacing w:line="240" w:lineRule="auto"/>
      </w:pPr>
      <w:r>
        <w:lastRenderedPageBreak/>
        <w:t>§§2.21, 3.2). The Government has not accepted those proposals. The principle of reciprocity is not</w:t>
      </w:r>
    </w:p>
    <w:p w:rsidR="005A722D" w:rsidRDefault="005A722D" w:rsidP="00B75216">
      <w:pPr>
        <w:spacing w:line="240" w:lineRule="auto"/>
      </w:pPr>
      <w:proofErr w:type="gramStart"/>
      <w:r>
        <w:t>to</w:t>
      </w:r>
      <w:proofErr w:type="gramEnd"/>
      <w:r>
        <w:t xml:space="preserve"> be included in the Act itself (The Green Paper, Chapter 3, §5) and no mention is made of a ‘right</w:t>
      </w:r>
    </w:p>
    <w:p w:rsidR="00B75216" w:rsidRDefault="00B75216" w:rsidP="00B75216">
      <w:pPr>
        <w:spacing w:line="240" w:lineRule="auto"/>
      </w:pPr>
      <w:proofErr w:type="gramStart"/>
      <w:r>
        <w:t>to</w:t>
      </w:r>
      <w:proofErr w:type="gramEnd"/>
      <w:r>
        <w:t xml:space="preserve"> treatment’. However, the Government does intend to impose duties upon health and local</w:t>
      </w:r>
    </w:p>
    <w:p w:rsidR="00B75216" w:rsidRDefault="00B75216" w:rsidP="00B75216">
      <w:pPr>
        <w:spacing w:line="240" w:lineRule="auto"/>
      </w:pPr>
      <w:r>
        <w:t>authorities to provide health care and social care, including residential care, to people who are</w:t>
      </w:r>
    </w:p>
    <w:p w:rsidR="00B75216" w:rsidRDefault="00B75216" w:rsidP="00B75216">
      <w:pPr>
        <w:spacing w:line="240" w:lineRule="auto"/>
      </w:pPr>
      <w:r>
        <w:t>subject to an order providing for compulsory care and treatment (The Green Paper, Chapter 7,</w:t>
      </w:r>
    </w:p>
    <w:p w:rsidR="00B75216" w:rsidRDefault="00B75216" w:rsidP="00B75216">
      <w:pPr>
        <w:spacing w:line="240" w:lineRule="auto"/>
      </w:pPr>
      <w:r>
        <w:t>§11). It remains to be seen what form those dutie</w:t>
      </w:r>
      <w:r w:rsidR="00295E08">
        <w:t>s take in the final legislation.</w:t>
      </w:r>
    </w:p>
    <w:p w:rsidR="00295E08" w:rsidRDefault="00295E08" w:rsidP="00B75216">
      <w:pPr>
        <w:spacing w:line="240" w:lineRule="auto"/>
      </w:pPr>
    </w:p>
    <w:p w:rsidR="00B75216" w:rsidRDefault="00B75216" w:rsidP="00B75216">
      <w:pPr>
        <w:spacing w:line="240" w:lineRule="auto"/>
      </w:pPr>
      <w:r>
        <w:t>Does the Convention guarantee a right to treatment that is reciprocal upon the patient being</w:t>
      </w:r>
    </w:p>
    <w:p w:rsidR="00B75216" w:rsidRDefault="00B75216" w:rsidP="00B75216">
      <w:pPr>
        <w:spacing w:line="240" w:lineRule="auto"/>
      </w:pPr>
      <w:r>
        <w:t>subject to compulsory powers? There are two very distinct questions in issue here. The first is</w:t>
      </w:r>
    </w:p>
    <w:p w:rsidR="00B75216" w:rsidRDefault="00B75216" w:rsidP="00B75216">
      <w:pPr>
        <w:spacing w:line="240" w:lineRule="auto"/>
      </w:pPr>
      <w:proofErr w:type="gramStart"/>
      <w:r>
        <w:t>whether</w:t>
      </w:r>
      <w:proofErr w:type="gramEnd"/>
      <w:r>
        <w:t xml:space="preserve"> it is lawful to detain a person under Article 5(1)(e) on the grounds that he is of unsound</w:t>
      </w:r>
    </w:p>
    <w:p w:rsidR="00B75216" w:rsidRDefault="00B75216" w:rsidP="00B75216">
      <w:pPr>
        <w:spacing w:line="240" w:lineRule="auto"/>
      </w:pPr>
      <w:r>
        <w:t>mind without treating his mental disorder, discussed above in relation to patients with DSPD. If it</w:t>
      </w:r>
    </w:p>
    <w:p w:rsidR="00B75216" w:rsidRDefault="00B75216" w:rsidP="00B75216">
      <w:pPr>
        <w:spacing w:line="240" w:lineRule="auto"/>
      </w:pPr>
      <w:proofErr w:type="gramStart"/>
      <w:r>
        <w:t>is</w:t>
      </w:r>
      <w:proofErr w:type="gramEnd"/>
      <w:r>
        <w:t xml:space="preserve"> right that no detention is lawful under Article 5(1)(e) without treatment, then clearly the</w:t>
      </w:r>
    </w:p>
    <w:p w:rsidR="00B75216" w:rsidRDefault="00B75216" w:rsidP="00B75216">
      <w:pPr>
        <w:spacing w:line="240" w:lineRule="auto"/>
      </w:pPr>
      <w:r>
        <w:t>Convention creates a reciprocal right to treatment. If that is not the case, the second question</w:t>
      </w:r>
    </w:p>
    <w:p w:rsidR="00B75216" w:rsidRDefault="00B75216" w:rsidP="00B75216">
      <w:pPr>
        <w:spacing w:line="240" w:lineRule="auto"/>
      </w:pPr>
      <w:r>
        <w:t>engages, namely whether such a right to treatment can be derived from any other Convention</w:t>
      </w:r>
    </w:p>
    <w:p w:rsidR="00B75216" w:rsidRDefault="00B75216" w:rsidP="00B75216">
      <w:pPr>
        <w:spacing w:line="240" w:lineRule="auto"/>
      </w:pPr>
      <w:r>
        <w:t>Articles.</w:t>
      </w:r>
    </w:p>
    <w:p w:rsidR="00295E08" w:rsidRDefault="00295E08" w:rsidP="007D0594">
      <w:pPr>
        <w:spacing w:line="240" w:lineRule="auto"/>
      </w:pPr>
    </w:p>
    <w:p w:rsidR="00B75216" w:rsidRDefault="00B75216" w:rsidP="007D0594">
      <w:pPr>
        <w:spacing w:line="240" w:lineRule="auto"/>
      </w:pPr>
      <w:r>
        <w:t>There is no generally recognized right to treatment in the European Convention, nor in any of the</w:t>
      </w:r>
    </w:p>
    <w:p w:rsidR="00B75216" w:rsidRDefault="00B75216" w:rsidP="007D0594">
      <w:pPr>
        <w:spacing w:line="240" w:lineRule="auto"/>
      </w:pPr>
      <w:r>
        <w:t>other international human rights instruments</w:t>
      </w:r>
      <w:r>
        <w:rPr>
          <w:rStyle w:val="FootnoteReference"/>
        </w:rPr>
        <w:footnoteReference w:customMarkFollows="1" w:id="78"/>
        <w:t>77</w:t>
      </w:r>
      <w:r>
        <w:t>. The Court has recognized, however, that, in</w:t>
      </w:r>
    </w:p>
    <w:p w:rsidR="00B75216" w:rsidRDefault="00B75216" w:rsidP="007D0594">
      <w:pPr>
        <w:spacing w:line="240" w:lineRule="auto"/>
      </w:pPr>
      <w:r>
        <w:t>limited circumstances, there is a positive obligation on the state to provide treatment. For example,</w:t>
      </w:r>
    </w:p>
    <w:p w:rsidR="00B75216" w:rsidRDefault="00B75216" w:rsidP="007D0594">
      <w:pPr>
        <w:spacing w:line="240" w:lineRule="auto"/>
      </w:pPr>
      <w:r>
        <w:t>the removal of life-saving treatment may violate a patient’s rights under Articles 2 (right to life) and</w:t>
      </w:r>
    </w:p>
    <w:p w:rsidR="00B75216" w:rsidRDefault="00B75216" w:rsidP="007D0594">
      <w:pPr>
        <w:spacing w:line="240" w:lineRule="auto"/>
      </w:pPr>
      <w:r>
        <w:t>3 (right not to be subjected to torture or to inhuman or degrading treatment)</w:t>
      </w:r>
      <w:r>
        <w:rPr>
          <w:rStyle w:val="FootnoteReference"/>
        </w:rPr>
        <w:footnoteReference w:customMarkFollows="1" w:id="79"/>
        <w:t>78</w:t>
      </w:r>
      <w:r>
        <w:t>. Articles 2 and 3</w:t>
      </w:r>
    </w:p>
    <w:p w:rsidR="00B75216" w:rsidRDefault="00B75216" w:rsidP="007D0594">
      <w:pPr>
        <w:spacing w:line="240" w:lineRule="auto"/>
      </w:pPr>
      <w:r>
        <w:t>impose a positive obligation to provide life-saving treatment in circumstances where the State has</w:t>
      </w:r>
    </w:p>
    <w:p w:rsidR="00B75216" w:rsidRDefault="00B75216" w:rsidP="007D0594">
      <w:pPr>
        <w:spacing w:line="240" w:lineRule="auto"/>
      </w:pPr>
      <w:r>
        <w:t>knowledge of the individual’s circumstances and it would be reasonable for it to provide such</w:t>
      </w:r>
    </w:p>
    <w:p w:rsidR="00B75216" w:rsidRDefault="00B75216" w:rsidP="007D0594">
      <w:pPr>
        <w:spacing w:line="240" w:lineRule="auto"/>
      </w:pPr>
      <w:r>
        <w:t>treatment</w:t>
      </w:r>
      <w:r>
        <w:rPr>
          <w:rStyle w:val="FootnoteReference"/>
        </w:rPr>
        <w:footnoteReference w:customMarkFollows="1" w:id="80"/>
        <w:t>79</w:t>
      </w:r>
      <w:r>
        <w:t>. A particular duty to provide treatment has been found to exist in relation to detained</w:t>
      </w:r>
    </w:p>
    <w:p w:rsidR="00B75216" w:rsidRDefault="00B75216" w:rsidP="007D0594">
      <w:pPr>
        <w:spacing w:line="240" w:lineRule="auto"/>
      </w:pPr>
      <w:r>
        <w:t>persons</w:t>
      </w:r>
      <w:r>
        <w:rPr>
          <w:rStyle w:val="FootnoteReference"/>
        </w:rPr>
        <w:footnoteReference w:customMarkFollows="1" w:id="81"/>
        <w:t>80</w:t>
      </w:r>
      <w:r>
        <w:t>. Moreover, the detention of a patient in hospital without any treatment for that disorder</w:t>
      </w:r>
    </w:p>
    <w:p w:rsidR="00B75216" w:rsidRPr="008F2744" w:rsidRDefault="00B75216" w:rsidP="007D0594">
      <w:pPr>
        <w:spacing w:line="240" w:lineRule="auto"/>
        <w:rPr>
          <w:i/>
        </w:rPr>
      </w:pPr>
      <w:proofErr w:type="gramStart"/>
      <w:r>
        <w:t>was</w:t>
      </w:r>
      <w:proofErr w:type="gramEnd"/>
      <w:r>
        <w:t xml:space="preserve"> held potentially to give rise to a violation of Article 3 by the Commission in </w:t>
      </w:r>
      <w:r w:rsidRPr="008F2744">
        <w:rPr>
          <w:i/>
        </w:rPr>
        <w:t>B v United</w:t>
      </w:r>
    </w:p>
    <w:p w:rsidR="00B75216" w:rsidRDefault="00B75216" w:rsidP="00B75216">
      <w:pPr>
        <w:spacing w:line="240" w:lineRule="auto"/>
      </w:pPr>
      <w:proofErr w:type="gramStart"/>
      <w:r w:rsidRPr="008F2744">
        <w:rPr>
          <w:i/>
        </w:rPr>
        <w:lastRenderedPageBreak/>
        <w:t>Kingdom</w:t>
      </w:r>
      <w:r>
        <w:rPr>
          <w:rStyle w:val="FootnoteReference"/>
        </w:rPr>
        <w:footnoteReference w:customMarkFollows="1" w:id="82"/>
        <w:t>81</w:t>
      </w:r>
      <w:r>
        <w:t>.</w:t>
      </w:r>
      <w:proofErr w:type="gramEnd"/>
    </w:p>
    <w:p w:rsidR="007D0594" w:rsidRDefault="007D0594" w:rsidP="00091E2F">
      <w:pPr>
        <w:spacing w:line="240" w:lineRule="auto"/>
      </w:pPr>
    </w:p>
    <w:p w:rsidR="00B75216" w:rsidRDefault="00B75216" w:rsidP="00593F7F">
      <w:pPr>
        <w:spacing w:line="240" w:lineRule="auto"/>
      </w:pPr>
      <w:r>
        <w:t>The positive rights created by Articles 2 and 3 are similar to the right to emergency treatment</w:t>
      </w:r>
    </w:p>
    <w:p w:rsidR="00B75216" w:rsidRDefault="00B75216" w:rsidP="00593F7F">
      <w:pPr>
        <w:spacing w:line="240" w:lineRule="auto"/>
      </w:pPr>
      <w:r>
        <w:t>conferred by the South African Constitution, which does not guarantee a right to longer-term</w:t>
      </w:r>
    </w:p>
    <w:p w:rsidR="00B75216" w:rsidRDefault="00B75216" w:rsidP="00593F7F">
      <w:pPr>
        <w:spacing w:line="240" w:lineRule="auto"/>
      </w:pPr>
      <w:r>
        <w:t>treatment, even where that is life-saving</w:t>
      </w:r>
      <w:r w:rsidR="002A4E6B">
        <w:rPr>
          <w:rStyle w:val="FootnoteReference"/>
        </w:rPr>
        <w:footnoteReference w:customMarkFollows="1" w:id="83"/>
        <w:t>82</w:t>
      </w:r>
      <w:r>
        <w:t>. The question whether absence of resources will justify</w:t>
      </w:r>
    </w:p>
    <w:p w:rsidR="00B75216" w:rsidRDefault="00B75216" w:rsidP="00593F7F">
      <w:pPr>
        <w:spacing w:line="240" w:lineRule="auto"/>
      </w:pPr>
      <w:r>
        <w:t>refusing life-saving treatment has yet to be considered by the Strasbourg Court</w:t>
      </w:r>
      <w:r w:rsidR="002A4E6B">
        <w:rPr>
          <w:rStyle w:val="FootnoteReference"/>
        </w:rPr>
        <w:footnoteReference w:customMarkFollows="1" w:id="84"/>
        <w:t>83</w:t>
      </w:r>
      <w:r>
        <w:t>, but a distinction</w:t>
      </w:r>
    </w:p>
    <w:p w:rsidR="00B75216" w:rsidRDefault="00B75216" w:rsidP="00593F7F">
      <w:pPr>
        <w:spacing w:line="240" w:lineRule="auto"/>
      </w:pPr>
      <w:r>
        <w:t>might be drawn between emergency treatment and longer-term life-saving treatment, such as arose</w:t>
      </w:r>
    </w:p>
    <w:p w:rsidR="00B75216" w:rsidRDefault="00B75216" w:rsidP="00593F7F">
      <w:pPr>
        <w:spacing w:line="240" w:lineRule="auto"/>
      </w:pPr>
      <w:proofErr w:type="gramStart"/>
      <w:r>
        <w:t>in</w:t>
      </w:r>
      <w:proofErr w:type="gramEnd"/>
      <w:r>
        <w:t xml:space="preserve"> </w:t>
      </w:r>
      <w:r w:rsidRPr="008F2744">
        <w:rPr>
          <w:i/>
        </w:rPr>
        <w:t xml:space="preserve">R v Cambridge HA ex p </w:t>
      </w:r>
      <w:r>
        <w:t>B</w:t>
      </w:r>
      <w:r w:rsidR="002A4E6B">
        <w:rPr>
          <w:rStyle w:val="FootnoteReference"/>
        </w:rPr>
        <w:footnoteReference w:customMarkFollows="1" w:id="85"/>
        <w:t>84</w:t>
      </w:r>
      <w:r>
        <w:t>, particularly where resources are limited. The issue is a difficult one</w:t>
      </w:r>
    </w:p>
    <w:p w:rsidR="00B75216" w:rsidRDefault="00B75216" w:rsidP="00593F7F">
      <w:pPr>
        <w:spacing w:line="240" w:lineRule="auto"/>
      </w:pPr>
      <w:r>
        <w:t>as neither Article 2 or 3 permit of any exceptions, by contrast with, for example, Articles 5 and 8.</w:t>
      </w:r>
    </w:p>
    <w:p w:rsidR="00B75216" w:rsidRDefault="00B75216" w:rsidP="00593F7F">
      <w:pPr>
        <w:spacing w:line="240" w:lineRule="auto"/>
      </w:pPr>
      <w:r>
        <w:t>A failure or refusal to provide any treatment that is unjustifiably discriminatory will be unlawful,</w:t>
      </w:r>
    </w:p>
    <w:p w:rsidR="00B75216" w:rsidRDefault="00B75216" w:rsidP="00593F7F">
      <w:pPr>
        <w:spacing w:line="240" w:lineRule="auto"/>
      </w:pPr>
      <w:r>
        <w:t>either under Article 14 (prohibition on discrimination) or the Disability Discrimination Act</w:t>
      </w:r>
    </w:p>
    <w:p w:rsidR="00B75216" w:rsidRDefault="00B75216" w:rsidP="00593F7F">
      <w:pPr>
        <w:spacing w:line="240" w:lineRule="auto"/>
      </w:pPr>
      <w:r>
        <w:t>1995</w:t>
      </w:r>
      <w:r w:rsidR="002A4E6B">
        <w:rPr>
          <w:rStyle w:val="FootnoteReference"/>
        </w:rPr>
        <w:footnoteReference w:customMarkFollows="1" w:id="86"/>
        <w:t>85</w:t>
      </w:r>
      <w:r>
        <w:t>. So far as Article 14 is concerned it should be noted that the right is not a stand-alone</w:t>
      </w:r>
    </w:p>
    <w:p w:rsidR="00091E2F" w:rsidRDefault="00091E2F" w:rsidP="00593F7F">
      <w:pPr>
        <w:spacing w:line="240" w:lineRule="auto"/>
      </w:pPr>
      <w:r>
        <w:t>prohibition on discrimination. It may only be relied upon in conjunction with another Convention</w:t>
      </w:r>
    </w:p>
    <w:p w:rsidR="00091E2F" w:rsidRDefault="00091E2F" w:rsidP="00593F7F">
      <w:pPr>
        <w:spacing w:line="240" w:lineRule="auto"/>
      </w:pPr>
      <w:r>
        <w:t>right. This may be contrasted with the new Protocol 12 to the Convention which the UK</w:t>
      </w:r>
    </w:p>
    <w:p w:rsidR="00091E2F" w:rsidRDefault="00091E2F" w:rsidP="00593F7F">
      <w:pPr>
        <w:spacing w:line="240" w:lineRule="auto"/>
      </w:pPr>
      <w:r>
        <w:t>Government is yet to sign.</w:t>
      </w:r>
    </w:p>
    <w:p w:rsidR="00091E2F" w:rsidRDefault="00091E2F" w:rsidP="00593F7F">
      <w:pPr>
        <w:spacing w:line="240" w:lineRule="auto"/>
      </w:pPr>
    </w:p>
    <w:p w:rsidR="00091E2F" w:rsidRDefault="00091E2F" w:rsidP="00593F7F">
      <w:pPr>
        <w:spacing w:line="240" w:lineRule="auto"/>
      </w:pPr>
      <w:r>
        <w:t>Article 8 also imposes positive obligations, which might include (in appropriate circumstances) an</w:t>
      </w:r>
    </w:p>
    <w:p w:rsidR="00091E2F" w:rsidRDefault="00091E2F" w:rsidP="00593F7F">
      <w:pPr>
        <w:spacing w:line="240" w:lineRule="auto"/>
      </w:pPr>
      <w:r>
        <w:t xml:space="preserve">obligation to provide treatment to a patient where otherwise his right to private and family life will </w:t>
      </w:r>
    </w:p>
    <w:p w:rsidR="00091E2F" w:rsidRDefault="00091E2F" w:rsidP="00593F7F">
      <w:pPr>
        <w:spacing w:line="240" w:lineRule="auto"/>
      </w:pPr>
      <w:r>
        <w:t xml:space="preserve">be interfered with in a disproportionate manner. One example would be a person suffering a </w:t>
      </w:r>
    </w:p>
    <w:p w:rsidR="00091E2F" w:rsidRDefault="00091E2F" w:rsidP="00593F7F">
      <w:pPr>
        <w:spacing w:line="240" w:lineRule="auto"/>
      </w:pPr>
      <w:r>
        <w:t xml:space="preserve">debilitating long-term condition that can be alleviated by treatment. Another example is a patient </w:t>
      </w:r>
    </w:p>
    <w:p w:rsidR="00091E2F" w:rsidRDefault="00091E2F" w:rsidP="00593F7F">
      <w:pPr>
        <w:spacing w:line="240" w:lineRule="auto"/>
      </w:pPr>
      <w:r>
        <w:t xml:space="preserve">detained in hospital, most obviously in High or Medium Security, for years on end without </w:t>
      </w:r>
    </w:p>
    <w:p w:rsidR="00091E2F" w:rsidRDefault="00091E2F" w:rsidP="00593F7F">
      <w:pPr>
        <w:spacing w:line="240" w:lineRule="auto"/>
      </w:pPr>
      <w:r>
        <w:t xml:space="preserve">appropriate treatment being given. Those patients will often spend years longer in hospital than </w:t>
      </w:r>
    </w:p>
    <w:p w:rsidR="00091E2F" w:rsidRDefault="00091E2F" w:rsidP="00593F7F">
      <w:pPr>
        <w:spacing w:line="240" w:lineRule="auto"/>
      </w:pPr>
      <w:r>
        <w:t xml:space="preserve">they would had they received the treatment they required at an earlier stage. Although it might not </w:t>
      </w:r>
    </w:p>
    <w:p w:rsidR="000F5C65" w:rsidRDefault="00091E2F" w:rsidP="00593F7F">
      <w:pPr>
        <w:spacing w:line="240" w:lineRule="auto"/>
      </w:pPr>
      <w:proofErr w:type="gramStart"/>
      <w:r>
        <w:t>b</w:t>
      </w:r>
      <w:r w:rsidR="000F5C65">
        <w:t>e</w:t>
      </w:r>
      <w:proofErr w:type="gramEnd"/>
      <w:r w:rsidR="000F5C65">
        <w:t xml:space="preserve"> open to allege a violation of </w:t>
      </w:r>
      <w:r>
        <w:t>Article 5(1</w:t>
      </w:r>
      <w:r w:rsidR="00593F7F">
        <w:t>) (</w:t>
      </w:r>
      <w:r>
        <w:t xml:space="preserve">e) in relation to those ‘extra years’ in detention, a failure </w:t>
      </w:r>
    </w:p>
    <w:p w:rsidR="000F5C65" w:rsidRDefault="000F5C65" w:rsidP="00593F7F">
      <w:pPr>
        <w:spacing w:line="240" w:lineRule="auto"/>
      </w:pPr>
      <w:r>
        <w:t xml:space="preserve">to treat in those circumstances </w:t>
      </w:r>
      <w:r w:rsidR="00091E2F">
        <w:t xml:space="preserve">could well amount to a violation of Article 8 and (in the most </w:t>
      </w:r>
    </w:p>
    <w:p w:rsidR="00091E2F" w:rsidRDefault="00091E2F" w:rsidP="00593F7F">
      <w:pPr>
        <w:spacing w:line="240" w:lineRule="auto"/>
      </w:pPr>
      <w:r>
        <w:t>extreme cases) Article 3.</w:t>
      </w:r>
    </w:p>
    <w:p w:rsidR="00091E2F" w:rsidRDefault="00091E2F" w:rsidP="00091E2F">
      <w:pPr>
        <w:spacing w:line="240" w:lineRule="auto"/>
      </w:pPr>
      <w:r>
        <w:lastRenderedPageBreak/>
        <w:t>In summary, it is strongly arguable that a limited right to treatment reciprocal upon a patient’s</w:t>
      </w:r>
    </w:p>
    <w:p w:rsidR="00091E2F" w:rsidRDefault="00091E2F" w:rsidP="00091E2F">
      <w:pPr>
        <w:spacing w:line="240" w:lineRule="auto"/>
      </w:pPr>
      <w:r>
        <w:t>detention on the grounds of mental disorder can be derived from Articles 3 and 8. It should be</w:t>
      </w:r>
    </w:p>
    <w:p w:rsidR="00091E2F" w:rsidRDefault="00091E2F" w:rsidP="00091E2F">
      <w:pPr>
        <w:spacing w:line="240" w:lineRule="auto"/>
      </w:pPr>
      <w:r>
        <w:t xml:space="preserve">noted that recommendation no. </w:t>
      </w:r>
      <w:proofErr w:type="gramStart"/>
      <w:r>
        <w:t>R(</w:t>
      </w:r>
      <w:proofErr w:type="gramEnd"/>
      <w:r>
        <w:t>83)2 concerning the legal protection of persons suffering from</w:t>
      </w:r>
    </w:p>
    <w:p w:rsidR="00091E2F" w:rsidRDefault="00091E2F" w:rsidP="00091E2F">
      <w:pPr>
        <w:spacing w:line="240" w:lineRule="auto"/>
      </w:pPr>
      <w:r>
        <w:t>mental disorder placed as involuntary patients, which was adopted by the Committee of Ministers</w:t>
      </w:r>
    </w:p>
    <w:p w:rsidR="00091E2F" w:rsidRDefault="00091E2F" w:rsidP="00091E2F">
      <w:pPr>
        <w:spacing w:line="240" w:lineRule="auto"/>
      </w:pPr>
      <w:proofErr w:type="gramStart"/>
      <w:r>
        <w:t>on</w:t>
      </w:r>
      <w:proofErr w:type="gramEnd"/>
      <w:r>
        <w:t xml:space="preserve"> 22nd February 1983 under Article 15(b) of the Statute of the Council of Europe, recommends</w:t>
      </w:r>
    </w:p>
    <w:p w:rsidR="00091E2F" w:rsidRDefault="00091E2F" w:rsidP="00091E2F">
      <w:pPr>
        <w:spacing w:line="240" w:lineRule="auto"/>
      </w:pPr>
      <w:r>
        <w:t>that patients detained involuntarily in hospital have the right to receive appropriate treatment and</w:t>
      </w:r>
    </w:p>
    <w:p w:rsidR="00091E2F" w:rsidRDefault="00091E2F" w:rsidP="00091E2F">
      <w:pPr>
        <w:spacing w:line="240" w:lineRule="auto"/>
      </w:pPr>
      <w:proofErr w:type="gramStart"/>
      <w:r>
        <w:t>care</w:t>
      </w:r>
      <w:proofErr w:type="gramEnd"/>
      <w:r>
        <w:t>. This recommendation is now the subject of consultation by the Council of Europe in their</w:t>
      </w:r>
    </w:p>
    <w:p w:rsidR="00091E2F" w:rsidRDefault="00091E2F" w:rsidP="00091E2F">
      <w:pPr>
        <w:spacing w:line="240" w:lineRule="auto"/>
      </w:pPr>
      <w:r>
        <w:t>White Paper on Human Rights and Mental Health dated 3rd January 2000.</w:t>
      </w:r>
    </w:p>
    <w:p w:rsidR="00D703B1" w:rsidRDefault="00D703B1" w:rsidP="00091E2F">
      <w:pPr>
        <w:spacing w:line="240" w:lineRule="auto"/>
      </w:pPr>
    </w:p>
    <w:p w:rsidR="00091E2F" w:rsidRPr="00593F7F" w:rsidRDefault="00091E2F" w:rsidP="00091E2F">
      <w:pPr>
        <w:spacing w:line="240" w:lineRule="auto"/>
        <w:rPr>
          <w:b/>
        </w:rPr>
      </w:pPr>
      <w:r w:rsidRPr="00593F7F">
        <w:rPr>
          <w:b/>
        </w:rPr>
        <w:t>(9) The right to refuse treatment</w:t>
      </w:r>
    </w:p>
    <w:p w:rsidR="00091E2F" w:rsidRDefault="00091E2F" w:rsidP="00091E2F">
      <w:pPr>
        <w:spacing w:line="240" w:lineRule="auto"/>
      </w:pPr>
      <w:r>
        <w:t>Both common law and the Convention provide some protection, at present, for patients who do</w:t>
      </w:r>
    </w:p>
    <w:p w:rsidR="00091E2F" w:rsidRDefault="00091E2F" w:rsidP="00091E2F">
      <w:pPr>
        <w:spacing w:line="240" w:lineRule="auto"/>
      </w:pPr>
      <w:r>
        <w:t>not wish to submit to treatment that their clinician considers necessary. The proposals in the Green</w:t>
      </w:r>
    </w:p>
    <w:p w:rsidR="00091E2F" w:rsidRDefault="00091E2F" w:rsidP="00091E2F">
      <w:pPr>
        <w:spacing w:line="240" w:lineRule="auto"/>
      </w:pPr>
      <w:r>
        <w:t>Paper will permit compulsory medication of detained patients (similar to the existing powers</w:t>
      </w:r>
    </w:p>
    <w:p w:rsidR="00091E2F" w:rsidRDefault="00091E2F" w:rsidP="00091E2F">
      <w:pPr>
        <w:spacing w:line="240" w:lineRule="auto"/>
      </w:pPr>
      <w:r>
        <w:t>under Part IV Mental Health Act 1983) and of those subject to compulsory community orders,</w:t>
      </w:r>
    </w:p>
    <w:p w:rsidR="00091E2F" w:rsidRDefault="00091E2F" w:rsidP="00091E2F">
      <w:pPr>
        <w:spacing w:line="240" w:lineRule="auto"/>
      </w:pPr>
      <w:r>
        <w:t>although in the case of the latter such treatment may only be administered in a ‘stipulated place’</w:t>
      </w:r>
    </w:p>
    <w:p w:rsidR="00091E2F" w:rsidRDefault="00091E2F" w:rsidP="00091E2F">
      <w:pPr>
        <w:spacing w:line="240" w:lineRule="auto"/>
      </w:pPr>
      <w:r>
        <w:t>(Green Paper, Chapter 6, §9), or in hospital. The Expert Committee’s proposal that compulsory</w:t>
      </w:r>
    </w:p>
    <w:p w:rsidR="00091E2F" w:rsidRDefault="00091E2F" w:rsidP="00091E2F">
      <w:pPr>
        <w:spacing w:line="240" w:lineRule="auto"/>
      </w:pPr>
      <w:r>
        <w:t>treatment be capacity-based – giving those detained patients who have capacity greater rights to</w:t>
      </w:r>
    </w:p>
    <w:p w:rsidR="00091E2F" w:rsidRDefault="00091E2F" w:rsidP="00091E2F">
      <w:pPr>
        <w:spacing w:line="240" w:lineRule="auto"/>
      </w:pPr>
      <w:r>
        <w:t>refuse treatment - was rejected. For those not subject to a compulsory order, the lawfulness of the</w:t>
      </w:r>
    </w:p>
    <w:p w:rsidR="00091E2F" w:rsidRDefault="00091E2F" w:rsidP="00091E2F">
      <w:pPr>
        <w:spacing w:line="240" w:lineRule="auto"/>
      </w:pPr>
      <w:r>
        <w:t>patient’s treatment will continue to be determined by the common law, at least until the</w:t>
      </w:r>
    </w:p>
    <w:p w:rsidR="00091E2F" w:rsidRDefault="00091E2F" w:rsidP="00091E2F">
      <w:pPr>
        <w:spacing w:line="240" w:lineRule="auto"/>
      </w:pPr>
      <w:r>
        <w:t>Government’s proposed incapacity legislation (which is separate from the proposed mental health</w:t>
      </w:r>
    </w:p>
    <w:p w:rsidR="00091E2F" w:rsidRDefault="00091E2F" w:rsidP="00091E2F">
      <w:pPr>
        <w:spacing w:line="240" w:lineRule="auto"/>
      </w:pPr>
      <w:r>
        <w:t>legislation) has been introduced</w:t>
      </w:r>
      <w:r w:rsidR="00025F9E">
        <w:rPr>
          <w:rStyle w:val="FootnoteReference"/>
        </w:rPr>
        <w:footnoteReference w:customMarkFollows="1" w:id="87"/>
        <w:t>86</w:t>
      </w:r>
      <w:r>
        <w:t>.</w:t>
      </w:r>
    </w:p>
    <w:p w:rsidR="00025F9E" w:rsidRDefault="00025F9E" w:rsidP="00091E2F">
      <w:pPr>
        <w:spacing w:line="240" w:lineRule="auto"/>
      </w:pPr>
    </w:p>
    <w:p w:rsidR="00091E2F" w:rsidRDefault="00091E2F" w:rsidP="00091E2F">
      <w:pPr>
        <w:spacing w:line="240" w:lineRule="auto"/>
      </w:pPr>
      <w:r>
        <w:t>The questions arise, here, as to whether the existing common law ‘power’ of treatment, and the</w:t>
      </w:r>
    </w:p>
    <w:p w:rsidR="00091E2F" w:rsidRDefault="00091E2F" w:rsidP="00091E2F">
      <w:pPr>
        <w:spacing w:line="240" w:lineRule="auto"/>
      </w:pPr>
      <w:r>
        <w:t xml:space="preserve">proposed statutory powers of </w:t>
      </w:r>
      <w:r w:rsidR="00025F9E">
        <w:t>treatment</w:t>
      </w:r>
      <w:r>
        <w:t xml:space="preserve"> are compatible with the Convention.</w:t>
      </w:r>
    </w:p>
    <w:p w:rsidR="00025F9E" w:rsidRDefault="00025F9E" w:rsidP="00091E2F">
      <w:pPr>
        <w:spacing w:line="240" w:lineRule="auto"/>
      </w:pPr>
    </w:p>
    <w:p w:rsidR="00025F9E" w:rsidRDefault="00091E2F" w:rsidP="00091E2F">
      <w:pPr>
        <w:spacing w:line="240" w:lineRule="auto"/>
      </w:pPr>
      <w:r w:rsidRPr="00025F9E">
        <w:rPr>
          <w:i/>
        </w:rPr>
        <w:t>Common law.</w:t>
      </w:r>
      <w:r>
        <w:t xml:space="preserve"> At common law the individual’s right to integrity of the person and to </w:t>
      </w:r>
    </w:p>
    <w:p w:rsidR="00091E2F" w:rsidRDefault="00091E2F" w:rsidP="00091E2F">
      <w:pPr>
        <w:spacing w:line="240" w:lineRule="auto"/>
      </w:pPr>
      <w:r>
        <w:t>self</w:t>
      </w:r>
      <w:r w:rsidR="00025F9E">
        <w:t xml:space="preserve">-determination </w:t>
      </w:r>
      <w:r>
        <w:t>are fundamental human rights</w:t>
      </w:r>
      <w:r w:rsidR="00025F9E">
        <w:rPr>
          <w:rStyle w:val="FootnoteReference"/>
        </w:rPr>
        <w:footnoteReference w:customMarkFollows="1" w:id="88"/>
        <w:t>87</w:t>
      </w:r>
      <w:r>
        <w:t>. The right of a capacitated individual to refuse</w:t>
      </w:r>
    </w:p>
    <w:p w:rsidR="00091E2F" w:rsidRDefault="00091E2F" w:rsidP="00091E2F">
      <w:pPr>
        <w:spacing w:line="240" w:lineRule="auto"/>
      </w:pPr>
      <w:r>
        <w:t>consent to treatment</w:t>
      </w:r>
      <w:r w:rsidR="00025F9E">
        <w:rPr>
          <w:rStyle w:val="FootnoteReference"/>
        </w:rPr>
        <w:footnoteReference w:customMarkFollows="1" w:id="89"/>
        <w:t>88</w:t>
      </w:r>
      <w:r>
        <w:t xml:space="preserve"> and nutrition</w:t>
      </w:r>
      <w:r w:rsidR="00025F9E">
        <w:rPr>
          <w:rStyle w:val="FootnoteReference"/>
        </w:rPr>
        <w:footnoteReference w:customMarkFollows="1" w:id="90"/>
        <w:t>89</w:t>
      </w:r>
      <w:r>
        <w:t xml:space="preserve"> are well established. As a matter of convention law, a state</w:t>
      </w:r>
    </w:p>
    <w:p w:rsidR="000044E9" w:rsidRDefault="000044E9" w:rsidP="00F63FA1">
      <w:pPr>
        <w:spacing w:line="240" w:lineRule="auto"/>
      </w:pPr>
      <w:r>
        <w:lastRenderedPageBreak/>
        <w:t>will not violate Article 2 by respecting decisions of capacitated individuals to refuse treatment and</w:t>
      </w:r>
    </w:p>
    <w:p w:rsidR="000044E9" w:rsidRDefault="000044E9" w:rsidP="00F63FA1">
      <w:pPr>
        <w:spacing w:line="240" w:lineRule="auto"/>
      </w:pPr>
      <w:r>
        <w:t>nutrition, even where it leads to the individual’s death. The capacitated individual’s rights under</w:t>
      </w:r>
    </w:p>
    <w:p w:rsidR="000044E9" w:rsidRDefault="000044E9" w:rsidP="00F63FA1">
      <w:pPr>
        <w:spacing w:line="240" w:lineRule="auto"/>
      </w:pPr>
      <w:r>
        <w:t>Article 3 and Article 8, which (partly) reflect the common law rights of integrity of the person and</w:t>
      </w:r>
    </w:p>
    <w:p w:rsidR="000044E9" w:rsidRDefault="000044E9" w:rsidP="00F63FA1">
      <w:pPr>
        <w:spacing w:line="240" w:lineRule="auto"/>
      </w:pPr>
      <w:proofErr w:type="gramStart"/>
      <w:r>
        <w:t>self-</w:t>
      </w:r>
      <w:r w:rsidR="00F63FA1">
        <w:t>determination</w:t>
      </w:r>
      <w:proofErr w:type="gramEnd"/>
      <w:r>
        <w:t xml:space="preserve"> should prevail</w:t>
      </w:r>
      <w:r>
        <w:rPr>
          <w:rStyle w:val="FootnoteReference"/>
        </w:rPr>
        <w:footnoteReference w:customMarkFollows="1" w:id="91"/>
        <w:t>90</w:t>
      </w:r>
      <w:r>
        <w:t>.</w:t>
      </w:r>
    </w:p>
    <w:p w:rsidR="00F63FA1" w:rsidRDefault="00F63FA1" w:rsidP="00F63FA1">
      <w:pPr>
        <w:spacing w:line="240" w:lineRule="auto"/>
      </w:pPr>
    </w:p>
    <w:p w:rsidR="000044E9" w:rsidRDefault="000044E9" w:rsidP="00F63FA1">
      <w:pPr>
        <w:spacing w:line="240" w:lineRule="auto"/>
      </w:pPr>
      <w:r>
        <w:t>The situation differs where the patient lacks capacity to make such decisions</w:t>
      </w:r>
      <w:r w:rsidR="00F63FA1">
        <w:rPr>
          <w:rStyle w:val="FootnoteReference"/>
        </w:rPr>
        <w:footnoteReference w:customMarkFollows="1" w:id="92"/>
        <w:t>91</w:t>
      </w:r>
      <w:r>
        <w:t>. At common law the</w:t>
      </w:r>
    </w:p>
    <w:p w:rsidR="000044E9" w:rsidRDefault="000044E9" w:rsidP="00F63FA1">
      <w:pPr>
        <w:spacing w:line="240" w:lineRule="auto"/>
      </w:pPr>
      <w:r>
        <w:t>doctrine of necessity justifies action that would otherwise constitute an assault which is taken in</w:t>
      </w:r>
    </w:p>
    <w:p w:rsidR="000044E9" w:rsidRDefault="000044E9" w:rsidP="00F63FA1">
      <w:pPr>
        <w:spacing w:line="240" w:lineRule="auto"/>
      </w:pPr>
      <w:proofErr w:type="gramStart"/>
      <w:r>
        <w:t>the</w:t>
      </w:r>
      <w:proofErr w:type="gramEnd"/>
      <w:r>
        <w:t xml:space="preserve"> ‘best interests’ of an incapacitated individual</w:t>
      </w:r>
      <w:r w:rsidR="00F63FA1">
        <w:rPr>
          <w:rStyle w:val="FootnoteReference"/>
        </w:rPr>
        <w:footnoteReference w:customMarkFollows="1" w:id="93"/>
        <w:t>92</w:t>
      </w:r>
      <w:r>
        <w:t>. However, in cases where ‘there remains a</w:t>
      </w:r>
    </w:p>
    <w:p w:rsidR="000044E9" w:rsidRDefault="000044E9" w:rsidP="00F63FA1">
      <w:pPr>
        <w:spacing w:line="240" w:lineRule="auto"/>
      </w:pPr>
      <w:r>
        <w:t>serious doubt about the patient’s competence, and the seriousness or complexity of the issues’,</w:t>
      </w:r>
    </w:p>
    <w:p w:rsidR="000044E9" w:rsidRDefault="000044E9" w:rsidP="00F63FA1">
      <w:pPr>
        <w:spacing w:line="240" w:lineRule="auto"/>
      </w:pPr>
      <w:r>
        <w:t>doctors are required to seek guidance by way of a ‘best interests’ declaration from the High Court,</w:t>
      </w:r>
    </w:p>
    <w:p w:rsidR="000044E9" w:rsidRDefault="000044E9" w:rsidP="00F63FA1">
      <w:pPr>
        <w:spacing w:line="240" w:lineRule="auto"/>
      </w:pPr>
      <w:r>
        <w:t>Family Division before carrying out the proposed treatment.</w:t>
      </w:r>
    </w:p>
    <w:p w:rsidR="00F63FA1" w:rsidRDefault="00F63FA1" w:rsidP="00F63FA1">
      <w:pPr>
        <w:spacing w:line="240" w:lineRule="auto"/>
      </w:pPr>
    </w:p>
    <w:p w:rsidR="000044E9" w:rsidRDefault="000044E9" w:rsidP="00F63FA1">
      <w:pPr>
        <w:spacing w:line="240" w:lineRule="auto"/>
      </w:pPr>
      <w:r>
        <w:t>Lack of capacity will also justify unwanted treatment under both Article 3 and Article 8 of the</w:t>
      </w:r>
    </w:p>
    <w:p w:rsidR="000044E9" w:rsidRDefault="000044E9" w:rsidP="00F63FA1">
      <w:pPr>
        <w:spacing w:line="240" w:lineRule="auto"/>
      </w:pPr>
      <w:r>
        <w:t>Convention, provided that treatment is considered necessary by the patient’s doctors. In</w:t>
      </w:r>
    </w:p>
    <w:p w:rsidR="000044E9" w:rsidRDefault="00F63FA1" w:rsidP="00F63FA1">
      <w:pPr>
        <w:spacing w:line="240" w:lineRule="auto"/>
      </w:pPr>
      <w:r>
        <w:t>Hercegfalvy v Austria</w:t>
      </w:r>
      <w:r>
        <w:rPr>
          <w:rStyle w:val="FootnoteReference"/>
        </w:rPr>
        <w:footnoteReference w:customMarkFollows="1" w:id="94"/>
        <w:t>93</w:t>
      </w:r>
      <w:r w:rsidR="000044E9">
        <w:t xml:space="preserve"> the patient had been forcibly administered food and narcoleptics, isolated</w:t>
      </w:r>
    </w:p>
    <w:p w:rsidR="000044E9" w:rsidRDefault="000044E9" w:rsidP="00F63FA1">
      <w:pPr>
        <w:spacing w:line="240" w:lineRule="auto"/>
      </w:pPr>
      <w:proofErr w:type="gramStart"/>
      <w:r>
        <w:t>and</w:t>
      </w:r>
      <w:proofErr w:type="gramEnd"/>
      <w:r>
        <w:t xml:space="preserve"> attached with handcuffs to a security bed for some weeks, following a number of violent</w:t>
      </w:r>
    </w:p>
    <w:p w:rsidR="000044E9" w:rsidRDefault="000044E9" w:rsidP="00F63FA1">
      <w:pPr>
        <w:spacing w:line="240" w:lineRule="auto"/>
      </w:pPr>
      <w:r>
        <w:t>episodes and consistent refusals of medical treatment and nutrition. The Court, while emphasising</w:t>
      </w:r>
    </w:p>
    <w:p w:rsidR="000044E9" w:rsidRDefault="000044E9" w:rsidP="00F63FA1">
      <w:pPr>
        <w:spacing w:line="240" w:lineRule="auto"/>
      </w:pPr>
      <w:proofErr w:type="gramStart"/>
      <w:r>
        <w:t>the</w:t>
      </w:r>
      <w:proofErr w:type="gramEnd"/>
      <w:r>
        <w:t xml:space="preserve"> need for ‘increased vigilance’ in relation to psychiatric patients, given the ‘inferiority and</w:t>
      </w:r>
    </w:p>
    <w:p w:rsidR="000044E9" w:rsidRDefault="000044E9" w:rsidP="00F63FA1">
      <w:pPr>
        <w:spacing w:line="240" w:lineRule="auto"/>
      </w:pPr>
      <w:r>
        <w:t>powerlessness’ of their situation, noted that it was for the medical authorities to decide, on the</w:t>
      </w:r>
    </w:p>
    <w:p w:rsidR="000044E9" w:rsidRDefault="000044E9" w:rsidP="00F63FA1">
      <w:pPr>
        <w:spacing w:line="240" w:lineRule="auto"/>
      </w:pPr>
      <w:r>
        <w:t>basis of the recognised rules of medical science, on the therapeutic method to be used, if necessary</w:t>
      </w:r>
    </w:p>
    <w:p w:rsidR="000044E9" w:rsidRDefault="000044E9" w:rsidP="00F63FA1">
      <w:pPr>
        <w:spacing w:line="240" w:lineRule="auto"/>
      </w:pPr>
      <w:proofErr w:type="gramStart"/>
      <w:r>
        <w:t>by</w:t>
      </w:r>
      <w:proofErr w:type="gramEnd"/>
      <w:r>
        <w:t xml:space="preserve"> force, to preserve the physical and mental health of incapacitated patients. In the circumstances</w:t>
      </w:r>
    </w:p>
    <w:p w:rsidR="000044E9" w:rsidRDefault="000044E9" w:rsidP="00F63FA1">
      <w:pPr>
        <w:spacing w:line="240" w:lineRule="auto"/>
      </w:pPr>
      <w:r>
        <w:t>there was no violation of Article 3.</w:t>
      </w:r>
    </w:p>
    <w:p w:rsidR="00F63FA1" w:rsidRDefault="00F63FA1" w:rsidP="00F63FA1">
      <w:pPr>
        <w:spacing w:line="240" w:lineRule="auto"/>
      </w:pPr>
    </w:p>
    <w:p w:rsidR="000044E9" w:rsidRDefault="000044E9" w:rsidP="00BE4149">
      <w:pPr>
        <w:spacing w:line="240" w:lineRule="auto"/>
      </w:pPr>
      <w:r>
        <w:lastRenderedPageBreak/>
        <w:t>Lack of capacity is not essential, however, for unwanted treatment to be justified. In Grare v</w:t>
      </w:r>
    </w:p>
    <w:p w:rsidR="000044E9" w:rsidRDefault="00F63FA1" w:rsidP="00BE4149">
      <w:pPr>
        <w:spacing w:line="240" w:lineRule="auto"/>
      </w:pPr>
      <w:r>
        <w:t>France</w:t>
      </w:r>
      <w:r>
        <w:rPr>
          <w:rStyle w:val="FootnoteReference"/>
        </w:rPr>
        <w:footnoteReference w:customMarkFollows="1" w:id="95"/>
        <w:t>94</w:t>
      </w:r>
      <w:r w:rsidR="000044E9">
        <w:t xml:space="preserve"> the Commission held that the administering of drugs with unpleasant side-effects was</w:t>
      </w:r>
    </w:p>
    <w:p w:rsidR="000044E9" w:rsidRDefault="000044E9" w:rsidP="00BE4149">
      <w:pPr>
        <w:spacing w:line="240" w:lineRule="auto"/>
      </w:pPr>
      <w:r>
        <w:t>insufficient to constitute a violation of Article 3; moreover, although the treatment constituted an</w:t>
      </w:r>
    </w:p>
    <w:p w:rsidR="000044E9" w:rsidRDefault="000044E9" w:rsidP="00BE4149">
      <w:pPr>
        <w:spacing w:line="240" w:lineRule="auto"/>
      </w:pPr>
      <w:r>
        <w:t>interference with the applicant’s right to private life under Article 8(1), it was justified by the need</w:t>
      </w:r>
    </w:p>
    <w:p w:rsidR="000044E9" w:rsidRDefault="000044E9" w:rsidP="00BE4149">
      <w:pPr>
        <w:spacing w:line="240" w:lineRule="auto"/>
      </w:pPr>
      <w:proofErr w:type="gramStart"/>
      <w:r>
        <w:t>to</w:t>
      </w:r>
      <w:proofErr w:type="gramEnd"/>
      <w:r>
        <w:t xml:space="preserve"> preserve public order and the protection of the applicant’s health under Article 8(2). The</w:t>
      </w:r>
    </w:p>
    <w:p w:rsidR="000044E9" w:rsidRDefault="000044E9" w:rsidP="00BE4149">
      <w:pPr>
        <w:spacing w:line="240" w:lineRule="auto"/>
      </w:pPr>
      <w:r>
        <w:t>applicant’s capacity, or lack of it, did not form part of the Commission’s reasoning.</w:t>
      </w:r>
    </w:p>
    <w:p w:rsidR="00BE4149" w:rsidRDefault="00BE4149" w:rsidP="00BE4149">
      <w:pPr>
        <w:spacing w:line="240" w:lineRule="auto"/>
      </w:pPr>
    </w:p>
    <w:p w:rsidR="000044E9" w:rsidRDefault="000044E9" w:rsidP="00BE4149">
      <w:pPr>
        <w:spacing w:line="240" w:lineRule="auto"/>
      </w:pPr>
      <w:r>
        <w:t>As seen above in relation to the treatment of prisoners (and below in relation to children), to be</w:t>
      </w:r>
    </w:p>
    <w:p w:rsidR="000044E9" w:rsidRDefault="000044E9" w:rsidP="00BE4149">
      <w:pPr>
        <w:spacing w:line="240" w:lineRule="auto"/>
      </w:pPr>
      <w:r>
        <w:t>justified under Article 8(2) such treatment must be ‘in accordance with the law’. Put shortly, unless</w:t>
      </w:r>
    </w:p>
    <w:p w:rsidR="000044E9" w:rsidRDefault="000044E9" w:rsidP="00BE4149">
      <w:pPr>
        <w:spacing w:line="240" w:lineRule="auto"/>
      </w:pPr>
      <w:r>
        <w:t>the treatment has either (a) been administered under statutory powers or (b) has been authorized</w:t>
      </w:r>
    </w:p>
    <w:p w:rsidR="000044E9" w:rsidRDefault="000044E9" w:rsidP="00BE4149">
      <w:pPr>
        <w:spacing w:line="240" w:lineRule="auto"/>
      </w:pPr>
      <w:proofErr w:type="gramStart"/>
      <w:r>
        <w:t>in</w:t>
      </w:r>
      <w:proofErr w:type="gramEnd"/>
      <w:r>
        <w:t xml:space="preserve"> advance by the High Court by way of a ‘best interests’ declaration, it is arguable that it will</w:t>
      </w:r>
    </w:p>
    <w:p w:rsidR="000044E9" w:rsidRDefault="000044E9" w:rsidP="00BE4149">
      <w:pPr>
        <w:spacing w:line="240" w:lineRule="auto"/>
      </w:pPr>
      <w:r>
        <w:t>contravene Article 8 as not being ‘in accordance with the law’. Where the treatment has been so</w:t>
      </w:r>
    </w:p>
    <w:p w:rsidR="000044E9" w:rsidRDefault="000044E9" w:rsidP="00BE4149">
      <w:pPr>
        <w:spacing w:line="240" w:lineRule="auto"/>
      </w:pPr>
      <w:r>
        <w:t>authorized, it will be compatible with Article 8</w:t>
      </w:r>
      <w:r w:rsidR="00BE4149">
        <w:rPr>
          <w:rStyle w:val="FootnoteReference"/>
        </w:rPr>
        <w:footnoteReference w:customMarkFollows="1" w:id="96"/>
        <w:t>95</w:t>
      </w:r>
      <w:r>
        <w:t>.</w:t>
      </w:r>
    </w:p>
    <w:p w:rsidR="00BE4149" w:rsidRDefault="00BE4149" w:rsidP="00BE4149">
      <w:pPr>
        <w:spacing w:line="240" w:lineRule="auto"/>
      </w:pPr>
    </w:p>
    <w:p w:rsidR="00BE4149" w:rsidRDefault="00BE4149" w:rsidP="00BE4149">
      <w:pPr>
        <w:spacing w:line="240" w:lineRule="auto"/>
      </w:pPr>
      <w:r w:rsidRPr="00BE4149">
        <w:rPr>
          <w:i/>
        </w:rPr>
        <w:t>Statute.</w:t>
      </w:r>
      <w:r>
        <w:t xml:space="preserve"> The Government’s rejection of a capacity-based test for the exercise of compulsory</w:t>
      </w:r>
    </w:p>
    <w:p w:rsidR="00BE4149" w:rsidRDefault="00BE4149" w:rsidP="00BE4149">
      <w:pPr>
        <w:spacing w:line="240" w:lineRule="auto"/>
      </w:pPr>
      <w:r>
        <w:t>statutory powers of treatment is unlikely to fall foul of Articles 3 and 8 of the Convention.</w:t>
      </w:r>
    </w:p>
    <w:p w:rsidR="00BE4149" w:rsidRDefault="00BE4149" w:rsidP="00BE4149">
      <w:pPr>
        <w:spacing w:line="240" w:lineRule="auto"/>
      </w:pPr>
      <w:r>
        <w:t>A question does arise, however, as to the compatibility of such treatment with Article 6 of the</w:t>
      </w:r>
    </w:p>
    <w:p w:rsidR="00BE4149" w:rsidRDefault="00BE4149" w:rsidP="00BE4149">
      <w:pPr>
        <w:spacing w:line="240" w:lineRule="auto"/>
      </w:pPr>
      <w:r>
        <w:t>Convention. The right to integrity of the person and to self-determination are clearly ‘civil rights’</w:t>
      </w:r>
    </w:p>
    <w:p w:rsidR="00BE4149" w:rsidRDefault="00BE4149" w:rsidP="00BE4149">
      <w:pPr>
        <w:spacing w:line="240" w:lineRule="auto"/>
      </w:pPr>
      <w:r>
        <w:t>under Article 6, and compulsory treatment is an interference with that right. Whether it is a lawful</w:t>
      </w:r>
    </w:p>
    <w:p w:rsidR="00BE4149" w:rsidRDefault="00BE4149" w:rsidP="00BE4149">
      <w:pPr>
        <w:spacing w:line="240" w:lineRule="auto"/>
      </w:pPr>
      <w:r>
        <w:t>interference is a question upon which the individual should be entitled to a determination by a</w:t>
      </w:r>
    </w:p>
    <w:p w:rsidR="00BE4149" w:rsidRDefault="00BE4149" w:rsidP="00BE4149">
      <w:pPr>
        <w:spacing w:line="240" w:lineRule="auto"/>
      </w:pPr>
      <w:r>
        <w:t>court, under Article 6. There is no statutory right of appeal from an RMO’s decision to treat a</w:t>
      </w:r>
    </w:p>
    <w:p w:rsidR="00BE4149" w:rsidRDefault="00BE4149" w:rsidP="00BE4149">
      <w:pPr>
        <w:spacing w:line="240" w:lineRule="auto"/>
      </w:pPr>
      <w:r>
        <w:t>patient. An application for a ‘best interests’ declaration will be inappropriate, bearing in mind that</w:t>
      </w:r>
    </w:p>
    <w:p w:rsidR="00BE4149" w:rsidRDefault="00BE4149" w:rsidP="00BE4149">
      <w:pPr>
        <w:spacing w:line="240" w:lineRule="auto"/>
      </w:pPr>
      <w:r>
        <w:t>statutory powers are involved. The only option is to judicially review the treatment decision, but</w:t>
      </w:r>
    </w:p>
    <w:p w:rsidR="00BE4149" w:rsidRDefault="00BE4149" w:rsidP="00BE4149">
      <w:pPr>
        <w:spacing w:line="240" w:lineRule="auto"/>
      </w:pPr>
      <w:r>
        <w:t>on such an application the Court cannot consider the case on its merits. This issue is currently</w:t>
      </w:r>
    </w:p>
    <w:p w:rsidR="00BE4149" w:rsidRDefault="00BE4149" w:rsidP="00BE4149">
      <w:pPr>
        <w:spacing w:line="240" w:lineRule="auto"/>
      </w:pPr>
      <w:proofErr w:type="gramStart"/>
      <w:r>
        <w:t>being</w:t>
      </w:r>
      <w:proofErr w:type="gramEnd"/>
      <w:r>
        <w:t xml:space="preserve"> considered by the Court of Appeal</w:t>
      </w:r>
      <w:r>
        <w:rPr>
          <w:rStyle w:val="FootnoteReference"/>
        </w:rPr>
        <w:footnoteReference w:customMarkFollows="1" w:id="97"/>
        <w:t>96</w:t>
      </w:r>
      <w:r>
        <w:t xml:space="preserve"> where the Article 6 implications will be fully explored.</w:t>
      </w:r>
    </w:p>
    <w:p w:rsidR="00BE4149" w:rsidRDefault="00BE4149" w:rsidP="00BE4149">
      <w:pPr>
        <w:spacing w:line="240" w:lineRule="auto"/>
      </w:pPr>
    </w:p>
    <w:p w:rsidR="00BE4149" w:rsidRPr="00BE4149" w:rsidRDefault="00BE4149" w:rsidP="00BE4149">
      <w:pPr>
        <w:spacing w:line="240" w:lineRule="auto"/>
        <w:rPr>
          <w:b/>
        </w:rPr>
      </w:pPr>
      <w:r w:rsidRPr="00BE4149">
        <w:rPr>
          <w:b/>
        </w:rPr>
        <w:lastRenderedPageBreak/>
        <w:t>(10) The right to after-care</w:t>
      </w:r>
    </w:p>
    <w:p w:rsidR="00BE4149" w:rsidRDefault="00BE4149" w:rsidP="009F691F">
      <w:pPr>
        <w:spacing w:line="240" w:lineRule="auto"/>
      </w:pPr>
      <w:r>
        <w:t>Health and local authorities will be required to provide services for patients needing aftercare</w:t>
      </w:r>
    </w:p>
    <w:p w:rsidR="00BE4149" w:rsidRDefault="00BE4149" w:rsidP="009F691F">
      <w:pPr>
        <w:spacing w:line="240" w:lineRule="auto"/>
      </w:pPr>
      <w:r>
        <w:t>following discharge from a compulsory order (Green Paper Chapter 7, §11). This duty will replicate</w:t>
      </w:r>
    </w:p>
    <w:p w:rsidR="00BE4149" w:rsidRDefault="00BE4149" w:rsidP="009F691F">
      <w:pPr>
        <w:spacing w:line="240" w:lineRule="auto"/>
      </w:pPr>
      <w:r>
        <w:t>the existing section 117 duty, which goes much further than the Convention in guaranteeing</w:t>
      </w:r>
    </w:p>
    <w:p w:rsidR="00BE4149" w:rsidRDefault="00BE4149" w:rsidP="009F691F">
      <w:pPr>
        <w:spacing w:line="240" w:lineRule="auto"/>
      </w:pPr>
      <w:r>
        <w:t>discharged patients the right to free health care, social services and accommodation. The right to</w:t>
      </w:r>
    </w:p>
    <w:p w:rsidR="00BE4149" w:rsidRDefault="00BE4149" w:rsidP="009F691F">
      <w:pPr>
        <w:spacing w:line="240" w:lineRule="auto"/>
      </w:pPr>
      <w:r>
        <w:t>treatment has been considered. It is relevant, however, briefly to consider the limited extent to</w:t>
      </w:r>
    </w:p>
    <w:p w:rsidR="00BE4149" w:rsidRDefault="00BE4149" w:rsidP="009F691F">
      <w:pPr>
        <w:spacing w:line="240" w:lineRule="auto"/>
      </w:pPr>
      <w:r>
        <w:t>which the Convention operates to safeguards the right to accommodation and other community</w:t>
      </w:r>
    </w:p>
    <w:p w:rsidR="00BE4149" w:rsidRDefault="00BE4149" w:rsidP="009F691F">
      <w:pPr>
        <w:spacing w:line="240" w:lineRule="auto"/>
      </w:pPr>
      <w:r>
        <w:t>care services.</w:t>
      </w:r>
    </w:p>
    <w:p w:rsidR="00BE4149" w:rsidRDefault="00BE4149" w:rsidP="009F691F">
      <w:pPr>
        <w:spacing w:line="240" w:lineRule="auto"/>
      </w:pPr>
    </w:p>
    <w:p w:rsidR="00BE4149" w:rsidRDefault="00BE4149" w:rsidP="009F691F">
      <w:pPr>
        <w:spacing w:line="240" w:lineRule="auto"/>
      </w:pPr>
      <w:r>
        <w:t>In one of its earliest decisions the ECHR ruled that Article 8 does not confer upon an individual</w:t>
      </w:r>
    </w:p>
    <w:p w:rsidR="00BE4149" w:rsidRDefault="00BE4149" w:rsidP="009F691F">
      <w:pPr>
        <w:spacing w:line="240" w:lineRule="auto"/>
      </w:pPr>
      <w:r>
        <w:t>the right to be housed</w:t>
      </w:r>
      <w:r w:rsidR="00CA21C1">
        <w:rPr>
          <w:rStyle w:val="FootnoteReference"/>
        </w:rPr>
        <w:footnoteReference w:customMarkFollows="1" w:id="98"/>
        <w:t>97</w:t>
      </w:r>
      <w:r>
        <w:t xml:space="preserve">. The more recent case of </w:t>
      </w:r>
      <w:r w:rsidRPr="00CA21C1">
        <w:rPr>
          <w:i/>
        </w:rPr>
        <w:t>Burton v United Kingdom</w:t>
      </w:r>
      <w:r w:rsidR="00CA21C1">
        <w:rPr>
          <w:rStyle w:val="FootnoteReference"/>
        </w:rPr>
        <w:footnoteReference w:customMarkFollows="1" w:id="99"/>
        <w:t>98</w:t>
      </w:r>
      <w:r>
        <w:t>, suggests that Article</w:t>
      </w:r>
    </w:p>
    <w:p w:rsidR="00BE4149" w:rsidRDefault="00BE4149" w:rsidP="009F691F">
      <w:pPr>
        <w:spacing w:line="240" w:lineRule="auto"/>
      </w:pPr>
      <w:r>
        <w:t>8 may, in appropriate circumstances, impose a positive obligation upon the State to provide</w:t>
      </w:r>
    </w:p>
    <w:p w:rsidR="00BE4149" w:rsidRDefault="00BE4149" w:rsidP="009F691F">
      <w:pPr>
        <w:spacing w:line="240" w:lineRule="auto"/>
      </w:pPr>
      <w:r>
        <w:t>accommodation, although that cannot extend to a ‘positive obligation to provide alternative</w:t>
      </w:r>
    </w:p>
    <w:p w:rsidR="00BE4149" w:rsidRDefault="00BE4149" w:rsidP="009F691F">
      <w:pPr>
        <w:spacing w:line="240" w:lineRule="auto"/>
      </w:pPr>
      <w:r>
        <w:t>accommodation of an applicant’s choosing’. A similar proposition was accepted by the European</w:t>
      </w:r>
    </w:p>
    <w:p w:rsidR="00BE4149" w:rsidRDefault="00BE4149" w:rsidP="009F691F">
      <w:pPr>
        <w:spacing w:line="240" w:lineRule="auto"/>
      </w:pPr>
      <w:r>
        <w:t xml:space="preserve">Court in </w:t>
      </w:r>
      <w:r w:rsidRPr="00CA21C1">
        <w:rPr>
          <w:i/>
        </w:rPr>
        <w:t>Marzari v Italy</w:t>
      </w:r>
      <w:r>
        <w:t>.</w:t>
      </w:r>
      <w:r w:rsidR="00CA21C1">
        <w:rPr>
          <w:rStyle w:val="FootnoteReference"/>
        </w:rPr>
        <w:footnoteReference w:customMarkFollows="1" w:id="100"/>
        <w:t>99</w:t>
      </w:r>
    </w:p>
    <w:p w:rsidR="00CA21C1" w:rsidRDefault="00CA21C1" w:rsidP="009F691F">
      <w:pPr>
        <w:spacing w:line="240" w:lineRule="auto"/>
      </w:pPr>
    </w:p>
    <w:p w:rsidR="00BE4149" w:rsidRDefault="00BE4149" w:rsidP="009F691F">
      <w:pPr>
        <w:spacing w:line="240" w:lineRule="auto"/>
      </w:pPr>
      <w:r w:rsidRPr="00CA21C1">
        <w:rPr>
          <w:i/>
        </w:rPr>
        <w:t>Burton</w:t>
      </w:r>
      <w:r>
        <w:t xml:space="preserve"> and </w:t>
      </w:r>
      <w:r w:rsidRPr="00CA21C1">
        <w:rPr>
          <w:i/>
        </w:rPr>
        <w:t xml:space="preserve">Marzari </w:t>
      </w:r>
      <w:r>
        <w:t>do open the way, however, to a successful challenge to a local authority’s refusal</w:t>
      </w:r>
    </w:p>
    <w:p w:rsidR="00BE4149" w:rsidRDefault="00BE4149" w:rsidP="009F691F">
      <w:pPr>
        <w:spacing w:line="240" w:lineRule="auto"/>
      </w:pPr>
      <w:proofErr w:type="gramStart"/>
      <w:r>
        <w:t>to</w:t>
      </w:r>
      <w:proofErr w:type="gramEnd"/>
      <w:r>
        <w:t xml:space="preserve"> provide basic accommodation to a homeless individual or family. It is as likely as not that such</w:t>
      </w:r>
    </w:p>
    <w:p w:rsidR="00BE4149" w:rsidRDefault="00BE4149" w:rsidP="009F691F">
      <w:pPr>
        <w:spacing w:line="240" w:lineRule="auto"/>
      </w:pPr>
      <w:proofErr w:type="gramStart"/>
      <w:r>
        <w:t>a</w:t>
      </w:r>
      <w:proofErr w:type="gramEnd"/>
      <w:r>
        <w:t xml:space="preserve"> refusal, to contravene Article 8, would be unlawful as a matter of domestic administrative law in</w:t>
      </w:r>
    </w:p>
    <w:p w:rsidR="00BE4149" w:rsidRDefault="00BE4149" w:rsidP="009F691F">
      <w:pPr>
        <w:spacing w:line="240" w:lineRule="auto"/>
      </w:pPr>
      <w:r>
        <w:t>any event, bearing in mind the wide range of circumstances in which local authorities are bound</w:t>
      </w:r>
    </w:p>
    <w:p w:rsidR="00BE4149" w:rsidRDefault="00BE4149" w:rsidP="009F691F">
      <w:pPr>
        <w:spacing w:line="240" w:lineRule="auto"/>
      </w:pPr>
      <w:proofErr w:type="gramStart"/>
      <w:r>
        <w:t>by</w:t>
      </w:r>
      <w:proofErr w:type="gramEnd"/>
      <w:r>
        <w:t xml:space="preserve"> existing statutes to provide suitable accommodation</w:t>
      </w:r>
      <w:r w:rsidR="00CA21C1">
        <w:rPr>
          <w:rStyle w:val="FootnoteReference"/>
        </w:rPr>
        <w:footnoteReference w:customMarkFollows="1" w:id="101"/>
        <w:t>100</w:t>
      </w:r>
      <w:r>
        <w:t>.</w:t>
      </w:r>
    </w:p>
    <w:p w:rsidR="00CA21C1" w:rsidRDefault="00CA21C1" w:rsidP="009F691F">
      <w:pPr>
        <w:spacing w:line="240" w:lineRule="auto"/>
      </w:pPr>
    </w:p>
    <w:p w:rsidR="00BE4149" w:rsidRDefault="00BE4149" w:rsidP="009F691F">
      <w:pPr>
        <w:spacing w:line="240" w:lineRule="auto"/>
      </w:pPr>
      <w:r>
        <w:t>The most likely scenario where a local authority will come under a positive obligation to provide</w:t>
      </w:r>
    </w:p>
    <w:p w:rsidR="00BE4149" w:rsidRDefault="00BE4149" w:rsidP="009F691F">
      <w:pPr>
        <w:spacing w:line="240" w:lineRule="auto"/>
      </w:pPr>
      <w:r>
        <w:t>accommodation is where the applicant is in need of housing by reason of age, disability or ill</w:t>
      </w:r>
    </w:p>
    <w:p w:rsidR="00BE4149" w:rsidRDefault="00BE4149" w:rsidP="009F691F">
      <w:pPr>
        <w:spacing w:line="240" w:lineRule="auto"/>
      </w:pPr>
      <w:r>
        <w:t>health, and a failure to provide accommodation will violate their rights under Articles 2 or 3.</w:t>
      </w:r>
    </w:p>
    <w:p w:rsidR="00BE4149" w:rsidRDefault="00B6187E" w:rsidP="009F691F">
      <w:pPr>
        <w:spacing w:line="240" w:lineRule="auto"/>
      </w:pPr>
      <w:r>
        <w:t>In D v UK</w:t>
      </w:r>
      <w:r>
        <w:rPr>
          <w:rStyle w:val="FootnoteReference"/>
        </w:rPr>
        <w:footnoteReference w:customMarkFollows="1" w:id="102"/>
        <w:t>101</w:t>
      </w:r>
      <w:r w:rsidR="00BE4149">
        <w:t xml:space="preserve"> the UK was found to have violated Article 3 by its decision to deport the Applicant,</w:t>
      </w:r>
    </w:p>
    <w:p w:rsidR="009F691F" w:rsidRDefault="009F691F" w:rsidP="009F691F">
      <w:pPr>
        <w:spacing w:line="240" w:lineRule="auto"/>
      </w:pPr>
    </w:p>
    <w:p w:rsidR="009F691F" w:rsidRDefault="009F691F" w:rsidP="009E72AC">
      <w:pPr>
        <w:spacing w:line="240" w:lineRule="auto"/>
      </w:pPr>
      <w:r>
        <w:t>who suffered from AIDS, to St. Kitts where by virtue of there being inadequate medical facilities</w:t>
      </w:r>
    </w:p>
    <w:p w:rsidR="009F691F" w:rsidRDefault="009F691F" w:rsidP="009E72AC">
      <w:pPr>
        <w:spacing w:line="240" w:lineRule="auto"/>
      </w:pPr>
      <w:r>
        <w:t>for his condition he would inevitably die sooner, and with greater suffering, than if he remained in</w:t>
      </w:r>
    </w:p>
    <w:p w:rsidR="009F691F" w:rsidRDefault="009F691F" w:rsidP="009E72AC">
      <w:pPr>
        <w:spacing w:line="240" w:lineRule="auto"/>
      </w:pPr>
      <w:r>
        <w:t>the UK. Similarly, a local authority will be obliged to offer accommodation to such an individual</w:t>
      </w:r>
    </w:p>
    <w:p w:rsidR="009F691F" w:rsidRDefault="009F691F" w:rsidP="009E72AC">
      <w:pPr>
        <w:spacing w:line="240" w:lineRule="auto"/>
      </w:pPr>
      <w:r>
        <w:t>if a failure to do so will hasten their death, a proposition that found favour with Moses J in 1997</w:t>
      </w:r>
    </w:p>
    <w:p w:rsidR="009F691F" w:rsidRDefault="009F691F" w:rsidP="009E72AC">
      <w:pPr>
        <w:spacing w:line="240" w:lineRule="auto"/>
      </w:pPr>
      <w:r>
        <w:t>when overturning a local authority decision refusing to provide accommodation under s. 21 NAA</w:t>
      </w:r>
    </w:p>
    <w:p w:rsidR="009F691F" w:rsidRDefault="009F691F" w:rsidP="009E72AC">
      <w:pPr>
        <w:spacing w:line="240" w:lineRule="auto"/>
      </w:pPr>
      <w:r>
        <w:t xml:space="preserve">to a terminally ill overstayer in </w:t>
      </w:r>
      <w:r w:rsidRPr="009E72AC">
        <w:rPr>
          <w:i/>
        </w:rPr>
        <w:t>R v Brent LBC ex p D</w:t>
      </w:r>
      <w:r w:rsidR="009E72AC">
        <w:rPr>
          <w:rStyle w:val="FootnoteReference"/>
        </w:rPr>
        <w:footnoteReference w:customMarkFollows="1" w:id="103"/>
        <w:t>102</w:t>
      </w:r>
      <w:r>
        <w:t>.</w:t>
      </w:r>
    </w:p>
    <w:p w:rsidR="00B6187E" w:rsidRDefault="00B6187E" w:rsidP="009E72AC">
      <w:pPr>
        <w:spacing w:line="240" w:lineRule="auto"/>
      </w:pPr>
    </w:p>
    <w:p w:rsidR="009F691F" w:rsidRDefault="009F691F" w:rsidP="009E72AC">
      <w:pPr>
        <w:spacing w:line="240" w:lineRule="auto"/>
      </w:pPr>
      <w:r>
        <w:t>Article 8 primarily protects a person’s right not to be subjected to unjustified interference with</w:t>
      </w:r>
    </w:p>
    <w:p w:rsidR="009F691F" w:rsidRDefault="009F691F" w:rsidP="009E72AC">
      <w:pPr>
        <w:spacing w:line="240" w:lineRule="auto"/>
      </w:pPr>
      <w:r>
        <w:t>their right to a ‘home’ and ‘private life’, and will have greatest relevant where local authority</w:t>
      </w:r>
    </w:p>
    <w:p w:rsidR="009F691F" w:rsidRDefault="009F691F" w:rsidP="009E72AC">
      <w:pPr>
        <w:spacing w:line="240" w:lineRule="auto"/>
      </w:pPr>
      <w:r>
        <w:t>decision-making impacts upon a person’s enjoyment of an existing home. This issue is most likely</w:t>
      </w:r>
    </w:p>
    <w:p w:rsidR="009F691F" w:rsidRDefault="009F691F" w:rsidP="009E72AC">
      <w:pPr>
        <w:spacing w:line="240" w:lineRule="auto"/>
      </w:pPr>
      <w:proofErr w:type="gramStart"/>
      <w:r>
        <w:t>to</w:t>
      </w:r>
      <w:proofErr w:type="gramEnd"/>
      <w:r>
        <w:t xml:space="preserve"> arise in a mental health context where it is proposed to remove long-stay patients from</w:t>
      </w:r>
    </w:p>
    <w:p w:rsidR="009F691F" w:rsidRDefault="009F691F" w:rsidP="009E72AC">
      <w:pPr>
        <w:spacing w:line="240" w:lineRule="auto"/>
      </w:pPr>
      <w:r>
        <w:t>residential care homes.</w:t>
      </w:r>
    </w:p>
    <w:p w:rsidR="00B6187E" w:rsidRDefault="00B6187E" w:rsidP="009E72AC">
      <w:pPr>
        <w:spacing w:line="240" w:lineRule="auto"/>
      </w:pPr>
    </w:p>
    <w:p w:rsidR="009F691F" w:rsidRDefault="009F691F" w:rsidP="009E72AC">
      <w:pPr>
        <w:spacing w:line="240" w:lineRule="auto"/>
      </w:pPr>
      <w:r>
        <w:t>A decision to remove a person from their home may engage Article 8 even where the person is not</w:t>
      </w:r>
    </w:p>
    <w:p w:rsidR="009F691F" w:rsidRDefault="009F691F" w:rsidP="009E72AC">
      <w:pPr>
        <w:spacing w:line="240" w:lineRule="auto"/>
      </w:pPr>
      <w:r>
        <w:t xml:space="preserve">permitted, as a matter of domestic law, to inhabit the property. In </w:t>
      </w:r>
      <w:r w:rsidRPr="009E72AC">
        <w:rPr>
          <w:i/>
        </w:rPr>
        <w:t>Wiggins</w:t>
      </w:r>
      <w:r>
        <w:t xml:space="preserve"> v UK</w:t>
      </w:r>
      <w:r w:rsidR="009E72AC">
        <w:rPr>
          <w:rStyle w:val="FootnoteReference"/>
        </w:rPr>
        <w:footnoteReference w:customMarkFollows="1" w:id="104"/>
        <w:t>103</w:t>
      </w:r>
      <w:r>
        <w:t xml:space="preserve"> the applicant</w:t>
      </w:r>
    </w:p>
    <w:p w:rsidR="009F691F" w:rsidRDefault="009F691F" w:rsidP="009E72AC">
      <w:pPr>
        <w:spacing w:line="240" w:lineRule="auto"/>
      </w:pPr>
      <w:r>
        <w:t>owned a house but had no legal permission to occupy it; nevertheless the Commission found that</w:t>
      </w:r>
    </w:p>
    <w:p w:rsidR="009F691F" w:rsidRDefault="009F691F" w:rsidP="009E72AC">
      <w:pPr>
        <w:spacing w:line="240" w:lineRule="auto"/>
      </w:pPr>
      <w:proofErr w:type="gramStart"/>
      <w:r>
        <w:t>it</w:t>
      </w:r>
      <w:proofErr w:type="gramEnd"/>
      <w:r>
        <w:t xml:space="preserve"> was his ‘home’ for the purpose of Article 8. Similarly, in </w:t>
      </w:r>
      <w:r w:rsidRPr="009E72AC">
        <w:rPr>
          <w:i/>
        </w:rPr>
        <w:t>Buckley v United Kingdom</w:t>
      </w:r>
      <w:r w:rsidR="009E72AC">
        <w:rPr>
          <w:rStyle w:val="FootnoteReference"/>
        </w:rPr>
        <w:footnoteReference w:customMarkFollows="1" w:id="105"/>
        <w:t>104</w:t>
      </w:r>
      <w:r>
        <w:t xml:space="preserve"> the ECHR</w:t>
      </w:r>
    </w:p>
    <w:p w:rsidR="009F691F" w:rsidRDefault="009F691F" w:rsidP="009E72AC">
      <w:pPr>
        <w:spacing w:line="240" w:lineRule="auto"/>
      </w:pPr>
      <w:r>
        <w:t>held that the absence of planning permission did not disqualify the applicant’s caravan from being</w:t>
      </w:r>
    </w:p>
    <w:p w:rsidR="009F691F" w:rsidRDefault="009F691F" w:rsidP="009E72AC">
      <w:pPr>
        <w:spacing w:line="240" w:lineRule="auto"/>
      </w:pPr>
      <w:proofErr w:type="gramStart"/>
      <w:r>
        <w:t>a</w:t>
      </w:r>
      <w:proofErr w:type="gramEnd"/>
      <w:r>
        <w:t xml:space="preserve"> ‘home’ for the purpose of Article 8. A more restrictive approach was taken in </w:t>
      </w:r>
      <w:r w:rsidRPr="009E72AC">
        <w:rPr>
          <w:i/>
        </w:rPr>
        <w:t>S v UK</w:t>
      </w:r>
      <w:r w:rsidR="009E72AC">
        <w:rPr>
          <w:rStyle w:val="FootnoteReference"/>
        </w:rPr>
        <w:footnoteReference w:customMarkFollows="1" w:id="106"/>
        <w:t>105</w:t>
      </w:r>
      <w:r>
        <w:t>, where</w:t>
      </w:r>
    </w:p>
    <w:p w:rsidR="009F691F" w:rsidRDefault="009F691F" w:rsidP="009E72AC">
      <w:pPr>
        <w:spacing w:line="240" w:lineRule="auto"/>
      </w:pPr>
      <w:r>
        <w:t>the Commission held that the applicant’s right to occupy her home ended when her lesbian partner,</w:t>
      </w:r>
    </w:p>
    <w:p w:rsidR="009F691F" w:rsidRDefault="009F691F" w:rsidP="009E72AC">
      <w:pPr>
        <w:spacing w:line="240" w:lineRule="auto"/>
      </w:pPr>
      <w:r>
        <w:t>in whose name the lease was held, had died; accordingly, Article 8 was not engaged</w:t>
      </w:r>
      <w:r w:rsidR="009E72AC">
        <w:rPr>
          <w:rStyle w:val="FootnoteReference"/>
        </w:rPr>
        <w:footnoteReference w:customMarkFollows="1" w:id="107"/>
        <w:t>106</w:t>
      </w:r>
      <w:r>
        <w:t>.</w:t>
      </w:r>
    </w:p>
    <w:p w:rsidR="009E72AC" w:rsidRDefault="009E72AC" w:rsidP="009E72AC">
      <w:pPr>
        <w:spacing w:line="240" w:lineRule="auto"/>
      </w:pPr>
    </w:p>
    <w:p w:rsidR="009F691F" w:rsidRDefault="009F691F" w:rsidP="009E72AC">
      <w:pPr>
        <w:spacing w:line="240" w:lineRule="auto"/>
      </w:pPr>
      <w:r>
        <w:t>Where a person’s dwelling does qualify as a ‘home’ for the purpose of Article 8, local authorities</w:t>
      </w:r>
    </w:p>
    <w:p w:rsidR="009F691F" w:rsidRDefault="009F691F" w:rsidP="009E72AC">
      <w:pPr>
        <w:spacing w:line="240" w:lineRule="auto"/>
      </w:pPr>
      <w:r>
        <w:t>will find domestic courts ready to strike down unjustifiable decisions to remove them from their</w:t>
      </w:r>
    </w:p>
    <w:p w:rsidR="009F691F" w:rsidRDefault="009F691F" w:rsidP="009E72AC">
      <w:pPr>
        <w:spacing w:line="240" w:lineRule="auto"/>
      </w:pPr>
      <w:r>
        <w:t xml:space="preserve">homes. In the community care context, in </w:t>
      </w:r>
      <w:r w:rsidRPr="009E72AC">
        <w:rPr>
          <w:i/>
        </w:rPr>
        <w:t>R v North &amp; East Devon HA ex p Coughlan</w:t>
      </w:r>
      <w:r w:rsidR="009E72AC">
        <w:rPr>
          <w:rStyle w:val="FootnoteReference"/>
        </w:rPr>
        <w:footnoteReference w:customMarkFollows="1" w:id="108"/>
        <w:t>107</w:t>
      </w:r>
      <w:r>
        <w:t>, the Court</w:t>
      </w:r>
    </w:p>
    <w:p w:rsidR="009F691F" w:rsidRDefault="009F691F" w:rsidP="009E72AC">
      <w:pPr>
        <w:spacing w:line="240" w:lineRule="auto"/>
      </w:pPr>
      <w:proofErr w:type="gramStart"/>
      <w:r>
        <w:lastRenderedPageBreak/>
        <w:t>of</w:t>
      </w:r>
      <w:proofErr w:type="gramEnd"/>
      <w:r>
        <w:t xml:space="preserve"> Appeal found that the local health and social services authorities’ decision to close Mardon</w:t>
      </w:r>
    </w:p>
    <w:p w:rsidR="009F691F" w:rsidRDefault="009F691F" w:rsidP="009F691F">
      <w:pPr>
        <w:spacing w:line="240" w:lineRule="auto"/>
      </w:pPr>
      <w:r>
        <w:t>House, (Mrs. Coughlan’s home for 6 years and, it had been promised to her, her home for the rest</w:t>
      </w:r>
    </w:p>
    <w:p w:rsidR="009F691F" w:rsidRDefault="009F691F" w:rsidP="009F691F">
      <w:pPr>
        <w:spacing w:line="240" w:lineRule="auto"/>
      </w:pPr>
      <w:proofErr w:type="gramStart"/>
      <w:r>
        <w:t>of</w:t>
      </w:r>
      <w:proofErr w:type="gramEnd"/>
      <w:r>
        <w:t xml:space="preserve"> her life), violated her right to a home under Article 8, notwithstanding alternative residential</w:t>
      </w:r>
    </w:p>
    <w:p w:rsidR="009F691F" w:rsidRDefault="009F691F" w:rsidP="009F691F">
      <w:pPr>
        <w:spacing w:line="240" w:lineRule="auto"/>
      </w:pPr>
      <w:r>
        <w:t>accommodation was to be provided elsewhere.</w:t>
      </w:r>
    </w:p>
    <w:p w:rsidR="00691E01" w:rsidRDefault="00691E01" w:rsidP="009F691F">
      <w:pPr>
        <w:spacing w:line="240" w:lineRule="auto"/>
      </w:pPr>
    </w:p>
    <w:p w:rsidR="009F691F" w:rsidRDefault="009F691F" w:rsidP="009F691F">
      <w:pPr>
        <w:spacing w:line="240" w:lineRule="auto"/>
      </w:pPr>
      <w:r>
        <w:t>Coughlan provides a template for the application of Article 8 in challenging local authorities’</w:t>
      </w:r>
    </w:p>
    <w:p w:rsidR="009F691F" w:rsidRDefault="009F691F" w:rsidP="009F691F">
      <w:pPr>
        <w:spacing w:line="240" w:lineRule="auto"/>
      </w:pPr>
      <w:r>
        <w:t>decisions as to how social services needs are met. Whenever a person is assessed as being in need</w:t>
      </w:r>
    </w:p>
    <w:p w:rsidR="009F691F" w:rsidRDefault="009F691F" w:rsidP="009F691F">
      <w:pPr>
        <w:spacing w:line="240" w:lineRule="auto"/>
      </w:pPr>
      <w:proofErr w:type="gramStart"/>
      <w:r>
        <w:t>of</w:t>
      </w:r>
      <w:proofErr w:type="gramEnd"/>
      <w:r>
        <w:t xml:space="preserve"> community care services, Article 8 may be invoked so as to compel the local authority to</w:t>
      </w:r>
    </w:p>
    <w:p w:rsidR="009F691F" w:rsidRDefault="009F691F" w:rsidP="009F691F">
      <w:pPr>
        <w:spacing w:line="240" w:lineRule="auto"/>
      </w:pPr>
      <w:r>
        <w:t>provide those services in the person’s home, rather than by the more cost-effective measure of</w:t>
      </w:r>
    </w:p>
    <w:p w:rsidR="009F691F" w:rsidRDefault="009F691F" w:rsidP="009F691F">
      <w:pPr>
        <w:spacing w:line="240" w:lineRule="auto"/>
      </w:pPr>
      <w:r>
        <w:t>removing them to a residential care home. Where the decision is taken to remove the person</w:t>
      </w:r>
    </w:p>
    <w:p w:rsidR="009F691F" w:rsidRDefault="009F691F" w:rsidP="009F691F">
      <w:pPr>
        <w:spacing w:line="240" w:lineRule="auto"/>
      </w:pPr>
      <w:r>
        <w:t>from their home, it will therefore need to be judged by the criteria in Article 8(2) if it is to be</w:t>
      </w:r>
    </w:p>
    <w:p w:rsidR="009F691F" w:rsidRDefault="009F691F" w:rsidP="009F691F">
      <w:pPr>
        <w:spacing w:line="240" w:lineRule="auto"/>
      </w:pPr>
      <w:r>
        <w:t>justified.</w:t>
      </w:r>
    </w:p>
    <w:p w:rsidR="00691E01" w:rsidRDefault="00691E01" w:rsidP="009F691F">
      <w:pPr>
        <w:spacing w:line="240" w:lineRule="auto"/>
      </w:pPr>
    </w:p>
    <w:p w:rsidR="00691E01" w:rsidRPr="00691E01" w:rsidRDefault="00691E01" w:rsidP="00691E01">
      <w:pPr>
        <w:spacing w:line="240" w:lineRule="auto"/>
        <w:rPr>
          <w:b/>
        </w:rPr>
      </w:pPr>
      <w:r w:rsidRPr="00691E01">
        <w:rPr>
          <w:b/>
        </w:rPr>
        <w:t>(11) Children and Incapacitated adults (the Bournewood case)</w:t>
      </w:r>
    </w:p>
    <w:p w:rsidR="00691E01" w:rsidRDefault="00691E01" w:rsidP="00725E04">
      <w:pPr>
        <w:spacing w:line="240" w:lineRule="auto"/>
      </w:pPr>
      <w:r>
        <w:t>The Green Paper states that the Government has not yet come to a conclusion on the precise</w:t>
      </w:r>
    </w:p>
    <w:p w:rsidR="00691E01" w:rsidRDefault="00691E01" w:rsidP="00725E04">
      <w:pPr>
        <w:spacing w:line="240" w:lineRule="auto"/>
      </w:pPr>
      <w:r>
        <w:t>nature of any new arrangements to provide safeguards for long-term incapacitated patients not</w:t>
      </w:r>
    </w:p>
    <w:p w:rsidR="00691E01" w:rsidRDefault="00691E01" w:rsidP="00725E04">
      <w:pPr>
        <w:spacing w:line="240" w:lineRule="auto"/>
      </w:pPr>
      <w:r>
        <w:t>requiring formal detention under the Mental Health Act (Green Paper, Chapter 11, §7).</w:t>
      </w:r>
    </w:p>
    <w:p w:rsidR="00691E01" w:rsidRDefault="00691E01" w:rsidP="00725E04">
      <w:pPr>
        <w:spacing w:line="240" w:lineRule="auto"/>
      </w:pPr>
      <w:r>
        <w:t>The so-called ‘Bournewood gap’</w:t>
      </w:r>
      <w:r w:rsidR="00725E04">
        <w:rPr>
          <w:rStyle w:val="FootnoteReference"/>
        </w:rPr>
        <w:footnoteReference w:customMarkFollows="1" w:id="109"/>
        <w:t>108</w:t>
      </w:r>
      <w:r>
        <w:t xml:space="preserve"> - the absence of statutory safeguards for ‘informal patients’ -</w:t>
      </w:r>
    </w:p>
    <w:p w:rsidR="00691E01" w:rsidRDefault="00691E01" w:rsidP="00725E04">
      <w:pPr>
        <w:spacing w:line="240" w:lineRule="auto"/>
      </w:pPr>
      <w:r>
        <w:t>therefore remains unfilled.</w:t>
      </w:r>
    </w:p>
    <w:p w:rsidR="00725E04" w:rsidRDefault="00725E04" w:rsidP="00725E04">
      <w:pPr>
        <w:spacing w:line="240" w:lineRule="auto"/>
      </w:pPr>
    </w:p>
    <w:p w:rsidR="00691E01" w:rsidRDefault="00691E01" w:rsidP="00725E04">
      <w:pPr>
        <w:spacing w:line="240" w:lineRule="auto"/>
      </w:pPr>
      <w:r>
        <w:t xml:space="preserve">The </w:t>
      </w:r>
      <w:r w:rsidRPr="00725E04">
        <w:rPr>
          <w:i/>
        </w:rPr>
        <w:t>Bournewood</w:t>
      </w:r>
      <w:r>
        <w:t xml:space="preserve"> case has been taken on appeal to Strasbourg, alleging violations of the applicant’s</w:t>
      </w:r>
    </w:p>
    <w:p w:rsidR="00691E01" w:rsidRDefault="00691E01" w:rsidP="00725E04">
      <w:pPr>
        <w:spacing w:line="240" w:lineRule="auto"/>
      </w:pPr>
      <w:r>
        <w:t>rights under Articles 3, 5(1), 5(4), 8 and 14. The violations under Articles 5 and 8 are founded on</w:t>
      </w:r>
    </w:p>
    <w:p w:rsidR="00691E01" w:rsidRDefault="00691E01" w:rsidP="00725E04">
      <w:pPr>
        <w:spacing w:line="240" w:lineRule="auto"/>
      </w:pPr>
      <w:proofErr w:type="gramStart"/>
      <w:r>
        <w:t>the</w:t>
      </w:r>
      <w:proofErr w:type="gramEnd"/>
      <w:r>
        <w:t xml:space="preserve"> argument that the common law doctrine of ‘necessity’ does not satisfy the requirement under</w:t>
      </w:r>
    </w:p>
    <w:p w:rsidR="00691E01" w:rsidRDefault="00691E01" w:rsidP="00725E04">
      <w:pPr>
        <w:spacing w:line="240" w:lineRule="auto"/>
      </w:pPr>
      <w:r>
        <w:t>Article 5(1) that a detention be ‘lawful’ and under Article 8(2) that any interference with the right</w:t>
      </w:r>
    </w:p>
    <w:p w:rsidR="00691E01" w:rsidRDefault="00691E01" w:rsidP="00725E04">
      <w:pPr>
        <w:spacing w:line="240" w:lineRule="auto"/>
      </w:pPr>
      <w:proofErr w:type="gramStart"/>
      <w:r>
        <w:t>to</w:t>
      </w:r>
      <w:proofErr w:type="gramEnd"/>
      <w:r>
        <w:t xml:space="preserve"> private life be ‘in accordance with a procedure prescribed by law’, primarily because of the</w:t>
      </w:r>
    </w:p>
    <w:p w:rsidR="00691E01" w:rsidRDefault="00691E01" w:rsidP="00725E04">
      <w:pPr>
        <w:spacing w:line="240" w:lineRule="auto"/>
      </w:pPr>
      <w:r>
        <w:t>absence of any safeguards against inappropriate or arbitrary detention and treatment of such</w:t>
      </w:r>
    </w:p>
    <w:p w:rsidR="00691E01" w:rsidRDefault="00691E01" w:rsidP="00725E04">
      <w:pPr>
        <w:spacing w:line="240" w:lineRule="auto"/>
      </w:pPr>
      <w:r>
        <w:t>patients. The government’s proposals to introduce safeguards is a recognition of the fact that the</w:t>
      </w:r>
    </w:p>
    <w:p w:rsidR="00691E01" w:rsidRDefault="00691E01" w:rsidP="00725E04">
      <w:pPr>
        <w:spacing w:line="240" w:lineRule="auto"/>
      </w:pPr>
      <w:r>
        <w:t>informal admission to hospital of incapacitated individuals is a violation of their Convention</w:t>
      </w:r>
    </w:p>
    <w:p w:rsidR="00691E01" w:rsidRDefault="00691E01" w:rsidP="00725E04">
      <w:pPr>
        <w:spacing w:line="240" w:lineRule="auto"/>
      </w:pPr>
      <w:r>
        <w:lastRenderedPageBreak/>
        <w:t>rights, but we must await the Strasbourg court’s conclusions.</w:t>
      </w:r>
    </w:p>
    <w:p w:rsidR="00725E04" w:rsidRDefault="00725E04" w:rsidP="00F73ADA">
      <w:pPr>
        <w:spacing w:line="240" w:lineRule="auto"/>
      </w:pPr>
    </w:p>
    <w:p w:rsidR="00691E01" w:rsidRDefault="00691E01" w:rsidP="00F73ADA">
      <w:pPr>
        <w:spacing w:line="240" w:lineRule="auto"/>
      </w:pPr>
      <w:r>
        <w:t>There remains, however, a similar ‘gap’ in relation to the informal admission to hospital, and</w:t>
      </w:r>
    </w:p>
    <w:p w:rsidR="00691E01" w:rsidRDefault="00691E01" w:rsidP="00F73ADA">
      <w:pPr>
        <w:spacing w:line="240" w:lineRule="auto"/>
      </w:pPr>
      <w:r>
        <w:t>treatment, of children. A child under 18 cannot refuse to consent to treatment if their parent or</w:t>
      </w:r>
    </w:p>
    <w:p w:rsidR="00691E01" w:rsidRDefault="00691E01" w:rsidP="00F73ADA">
      <w:pPr>
        <w:spacing w:line="240" w:lineRule="auto"/>
      </w:pPr>
      <w:r>
        <w:t>guardian (in the case of a child in care, the local authority) consents to such treatment on their</w:t>
      </w:r>
    </w:p>
    <w:p w:rsidR="00691E01" w:rsidRDefault="00691E01" w:rsidP="00F73ADA">
      <w:pPr>
        <w:spacing w:line="240" w:lineRule="auto"/>
      </w:pPr>
      <w:r>
        <w:t>behalf, even if they have capacity to do so (known as ‘Gillick’ competence</w:t>
      </w:r>
      <w:r w:rsidR="00F73ADA">
        <w:rPr>
          <w:rStyle w:val="FootnoteReference"/>
        </w:rPr>
        <w:footnoteReference w:customMarkFollows="1" w:id="110"/>
        <w:t>109</w:t>
      </w:r>
      <w:r>
        <w:t>). Such a child only has</w:t>
      </w:r>
    </w:p>
    <w:p w:rsidR="00691E01" w:rsidRDefault="00691E01" w:rsidP="00F73ADA">
      <w:pPr>
        <w:spacing w:line="240" w:lineRule="auto"/>
      </w:pPr>
      <w:r>
        <w:t>the right to consent to treatment in the face of a parental refusal of that treatment. ‘Treatment’ in</w:t>
      </w:r>
    </w:p>
    <w:p w:rsidR="00F73ADA" w:rsidRPr="008F2744" w:rsidRDefault="00691E01" w:rsidP="00F73ADA">
      <w:pPr>
        <w:spacing w:line="240" w:lineRule="auto"/>
        <w:rPr>
          <w:i/>
        </w:rPr>
      </w:pPr>
      <w:proofErr w:type="gramStart"/>
      <w:r>
        <w:t>the</w:t>
      </w:r>
      <w:proofErr w:type="gramEnd"/>
      <w:r>
        <w:t xml:space="preserve"> present context would include informal admission to hospital: se</w:t>
      </w:r>
      <w:r w:rsidR="00F73ADA">
        <w:t xml:space="preserve">e </w:t>
      </w:r>
      <w:r w:rsidR="00F73ADA" w:rsidRPr="008F2744">
        <w:rPr>
          <w:i/>
        </w:rPr>
        <w:t xml:space="preserve">R v Kirklees MBC ex p </w:t>
      </w:r>
    </w:p>
    <w:p w:rsidR="00691E01" w:rsidRDefault="00F73ADA" w:rsidP="00F73ADA">
      <w:pPr>
        <w:spacing w:line="240" w:lineRule="auto"/>
      </w:pPr>
      <w:r w:rsidRPr="008F2744">
        <w:rPr>
          <w:i/>
        </w:rPr>
        <w:t>C</w:t>
      </w:r>
      <w:r>
        <w:rPr>
          <w:rStyle w:val="FootnoteReference"/>
        </w:rPr>
        <w:footnoteReference w:customMarkFollows="1" w:id="111"/>
        <w:t>110</w:t>
      </w:r>
      <w:r>
        <w:t xml:space="preserve"> and </w:t>
      </w:r>
      <w:r w:rsidR="00691E01">
        <w:t>§31.6 Mental Health Act 1983 Code of Practice (1999).</w:t>
      </w:r>
    </w:p>
    <w:p w:rsidR="00F73ADA" w:rsidRDefault="00F73ADA" w:rsidP="00F73ADA">
      <w:pPr>
        <w:spacing w:line="240" w:lineRule="auto"/>
      </w:pPr>
    </w:p>
    <w:p w:rsidR="00691E01" w:rsidRDefault="00691E01" w:rsidP="00F73ADA">
      <w:pPr>
        <w:spacing w:line="240" w:lineRule="auto"/>
      </w:pPr>
      <w:r>
        <w:t>Although section 25 Children Act 1989 prohibits the detention of a child (including by way of an</w:t>
      </w:r>
    </w:p>
    <w:p w:rsidR="00691E01" w:rsidRDefault="00691E01" w:rsidP="00F73ADA">
      <w:pPr>
        <w:spacing w:line="240" w:lineRule="auto"/>
      </w:pPr>
      <w:r>
        <w:t>‘informal’ admission) without certain statutory safeguards being observed, it is limited to</w:t>
      </w:r>
    </w:p>
    <w:p w:rsidR="00691E01" w:rsidRDefault="00691E01" w:rsidP="00F73ADA">
      <w:pPr>
        <w:spacing w:line="240" w:lineRule="auto"/>
      </w:pPr>
      <w:r>
        <w:t>detention in ‘secure accommodat</w:t>
      </w:r>
      <w:bookmarkStart w:id="0" w:name="_GoBack"/>
      <w:bookmarkEnd w:id="0"/>
      <w:r>
        <w:t>ion’. Not all hospitals or other places where a child is ‘deprived</w:t>
      </w:r>
    </w:p>
    <w:p w:rsidR="00691E01" w:rsidRDefault="00691E01" w:rsidP="00F73ADA">
      <w:pPr>
        <w:spacing w:line="240" w:lineRule="auto"/>
      </w:pPr>
      <w:proofErr w:type="gramStart"/>
      <w:r>
        <w:t>of</w:t>
      </w:r>
      <w:proofErr w:type="gramEnd"/>
      <w:r>
        <w:t xml:space="preserve"> his liberty’ (for the purposes of Article 5(1)) amount to ‘secure accommodation’. In </w:t>
      </w:r>
      <w:r w:rsidRPr="008F2744">
        <w:rPr>
          <w:i/>
        </w:rPr>
        <w:t>Re C</w:t>
      </w:r>
    </w:p>
    <w:p w:rsidR="00691E01" w:rsidRDefault="00691E01" w:rsidP="00F73ADA">
      <w:pPr>
        <w:spacing w:line="240" w:lineRule="auto"/>
      </w:pPr>
      <w:r>
        <w:t>(</w:t>
      </w:r>
      <w:r w:rsidRPr="008F2744">
        <w:rPr>
          <w:i/>
        </w:rPr>
        <w:t>Detention: Medical Treatment</w:t>
      </w:r>
      <w:r>
        <w:t>)</w:t>
      </w:r>
      <w:r w:rsidR="00F73ADA">
        <w:rPr>
          <w:rStyle w:val="FootnoteReference"/>
        </w:rPr>
        <w:footnoteReference w:customMarkFollows="1" w:id="112"/>
        <w:t>111</w:t>
      </w:r>
      <w:r>
        <w:t xml:space="preserve">, Wall J. held that a psychiatric unit for the </w:t>
      </w:r>
      <w:r w:rsidR="00F73ADA">
        <w:t>treatment</w:t>
      </w:r>
      <w:r>
        <w:t xml:space="preserve"> of eating</w:t>
      </w:r>
    </w:p>
    <w:p w:rsidR="00691E01" w:rsidRDefault="00691E01" w:rsidP="00F73ADA">
      <w:pPr>
        <w:spacing w:line="240" w:lineRule="auto"/>
      </w:pPr>
      <w:r>
        <w:t>disorders did not constitute ‘secure accommodation’. Notwithstanding, however, he ruled that</w:t>
      </w:r>
    </w:p>
    <w:p w:rsidR="00691E01" w:rsidRDefault="00691E01" w:rsidP="00F73ADA">
      <w:pPr>
        <w:spacing w:line="240" w:lineRule="auto"/>
      </w:pPr>
      <w:r>
        <w:t>equivalent safeguards to those in Section 25 should be incorporated into the order of the Court.</w:t>
      </w:r>
    </w:p>
    <w:p w:rsidR="00691E01" w:rsidRDefault="00691E01" w:rsidP="00F73ADA">
      <w:pPr>
        <w:spacing w:line="240" w:lineRule="auto"/>
      </w:pPr>
      <w:r>
        <w:t>There is little danger of a child being inappropriately or arbitrarily detained in non-secure</w:t>
      </w:r>
    </w:p>
    <w:p w:rsidR="00691E01" w:rsidRDefault="00691E01" w:rsidP="00F73ADA">
      <w:pPr>
        <w:spacing w:line="240" w:lineRule="auto"/>
      </w:pPr>
      <w:r>
        <w:t>accommodation where an application has first been made to a judge of the Family Division to</w:t>
      </w:r>
    </w:p>
    <w:p w:rsidR="00691E01" w:rsidRDefault="00691E01" w:rsidP="00F73ADA">
      <w:pPr>
        <w:spacing w:line="240" w:lineRule="auto"/>
      </w:pPr>
      <w:r>
        <w:t>authorise that detention. However, there is no obligation on the parent or guardian to make such</w:t>
      </w:r>
    </w:p>
    <w:p w:rsidR="00691E01" w:rsidRDefault="00691E01" w:rsidP="00F73ADA">
      <w:pPr>
        <w:spacing w:line="240" w:lineRule="auto"/>
      </w:pPr>
      <w:proofErr w:type="gramStart"/>
      <w:r>
        <w:t>an</w:t>
      </w:r>
      <w:proofErr w:type="gramEnd"/>
      <w:r>
        <w:t xml:space="preserve"> application. In the writer’s opinion, there is a very real possibility that an informal detention in</w:t>
      </w:r>
    </w:p>
    <w:p w:rsidR="00691E01" w:rsidRDefault="00691E01" w:rsidP="00F73ADA">
      <w:pPr>
        <w:spacing w:line="240" w:lineRule="auto"/>
      </w:pPr>
      <w:r>
        <w:t>hospital of a Gillick-competent child, with his parent or guardian’s consent but against his will,</w:t>
      </w:r>
    </w:p>
    <w:p w:rsidR="00691E01" w:rsidRDefault="00691E01" w:rsidP="00F73ADA">
      <w:pPr>
        <w:spacing w:line="240" w:lineRule="auto"/>
      </w:pPr>
      <w:r>
        <w:t>constitutes a violation of Article 5(1)</w:t>
      </w:r>
      <w:r w:rsidR="00F73ADA">
        <w:t xml:space="preserve"> </w:t>
      </w:r>
      <w:r>
        <w:t>(e) as such a detention will not be ‘lawful’.</w:t>
      </w:r>
    </w:p>
    <w:p w:rsidR="00C7660E" w:rsidRDefault="00C7660E" w:rsidP="00F73ADA">
      <w:pPr>
        <w:spacing w:line="240" w:lineRule="auto"/>
      </w:pPr>
    </w:p>
    <w:p w:rsidR="00C7660E" w:rsidRPr="008B7B98" w:rsidRDefault="00C7660E" w:rsidP="00C7660E">
      <w:pPr>
        <w:spacing w:line="240" w:lineRule="auto"/>
        <w:rPr>
          <w:i/>
        </w:rPr>
      </w:pPr>
      <w:r>
        <w:t xml:space="preserve">This argument is undermined, however, by the Strasbourg Court’s decision in </w:t>
      </w:r>
      <w:r w:rsidRPr="008B7B98">
        <w:rPr>
          <w:i/>
        </w:rPr>
        <w:t>Nielsen v</w:t>
      </w:r>
    </w:p>
    <w:p w:rsidR="00C7660E" w:rsidRDefault="00C7660E" w:rsidP="00C7660E">
      <w:pPr>
        <w:spacing w:line="240" w:lineRule="auto"/>
      </w:pPr>
      <w:r w:rsidRPr="008B7B98">
        <w:rPr>
          <w:i/>
        </w:rPr>
        <w:t>Denmark</w:t>
      </w:r>
      <w:r>
        <w:rPr>
          <w:rStyle w:val="FootnoteReference"/>
        </w:rPr>
        <w:footnoteReference w:customMarkFollows="1" w:id="113"/>
        <w:t>112</w:t>
      </w:r>
      <w:r>
        <w:t>, in which the ECHR took a surprisingly paternalistic approach in relation to the</w:t>
      </w:r>
    </w:p>
    <w:p w:rsidR="00C7660E" w:rsidRDefault="00C7660E" w:rsidP="00C7660E">
      <w:pPr>
        <w:spacing w:line="240" w:lineRule="auto"/>
      </w:pPr>
      <w:r>
        <w:t>detention of children with their parents’ consent. The applicant had been admitted to a psychiatric</w:t>
      </w:r>
    </w:p>
    <w:p w:rsidR="00C7660E" w:rsidRDefault="00C7660E" w:rsidP="00C7660E">
      <w:pPr>
        <w:spacing w:line="240" w:lineRule="auto"/>
      </w:pPr>
      <w:r>
        <w:lastRenderedPageBreak/>
        <w:t>hospital with his mother’s consent rather than under the Danish equivalent of the Mental Health</w:t>
      </w:r>
    </w:p>
    <w:p w:rsidR="00C7660E" w:rsidRDefault="00C7660E" w:rsidP="00C7660E">
      <w:pPr>
        <w:spacing w:line="240" w:lineRule="auto"/>
      </w:pPr>
      <w:r>
        <w:t>Act, but against his and his father’s wishes. The ECHR, by a bare majority, concluded that the</w:t>
      </w:r>
    </w:p>
    <w:p w:rsidR="00C7660E" w:rsidRDefault="00C7660E" w:rsidP="00C7660E">
      <w:pPr>
        <w:spacing w:line="240" w:lineRule="auto"/>
      </w:pPr>
      <w:r>
        <w:t>mother’s parental rights, which were safeguarded by Article 8, were paramount, to the extent that</w:t>
      </w:r>
    </w:p>
    <w:p w:rsidR="00C7660E" w:rsidRDefault="00C7660E" w:rsidP="00C7660E">
      <w:pPr>
        <w:spacing w:line="240" w:lineRule="auto"/>
      </w:pPr>
      <w:r>
        <w:t>considerations under Article 5 were not engaged at all. The decision has been heavily criticised and</w:t>
      </w:r>
    </w:p>
    <w:p w:rsidR="00C7660E" w:rsidRDefault="00C7660E" w:rsidP="00C7660E">
      <w:pPr>
        <w:spacing w:line="240" w:lineRule="auto"/>
      </w:pPr>
      <w:r>
        <w:t>it is very possible that a different conclusion would now be reached, particularly in the light of</w:t>
      </w:r>
    </w:p>
    <w:p w:rsidR="00C7660E" w:rsidRDefault="00C7660E" w:rsidP="00C7660E">
      <w:pPr>
        <w:spacing w:line="240" w:lineRule="auto"/>
      </w:pPr>
      <w:r w:rsidRPr="008B7B98">
        <w:rPr>
          <w:i/>
        </w:rPr>
        <w:t>A v United Kingdom</w:t>
      </w:r>
      <w:r>
        <w:rPr>
          <w:rStyle w:val="FootnoteReference"/>
        </w:rPr>
        <w:footnoteReference w:customMarkFollows="1" w:id="114"/>
        <w:t>113</w:t>
      </w:r>
      <w:r>
        <w:t>, where the Court did not consider that a parent had any right to chastise</w:t>
      </w:r>
    </w:p>
    <w:p w:rsidR="00C7660E" w:rsidRDefault="00C7660E" w:rsidP="00C7660E">
      <w:pPr>
        <w:spacing w:line="240" w:lineRule="auto"/>
      </w:pPr>
      <w:r>
        <w:t>their child by virtue of Article 8.</w:t>
      </w:r>
    </w:p>
    <w:p w:rsidR="00C7660E" w:rsidRDefault="00C7660E" w:rsidP="00C7660E">
      <w:pPr>
        <w:spacing w:line="240" w:lineRule="auto"/>
      </w:pPr>
    </w:p>
    <w:p w:rsidR="00C7660E" w:rsidRDefault="00C7660E" w:rsidP="00C7660E">
      <w:pPr>
        <w:spacing w:line="240" w:lineRule="auto"/>
      </w:pPr>
      <w:r>
        <w:t>It is therefore strongly arguable that such an ‘informal’ detention would be a violation of both</w:t>
      </w:r>
    </w:p>
    <w:p w:rsidR="00C7660E" w:rsidRDefault="00C7660E" w:rsidP="00C7660E">
      <w:pPr>
        <w:spacing w:line="240" w:lineRule="auto"/>
      </w:pPr>
      <w:r>
        <w:t>Article 5(1) and Article 5(4) by reason of the absence of adequate safeguards against arbitrary</w:t>
      </w:r>
    </w:p>
    <w:p w:rsidR="00C7660E" w:rsidRDefault="00C7660E" w:rsidP="00C7660E">
      <w:pPr>
        <w:spacing w:line="240" w:lineRule="auto"/>
      </w:pPr>
      <w:r>
        <w:t>detention – particularly the right to review of the lawfulness of detention by a tribunal. By the</w:t>
      </w:r>
    </w:p>
    <w:p w:rsidR="00C7660E" w:rsidRDefault="00C7660E" w:rsidP="00C7660E">
      <w:pPr>
        <w:spacing w:line="240" w:lineRule="auto"/>
      </w:pPr>
      <w:r>
        <w:t>same reasoning, any sufficiently invasive treatment administered to a child with his parent or</w:t>
      </w:r>
    </w:p>
    <w:p w:rsidR="00C7660E" w:rsidRDefault="00C7660E" w:rsidP="00C7660E">
      <w:pPr>
        <w:spacing w:line="240" w:lineRule="auto"/>
      </w:pPr>
      <w:r>
        <w:t>guardian’s consent, but against his wishes, may violate his rights under Article 8.</w:t>
      </w:r>
    </w:p>
    <w:p w:rsidR="00BE4149" w:rsidRDefault="00BE4149" w:rsidP="00F73ADA">
      <w:pPr>
        <w:spacing w:line="240" w:lineRule="auto"/>
      </w:pPr>
    </w:p>
    <w:sectPr w:rsidR="00BE4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B7" w:rsidRDefault="00E41DB7" w:rsidP="00F052AD">
      <w:pPr>
        <w:spacing w:after="0" w:line="240" w:lineRule="auto"/>
      </w:pPr>
      <w:r>
        <w:separator/>
      </w:r>
    </w:p>
  </w:endnote>
  <w:endnote w:type="continuationSeparator" w:id="0">
    <w:p w:rsidR="00E41DB7" w:rsidRDefault="00E41DB7" w:rsidP="00F0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B7" w:rsidRDefault="00E41DB7" w:rsidP="00F052AD">
      <w:pPr>
        <w:spacing w:after="0" w:line="240" w:lineRule="auto"/>
      </w:pPr>
      <w:r>
        <w:separator/>
      </w:r>
    </w:p>
  </w:footnote>
  <w:footnote w:type="continuationSeparator" w:id="0">
    <w:p w:rsidR="00E41DB7" w:rsidRDefault="00E41DB7" w:rsidP="00F052AD">
      <w:pPr>
        <w:spacing w:after="0" w:line="240" w:lineRule="auto"/>
      </w:pPr>
      <w:r>
        <w:continuationSeparator/>
      </w:r>
    </w:p>
  </w:footnote>
  <w:footnote w:id="1">
    <w:p w:rsidR="00E41DB7" w:rsidRDefault="00E41DB7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F052AD">
        <w:rPr>
          <w:sz w:val="16"/>
        </w:rPr>
        <w:t>Barrister, Doughty Street Chambers, London</w:t>
      </w:r>
    </w:p>
  </w:footnote>
  <w:footnote w:id="2">
    <w:p w:rsidR="00E41DB7" w:rsidRPr="00F052AD" w:rsidRDefault="00E41DB7" w:rsidP="00F052A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052AD">
        <w:rPr>
          <w:sz w:val="16"/>
        </w:rPr>
        <w:t xml:space="preserve">‘Reform of the Mental </w:t>
      </w:r>
      <w:r>
        <w:rPr>
          <w:sz w:val="16"/>
        </w:rPr>
        <w:t xml:space="preserve">Health Act 1983 - Proposals for </w:t>
      </w:r>
      <w:r w:rsidRPr="00F052AD">
        <w:rPr>
          <w:sz w:val="16"/>
        </w:rPr>
        <w:t xml:space="preserve">Consultation’ </w:t>
      </w:r>
      <w:r>
        <w:rPr>
          <w:sz w:val="16"/>
        </w:rPr>
        <w:t xml:space="preserve">Department of Health 1999. </w:t>
      </w:r>
      <w:proofErr w:type="gramStart"/>
      <w:r>
        <w:rPr>
          <w:sz w:val="16"/>
        </w:rPr>
        <w:t xml:space="preserve">Cmnd </w:t>
      </w:r>
      <w:r w:rsidRPr="00F052AD">
        <w:rPr>
          <w:sz w:val="16"/>
        </w:rPr>
        <w:t>4480.</w:t>
      </w:r>
      <w:proofErr w:type="gramEnd"/>
      <w:r w:rsidRPr="00F052AD">
        <w:rPr>
          <w:sz w:val="16"/>
        </w:rPr>
        <w:t xml:space="preserve"> The Green Paper</w:t>
      </w:r>
      <w:r>
        <w:rPr>
          <w:sz w:val="16"/>
        </w:rPr>
        <w:t xml:space="preserve"> considers the proposals of the </w:t>
      </w:r>
      <w:r w:rsidRPr="00F052AD">
        <w:rPr>
          <w:sz w:val="16"/>
        </w:rPr>
        <w:t>Expert Committee c</w:t>
      </w:r>
      <w:r>
        <w:rPr>
          <w:sz w:val="16"/>
        </w:rPr>
        <w:t xml:space="preserve">haired by Professor Richardson, </w:t>
      </w:r>
      <w:r w:rsidRPr="00F052AD">
        <w:rPr>
          <w:sz w:val="16"/>
        </w:rPr>
        <w:t>which are set out in their Report ‘Review of</w:t>
      </w:r>
      <w:r>
        <w:rPr>
          <w:sz w:val="16"/>
        </w:rPr>
        <w:t xml:space="preserve"> the Mental </w:t>
      </w:r>
      <w:r w:rsidRPr="00F052AD">
        <w:rPr>
          <w:sz w:val="16"/>
        </w:rPr>
        <w:t>Health Act 1983’, also</w:t>
      </w:r>
      <w:r>
        <w:rPr>
          <w:sz w:val="16"/>
        </w:rPr>
        <w:t xml:space="preserve"> published by the Department of </w:t>
      </w:r>
      <w:r w:rsidRPr="00F052AD">
        <w:rPr>
          <w:sz w:val="16"/>
        </w:rPr>
        <w:t>Health in November 1999.</w:t>
      </w:r>
    </w:p>
  </w:footnote>
  <w:footnote w:id="3">
    <w:p w:rsidR="00E41DB7" w:rsidRPr="00B130C5" w:rsidRDefault="00E41DB7" w:rsidP="00B130C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B130C5">
        <w:rPr>
          <w:sz w:val="16"/>
        </w:rPr>
        <w:t>see</w:t>
      </w:r>
      <w:proofErr w:type="gramEnd"/>
      <w:r w:rsidRPr="00B130C5">
        <w:rPr>
          <w:sz w:val="16"/>
        </w:rPr>
        <w:t xml:space="preserve"> Hakansson an</w:t>
      </w:r>
      <w:r>
        <w:rPr>
          <w:sz w:val="16"/>
        </w:rPr>
        <w:t xml:space="preserve">d Sturesson v. Sweden (1990) 13 </w:t>
      </w:r>
      <w:r w:rsidRPr="00B130C5">
        <w:rPr>
          <w:sz w:val="16"/>
        </w:rPr>
        <w:t>E.H.R.R. 1, 11, p</w:t>
      </w:r>
      <w:r>
        <w:rPr>
          <w:sz w:val="16"/>
        </w:rPr>
        <w:t xml:space="preserve">ara. 46; the </w:t>
      </w:r>
      <w:proofErr w:type="spellStart"/>
      <w:r>
        <w:rPr>
          <w:sz w:val="16"/>
        </w:rPr>
        <w:t>Salabiaku</w:t>
      </w:r>
      <w:proofErr w:type="spellEnd"/>
      <w:r>
        <w:rPr>
          <w:sz w:val="16"/>
        </w:rPr>
        <w:t xml:space="preserve"> case, 13 </w:t>
      </w:r>
      <w:r w:rsidRPr="00B130C5">
        <w:rPr>
          <w:sz w:val="16"/>
        </w:rPr>
        <w:t>E.H.R.R. 379, 390, p</w:t>
      </w:r>
      <w:r>
        <w:rPr>
          <w:sz w:val="16"/>
        </w:rPr>
        <w:t xml:space="preserve">ara. 30; Hoang v. France (1992) </w:t>
      </w:r>
      <w:r w:rsidRPr="00B130C5">
        <w:rPr>
          <w:sz w:val="16"/>
        </w:rPr>
        <w:t>16 E.H.R.R. 53, 78, para. 33</w:t>
      </w:r>
    </w:p>
  </w:footnote>
  <w:footnote w:id="4">
    <w:p w:rsidR="00E41DB7" w:rsidRDefault="00E41DB7" w:rsidP="00B130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30C5">
        <w:rPr>
          <w:sz w:val="16"/>
        </w:rPr>
        <w:t xml:space="preserve">See R v Director of Public Prosecutions ex p </w:t>
      </w:r>
      <w:proofErr w:type="spellStart"/>
      <w:r w:rsidRPr="00B130C5">
        <w:rPr>
          <w:sz w:val="16"/>
        </w:rPr>
        <w:t>Kebilene</w:t>
      </w:r>
      <w:proofErr w:type="spellEnd"/>
      <w:r w:rsidRPr="00B130C5">
        <w:rPr>
          <w:sz w:val="16"/>
        </w:rPr>
        <w:t xml:space="preserve"> [1999] 3 WLR 972, 996D-F</w:t>
      </w:r>
    </w:p>
  </w:footnote>
  <w:footnote w:id="5">
    <w:p w:rsidR="00E41DB7" w:rsidRDefault="00E41D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30C5">
        <w:rPr>
          <w:sz w:val="16"/>
        </w:rPr>
        <w:t>See Handyside v U.K. (1976) 1 EHRR 737</w:t>
      </w:r>
    </w:p>
  </w:footnote>
  <w:footnote w:id="6">
    <w:p w:rsidR="00E41DB7" w:rsidRDefault="00E41DB7">
      <w:pPr>
        <w:pStyle w:val="FootnoteText"/>
      </w:pPr>
      <w:r>
        <w:rPr>
          <w:rStyle w:val="FootnoteReference"/>
        </w:rPr>
        <w:t>5</w:t>
      </w:r>
      <w:r>
        <w:t xml:space="preserve"> </w:t>
      </w:r>
      <w:r w:rsidRPr="00B130C5">
        <w:rPr>
          <w:sz w:val="16"/>
        </w:rPr>
        <w:t>[1999] 3 WLR 972, at 993:</w:t>
      </w:r>
    </w:p>
  </w:footnote>
  <w:footnote w:id="7">
    <w:p w:rsidR="00E41DB7" w:rsidRPr="003215A1" w:rsidRDefault="00E41DB7" w:rsidP="003215A1">
      <w:pPr>
        <w:pStyle w:val="FootnoteText"/>
        <w:rPr>
          <w:sz w:val="16"/>
        </w:rPr>
      </w:pPr>
      <w:r>
        <w:rPr>
          <w:rStyle w:val="FootnoteReference"/>
        </w:rPr>
        <w:t>6</w:t>
      </w:r>
      <w:r>
        <w:t xml:space="preserve"> </w:t>
      </w:r>
      <w:r w:rsidRPr="003215A1">
        <w:rPr>
          <w:sz w:val="16"/>
        </w:rPr>
        <w:t>It should be noted however th</w:t>
      </w:r>
      <w:r>
        <w:rPr>
          <w:sz w:val="16"/>
        </w:rPr>
        <w:t xml:space="preserve">at Lord Hope went on to </w:t>
      </w:r>
      <w:r w:rsidRPr="003215A1">
        <w:rPr>
          <w:sz w:val="16"/>
        </w:rPr>
        <w:t>recognise that the judici</w:t>
      </w:r>
      <w:r>
        <w:rPr>
          <w:sz w:val="16"/>
        </w:rPr>
        <w:t xml:space="preserve">ary would “defer, on democratic </w:t>
      </w:r>
      <w:r w:rsidRPr="003215A1">
        <w:rPr>
          <w:sz w:val="16"/>
        </w:rPr>
        <w:t>grounds, to the considered</w:t>
      </w:r>
      <w:r>
        <w:rPr>
          <w:sz w:val="16"/>
        </w:rPr>
        <w:t xml:space="preserve"> opinion of the elected body or </w:t>
      </w:r>
      <w:r w:rsidRPr="003215A1">
        <w:rPr>
          <w:sz w:val="16"/>
        </w:rPr>
        <w:t>person whose act or deci</w:t>
      </w:r>
      <w:r>
        <w:rPr>
          <w:sz w:val="16"/>
        </w:rPr>
        <w:t xml:space="preserve">sion is said to be incompatible </w:t>
      </w:r>
      <w:r w:rsidRPr="003215A1">
        <w:rPr>
          <w:sz w:val="16"/>
        </w:rPr>
        <w:t>with the Convention…” T</w:t>
      </w:r>
      <w:r>
        <w:rPr>
          <w:sz w:val="16"/>
        </w:rPr>
        <w:t xml:space="preserve">his has been referred to as the </w:t>
      </w:r>
      <w:r w:rsidRPr="003215A1">
        <w:rPr>
          <w:sz w:val="16"/>
        </w:rPr>
        <w:t>“discretionary area of</w:t>
      </w:r>
      <w:r>
        <w:rPr>
          <w:sz w:val="16"/>
        </w:rPr>
        <w:t xml:space="preserve"> judgment” and could be seen as </w:t>
      </w:r>
      <w:r w:rsidRPr="003215A1">
        <w:rPr>
          <w:sz w:val="16"/>
        </w:rPr>
        <w:t>the start of a domestic margin of appreciation doctrine.</w:t>
      </w:r>
    </w:p>
  </w:footnote>
  <w:footnote w:id="8">
    <w:p w:rsidR="00E41DB7" w:rsidRPr="00840710" w:rsidRDefault="00E41DB7">
      <w:pPr>
        <w:pStyle w:val="FootnoteText"/>
        <w:rPr>
          <w:sz w:val="16"/>
        </w:rPr>
      </w:pPr>
      <w:r>
        <w:rPr>
          <w:rStyle w:val="FootnoteReference"/>
        </w:rPr>
        <w:t>7</w:t>
      </w:r>
      <w:r>
        <w:t xml:space="preserve"> </w:t>
      </w:r>
      <w:r w:rsidRPr="00840710">
        <w:rPr>
          <w:sz w:val="16"/>
        </w:rPr>
        <w:t>Winterwerp v Netherlands (1979) 2 EHRR 387, §39</w:t>
      </w:r>
    </w:p>
  </w:footnote>
  <w:footnote w:id="9">
    <w:p w:rsidR="00E41DB7" w:rsidRDefault="00E41DB7">
      <w:pPr>
        <w:pStyle w:val="FootnoteText"/>
      </w:pPr>
      <w:r>
        <w:rPr>
          <w:rStyle w:val="FootnoteReference"/>
        </w:rPr>
        <w:t>8</w:t>
      </w:r>
      <w:r>
        <w:t xml:space="preserve"> </w:t>
      </w:r>
      <w:r w:rsidRPr="00840710">
        <w:rPr>
          <w:sz w:val="16"/>
        </w:rPr>
        <w:t>ibid, §37</w:t>
      </w:r>
    </w:p>
  </w:footnote>
  <w:footnote w:id="10">
    <w:p w:rsidR="00E41DB7" w:rsidRDefault="00E41DB7">
      <w:pPr>
        <w:pStyle w:val="FootnoteText"/>
      </w:pPr>
      <w:r>
        <w:rPr>
          <w:rStyle w:val="FootnoteReference"/>
        </w:rPr>
        <w:t>9</w:t>
      </w:r>
      <w:r>
        <w:t xml:space="preserve"> </w:t>
      </w:r>
      <w:r w:rsidRPr="00840710">
        <w:rPr>
          <w:sz w:val="16"/>
        </w:rPr>
        <w:t>ibid, §39</w:t>
      </w:r>
    </w:p>
  </w:footnote>
  <w:footnote w:id="11">
    <w:p w:rsidR="00E41DB7" w:rsidRDefault="00E41DB7" w:rsidP="00840710">
      <w:pPr>
        <w:pStyle w:val="FootnoteText"/>
      </w:pPr>
      <w:r>
        <w:rPr>
          <w:rStyle w:val="FootnoteReference"/>
        </w:rPr>
        <w:t>10</w:t>
      </w:r>
      <w:r>
        <w:t xml:space="preserve"> </w:t>
      </w:r>
      <w:r w:rsidRPr="00840710">
        <w:rPr>
          <w:sz w:val="16"/>
        </w:rPr>
        <w:t>As in Re MB (An Adult: Medical Treatment) [1997] 2 F.C.R. 541, CA</w:t>
      </w:r>
    </w:p>
  </w:footnote>
  <w:footnote w:id="12">
    <w:p w:rsidR="00E41DB7" w:rsidRPr="00840710" w:rsidRDefault="00E41DB7" w:rsidP="00840710">
      <w:pPr>
        <w:pStyle w:val="FootnoteText"/>
        <w:rPr>
          <w:sz w:val="16"/>
        </w:rPr>
      </w:pPr>
      <w:r>
        <w:rPr>
          <w:rStyle w:val="FootnoteReference"/>
        </w:rPr>
        <w:t>11</w:t>
      </w:r>
      <w:r>
        <w:t xml:space="preserve"> </w:t>
      </w:r>
      <w:r w:rsidRPr="00840710">
        <w:rPr>
          <w:sz w:val="16"/>
        </w:rPr>
        <w:t>It should be noted h</w:t>
      </w:r>
      <w:r>
        <w:rPr>
          <w:sz w:val="16"/>
        </w:rPr>
        <w:t xml:space="preserve">owever that Winterwerp referred </w:t>
      </w:r>
      <w:r w:rsidRPr="00840710">
        <w:rPr>
          <w:sz w:val="16"/>
        </w:rPr>
        <w:t xml:space="preserve">back to the definition </w:t>
      </w:r>
      <w:r>
        <w:rPr>
          <w:sz w:val="16"/>
        </w:rPr>
        <w:t xml:space="preserve">of mental disorder in municipal </w:t>
      </w:r>
      <w:r w:rsidRPr="00840710">
        <w:rPr>
          <w:sz w:val="16"/>
        </w:rPr>
        <w:t>law, and did not requ</w:t>
      </w:r>
      <w:r>
        <w:rPr>
          <w:sz w:val="16"/>
        </w:rPr>
        <w:t xml:space="preserve">ire a State to specify types of </w:t>
      </w:r>
      <w:r w:rsidRPr="00840710">
        <w:rPr>
          <w:sz w:val="16"/>
        </w:rPr>
        <w:t>mental disorder.</w:t>
      </w:r>
    </w:p>
  </w:footnote>
  <w:footnote w:id="13">
    <w:p w:rsidR="00E41DB7" w:rsidRPr="00840710" w:rsidRDefault="00E41DB7" w:rsidP="00840710">
      <w:pPr>
        <w:pStyle w:val="FootnoteText"/>
        <w:rPr>
          <w:sz w:val="16"/>
        </w:rPr>
      </w:pPr>
      <w:r>
        <w:rPr>
          <w:rStyle w:val="FootnoteReference"/>
        </w:rPr>
        <w:t>12</w:t>
      </w:r>
      <w:r w:rsidRPr="00840710">
        <w:rPr>
          <w:rStyle w:val="FootnoteReference"/>
        </w:rPr>
        <w:t>‘</w:t>
      </w:r>
      <w:r w:rsidRPr="00840710">
        <w:rPr>
          <w:rStyle w:val="FootnoteReference"/>
          <w:sz w:val="16"/>
          <w:vertAlign w:val="baseline"/>
        </w:rPr>
        <w:t>The Act cannot be deplo</w:t>
      </w:r>
      <w:r>
        <w:rPr>
          <w:rStyle w:val="FootnoteReference"/>
          <w:sz w:val="16"/>
          <w:vertAlign w:val="baseline"/>
        </w:rPr>
        <w:t xml:space="preserve">yed to achieve the detention of </w:t>
      </w:r>
      <w:r w:rsidRPr="00840710">
        <w:rPr>
          <w:rStyle w:val="FootnoteReference"/>
          <w:sz w:val="16"/>
          <w:vertAlign w:val="baseline"/>
        </w:rPr>
        <w:t>an individual agai</w:t>
      </w:r>
      <w:r>
        <w:rPr>
          <w:rStyle w:val="FootnoteReference"/>
          <w:sz w:val="16"/>
          <w:vertAlign w:val="baseline"/>
        </w:rPr>
        <w:t xml:space="preserve">nst her will merely because her </w:t>
      </w:r>
      <w:r w:rsidRPr="00840710">
        <w:rPr>
          <w:rStyle w:val="FootnoteReference"/>
          <w:sz w:val="16"/>
          <w:vertAlign w:val="baseline"/>
        </w:rPr>
        <w:t>thinking process is unusua</w:t>
      </w:r>
      <w:r>
        <w:rPr>
          <w:rStyle w:val="FootnoteReference"/>
          <w:sz w:val="16"/>
          <w:vertAlign w:val="baseline"/>
        </w:rPr>
        <w:t xml:space="preserve">l, even apparently bizarre and </w:t>
      </w:r>
      <w:r w:rsidRPr="00840710">
        <w:rPr>
          <w:rStyle w:val="FootnoteReference"/>
          <w:sz w:val="16"/>
          <w:vertAlign w:val="baseline"/>
        </w:rPr>
        <w:t>irrational, a</w:t>
      </w:r>
      <w:r>
        <w:rPr>
          <w:rStyle w:val="FootnoteReference"/>
          <w:sz w:val="16"/>
          <w:vertAlign w:val="baseline"/>
        </w:rPr>
        <w:t xml:space="preserve">nd contrary to the views of the </w:t>
      </w:r>
      <w:r w:rsidRPr="00840710">
        <w:rPr>
          <w:rStyle w:val="FootnoteReference"/>
          <w:sz w:val="16"/>
          <w:vertAlign w:val="baseline"/>
        </w:rPr>
        <w:t>overwhelming majority o</w:t>
      </w:r>
      <w:r>
        <w:rPr>
          <w:rStyle w:val="FootnoteReference"/>
          <w:sz w:val="16"/>
          <w:vertAlign w:val="baseline"/>
        </w:rPr>
        <w:t xml:space="preserve">f the community at large.’, per </w:t>
      </w:r>
      <w:r w:rsidRPr="00840710">
        <w:rPr>
          <w:rStyle w:val="FootnoteReference"/>
          <w:sz w:val="16"/>
          <w:vertAlign w:val="baseline"/>
        </w:rPr>
        <w:t>Judge LJ at [1999] Fam 26, 51</w:t>
      </w:r>
      <w:r w:rsidRPr="00840710">
        <w:rPr>
          <w:sz w:val="16"/>
        </w:rPr>
        <w:t xml:space="preserve"> </w:t>
      </w:r>
    </w:p>
  </w:footnote>
  <w:footnote w:id="14">
    <w:p w:rsidR="00E41DB7" w:rsidRPr="00840710" w:rsidRDefault="00E41DB7" w:rsidP="00840710">
      <w:pPr>
        <w:pStyle w:val="FootnoteText"/>
        <w:rPr>
          <w:sz w:val="16"/>
        </w:rPr>
      </w:pPr>
      <w:r>
        <w:rPr>
          <w:rStyle w:val="FootnoteReference"/>
        </w:rPr>
        <w:t>13</w:t>
      </w:r>
      <w:r w:rsidRPr="00840710">
        <w:rPr>
          <w:sz w:val="16"/>
        </w:rPr>
        <w:t xml:space="preserve"> For another e</w:t>
      </w:r>
      <w:r>
        <w:rPr>
          <w:sz w:val="16"/>
        </w:rPr>
        <w:t xml:space="preserve">xample of a person who would be </w:t>
      </w:r>
      <w:r w:rsidRPr="00840710">
        <w:rPr>
          <w:sz w:val="16"/>
        </w:rPr>
        <w:t>‘detainable’ under the new criteria see Re. F (A Ch</w:t>
      </w:r>
      <w:r>
        <w:rPr>
          <w:sz w:val="16"/>
        </w:rPr>
        <w:t xml:space="preserve">ild) </w:t>
      </w:r>
      <w:r w:rsidRPr="00840710">
        <w:rPr>
          <w:sz w:val="16"/>
        </w:rPr>
        <w:t xml:space="preserve">(1999) 2 C.C.L. Rep. </w:t>
      </w:r>
      <w:r>
        <w:rPr>
          <w:sz w:val="16"/>
        </w:rPr>
        <w:t xml:space="preserve">445, CA; where the wish of a 17 </w:t>
      </w:r>
      <w:r w:rsidRPr="00840710">
        <w:rPr>
          <w:sz w:val="16"/>
        </w:rPr>
        <w:t>year old girl leaving care</w:t>
      </w:r>
      <w:r>
        <w:rPr>
          <w:sz w:val="16"/>
        </w:rPr>
        <w:t xml:space="preserve"> to return to an abusive family </w:t>
      </w:r>
      <w:r w:rsidRPr="00840710">
        <w:rPr>
          <w:sz w:val="16"/>
        </w:rPr>
        <w:t>home was held not to be ‘seriously irresponsible behavior’</w:t>
      </w:r>
    </w:p>
    <w:p w:rsidR="00E41DB7" w:rsidRDefault="00E41DB7" w:rsidP="00840710">
      <w:pPr>
        <w:pStyle w:val="FootnoteText"/>
      </w:pPr>
      <w:r w:rsidRPr="00840710">
        <w:rPr>
          <w:sz w:val="16"/>
        </w:rPr>
        <w:t>justifying her admission to guardianship.</w:t>
      </w:r>
    </w:p>
  </w:footnote>
  <w:footnote w:id="15">
    <w:p w:rsidR="00E41DB7" w:rsidRDefault="00E41DB7" w:rsidP="00663B3E">
      <w:pPr>
        <w:pStyle w:val="FootnoteText"/>
      </w:pPr>
      <w:r>
        <w:rPr>
          <w:rStyle w:val="FootnoteReference"/>
        </w:rPr>
        <w:t>14</w:t>
      </w:r>
      <w:r>
        <w:t xml:space="preserve"> </w:t>
      </w:r>
      <w:r w:rsidRPr="00663B3E">
        <w:rPr>
          <w:sz w:val="16"/>
        </w:rPr>
        <w:t>Similar criteria apply governing a patient’s admission into guardianship</w:t>
      </w:r>
      <w:r>
        <w:rPr>
          <w:sz w:val="16"/>
        </w:rPr>
        <w:t>.</w:t>
      </w:r>
    </w:p>
  </w:footnote>
  <w:footnote w:id="16">
    <w:p w:rsidR="00E41DB7" w:rsidRPr="00F04B69" w:rsidRDefault="00E41DB7">
      <w:pPr>
        <w:pStyle w:val="FootnoteText"/>
        <w:rPr>
          <w:sz w:val="16"/>
        </w:rPr>
      </w:pPr>
      <w:r>
        <w:rPr>
          <w:rStyle w:val="FootnoteReference"/>
        </w:rPr>
        <w:t>15</w:t>
      </w:r>
      <w:r>
        <w:t xml:space="preserve"> </w:t>
      </w:r>
      <w:r w:rsidRPr="00F04B69">
        <w:rPr>
          <w:sz w:val="16"/>
        </w:rPr>
        <w:t>R v Home Secretary ex p K [1991] 1 Q.B. 270</w:t>
      </w:r>
    </w:p>
  </w:footnote>
  <w:footnote w:id="17">
    <w:p w:rsidR="00E41DB7" w:rsidRPr="00F04B69" w:rsidRDefault="00E41DB7">
      <w:pPr>
        <w:pStyle w:val="FootnoteText"/>
        <w:rPr>
          <w:sz w:val="16"/>
        </w:rPr>
      </w:pPr>
      <w:r>
        <w:rPr>
          <w:rStyle w:val="FootnoteReference"/>
        </w:rPr>
        <w:t>16</w:t>
      </w:r>
      <w:r>
        <w:t xml:space="preserve"> </w:t>
      </w:r>
      <w:r w:rsidRPr="00F04B69">
        <w:rPr>
          <w:sz w:val="16"/>
        </w:rPr>
        <w:t>Kay v United Kingdom (1998) 40 B.M.L.R. 20</w:t>
      </w:r>
    </w:p>
  </w:footnote>
  <w:footnote w:id="18">
    <w:p w:rsidR="00E41DB7" w:rsidRPr="007F6B74" w:rsidRDefault="00E41DB7" w:rsidP="007F6B74">
      <w:pPr>
        <w:pStyle w:val="FootnoteText"/>
        <w:rPr>
          <w:sz w:val="16"/>
        </w:rPr>
      </w:pPr>
      <w:r>
        <w:rPr>
          <w:rStyle w:val="FootnoteReference"/>
        </w:rPr>
        <w:t>17</w:t>
      </w:r>
      <w:r>
        <w:t xml:space="preserve"> </w:t>
      </w:r>
      <w:r w:rsidRPr="007F6B74">
        <w:rPr>
          <w:sz w:val="16"/>
        </w:rPr>
        <w:t xml:space="preserve">O. </w:t>
      </w:r>
      <w:proofErr w:type="spellStart"/>
      <w:r w:rsidRPr="007F6B74">
        <w:rPr>
          <w:sz w:val="16"/>
        </w:rPr>
        <w:t>Thorrold</w:t>
      </w:r>
      <w:proofErr w:type="spellEnd"/>
      <w:r w:rsidRPr="007F6B74">
        <w:rPr>
          <w:sz w:val="16"/>
        </w:rPr>
        <w:t>, ‘T</w:t>
      </w:r>
      <w:r>
        <w:rPr>
          <w:sz w:val="16"/>
        </w:rPr>
        <w:t xml:space="preserve">he Implications of the European </w:t>
      </w:r>
      <w:r w:rsidRPr="007F6B74">
        <w:rPr>
          <w:sz w:val="16"/>
        </w:rPr>
        <w:t>Convention on Hu</w:t>
      </w:r>
      <w:r>
        <w:rPr>
          <w:sz w:val="16"/>
        </w:rPr>
        <w:t xml:space="preserve">man Rights for UK Mental Health </w:t>
      </w:r>
      <w:r w:rsidRPr="007F6B74">
        <w:rPr>
          <w:sz w:val="16"/>
        </w:rPr>
        <w:t>Legislation’, [1996] EHRLR 619</w:t>
      </w:r>
    </w:p>
  </w:footnote>
  <w:footnote w:id="19">
    <w:p w:rsidR="00E41DB7" w:rsidRDefault="00E41DB7" w:rsidP="00ED267D">
      <w:pPr>
        <w:pStyle w:val="FootnoteText"/>
      </w:pPr>
      <w:r>
        <w:rPr>
          <w:rStyle w:val="FootnoteReference"/>
        </w:rPr>
        <w:t>18</w:t>
      </w:r>
      <w:r>
        <w:t xml:space="preserve"> </w:t>
      </w:r>
      <w:r w:rsidRPr="00ED267D">
        <w:rPr>
          <w:sz w:val="16"/>
        </w:rPr>
        <w:t>De Wilde, Ooms &amp; Versyp v Belgium (1971) 1 EHRR 373, §76</w:t>
      </w:r>
    </w:p>
  </w:footnote>
  <w:footnote w:id="20">
    <w:p w:rsidR="00E41DB7" w:rsidRDefault="00E41DB7">
      <w:pPr>
        <w:pStyle w:val="FootnoteText"/>
      </w:pPr>
      <w:r>
        <w:rPr>
          <w:rStyle w:val="FootnoteReference"/>
        </w:rPr>
        <w:t>19</w:t>
      </w:r>
      <w:r>
        <w:t xml:space="preserve"> </w:t>
      </w:r>
      <w:r w:rsidRPr="00ED267D">
        <w:rPr>
          <w:sz w:val="16"/>
        </w:rPr>
        <w:t>(1981) 4 E.H.R.R. 188</w:t>
      </w:r>
    </w:p>
  </w:footnote>
  <w:footnote w:id="21">
    <w:p w:rsidR="00E41DB7" w:rsidRDefault="00E41DB7">
      <w:pPr>
        <w:pStyle w:val="FootnoteText"/>
      </w:pPr>
      <w:r>
        <w:rPr>
          <w:rStyle w:val="FootnoteReference"/>
        </w:rPr>
        <w:t>20</w:t>
      </w:r>
      <w:r>
        <w:t xml:space="preserve"> </w:t>
      </w:r>
      <w:r w:rsidRPr="00ED267D">
        <w:rPr>
          <w:sz w:val="16"/>
        </w:rPr>
        <w:t>Johnson v United Kingdom (1997) 22 EHRR 296, §66</w:t>
      </w:r>
    </w:p>
  </w:footnote>
  <w:footnote w:id="22">
    <w:p w:rsidR="00E41DB7" w:rsidRPr="00ED267D" w:rsidRDefault="00E41DB7" w:rsidP="00ED267D">
      <w:pPr>
        <w:pStyle w:val="FootnoteText"/>
        <w:rPr>
          <w:sz w:val="16"/>
        </w:rPr>
      </w:pPr>
      <w:r>
        <w:rPr>
          <w:rStyle w:val="FootnoteReference"/>
        </w:rPr>
        <w:t>21</w:t>
      </w:r>
      <w:r>
        <w:t xml:space="preserve"> </w:t>
      </w:r>
      <w:r w:rsidRPr="00ED267D">
        <w:rPr>
          <w:sz w:val="16"/>
        </w:rPr>
        <w:t>see R v Home Secretary ex p Duggan [1994] 3 All ER 277, DC per Rose LJ a</w:t>
      </w:r>
      <w:r>
        <w:rPr>
          <w:sz w:val="16"/>
        </w:rPr>
        <w:t xml:space="preserve">t 288b; Reg. v. Home Secretary, </w:t>
      </w:r>
      <w:r w:rsidRPr="00ED267D">
        <w:rPr>
          <w:sz w:val="16"/>
        </w:rPr>
        <w:t>Ex p. Harry [1998] 1 W.L.R. 1741, Lightman J.</w:t>
      </w:r>
      <w:r w:rsidRPr="00ED267D">
        <w:rPr>
          <w:sz w:val="16"/>
        </w:rPr>
        <w:tab/>
      </w:r>
    </w:p>
  </w:footnote>
  <w:footnote w:id="23">
    <w:p w:rsidR="00E41DB7" w:rsidRDefault="00E41DB7">
      <w:pPr>
        <w:pStyle w:val="FootnoteText"/>
      </w:pPr>
      <w:r>
        <w:rPr>
          <w:rStyle w:val="FootnoteReference"/>
        </w:rPr>
        <w:t>22</w:t>
      </w:r>
      <w:r>
        <w:t xml:space="preserve"> </w:t>
      </w:r>
      <w:r w:rsidRPr="00ED267D">
        <w:rPr>
          <w:sz w:val="16"/>
        </w:rPr>
        <w:t>Decision of 18 July 1986</w:t>
      </w:r>
    </w:p>
  </w:footnote>
  <w:footnote w:id="24">
    <w:p w:rsidR="00E41DB7" w:rsidRDefault="00E41DB7">
      <w:pPr>
        <w:pStyle w:val="FootnoteText"/>
      </w:pPr>
      <w:r>
        <w:rPr>
          <w:rStyle w:val="FootnoteReference"/>
        </w:rPr>
        <w:t>23</w:t>
      </w:r>
      <w:r>
        <w:t xml:space="preserve"> </w:t>
      </w:r>
      <w:r w:rsidRPr="00E40341">
        <w:rPr>
          <w:sz w:val="16"/>
        </w:rPr>
        <w:t>De Wilde, Ooms &amp; Versyp, ibid, §79</w:t>
      </w:r>
    </w:p>
  </w:footnote>
  <w:footnote w:id="25">
    <w:p w:rsidR="00E41DB7" w:rsidRDefault="00E41DB7">
      <w:pPr>
        <w:pStyle w:val="FootnoteText"/>
      </w:pPr>
      <w:r>
        <w:rPr>
          <w:rStyle w:val="FootnoteReference"/>
        </w:rPr>
        <w:t>24</w:t>
      </w:r>
      <w:r>
        <w:t xml:space="preserve"> </w:t>
      </w:r>
      <w:r w:rsidRPr="00E40341">
        <w:rPr>
          <w:sz w:val="16"/>
        </w:rPr>
        <w:t>Megyeri v Germany (1992) 15 EHRR 584, §22</w:t>
      </w:r>
    </w:p>
  </w:footnote>
  <w:footnote w:id="26">
    <w:p w:rsidR="00E41DB7" w:rsidRDefault="00E41DB7">
      <w:pPr>
        <w:pStyle w:val="FootnoteText"/>
      </w:pPr>
      <w:r>
        <w:rPr>
          <w:rStyle w:val="FootnoteReference"/>
        </w:rPr>
        <w:t>25</w:t>
      </w:r>
      <w:r>
        <w:t xml:space="preserve"> </w:t>
      </w:r>
      <w:r w:rsidRPr="00E40341">
        <w:rPr>
          <w:sz w:val="16"/>
        </w:rPr>
        <w:t>Neumeister v. Austria, 1 E.H.R.R. 91, at para. 22</w:t>
      </w:r>
    </w:p>
  </w:footnote>
  <w:footnote w:id="27">
    <w:p w:rsidR="00E41DB7" w:rsidRPr="00E40341" w:rsidRDefault="00E41DB7" w:rsidP="00E40341">
      <w:pPr>
        <w:pStyle w:val="FootnoteText"/>
        <w:rPr>
          <w:sz w:val="16"/>
        </w:rPr>
      </w:pPr>
      <w:r>
        <w:rPr>
          <w:rStyle w:val="FootnoteReference"/>
        </w:rPr>
        <w:t>26</w:t>
      </w:r>
      <w:r>
        <w:t xml:space="preserve"> </w:t>
      </w:r>
      <w:r w:rsidRPr="00E40341">
        <w:rPr>
          <w:sz w:val="16"/>
        </w:rPr>
        <w:t>Winterwerp v. the</w:t>
      </w:r>
      <w:r>
        <w:rPr>
          <w:sz w:val="16"/>
        </w:rPr>
        <w:t xml:space="preserve"> Netherlands (1979) 2 EHRR 387, </w:t>
      </w:r>
      <w:r w:rsidRPr="00E40341">
        <w:rPr>
          <w:sz w:val="16"/>
        </w:rPr>
        <w:t>para. 60</w:t>
      </w:r>
    </w:p>
  </w:footnote>
  <w:footnote w:id="28">
    <w:p w:rsidR="00E41DB7" w:rsidRDefault="00E41DB7">
      <w:pPr>
        <w:pStyle w:val="FootnoteText"/>
      </w:pPr>
      <w:r>
        <w:rPr>
          <w:rStyle w:val="FootnoteReference"/>
        </w:rPr>
        <w:t>27</w:t>
      </w:r>
      <w:r>
        <w:t xml:space="preserve"> </w:t>
      </w:r>
      <w:r w:rsidRPr="00E40341">
        <w:rPr>
          <w:sz w:val="16"/>
        </w:rPr>
        <w:t>ibid, para 60</w:t>
      </w:r>
    </w:p>
  </w:footnote>
  <w:footnote w:id="29">
    <w:p w:rsidR="00E41DB7" w:rsidRDefault="00E41DB7">
      <w:pPr>
        <w:pStyle w:val="FootnoteText"/>
      </w:pPr>
      <w:r>
        <w:rPr>
          <w:rStyle w:val="FootnoteReference"/>
        </w:rPr>
        <w:t>28</w:t>
      </w:r>
      <w:r>
        <w:t xml:space="preserve"> </w:t>
      </w:r>
      <w:r w:rsidRPr="00E40341">
        <w:rPr>
          <w:sz w:val="16"/>
        </w:rPr>
        <w:t>Megyeri v Germany (1992) 15 EHRR 584, §23</w:t>
      </w:r>
    </w:p>
  </w:footnote>
  <w:footnote w:id="30">
    <w:p w:rsidR="00E41DB7" w:rsidRDefault="00E41DB7">
      <w:pPr>
        <w:pStyle w:val="FootnoteText"/>
      </w:pPr>
      <w:r>
        <w:rPr>
          <w:rStyle w:val="FootnoteReference"/>
        </w:rPr>
        <w:t>29</w:t>
      </w:r>
      <w:r>
        <w:t xml:space="preserve"> </w:t>
      </w:r>
      <w:r w:rsidRPr="00E40341">
        <w:rPr>
          <w:sz w:val="16"/>
        </w:rPr>
        <w:t>Cottenham v United Kingdom [1999] EHRLR 530</w:t>
      </w:r>
    </w:p>
  </w:footnote>
  <w:footnote w:id="31">
    <w:p w:rsidR="00E41DB7" w:rsidRPr="00D20F70" w:rsidRDefault="00E41DB7" w:rsidP="00D20F70">
      <w:pPr>
        <w:pStyle w:val="FootnoteText"/>
        <w:rPr>
          <w:sz w:val="16"/>
        </w:rPr>
      </w:pPr>
      <w:r>
        <w:rPr>
          <w:rStyle w:val="FootnoteReference"/>
        </w:rPr>
        <w:t>30</w:t>
      </w:r>
      <w:r>
        <w:t xml:space="preserve"> </w:t>
      </w:r>
      <w:r w:rsidRPr="00D20F70">
        <w:rPr>
          <w:sz w:val="16"/>
        </w:rPr>
        <w:t xml:space="preserve">App. No. 24557/94 </w:t>
      </w:r>
      <w:r>
        <w:rPr>
          <w:sz w:val="16"/>
        </w:rPr>
        <w:t xml:space="preserve">Musial v Poland, Decision dated </w:t>
      </w:r>
      <w:r w:rsidRPr="00D20F70">
        <w:rPr>
          <w:sz w:val="16"/>
        </w:rPr>
        <w:t xml:space="preserve">25 March 1999, </w:t>
      </w:r>
      <w:r>
        <w:rPr>
          <w:sz w:val="16"/>
        </w:rPr>
        <w:t xml:space="preserve">ECHR, §46; see also Cottenham v </w:t>
      </w:r>
      <w:r w:rsidRPr="00D20F70">
        <w:rPr>
          <w:sz w:val="16"/>
        </w:rPr>
        <w:t>United Kingdom, ibid</w:t>
      </w:r>
    </w:p>
  </w:footnote>
  <w:footnote w:id="32">
    <w:p w:rsidR="00E41DB7" w:rsidRDefault="00E41DB7" w:rsidP="00D20F70">
      <w:pPr>
        <w:pStyle w:val="FootnoteText"/>
      </w:pPr>
      <w:r>
        <w:rPr>
          <w:rStyle w:val="FootnoteReference"/>
        </w:rPr>
        <w:t>31</w:t>
      </w:r>
      <w:r>
        <w:t xml:space="preserve"> </w:t>
      </w:r>
      <w:r w:rsidRPr="00D20F70">
        <w:rPr>
          <w:sz w:val="16"/>
        </w:rPr>
        <w:t>Roux v United Kingdom App. No. 25601/94, 16 September 1997</w:t>
      </w:r>
    </w:p>
  </w:footnote>
  <w:footnote w:id="33">
    <w:p w:rsidR="00E41DB7" w:rsidRDefault="00E41DB7">
      <w:pPr>
        <w:pStyle w:val="FootnoteText"/>
      </w:pPr>
      <w:r>
        <w:rPr>
          <w:rStyle w:val="FootnoteReference"/>
        </w:rPr>
        <w:t>32</w:t>
      </w:r>
      <w:r>
        <w:t xml:space="preserve"> </w:t>
      </w:r>
      <w:r w:rsidRPr="00D20F70">
        <w:rPr>
          <w:sz w:val="16"/>
        </w:rPr>
        <w:t>Khoendjbiharie v Netherlands (1990) 13 EHRR 820</w:t>
      </w:r>
    </w:p>
  </w:footnote>
  <w:footnote w:id="34">
    <w:p w:rsidR="00E41DB7" w:rsidRDefault="00E41DB7">
      <w:pPr>
        <w:pStyle w:val="FootnoteText"/>
      </w:pPr>
      <w:r>
        <w:rPr>
          <w:rStyle w:val="FootnoteReference"/>
        </w:rPr>
        <w:t>33</w:t>
      </w:r>
      <w:r>
        <w:t xml:space="preserve"> </w:t>
      </w:r>
      <w:r w:rsidRPr="00D20F70">
        <w:rPr>
          <w:sz w:val="16"/>
        </w:rPr>
        <w:t>E v Norway (1994) 17 EHRR 30</w:t>
      </w:r>
    </w:p>
  </w:footnote>
  <w:footnote w:id="35">
    <w:p w:rsidR="00E41DB7" w:rsidRDefault="00E41DB7">
      <w:pPr>
        <w:pStyle w:val="FootnoteText"/>
      </w:pPr>
      <w:r>
        <w:rPr>
          <w:rStyle w:val="FootnoteReference"/>
        </w:rPr>
        <w:t>34</w:t>
      </w:r>
      <w:r>
        <w:t xml:space="preserve"> </w:t>
      </w:r>
      <w:r w:rsidRPr="00D20F70">
        <w:rPr>
          <w:sz w:val="16"/>
        </w:rPr>
        <w:t>Cottenham, ibid</w:t>
      </w:r>
    </w:p>
  </w:footnote>
  <w:footnote w:id="36">
    <w:p w:rsidR="00E41DB7" w:rsidRPr="003F6A43" w:rsidRDefault="00E41DB7" w:rsidP="003F6A43">
      <w:pPr>
        <w:pStyle w:val="FootnoteText"/>
        <w:rPr>
          <w:sz w:val="16"/>
        </w:rPr>
      </w:pPr>
      <w:r>
        <w:rPr>
          <w:rStyle w:val="FootnoteReference"/>
        </w:rPr>
        <w:t>35</w:t>
      </w:r>
      <w:r>
        <w:t xml:space="preserve"> </w:t>
      </w:r>
      <w:r w:rsidRPr="003F6A43">
        <w:rPr>
          <w:sz w:val="16"/>
        </w:rPr>
        <w:t>Farmakopoulos v Belg</w:t>
      </w:r>
      <w:r>
        <w:rPr>
          <w:sz w:val="16"/>
        </w:rPr>
        <w:t xml:space="preserve">ium (1992) Series A, No. 235-A, </w:t>
      </w:r>
      <w:r w:rsidRPr="003F6A43">
        <w:rPr>
          <w:sz w:val="16"/>
        </w:rPr>
        <w:t>EComHR</w:t>
      </w:r>
    </w:p>
  </w:footnote>
  <w:footnote w:id="37">
    <w:p w:rsidR="00E41DB7" w:rsidRDefault="00E41DB7">
      <w:pPr>
        <w:pStyle w:val="FootnoteText"/>
      </w:pPr>
      <w:r>
        <w:rPr>
          <w:rStyle w:val="FootnoteReference"/>
        </w:rPr>
        <w:t>36</w:t>
      </w:r>
      <w:r>
        <w:t xml:space="preserve"> </w:t>
      </w:r>
      <w:r w:rsidRPr="003F6A43">
        <w:rPr>
          <w:sz w:val="16"/>
        </w:rPr>
        <w:t>Van der Leer v Netherlands (1990) 12 EHRR 567, para 35</w:t>
      </w:r>
    </w:p>
  </w:footnote>
  <w:footnote w:id="38">
    <w:p w:rsidR="00E41DB7" w:rsidRPr="003F6A43" w:rsidRDefault="00E41DB7" w:rsidP="003F6A43">
      <w:pPr>
        <w:pStyle w:val="FootnoteText"/>
        <w:rPr>
          <w:sz w:val="16"/>
        </w:rPr>
      </w:pPr>
      <w:r>
        <w:rPr>
          <w:rStyle w:val="FootnoteReference"/>
        </w:rPr>
        <w:t>37</w:t>
      </w:r>
      <w:r>
        <w:t xml:space="preserve"> </w:t>
      </w:r>
      <w:r w:rsidRPr="003F6A43">
        <w:rPr>
          <w:sz w:val="16"/>
        </w:rPr>
        <w:t>Both under Article 5(2</w:t>
      </w:r>
      <w:r>
        <w:rPr>
          <w:sz w:val="16"/>
        </w:rPr>
        <w:t xml:space="preserve">) and as a component of Article </w:t>
      </w:r>
      <w:r w:rsidRPr="003F6A43">
        <w:rPr>
          <w:sz w:val="16"/>
        </w:rPr>
        <w:t>5(4): (X v United Kingdom (1981) 4 EHRR 188, §66</w:t>
      </w:r>
    </w:p>
  </w:footnote>
  <w:footnote w:id="39">
    <w:p w:rsidR="00E41DB7" w:rsidRPr="003F6A43" w:rsidRDefault="00E41DB7" w:rsidP="003F6A43">
      <w:pPr>
        <w:pStyle w:val="FootnoteText"/>
        <w:rPr>
          <w:sz w:val="16"/>
        </w:rPr>
      </w:pPr>
      <w:r>
        <w:rPr>
          <w:rStyle w:val="FootnoteReference"/>
        </w:rPr>
        <w:t>38</w:t>
      </w:r>
      <w:r>
        <w:t xml:space="preserve"> </w:t>
      </w:r>
      <w:r w:rsidRPr="003F6A43">
        <w:rPr>
          <w:sz w:val="16"/>
        </w:rPr>
        <w:t xml:space="preserve">(Fox, Campbell &amp; </w:t>
      </w:r>
      <w:r>
        <w:rPr>
          <w:sz w:val="16"/>
        </w:rPr>
        <w:t xml:space="preserve">Hartley v United Kingdom (1991) </w:t>
      </w:r>
      <w:r w:rsidRPr="003F6A43">
        <w:rPr>
          <w:sz w:val="16"/>
        </w:rPr>
        <w:t>13 EHRR 157, §40</w:t>
      </w:r>
    </w:p>
  </w:footnote>
  <w:footnote w:id="40">
    <w:p w:rsidR="00E41DB7" w:rsidRDefault="00E41DB7" w:rsidP="003F6A43">
      <w:pPr>
        <w:pStyle w:val="FootnoteText"/>
      </w:pPr>
      <w:r>
        <w:rPr>
          <w:rStyle w:val="FootnoteReference"/>
        </w:rPr>
        <w:t>39</w:t>
      </w:r>
      <w:r>
        <w:t xml:space="preserve"> </w:t>
      </w:r>
      <w:r w:rsidRPr="003F6A43">
        <w:rPr>
          <w:sz w:val="16"/>
        </w:rPr>
        <w:t>Winterwerp v. the Netherlands (1979) 2 EHRR 387, para. 55</w:t>
      </w:r>
    </w:p>
  </w:footnote>
  <w:footnote w:id="41">
    <w:p w:rsidR="00E41DB7" w:rsidRDefault="00E41DB7" w:rsidP="003F6A43">
      <w:pPr>
        <w:pStyle w:val="FootnoteText"/>
      </w:pPr>
      <w:r>
        <w:rPr>
          <w:rStyle w:val="FootnoteReference"/>
        </w:rPr>
        <w:t>40</w:t>
      </w:r>
      <w:r>
        <w:t xml:space="preserve"> </w:t>
      </w:r>
      <w:r w:rsidRPr="003F6A43">
        <w:rPr>
          <w:sz w:val="16"/>
        </w:rPr>
        <w:t>App. No. 24557/94 Musial v Poland, Decision dated 25 March 1999, ECHR, §46</w:t>
      </w:r>
    </w:p>
  </w:footnote>
  <w:footnote w:id="42">
    <w:p w:rsidR="00E41DB7" w:rsidRPr="003F6A43" w:rsidRDefault="00E41DB7" w:rsidP="003F6A43">
      <w:pPr>
        <w:pStyle w:val="FootnoteText"/>
        <w:rPr>
          <w:sz w:val="16"/>
        </w:rPr>
      </w:pPr>
      <w:r>
        <w:rPr>
          <w:rStyle w:val="FootnoteReference"/>
        </w:rPr>
        <w:t>41</w:t>
      </w:r>
      <w:r>
        <w:t xml:space="preserve"> </w:t>
      </w:r>
      <w:r w:rsidRPr="003F6A43">
        <w:rPr>
          <w:sz w:val="16"/>
        </w:rPr>
        <w:t>See, e.g., Megy</w:t>
      </w:r>
      <w:r>
        <w:rPr>
          <w:sz w:val="16"/>
        </w:rPr>
        <w:t xml:space="preserve">eri v Germany, ibid, para 22(d) </w:t>
      </w:r>
      <w:r w:rsidRPr="003F6A43">
        <w:rPr>
          <w:sz w:val="16"/>
        </w:rPr>
        <w:t>(obtaining legal representation)</w:t>
      </w:r>
    </w:p>
  </w:footnote>
  <w:footnote w:id="43">
    <w:p w:rsidR="00E41DB7" w:rsidRDefault="00E41DB7" w:rsidP="003F6A43">
      <w:pPr>
        <w:pStyle w:val="FootnoteText"/>
      </w:pPr>
      <w:r>
        <w:rPr>
          <w:rStyle w:val="FootnoteReference"/>
        </w:rPr>
        <w:t>42</w:t>
      </w:r>
      <w:r>
        <w:t xml:space="preserve"> </w:t>
      </w:r>
      <w:r w:rsidRPr="003F6A43">
        <w:rPr>
          <w:sz w:val="16"/>
        </w:rPr>
        <w:t>App. No. 33267/96 Croke v Ireland, Admissibility Decision of 15 June 1999, EcomHR</w:t>
      </w:r>
    </w:p>
  </w:footnote>
  <w:footnote w:id="44">
    <w:p w:rsidR="00E41DB7" w:rsidRDefault="00E41DB7">
      <w:pPr>
        <w:pStyle w:val="FootnoteText"/>
      </w:pPr>
      <w:r>
        <w:rPr>
          <w:rStyle w:val="FootnoteReference"/>
        </w:rPr>
        <w:t>43</w:t>
      </w:r>
      <w:r>
        <w:t xml:space="preserve"> </w:t>
      </w:r>
      <w:r w:rsidRPr="0062398A">
        <w:rPr>
          <w:sz w:val="16"/>
        </w:rPr>
        <w:t>See, e.g., R v MHRT ex p Hall [1999] 4 All E.R. 883</w:t>
      </w:r>
    </w:p>
  </w:footnote>
  <w:footnote w:id="45">
    <w:p w:rsidR="00E41DB7" w:rsidRPr="00AD058C" w:rsidRDefault="00E41DB7" w:rsidP="00AD058C">
      <w:pPr>
        <w:pStyle w:val="FootnoteText"/>
        <w:rPr>
          <w:sz w:val="16"/>
        </w:rPr>
      </w:pPr>
      <w:r>
        <w:rPr>
          <w:rStyle w:val="FootnoteReference"/>
        </w:rPr>
        <w:t>44</w:t>
      </w:r>
      <w:r>
        <w:t xml:space="preserve"> </w:t>
      </w:r>
      <w:r w:rsidRPr="00AD058C">
        <w:rPr>
          <w:sz w:val="16"/>
        </w:rPr>
        <w:t>R v Oxford MHR</w:t>
      </w:r>
      <w:r>
        <w:rPr>
          <w:sz w:val="16"/>
        </w:rPr>
        <w:t xml:space="preserve">T ex p Home Secretary [1988] AC </w:t>
      </w:r>
      <w:r w:rsidRPr="00AD058C">
        <w:rPr>
          <w:sz w:val="16"/>
        </w:rPr>
        <w:t>120</w:t>
      </w:r>
    </w:p>
  </w:footnote>
  <w:footnote w:id="46">
    <w:p w:rsidR="00E41DB7" w:rsidRDefault="00E41DB7">
      <w:pPr>
        <w:pStyle w:val="FootnoteText"/>
      </w:pPr>
      <w:r>
        <w:rPr>
          <w:rStyle w:val="FootnoteReference"/>
        </w:rPr>
        <w:t>45</w:t>
      </w:r>
      <w:r>
        <w:t xml:space="preserve"> </w:t>
      </w:r>
      <w:r w:rsidRPr="00AD058C">
        <w:rPr>
          <w:sz w:val="16"/>
        </w:rPr>
        <w:t>See R v Ealing HA ex p Fox [1993] 1 W.L.R. 373</w:t>
      </w:r>
    </w:p>
  </w:footnote>
  <w:footnote w:id="47">
    <w:p w:rsidR="00E41DB7" w:rsidRPr="009F6CD8" w:rsidRDefault="00E41DB7" w:rsidP="009F6CD8">
      <w:pPr>
        <w:pStyle w:val="FootnoteText"/>
        <w:rPr>
          <w:sz w:val="16"/>
        </w:rPr>
      </w:pPr>
      <w:r>
        <w:rPr>
          <w:rStyle w:val="FootnoteReference"/>
        </w:rPr>
        <w:t>46</w:t>
      </w:r>
      <w:r>
        <w:t xml:space="preserve"> </w:t>
      </w:r>
      <w:r w:rsidRPr="009F6CD8">
        <w:rPr>
          <w:sz w:val="16"/>
        </w:rPr>
        <w:t xml:space="preserve">Cottenham v </w:t>
      </w:r>
      <w:r>
        <w:rPr>
          <w:sz w:val="16"/>
        </w:rPr>
        <w:t xml:space="preserve">United Kingdom [1999] EHRLR 530 </w:t>
      </w:r>
      <w:r w:rsidRPr="009F6CD8">
        <w:rPr>
          <w:sz w:val="16"/>
        </w:rPr>
        <w:t>(delay of 10 months did</w:t>
      </w:r>
      <w:r>
        <w:rPr>
          <w:sz w:val="16"/>
        </w:rPr>
        <w:t xml:space="preserve"> not violate Article 5(4) where </w:t>
      </w:r>
      <w:r w:rsidRPr="009F6CD8">
        <w:rPr>
          <w:sz w:val="16"/>
        </w:rPr>
        <w:t xml:space="preserve">occasioned by the patient’s </w:t>
      </w:r>
      <w:r>
        <w:rPr>
          <w:sz w:val="16"/>
        </w:rPr>
        <w:t xml:space="preserve">desire to be represented by the </w:t>
      </w:r>
      <w:r w:rsidRPr="009F6CD8">
        <w:rPr>
          <w:sz w:val="16"/>
        </w:rPr>
        <w:t>lawyer of his choice)</w:t>
      </w:r>
    </w:p>
  </w:footnote>
  <w:footnote w:id="48">
    <w:p w:rsidR="00E41DB7" w:rsidRPr="00995280" w:rsidRDefault="00E41DB7" w:rsidP="00995280">
      <w:pPr>
        <w:pStyle w:val="FootnoteText"/>
        <w:rPr>
          <w:sz w:val="16"/>
        </w:rPr>
      </w:pPr>
      <w:r>
        <w:rPr>
          <w:rStyle w:val="FootnoteReference"/>
        </w:rPr>
        <w:t>47</w:t>
      </w:r>
      <w:r>
        <w:t xml:space="preserve"> </w:t>
      </w:r>
      <w:r w:rsidRPr="00995280">
        <w:rPr>
          <w:sz w:val="16"/>
        </w:rPr>
        <w:t>Ashingdane v U</w:t>
      </w:r>
      <w:r>
        <w:rPr>
          <w:sz w:val="16"/>
        </w:rPr>
        <w:t xml:space="preserve">nited Kingdom (1985) 7 E.H.R.R. </w:t>
      </w:r>
      <w:r w:rsidRPr="00995280">
        <w:rPr>
          <w:sz w:val="16"/>
        </w:rPr>
        <w:t>528, at §41; Joh</w:t>
      </w:r>
      <w:r>
        <w:rPr>
          <w:sz w:val="16"/>
        </w:rPr>
        <w:t xml:space="preserve">nson v United Kingdom (1997) 22 </w:t>
      </w:r>
      <w:r w:rsidRPr="00995280">
        <w:rPr>
          <w:sz w:val="16"/>
        </w:rPr>
        <w:t>EHRR 296, §65; W v</w:t>
      </w:r>
      <w:r>
        <w:rPr>
          <w:sz w:val="16"/>
        </w:rPr>
        <w:t xml:space="preserve"> Sweden (1988) 59 D.R. 158; L v </w:t>
      </w:r>
      <w:r w:rsidRPr="00995280">
        <w:rPr>
          <w:sz w:val="16"/>
        </w:rPr>
        <w:t>Sweden (1986)).</w:t>
      </w:r>
    </w:p>
  </w:footnote>
  <w:footnote w:id="49">
    <w:p w:rsidR="00E41DB7" w:rsidRDefault="00E41DB7" w:rsidP="008652B8">
      <w:pPr>
        <w:pStyle w:val="FootnoteText"/>
      </w:pPr>
      <w:r>
        <w:rPr>
          <w:rStyle w:val="FootnoteReference"/>
        </w:rPr>
        <w:t>48</w:t>
      </w:r>
      <w:r>
        <w:t xml:space="preserve"> </w:t>
      </w:r>
      <w:r w:rsidRPr="008652B8">
        <w:rPr>
          <w:sz w:val="16"/>
        </w:rPr>
        <w:t>Sunday Times v United Kingdom (1979-80) 2 E.H.R.R 245, at paragraph [47]</w:t>
      </w:r>
    </w:p>
  </w:footnote>
  <w:footnote w:id="50">
    <w:p w:rsidR="00E41DB7" w:rsidRDefault="00E41DB7">
      <w:pPr>
        <w:pStyle w:val="FootnoteText"/>
      </w:pPr>
      <w:r>
        <w:rPr>
          <w:rStyle w:val="FootnoteReference"/>
        </w:rPr>
        <w:t>49</w:t>
      </w:r>
      <w:r>
        <w:t xml:space="preserve"> </w:t>
      </w:r>
      <w:r w:rsidRPr="008652B8">
        <w:rPr>
          <w:sz w:val="16"/>
        </w:rPr>
        <w:t>Sunday Times case, ibid, paragraph [49]</w:t>
      </w:r>
    </w:p>
  </w:footnote>
  <w:footnote w:id="51">
    <w:p w:rsidR="00E41DB7" w:rsidRPr="008652B8" w:rsidRDefault="00E41DB7" w:rsidP="008652B8">
      <w:pPr>
        <w:pStyle w:val="FootnoteText"/>
        <w:rPr>
          <w:sz w:val="16"/>
        </w:rPr>
      </w:pPr>
      <w:r>
        <w:rPr>
          <w:rStyle w:val="FootnoteReference"/>
        </w:rPr>
        <w:t>50</w:t>
      </w:r>
      <w:r>
        <w:t xml:space="preserve"> </w:t>
      </w:r>
      <w:r w:rsidRPr="008652B8">
        <w:rPr>
          <w:sz w:val="16"/>
        </w:rPr>
        <w:t>Malone v Unit</w:t>
      </w:r>
      <w:r>
        <w:rPr>
          <w:sz w:val="16"/>
        </w:rPr>
        <w:t xml:space="preserve">ed Kingdom (1985) 7 E.H.R.R. 1, </w:t>
      </w:r>
      <w:r w:rsidRPr="008652B8">
        <w:rPr>
          <w:sz w:val="16"/>
        </w:rPr>
        <w:t xml:space="preserve">paragraphs 67-68; </w:t>
      </w:r>
      <w:proofErr w:type="spellStart"/>
      <w:r w:rsidRPr="008652B8">
        <w:rPr>
          <w:sz w:val="16"/>
        </w:rPr>
        <w:t>Huvig</w:t>
      </w:r>
      <w:proofErr w:type="spellEnd"/>
      <w:r w:rsidRPr="008652B8">
        <w:rPr>
          <w:sz w:val="16"/>
        </w:rPr>
        <w:t xml:space="preserve"> v France (1990</w:t>
      </w:r>
      <w:r>
        <w:rPr>
          <w:sz w:val="16"/>
        </w:rPr>
        <w:t xml:space="preserve">) 12 E.H.R.R. </w:t>
      </w:r>
      <w:r w:rsidRPr="008652B8">
        <w:rPr>
          <w:sz w:val="16"/>
        </w:rPr>
        <w:t>528, paragr</w:t>
      </w:r>
      <w:r>
        <w:rPr>
          <w:sz w:val="16"/>
        </w:rPr>
        <w:t xml:space="preserve">aphs [29] to [35]; Winterwerp v </w:t>
      </w:r>
      <w:r w:rsidRPr="008652B8">
        <w:rPr>
          <w:sz w:val="16"/>
        </w:rPr>
        <w:t>Netherlands (1979-80</w:t>
      </w:r>
      <w:r>
        <w:rPr>
          <w:sz w:val="16"/>
        </w:rPr>
        <w:t xml:space="preserve">) 2 E.H.R.R. 387, at paragraphs </w:t>
      </w:r>
      <w:r w:rsidRPr="008652B8">
        <w:rPr>
          <w:sz w:val="16"/>
        </w:rPr>
        <w:t>[37] and [39]; X</w:t>
      </w:r>
      <w:r>
        <w:rPr>
          <w:sz w:val="16"/>
        </w:rPr>
        <w:t xml:space="preserve"> v UK (1989) 4 E.H.R.R. 189, at </w:t>
      </w:r>
      <w:r w:rsidRPr="008652B8">
        <w:rPr>
          <w:sz w:val="16"/>
        </w:rPr>
        <w:t>paragraphs [58] to [5</w:t>
      </w:r>
      <w:r>
        <w:rPr>
          <w:sz w:val="16"/>
        </w:rPr>
        <w:t xml:space="preserve">9]); </w:t>
      </w:r>
      <w:proofErr w:type="spellStart"/>
      <w:r>
        <w:rPr>
          <w:sz w:val="16"/>
        </w:rPr>
        <w:t>Kruslin</w:t>
      </w:r>
      <w:proofErr w:type="spellEnd"/>
      <w:r>
        <w:rPr>
          <w:sz w:val="16"/>
        </w:rPr>
        <w:t xml:space="preserve"> v France (1990) 12 </w:t>
      </w:r>
      <w:r w:rsidRPr="008652B8">
        <w:rPr>
          <w:sz w:val="16"/>
        </w:rPr>
        <w:t>EHRR 547</w:t>
      </w:r>
    </w:p>
  </w:footnote>
  <w:footnote w:id="52">
    <w:p w:rsidR="00E41DB7" w:rsidRPr="00025670" w:rsidRDefault="00E41DB7" w:rsidP="00025670">
      <w:pPr>
        <w:pStyle w:val="FootnoteText"/>
        <w:rPr>
          <w:sz w:val="16"/>
        </w:rPr>
      </w:pPr>
      <w:r>
        <w:rPr>
          <w:rStyle w:val="FootnoteReference"/>
        </w:rPr>
        <w:t>51</w:t>
      </w:r>
      <w:r>
        <w:t xml:space="preserve"> </w:t>
      </w:r>
      <w:r w:rsidRPr="00025670">
        <w:rPr>
          <w:sz w:val="16"/>
        </w:rPr>
        <w:t>CO/1528/99 R v Managing Medica</w:t>
      </w:r>
      <w:r>
        <w:rPr>
          <w:sz w:val="16"/>
        </w:rPr>
        <w:t xml:space="preserve">l Officer, HMP </w:t>
      </w:r>
      <w:r w:rsidRPr="00025670">
        <w:rPr>
          <w:sz w:val="16"/>
        </w:rPr>
        <w:t xml:space="preserve">Wormwood Scrubs, </w:t>
      </w:r>
      <w:r>
        <w:rPr>
          <w:sz w:val="16"/>
        </w:rPr>
        <w:t xml:space="preserve">27 April 1999 (leave refused by </w:t>
      </w:r>
      <w:proofErr w:type="spellStart"/>
      <w:r w:rsidRPr="00025670">
        <w:rPr>
          <w:sz w:val="16"/>
        </w:rPr>
        <w:t>Jowitt</w:t>
      </w:r>
      <w:proofErr w:type="spellEnd"/>
      <w:r w:rsidRPr="00025670">
        <w:rPr>
          <w:sz w:val="16"/>
        </w:rPr>
        <w:t xml:space="preserve"> J. for an applicat</w:t>
      </w:r>
      <w:r>
        <w:rPr>
          <w:sz w:val="16"/>
        </w:rPr>
        <w:t xml:space="preserve">ion to move for judicial review </w:t>
      </w:r>
      <w:r w:rsidRPr="00025670">
        <w:rPr>
          <w:sz w:val="16"/>
        </w:rPr>
        <w:t>of a decision compuls</w:t>
      </w:r>
      <w:r>
        <w:rPr>
          <w:sz w:val="16"/>
        </w:rPr>
        <w:t xml:space="preserve">orily to medicate the applicant </w:t>
      </w:r>
      <w:r w:rsidRPr="00025670">
        <w:rPr>
          <w:sz w:val="16"/>
        </w:rPr>
        <w:t>without first making a ‘bes</w:t>
      </w:r>
      <w:r>
        <w:rPr>
          <w:sz w:val="16"/>
        </w:rPr>
        <w:t xml:space="preserve">t interests’ application in the </w:t>
      </w:r>
      <w:r w:rsidRPr="00025670">
        <w:rPr>
          <w:sz w:val="16"/>
        </w:rPr>
        <w:t>Family Division)</w:t>
      </w:r>
    </w:p>
  </w:footnote>
  <w:footnote w:id="53">
    <w:p w:rsidR="00E41DB7" w:rsidRDefault="00E41DB7">
      <w:pPr>
        <w:pStyle w:val="FootnoteText"/>
      </w:pPr>
      <w:r>
        <w:rPr>
          <w:rStyle w:val="FootnoteReference"/>
        </w:rPr>
        <w:t>52</w:t>
      </w:r>
      <w:r>
        <w:t xml:space="preserve"> </w:t>
      </w:r>
      <w:r w:rsidRPr="002664C8">
        <w:rPr>
          <w:sz w:val="16"/>
        </w:rPr>
        <w:t>Freeman v Home Office [1984] 1 All ER 1036, CA</w:t>
      </w:r>
    </w:p>
  </w:footnote>
  <w:footnote w:id="54">
    <w:p w:rsidR="00E41DB7" w:rsidRDefault="00E41DB7">
      <w:pPr>
        <w:pStyle w:val="FootnoteText"/>
      </w:pPr>
      <w:r>
        <w:rPr>
          <w:rStyle w:val="FootnoteReference"/>
        </w:rPr>
        <w:t>53</w:t>
      </w:r>
      <w:r>
        <w:t xml:space="preserve"> </w:t>
      </w:r>
      <w:r w:rsidRPr="002664C8">
        <w:rPr>
          <w:sz w:val="16"/>
        </w:rPr>
        <w:t>Knight v Home Office [1990] 3 All E.R. 237</w:t>
      </w:r>
    </w:p>
  </w:footnote>
  <w:footnote w:id="55">
    <w:p w:rsidR="00E41DB7" w:rsidRDefault="00E41DB7">
      <w:pPr>
        <w:pStyle w:val="FootnoteText"/>
      </w:pPr>
      <w:r>
        <w:rPr>
          <w:rStyle w:val="FootnoteReference"/>
        </w:rPr>
        <w:t>54</w:t>
      </w:r>
      <w:r>
        <w:t xml:space="preserve"> </w:t>
      </w:r>
      <w:r w:rsidRPr="002664C8">
        <w:rPr>
          <w:sz w:val="16"/>
        </w:rPr>
        <w:t>[1984] 2 WLR 802</w:t>
      </w:r>
    </w:p>
  </w:footnote>
  <w:footnote w:id="56">
    <w:p w:rsidR="00E41DB7" w:rsidRDefault="00E41DB7" w:rsidP="00DE5096">
      <w:pPr>
        <w:pStyle w:val="FootnoteText"/>
      </w:pPr>
      <w:r>
        <w:rPr>
          <w:rStyle w:val="FootnoteReference"/>
        </w:rPr>
        <w:t>55</w:t>
      </w:r>
      <w:r>
        <w:t xml:space="preserve"> </w:t>
      </w:r>
      <w:r w:rsidRPr="00DE5096">
        <w:rPr>
          <w:sz w:val="16"/>
        </w:rPr>
        <w:t>Winterwerp v. the Netherlands (1979) 2 EHRR 387, para. 55</w:t>
      </w:r>
    </w:p>
  </w:footnote>
  <w:footnote w:id="57">
    <w:p w:rsidR="00E41DB7" w:rsidRDefault="00E41DB7">
      <w:pPr>
        <w:pStyle w:val="FootnoteText"/>
      </w:pPr>
      <w:r>
        <w:rPr>
          <w:rStyle w:val="FootnoteReference"/>
        </w:rPr>
        <w:t>56</w:t>
      </w:r>
      <w:r w:rsidRPr="00DE5096">
        <w:rPr>
          <w:sz w:val="16"/>
        </w:rPr>
        <w:t xml:space="preserve"> See footnote 16 (supra)</w:t>
      </w:r>
    </w:p>
  </w:footnote>
  <w:footnote w:id="58">
    <w:p w:rsidR="00E41DB7" w:rsidRPr="00DE5096" w:rsidRDefault="00E41DB7" w:rsidP="00DE5096">
      <w:pPr>
        <w:pStyle w:val="FootnoteText"/>
        <w:rPr>
          <w:sz w:val="16"/>
        </w:rPr>
      </w:pPr>
      <w:r>
        <w:rPr>
          <w:rStyle w:val="FootnoteReference"/>
        </w:rPr>
        <w:t>57</w:t>
      </w:r>
      <w:r>
        <w:t xml:space="preserve"> </w:t>
      </w:r>
      <w:r w:rsidRPr="00DE5096">
        <w:rPr>
          <w:sz w:val="16"/>
        </w:rPr>
        <w:t>The Secretary of State do</w:t>
      </w:r>
      <w:r>
        <w:rPr>
          <w:sz w:val="16"/>
        </w:rPr>
        <w:t xml:space="preserve">es have a policy of designating </w:t>
      </w:r>
      <w:r w:rsidRPr="00DE5096">
        <w:rPr>
          <w:sz w:val="16"/>
        </w:rPr>
        <w:t>certain transferred pris</w:t>
      </w:r>
      <w:r>
        <w:rPr>
          <w:sz w:val="16"/>
        </w:rPr>
        <w:t xml:space="preserve">oners as ‘technical lifers’, by </w:t>
      </w:r>
      <w:r w:rsidRPr="00DE5096">
        <w:rPr>
          <w:sz w:val="16"/>
        </w:rPr>
        <w:t>which he effectively pr</w:t>
      </w:r>
      <w:r>
        <w:rPr>
          <w:sz w:val="16"/>
        </w:rPr>
        <w:t xml:space="preserve">omises not to remit the patient </w:t>
      </w:r>
      <w:r w:rsidRPr="00DE5096">
        <w:rPr>
          <w:sz w:val="16"/>
        </w:rPr>
        <w:t>back to prison in th</w:t>
      </w:r>
      <w:r>
        <w:rPr>
          <w:sz w:val="16"/>
        </w:rPr>
        <w:t xml:space="preserve">e event of a recommendation for </w:t>
      </w:r>
      <w:r w:rsidRPr="00DE5096">
        <w:rPr>
          <w:sz w:val="16"/>
        </w:rPr>
        <w:t>discharge by the Tr</w:t>
      </w:r>
      <w:r>
        <w:rPr>
          <w:sz w:val="16"/>
        </w:rPr>
        <w:t xml:space="preserve">ibunal: R v Home Secretary ex </w:t>
      </w:r>
      <w:r w:rsidRPr="00DE5096">
        <w:rPr>
          <w:sz w:val="16"/>
        </w:rPr>
        <w:t>Pilditch [1994] C</w:t>
      </w:r>
      <w:r>
        <w:rPr>
          <w:sz w:val="16"/>
        </w:rPr>
        <w:t xml:space="preserve">OD 352. This does not, however, </w:t>
      </w:r>
      <w:r w:rsidRPr="00DE5096">
        <w:rPr>
          <w:sz w:val="16"/>
        </w:rPr>
        <w:t xml:space="preserve">include discretionary lifers who have served the </w:t>
      </w:r>
      <w:r>
        <w:rPr>
          <w:sz w:val="16"/>
        </w:rPr>
        <w:t xml:space="preserve">tariff </w:t>
      </w:r>
      <w:r w:rsidRPr="00DE5096">
        <w:rPr>
          <w:sz w:val="16"/>
        </w:rPr>
        <w:t>component of their sentences.</w:t>
      </w:r>
    </w:p>
  </w:footnote>
  <w:footnote w:id="59">
    <w:p w:rsidR="00E41DB7" w:rsidRPr="008735DE" w:rsidRDefault="00E41DB7" w:rsidP="008735DE">
      <w:pPr>
        <w:pStyle w:val="FootnoteText"/>
        <w:rPr>
          <w:sz w:val="16"/>
        </w:rPr>
      </w:pPr>
      <w:r>
        <w:rPr>
          <w:rStyle w:val="FootnoteReference"/>
        </w:rPr>
        <w:t>58</w:t>
      </w:r>
      <w:r>
        <w:t xml:space="preserve"> </w:t>
      </w:r>
      <w:r w:rsidRPr="008735DE">
        <w:rPr>
          <w:sz w:val="16"/>
        </w:rPr>
        <w:t>Except those patients</w:t>
      </w:r>
      <w:r>
        <w:rPr>
          <w:sz w:val="16"/>
        </w:rPr>
        <w:t xml:space="preserve"> who are designated by the Home </w:t>
      </w:r>
      <w:r w:rsidRPr="008735DE">
        <w:rPr>
          <w:sz w:val="16"/>
        </w:rPr>
        <w:t>Secretary as ‘Tech</w:t>
      </w:r>
      <w:r>
        <w:rPr>
          <w:sz w:val="16"/>
        </w:rPr>
        <w:t xml:space="preserve">nical Lifers’ (whereby the Home </w:t>
      </w:r>
      <w:r w:rsidRPr="008735DE">
        <w:rPr>
          <w:sz w:val="16"/>
        </w:rPr>
        <w:t>Secretary undertakes to ab</w:t>
      </w:r>
      <w:r>
        <w:rPr>
          <w:sz w:val="16"/>
        </w:rPr>
        <w:t xml:space="preserve">ide by a Tribunal’s decision on </w:t>
      </w:r>
      <w:r w:rsidRPr="008735DE">
        <w:rPr>
          <w:sz w:val="16"/>
        </w:rPr>
        <w:t>discharge)</w:t>
      </w:r>
    </w:p>
  </w:footnote>
  <w:footnote w:id="60">
    <w:p w:rsidR="00E41DB7" w:rsidRDefault="00E41DB7">
      <w:pPr>
        <w:pStyle w:val="FootnoteText"/>
      </w:pPr>
      <w:r>
        <w:rPr>
          <w:rStyle w:val="FootnoteReference"/>
        </w:rPr>
        <w:t>59</w:t>
      </w:r>
      <w:r>
        <w:t xml:space="preserve"> </w:t>
      </w:r>
      <w:r w:rsidRPr="00DE2159">
        <w:rPr>
          <w:sz w:val="16"/>
        </w:rPr>
        <w:t>[1995] QB 43, CA.</w:t>
      </w:r>
    </w:p>
  </w:footnote>
  <w:footnote w:id="61">
    <w:p w:rsidR="00E41DB7" w:rsidRPr="00C2406A" w:rsidRDefault="00E41DB7" w:rsidP="00C2406A">
      <w:pPr>
        <w:pStyle w:val="FootnoteText"/>
        <w:rPr>
          <w:sz w:val="16"/>
        </w:rPr>
      </w:pPr>
      <w:r>
        <w:rPr>
          <w:rStyle w:val="FootnoteReference"/>
        </w:rPr>
        <w:t>60</w:t>
      </w:r>
      <w:r>
        <w:t xml:space="preserve"> </w:t>
      </w:r>
      <w:r w:rsidRPr="00C2406A">
        <w:rPr>
          <w:sz w:val="16"/>
        </w:rPr>
        <w:t>(1990) 13 EHRR 666</w:t>
      </w:r>
      <w:r>
        <w:rPr>
          <w:sz w:val="16"/>
        </w:rPr>
        <w:t xml:space="preserve">. The same principle applies to </w:t>
      </w:r>
      <w:r w:rsidRPr="00C2406A">
        <w:rPr>
          <w:sz w:val="16"/>
        </w:rPr>
        <w:t>youths sentence</w:t>
      </w:r>
      <w:r>
        <w:rPr>
          <w:sz w:val="16"/>
        </w:rPr>
        <w:t xml:space="preserve">d to Custody for Life and at HM </w:t>
      </w:r>
      <w:r w:rsidRPr="00C2406A">
        <w:rPr>
          <w:sz w:val="16"/>
        </w:rPr>
        <w:t xml:space="preserve">Pleasure: Hussain </w:t>
      </w:r>
      <w:r>
        <w:rPr>
          <w:sz w:val="16"/>
        </w:rPr>
        <w:t xml:space="preserve">v United Kingdom (1996) 22 EHRR </w:t>
      </w:r>
      <w:r w:rsidRPr="00C2406A">
        <w:rPr>
          <w:sz w:val="16"/>
        </w:rPr>
        <w:t xml:space="preserve">1; T &amp; V </w:t>
      </w:r>
      <w:proofErr w:type="spellStart"/>
      <w:r w:rsidRPr="00C2406A">
        <w:rPr>
          <w:sz w:val="16"/>
        </w:rPr>
        <w:t>v</w:t>
      </w:r>
      <w:proofErr w:type="spellEnd"/>
      <w:r w:rsidRPr="00C2406A">
        <w:rPr>
          <w:sz w:val="16"/>
        </w:rPr>
        <w:t xml:space="preserve"> United Kingdom App. No. 24724/94</w:t>
      </w:r>
    </w:p>
  </w:footnote>
  <w:footnote w:id="62">
    <w:p w:rsidR="00E41DB7" w:rsidRPr="00C2406A" w:rsidRDefault="00E41DB7" w:rsidP="00C2406A">
      <w:pPr>
        <w:pStyle w:val="FootnoteText"/>
        <w:rPr>
          <w:sz w:val="16"/>
        </w:rPr>
      </w:pPr>
      <w:r>
        <w:rPr>
          <w:rStyle w:val="FootnoteReference"/>
        </w:rPr>
        <w:t>61</w:t>
      </w:r>
      <w:r>
        <w:t xml:space="preserve"> </w:t>
      </w:r>
      <w:r w:rsidRPr="00C2406A">
        <w:rPr>
          <w:sz w:val="16"/>
        </w:rPr>
        <w:t>App. No. 2821</w:t>
      </w:r>
      <w:r>
        <w:rPr>
          <w:sz w:val="16"/>
        </w:rPr>
        <w:t xml:space="preserve">2/95 Benjamin &amp; Wilson v United </w:t>
      </w:r>
      <w:r w:rsidRPr="00C2406A">
        <w:rPr>
          <w:sz w:val="16"/>
        </w:rPr>
        <w:t>Kingdom, Admissibility decision 27 October 1997</w:t>
      </w:r>
    </w:p>
  </w:footnote>
  <w:footnote w:id="63">
    <w:p w:rsidR="00E41DB7" w:rsidRDefault="00E41DB7" w:rsidP="00C2406A">
      <w:pPr>
        <w:pStyle w:val="FootnoteText"/>
      </w:pPr>
      <w:r>
        <w:rPr>
          <w:rStyle w:val="FootnoteReference"/>
        </w:rPr>
        <w:t>62</w:t>
      </w:r>
      <w:r>
        <w:t xml:space="preserve"> </w:t>
      </w:r>
      <w:r w:rsidRPr="00C2406A">
        <w:rPr>
          <w:sz w:val="16"/>
        </w:rPr>
        <w:t>Wynne v United Kingdom (1995) 19 EHRR 333, ECHR</w:t>
      </w:r>
    </w:p>
  </w:footnote>
  <w:footnote w:id="64">
    <w:p w:rsidR="00E41DB7" w:rsidRDefault="00E41DB7" w:rsidP="00C0735F">
      <w:pPr>
        <w:pStyle w:val="FootnoteText"/>
      </w:pPr>
      <w:r>
        <w:rPr>
          <w:rStyle w:val="FootnoteReference"/>
        </w:rPr>
        <w:t>63</w:t>
      </w:r>
      <w:r>
        <w:t xml:space="preserve"> </w:t>
      </w:r>
      <w:r w:rsidRPr="00C0735F">
        <w:rPr>
          <w:sz w:val="16"/>
        </w:rPr>
        <w:t>Weeks v United Kingdom (1987) 10 EHRR 293, ECHR</w:t>
      </w:r>
    </w:p>
  </w:footnote>
  <w:footnote w:id="65">
    <w:p w:rsidR="00E41DB7" w:rsidRPr="00C0735F" w:rsidRDefault="00E41DB7">
      <w:pPr>
        <w:pStyle w:val="FootnoteText"/>
        <w:rPr>
          <w:sz w:val="16"/>
        </w:rPr>
      </w:pPr>
      <w:r>
        <w:rPr>
          <w:rStyle w:val="FootnoteReference"/>
        </w:rPr>
        <w:t>64</w:t>
      </w:r>
      <w:r>
        <w:t xml:space="preserve"> </w:t>
      </w:r>
      <w:r w:rsidRPr="00C0735F">
        <w:rPr>
          <w:sz w:val="16"/>
        </w:rPr>
        <w:t>Van Droogenbroeck v Netherlands (1982) 4 EHRR 443</w:t>
      </w:r>
    </w:p>
  </w:footnote>
  <w:footnote w:id="66">
    <w:p w:rsidR="00E41DB7" w:rsidRPr="00C0735F" w:rsidRDefault="00E41DB7">
      <w:pPr>
        <w:pStyle w:val="FootnoteText"/>
        <w:rPr>
          <w:sz w:val="16"/>
        </w:rPr>
      </w:pPr>
      <w:r w:rsidRPr="00C0735F">
        <w:rPr>
          <w:rStyle w:val="FootnoteReference"/>
        </w:rPr>
        <w:t>65</w:t>
      </w:r>
      <w:r w:rsidRPr="00C0735F">
        <w:t xml:space="preserve"> </w:t>
      </w:r>
      <w:r w:rsidRPr="00C0735F">
        <w:rPr>
          <w:sz w:val="16"/>
        </w:rPr>
        <w:t>Weeks, ibid</w:t>
      </w:r>
    </w:p>
  </w:footnote>
  <w:footnote w:id="67">
    <w:p w:rsidR="00E41DB7" w:rsidRDefault="00E41DB7" w:rsidP="00C0735F">
      <w:pPr>
        <w:pStyle w:val="FootnoteText"/>
      </w:pPr>
      <w:r>
        <w:rPr>
          <w:rStyle w:val="FootnoteReference"/>
        </w:rPr>
        <w:t>66</w:t>
      </w:r>
      <w:r>
        <w:t xml:space="preserve"> </w:t>
      </w:r>
      <w:r w:rsidRPr="00C0735F">
        <w:rPr>
          <w:sz w:val="16"/>
        </w:rPr>
        <w:t>De Wilde, Ooms &amp; Versyp v Belgium (1971) 1 EHRR 373</w:t>
      </w:r>
    </w:p>
  </w:footnote>
  <w:footnote w:id="68">
    <w:p w:rsidR="00E41DB7" w:rsidRPr="001D5E71" w:rsidRDefault="00E41DB7" w:rsidP="001D5E71">
      <w:pPr>
        <w:pStyle w:val="FootnoteText"/>
        <w:rPr>
          <w:sz w:val="16"/>
        </w:rPr>
      </w:pPr>
      <w:r>
        <w:rPr>
          <w:rStyle w:val="FootnoteReference"/>
        </w:rPr>
        <w:t>67</w:t>
      </w:r>
      <w:r>
        <w:t xml:space="preserve"> </w:t>
      </w:r>
      <w:r w:rsidRPr="001D5E71">
        <w:rPr>
          <w:sz w:val="16"/>
        </w:rPr>
        <w:t>Winterwerp v. the</w:t>
      </w:r>
      <w:r>
        <w:rPr>
          <w:sz w:val="16"/>
        </w:rPr>
        <w:t xml:space="preserve"> Netherlands (1979) 2 EHRR 387, </w:t>
      </w:r>
      <w:r w:rsidRPr="001D5E71">
        <w:rPr>
          <w:sz w:val="16"/>
        </w:rPr>
        <w:t>para. 51; see a</w:t>
      </w:r>
      <w:r>
        <w:rPr>
          <w:sz w:val="16"/>
        </w:rPr>
        <w:t xml:space="preserve">lso Ashingdane v United Kingdom </w:t>
      </w:r>
      <w:r w:rsidRPr="001D5E71">
        <w:rPr>
          <w:sz w:val="16"/>
        </w:rPr>
        <w:t>(1985) 7 E.H.R.R. 528, §44</w:t>
      </w:r>
    </w:p>
  </w:footnote>
  <w:footnote w:id="69">
    <w:p w:rsidR="00E41DB7" w:rsidRDefault="00E41DB7">
      <w:pPr>
        <w:pStyle w:val="FootnoteText"/>
      </w:pPr>
      <w:r>
        <w:rPr>
          <w:rStyle w:val="FootnoteReference"/>
        </w:rPr>
        <w:t>68</w:t>
      </w:r>
      <w:r>
        <w:t xml:space="preserve"> </w:t>
      </w:r>
      <w:r w:rsidRPr="001D5E71">
        <w:rPr>
          <w:sz w:val="16"/>
        </w:rPr>
        <w:t>Aerts v Belgium (2000) 29 E.H.R.R. 50</w:t>
      </w:r>
    </w:p>
  </w:footnote>
  <w:footnote w:id="70">
    <w:p w:rsidR="00E41DB7" w:rsidRDefault="00E41DB7">
      <w:pPr>
        <w:pStyle w:val="FootnoteText"/>
      </w:pPr>
      <w:r>
        <w:rPr>
          <w:rStyle w:val="FootnoteReference"/>
        </w:rPr>
        <w:t>69</w:t>
      </w:r>
      <w:r>
        <w:t xml:space="preserve"> </w:t>
      </w:r>
      <w:r w:rsidRPr="001D5E71">
        <w:rPr>
          <w:sz w:val="16"/>
        </w:rPr>
        <w:t>B v United Kingdom (1984) 6 EHRR 204</w:t>
      </w:r>
    </w:p>
  </w:footnote>
  <w:footnote w:id="71">
    <w:p w:rsidR="00E41DB7" w:rsidRDefault="00E41DB7">
      <w:pPr>
        <w:pStyle w:val="FootnoteText"/>
      </w:pPr>
      <w:r>
        <w:rPr>
          <w:rStyle w:val="FootnoteReference"/>
        </w:rPr>
        <w:t>70</w:t>
      </w:r>
      <w:r>
        <w:t xml:space="preserve"> </w:t>
      </w:r>
      <w:r w:rsidRPr="001D5E71">
        <w:rPr>
          <w:sz w:val="16"/>
        </w:rPr>
        <w:t>[1999] 2 WLR 28</w:t>
      </w:r>
    </w:p>
  </w:footnote>
  <w:footnote w:id="72">
    <w:p w:rsidR="00E41DB7" w:rsidRDefault="00E41DB7">
      <w:pPr>
        <w:pStyle w:val="FootnoteText"/>
      </w:pPr>
      <w:r>
        <w:rPr>
          <w:rStyle w:val="FootnoteReference"/>
        </w:rPr>
        <w:t>71</w:t>
      </w:r>
      <w:r>
        <w:t xml:space="preserve"> </w:t>
      </w:r>
      <w:r w:rsidRPr="001D5E71">
        <w:rPr>
          <w:sz w:val="16"/>
        </w:rPr>
        <w:t>Times, 21 June 2000</w:t>
      </w:r>
    </w:p>
  </w:footnote>
  <w:footnote w:id="73">
    <w:p w:rsidR="00E41DB7" w:rsidRDefault="00E41DB7">
      <w:pPr>
        <w:pStyle w:val="FootnoteText"/>
      </w:pPr>
      <w:r>
        <w:rPr>
          <w:rStyle w:val="FootnoteReference"/>
        </w:rPr>
        <w:t>72</w:t>
      </w:r>
      <w:r>
        <w:t xml:space="preserve"> </w:t>
      </w:r>
      <w:r w:rsidRPr="005A722D">
        <w:rPr>
          <w:sz w:val="16"/>
        </w:rPr>
        <w:t>Winterwerp, ibid, §37</w:t>
      </w:r>
    </w:p>
  </w:footnote>
  <w:footnote w:id="74">
    <w:p w:rsidR="00E41DB7" w:rsidRPr="005A722D" w:rsidRDefault="00E41DB7" w:rsidP="005A722D">
      <w:pPr>
        <w:pStyle w:val="FootnoteText"/>
        <w:rPr>
          <w:sz w:val="16"/>
        </w:rPr>
      </w:pPr>
      <w:r>
        <w:rPr>
          <w:rStyle w:val="FootnoteReference"/>
        </w:rPr>
        <w:t>73</w:t>
      </w:r>
      <w:r>
        <w:t xml:space="preserve"> </w:t>
      </w:r>
      <w:r w:rsidRPr="005A722D">
        <w:rPr>
          <w:sz w:val="16"/>
        </w:rPr>
        <w:t>Report of the Royal Co</w:t>
      </w:r>
      <w:r>
        <w:rPr>
          <w:sz w:val="16"/>
        </w:rPr>
        <w:t xml:space="preserve">mmission on the Law relating to </w:t>
      </w:r>
      <w:r w:rsidRPr="005A722D">
        <w:rPr>
          <w:sz w:val="16"/>
        </w:rPr>
        <w:t>Mental Illnes</w:t>
      </w:r>
      <w:r>
        <w:rPr>
          <w:sz w:val="16"/>
        </w:rPr>
        <w:t xml:space="preserve">s and Mental Deficiency (‘Percy </w:t>
      </w:r>
      <w:r w:rsidRPr="005A722D">
        <w:rPr>
          <w:sz w:val="16"/>
        </w:rPr>
        <w:t>Commission’), HMSO, 1957, Cmnd 169</w:t>
      </w:r>
    </w:p>
  </w:footnote>
  <w:footnote w:id="75">
    <w:p w:rsidR="00E41DB7" w:rsidRPr="00922E4F" w:rsidRDefault="00E41DB7" w:rsidP="00922E4F">
      <w:pPr>
        <w:pStyle w:val="FootnoteText"/>
        <w:rPr>
          <w:sz w:val="16"/>
        </w:rPr>
      </w:pPr>
      <w:r>
        <w:rPr>
          <w:rStyle w:val="FootnoteReference"/>
        </w:rPr>
        <w:t>74</w:t>
      </w:r>
      <w:r>
        <w:t xml:space="preserve"> </w:t>
      </w:r>
      <w:r w:rsidRPr="00922E4F">
        <w:rPr>
          <w:sz w:val="16"/>
        </w:rPr>
        <w:t>This is a different questi</w:t>
      </w:r>
      <w:r>
        <w:rPr>
          <w:sz w:val="16"/>
        </w:rPr>
        <w:t xml:space="preserve">on from that faced by the House </w:t>
      </w:r>
      <w:r w:rsidRPr="00922E4F">
        <w:rPr>
          <w:sz w:val="16"/>
        </w:rPr>
        <w:t>of Lords in Reid v Scotland [1999] 2 WLR 28</w:t>
      </w:r>
    </w:p>
  </w:footnote>
  <w:footnote w:id="76">
    <w:p w:rsidR="00E41DB7" w:rsidRPr="00922E4F" w:rsidRDefault="00E41DB7" w:rsidP="00922E4F">
      <w:pPr>
        <w:pStyle w:val="FootnoteText"/>
        <w:rPr>
          <w:sz w:val="16"/>
        </w:rPr>
      </w:pPr>
      <w:r>
        <w:rPr>
          <w:rStyle w:val="FootnoteReference"/>
        </w:rPr>
        <w:t>75</w:t>
      </w:r>
      <w:r>
        <w:t xml:space="preserve"> </w:t>
      </w:r>
      <w:r w:rsidRPr="00922E4F">
        <w:rPr>
          <w:sz w:val="16"/>
        </w:rPr>
        <w:t xml:space="preserve">Evidence of </w:t>
      </w:r>
      <w:proofErr w:type="spellStart"/>
      <w:r w:rsidRPr="00922E4F">
        <w:rPr>
          <w:sz w:val="16"/>
        </w:rPr>
        <w:t>Dr.</w:t>
      </w:r>
      <w:proofErr w:type="spellEnd"/>
      <w:r w:rsidRPr="00922E4F">
        <w:rPr>
          <w:sz w:val="16"/>
        </w:rPr>
        <w:t xml:space="preserve"> Reed t</w:t>
      </w:r>
      <w:r>
        <w:rPr>
          <w:sz w:val="16"/>
        </w:rPr>
        <w:t xml:space="preserve">o the Fallon Enquiry Report, Cm </w:t>
      </w:r>
      <w:r w:rsidRPr="00922E4F">
        <w:rPr>
          <w:sz w:val="16"/>
        </w:rPr>
        <w:t>4194-II, §6.1.75</w:t>
      </w:r>
    </w:p>
  </w:footnote>
  <w:footnote w:id="77">
    <w:p w:rsidR="00E41DB7" w:rsidRPr="00922E4F" w:rsidRDefault="00E41DB7" w:rsidP="00922E4F">
      <w:pPr>
        <w:pStyle w:val="FootnoteText"/>
        <w:rPr>
          <w:sz w:val="16"/>
        </w:rPr>
      </w:pPr>
      <w:r>
        <w:rPr>
          <w:rStyle w:val="FootnoteReference"/>
        </w:rPr>
        <w:t>76</w:t>
      </w:r>
      <w:r w:rsidRPr="00922E4F">
        <w:rPr>
          <w:sz w:val="16"/>
        </w:rPr>
        <w:t xml:space="preserve"> The principle of reciprocity: ‘Where society imposes on</w:t>
      </w:r>
      <w:r>
        <w:rPr>
          <w:sz w:val="16"/>
        </w:rPr>
        <w:t xml:space="preserve"> </w:t>
      </w:r>
      <w:r w:rsidRPr="00922E4F">
        <w:rPr>
          <w:sz w:val="16"/>
        </w:rPr>
        <w:t>an individual to compl</w:t>
      </w:r>
      <w:r>
        <w:rPr>
          <w:sz w:val="16"/>
        </w:rPr>
        <w:t xml:space="preserve">y with a programme of treatment </w:t>
      </w:r>
      <w:r w:rsidRPr="00922E4F">
        <w:rPr>
          <w:sz w:val="16"/>
        </w:rPr>
        <w:t>and care it should impo</w:t>
      </w:r>
      <w:r>
        <w:rPr>
          <w:sz w:val="16"/>
        </w:rPr>
        <w:t xml:space="preserve">se a parallel obligation on the </w:t>
      </w:r>
      <w:r w:rsidRPr="00922E4F">
        <w:rPr>
          <w:sz w:val="16"/>
        </w:rPr>
        <w:t>health and social care aut</w:t>
      </w:r>
      <w:r>
        <w:rPr>
          <w:sz w:val="16"/>
        </w:rPr>
        <w:t xml:space="preserve">horities to provide appropriate </w:t>
      </w:r>
      <w:r w:rsidRPr="00922E4F">
        <w:rPr>
          <w:sz w:val="16"/>
        </w:rPr>
        <w:t>services, including o</w:t>
      </w:r>
      <w:r>
        <w:rPr>
          <w:sz w:val="16"/>
        </w:rPr>
        <w:t xml:space="preserve">ngoing care following discharge </w:t>
      </w:r>
      <w:r w:rsidRPr="00922E4F">
        <w:rPr>
          <w:sz w:val="16"/>
        </w:rPr>
        <w:t>from compulsion.’</w:t>
      </w:r>
    </w:p>
  </w:footnote>
  <w:footnote w:id="78">
    <w:p w:rsidR="00E41DB7" w:rsidRPr="004C6331" w:rsidRDefault="00E41DB7" w:rsidP="004C6331">
      <w:pPr>
        <w:pStyle w:val="FootnoteText"/>
        <w:rPr>
          <w:sz w:val="16"/>
        </w:rPr>
      </w:pPr>
      <w:r>
        <w:rPr>
          <w:rStyle w:val="FootnoteReference"/>
        </w:rPr>
        <w:t>77</w:t>
      </w:r>
      <w:r>
        <w:t xml:space="preserve"> </w:t>
      </w:r>
      <w:r w:rsidRPr="004C6331">
        <w:rPr>
          <w:sz w:val="16"/>
        </w:rPr>
        <w:t xml:space="preserve">Lawrence </w:t>
      </w:r>
      <w:proofErr w:type="spellStart"/>
      <w:r w:rsidRPr="004C6331">
        <w:rPr>
          <w:sz w:val="16"/>
        </w:rPr>
        <w:t>Gost</w:t>
      </w:r>
      <w:r>
        <w:rPr>
          <w:sz w:val="16"/>
        </w:rPr>
        <w:t>in</w:t>
      </w:r>
      <w:proofErr w:type="spellEnd"/>
      <w:r>
        <w:rPr>
          <w:sz w:val="16"/>
        </w:rPr>
        <w:t xml:space="preserve"> and Jonathon Mann ,‘Health &amp; </w:t>
      </w:r>
      <w:r w:rsidRPr="004C6331">
        <w:rPr>
          <w:sz w:val="16"/>
        </w:rPr>
        <w:t>Human Rights’, Ro</w:t>
      </w:r>
      <w:r>
        <w:rPr>
          <w:sz w:val="16"/>
        </w:rPr>
        <w:t xml:space="preserve">utledge, 1999, p. 54… the human </w:t>
      </w:r>
      <w:r w:rsidRPr="004C6331">
        <w:rPr>
          <w:sz w:val="16"/>
        </w:rPr>
        <w:t>rights community has rarely w</w:t>
      </w:r>
      <w:r>
        <w:rPr>
          <w:sz w:val="16"/>
        </w:rPr>
        <w:t xml:space="preserve">ritten or litigated in the area </w:t>
      </w:r>
      <w:r w:rsidRPr="004C6331">
        <w:rPr>
          <w:sz w:val="16"/>
        </w:rPr>
        <w:t>of public health. Eve</w:t>
      </w:r>
      <w:r>
        <w:rPr>
          <w:sz w:val="16"/>
        </w:rPr>
        <w:t xml:space="preserve">n so fundamental a human rights </w:t>
      </w:r>
      <w:r w:rsidRPr="004C6331">
        <w:rPr>
          <w:sz w:val="16"/>
        </w:rPr>
        <w:t>concept as the right to he</w:t>
      </w:r>
      <w:r>
        <w:rPr>
          <w:sz w:val="16"/>
        </w:rPr>
        <w:t xml:space="preserve">alth has not been operationally </w:t>
      </w:r>
      <w:r w:rsidRPr="004C6331">
        <w:rPr>
          <w:sz w:val="16"/>
        </w:rPr>
        <w:t>defined, and no organized body of jurisp</w:t>
      </w:r>
      <w:r>
        <w:rPr>
          <w:sz w:val="16"/>
        </w:rPr>
        <w:t xml:space="preserve">rudence exists to </w:t>
      </w:r>
      <w:r w:rsidRPr="004C6331">
        <w:rPr>
          <w:sz w:val="16"/>
        </w:rPr>
        <w:t>describe the parameters of that right.’</w:t>
      </w:r>
    </w:p>
  </w:footnote>
  <w:footnote w:id="79">
    <w:p w:rsidR="00E41DB7" w:rsidRDefault="00E41DB7">
      <w:pPr>
        <w:pStyle w:val="FootnoteText"/>
      </w:pPr>
      <w:r>
        <w:rPr>
          <w:rStyle w:val="FootnoteReference"/>
        </w:rPr>
        <w:t>78</w:t>
      </w:r>
      <w:r>
        <w:t xml:space="preserve"> </w:t>
      </w:r>
      <w:r w:rsidRPr="004C6331">
        <w:rPr>
          <w:sz w:val="16"/>
        </w:rPr>
        <w:t>D v United Kingdom (1997) 24 EHRR 423</w:t>
      </w:r>
    </w:p>
  </w:footnote>
  <w:footnote w:id="80">
    <w:p w:rsidR="00E41DB7" w:rsidRPr="004C6331" w:rsidRDefault="00E41DB7" w:rsidP="004C6331">
      <w:pPr>
        <w:pStyle w:val="FootnoteText"/>
        <w:rPr>
          <w:sz w:val="16"/>
        </w:rPr>
      </w:pPr>
      <w:r>
        <w:rPr>
          <w:rStyle w:val="FootnoteReference"/>
        </w:rPr>
        <w:t>79</w:t>
      </w:r>
      <w:r>
        <w:t xml:space="preserve"> </w:t>
      </w:r>
      <w:r w:rsidRPr="004C6331">
        <w:rPr>
          <w:sz w:val="16"/>
        </w:rPr>
        <w:t xml:space="preserve">Keenan v UK, </w:t>
      </w:r>
      <w:r>
        <w:rPr>
          <w:sz w:val="16"/>
        </w:rPr>
        <w:t xml:space="preserve">App. 27229/95, ECssnHR Report 6 </w:t>
      </w:r>
      <w:r w:rsidRPr="004C6331">
        <w:rPr>
          <w:sz w:val="16"/>
        </w:rPr>
        <w:t>September 1999</w:t>
      </w:r>
      <w:r>
        <w:rPr>
          <w:sz w:val="16"/>
        </w:rPr>
        <w:t xml:space="preserve">; Hughes v UK (1986) 48 DR 258, </w:t>
      </w:r>
      <w:r w:rsidRPr="004C6331">
        <w:rPr>
          <w:sz w:val="16"/>
        </w:rPr>
        <w:t>ECssnHR</w:t>
      </w:r>
    </w:p>
  </w:footnote>
  <w:footnote w:id="81">
    <w:p w:rsidR="00E41DB7" w:rsidRDefault="00E41DB7" w:rsidP="004C6331">
      <w:pPr>
        <w:pStyle w:val="FootnoteText"/>
      </w:pPr>
      <w:r>
        <w:rPr>
          <w:rStyle w:val="FootnoteReference"/>
        </w:rPr>
        <w:t>80</w:t>
      </w:r>
      <w:r>
        <w:t xml:space="preserve"> </w:t>
      </w:r>
      <w:r w:rsidRPr="004C6331">
        <w:rPr>
          <w:sz w:val="16"/>
        </w:rPr>
        <w:t>Cyprus v Turkey 4 EHRR 482, EcssnHR Report 10 July 1976</w:t>
      </w:r>
    </w:p>
  </w:footnote>
  <w:footnote w:id="82">
    <w:p w:rsidR="00E41DB7" w:rsidRDefault="00E41DB7">
      <w:pPr>
        <w:pStyle w:val="FootnoteText"/>
      </w:pPr>
      <w:r>
        <w:rPr>
          <w:rStyle w:val="FootnoteReference"/>
        </w:rPr>
        <w:t>81</w:t>
      </w:r>
      <w:r>
        <w:t xml:space="preserve"> </w:t>
      </w:r>
      <w:r w:rsidRPr="00BF2A77">
        <w:rPr>
          <w:sz w:val="16"/>
        </w:rPr>
        <w:t>(1984) 6 EHRR 204</w:t>
      </w:r>
    </w:p>
  </w:footnote>
  <w:footnote w:id="83">
    <w:p w:rsidR="00E41DB7" w:rsidRDefault="00E41DB7" w:rsidP="00BF2A77">
      <w:pPr>
        <w:pStyle w:val="FootnoteText"/>
      </w:pPr>
      <w:r>
        <w:rPr>
          <w:rStyle w:val="FootnoteReference"/>
        </w:rPr>
        <w:t>82</w:t>
      </w:r>
      <w:r>
        <w:t xml:space="preserve"> </w:t>
      </w:r>
      <w:r w:rsidRPr="00BF2A77">
        <w:rPr>
          <w:sz w:val="16"/>
        </w:rPr>
        <w:t>Soobramoney v Minister of Health, KwaZulu-Natal (1997) 50 BMLR 224</w:t>
      </w:r>
    </w:p>
  </w:footnote>
  <w:footnote w:id="84">
    <w:p w:rsidR="00E41DB7" w:rsidRDefault="00E41DB7">
      <w:pPr>
        <w:pStyle w:val="FootnoteText"/>
      </w:pPr>
      <w:r>
        <w:rPr>
          <w:rStyle w:val="FootnoteReference"/>
        </w:rPr>
        <w:t>83</w:t>
      </w:r>
      <w:r>
        <w:t xml:space="preserve"> </w:t>
      </w:r>
      <w:r w:rsidRPr="00BF2A77">
        <w:rPr>
          <w:sz w:val="16"/>
        </w:rPr>
        <w:t>[1995] 1 WLR 898</w:t>
      </w:r>
    </w:p>
  </w:footnote>
  <w:footnote w:id="85">
    <w:p w:rsidR="00E41DB7" w:rsidRPr="00BF2A77" w:rsidRDefault="00E41DB7" w:rsidP="00BF2A77">
      <w:pPr>
        <w:pStyle w:val="FootnoteText"/>
        <w:rPr>
          <w:sz w:val="16"/>
        </w:rPr>
      </w:pPr>
      <w:r>
        <w:rPr>
          <w:rStyle w:val="FootnoteReference"/>
        </w:rPr>
        <w:t>84</w:t>
      </w:r>
      <w:r w:rsidRPr="00BF2A77">
        <w:rPr>
          <w:sz w:val="16"/>
        </w:rPr>
        <w:t xml:space="preserve"> [1995] 1 W.L.R. 89</w:t>
      </w:r>
      <w:r>
        <w:rPr>
          <w:sz w:val="16"/>
        </w:rPr>
        <w:t xml:space="preserve">8 (judicial review refused of a </w:t>
      </w:r>
      <w:r w:rsidRPr="00BF2A77">
        <w:rPr>
          <w:sz w:val="16"/>
        </w:rPr>
        <w:t>Health Authority</w:t>
      </w:r>
      <w:r>
        <w:rPr>
          <w:sz w:val="16"/>
        </w:rPr>
        <w:t xml:space="preserve">’s refusal to provide expensive </w:t>
      </w:r>
      <w:r w:rsidRPr="00BF2A77">
        <w:rPr>
          <w:sz w:val="16"/>
        </w:rPr>
        <w:t>treatment that ha</w:t>
      </w:r>
      <w:r>
        <w:rPr>
          <w:sz w:val="16"/>
        </w:rPr>
        <w:t xml:space="preserve">d little prospect of saving the </w:t>
      </w:r>
      <w:r w:rsidRPr="00BF2A77">
        <w:rPr>
          <w:sz w:val="16"/>
        </w:rPr>
        <w:t>applicant’s life)</w:t>
      </w:r>
    </w:p>
  </w:footnote>
  <w:footnote w:id="86">
    <w:p w:rsidR="00E41DB7" w:rsidRPr="00BF2A77" w:rsidRDefault="00E41DB7" w:rsidP="00BF2A77">
      <w:pPr>
        <w:pStyle w:val="FootnoteText"/>
        <w:rPr>
          <w:sz w:val="16"/>
        </w:rPr>
      </w:pPr>
      <w:r>
        <w:rPr>
          <w:rStyle w:val="FootnoteReference"/>
        </w:rPr>
        <w:t>85</w:t>
      </w:r>
      <w:r>
        <w:t xml:space="preserve"> </w:t>
      </w:r>
      <w:r w:rsidRPr="00BF2A77">
        <w:rPr>
          <w:sz w:val="16"/>
        </w:rPr>
        <w:t>Note the approach of</w:t>
      </w:r>
      <w:r>
        <w:rPr>
          <w:sz w:val="16"/>
        </w:rPr>
        <w:t xml:space="preserve"> the Supreme Court of Canada in </w:t>
      </w:r>
      <w:r w:rsidRPr="00BF2A77">
        <w:rPr>
          <w:sz w:val="16"/>
        </w:rPr>
        <w:t>Eldridge v A-G of</w:t>
      </w:r>
      <w:r>
        <w:rPr>
          <w:sz w:val="16"/>
        </w:rPr>
        <w:t xml:space="preserve"> British Colombia (1997) 3 BHRC </w:t>
      </w:r>
      <w:r w:rsidRPr="00BF2A77">
        <w:rPr>
          <w:sz w:val="16"/>
        </w:rPr>
        <w:t>137 (failure to f</w:t>
      </w:r>
      <w:r>
        <w:rPr>
          <w:sz w:val="16"/>
        </w:rPr>
        <w:t xml:space="preserve">und sign-language violated deaf </w:t>
      </w:r>
      <w:r w:rsidRPr="00BF2A77">
        <w:rPr>
          <w:sz w:val="16"/>
        </w:rPr>
        <w:t>persons’ right to equal treatment)</w:t>
      </w:r>
    </w:p>
  </w:footnote>
  <w:footnote w:id="87">
    <w:p w:rsidR="00E41DB7" w:rsidRPr="00BD0D42" w:rsidRDefault="00E41DB7" w:rsidP="00BD0D42">
      <w:pPr>
        <w:pStyle w:val="FootnoteText"/>
        <w:rPr>
          <w:sz w:val="16"/>
        </w:rPr>
      </w:pPr>
      <w:r>
        <w:rPr>
          <w:rStyle w:val="FootnoteReference"/>
        </w:rPr>
        <w:t>86</w:t>
      </w:r>
      <w:r>
        <w:t xml:space="preserve"> </w:t>
      </w:r>
      <w:r w:rsidRPr="00BD0D42">
        <w:rPr>
          <w:sz w:val="16"/>
        </w:rPr>
        <w:t>In the Green Paper ‘</w:t>
      </w:r>
      <w:r>
        <w:rPr>
          <w:sz w:val="16"/>
        </w:rPr>
        <w:t xml:space="preserve">Who Decides?’ Cm 3803, December </w:t>
      </w:r>
      <w:r w:rsidRPr="00BD0D42">
        <w:rPr>
          <w:sz w:val="16"/>
        </w:rPr>
        <w:t>1997, the Gove</w:t>
      </w:r>
      <w:r>
        <w:rPr>
          <w:sz w:val="16"/>
        </w:rPr>
        <w:t xml:space="preserve">rnment broadly endorses the Law </w:t>
      </w:r>
      <w:r w:rsidRPr="00BD0D42">
        <w:rPr>
          <w:sz w:val="16"/>
        </w:rPr>
        <w:t>Commission’s proposed Inc</w:t>
      </w:r>
      <w:r>
        <w:rPr>
          <w:sz w:val="16"/>
        </w:rPr>
        <w:t xml:space="preserve">apacity Bill published with its </w:t>
      </w:r>
      <w:r w:rsidRPr="00BD0D42">
        <w:rPr>
          <w:sz w:val="16"/>
        </w:rPr>
        <w:t>1995 report ‘Mental Incapacity’, Law Com 231.</w:t>
      </w:r>
    </w:p>
  </w:footnote>
  <w:footnote w:id="88">
    <w:p w:rsidR="00E41DB7" w:rsidRDefault="00E41DB7" w:rsidP="00BD0D42">
      <w:pPr>
        <w:pStyle w:val="FootnoteText"/>
      </w:pPr>
      <w:r>
        <w:rPr>
          <w:rStyle w:val="FootnoteReference"/>
        </w:rPr>
        <w:t>87</w:t>
      </w:r>
      <w:r>
        <w:t xml:space="preserve"> </w:t>
      </w:r>
      <w:r w:rsidRPr="00BD0D42">
        <w:rPr>
          <w:sz w:val="16"/>
        </w:rPr>
        <w:t>Airedale NHS Trust v Bland [1993] A.C. 1, per Lord Goff at 864</w:t>
      </w:r>
    </w:p>
  </w:footnote>
  <w:footnote w:id="89">
    <w:p w:rsidR="00E41DB7" w:rsidRDefault="00E41DB7" w:rsidP="00BD0D42">
      <w:pPr>
        <w:pStyle w:val="FootnoteText"/>
      </w:pPr>
      <w:r>
        <w:rPr>
          <w:rStyle w:val="FootnoteReference"/>
        </w:rPr>
        <w:t>88</w:t>
      </w:r>
      <w:r>
        <w:t xml:space="preserve"> </w:t>
      </w:r>
      <w:r w:rsidRPr="00BD0D42">
        <w:rPr>
          <w:sz w:val="16"/>
        </w:rPr>
        <w:t>Re. T (Adult: Refusal of Medical Treatment) [1993] Fam. 95</w:t>
      </w:r>
    </w:p>
  </w:footnote>
  <w:footnote w:id="90">
    <w:p w:rsidR="00E41DB7" w:rsidRDefault="00E41DB7" w:rsidP="00BD0D42">
      <w:pPr>
        <w:pStyle w:val="FootnoteText"/>
      </w:pPr>
      <w:r>
        <w:rPr>
          <w:rStyle w:val="FootnoteReference"/>
        </w:rPr>
        <w:t>89</w:t>
      </w:r>
      <w:r>
        <w:t xml:space="preserve"> </w:t>
      </w:r>
      <w:r w:rsidRPr="00BD0D42">
        <w:rPr>
          <w:sz w:val="16"/>
        </w:rPr>
        <w:t>Robb v Secretary of State for the Home Department [1995] 2 W.L.R. 722</w:t>
      </w:r>
    </w:p>
  </w:footnote>
  <w:footnote w:id="91">
    <w:p w:rsidR="00E41DB7" w:rsidRPr="00BB3C70" w:rsidRDefault="00E41DB7" w:rsidP="00BB3C70">
      <w:pPr>
        <w:pStyle w:val="FootnoteText"/>
        <w:rPr>
          <w:sz w:val="16"/>
        </w:rPr>
      </w:pPr>
      <w:r>
        <w:rPr>
          <w:rStyle w:val="FootnoteReference"/>
        </w:rPr>
        <w:t>90</w:t>
      </w:r>
      <w:r>
        <w:t xml:space="preserve"> </w:t>
      </w:r>
      <w:r w:rsidRPr="00BB3C70">
        <w:rPr>
          <w:sz w:val="16"/>
        </w:rPr>
        <w:t>Harris, O’Boyle and</w:t>
      </w:r>
      <w:r>
        <w:rPr>
          <w:sz w:val="16"/>
        </w:rPr>
        <w:t xml:space="preserve"> </w:t>
      </w:r>
      <w:proofErr w:type="spellStart"/>
      <w:r>
        <w:rPr>
          <w:sz w:val="16"/>
        </w:rPr>
        <w:t>Warbrick</w:t>
      </w:r>
      <w:proofErr w:type="spellEnd"/>
      <w:r>
        <w:rPr>
          <w:sz w:val="16"/>
        </w:rPr>
        <w:t xml:space="preserve">, ‘Law of the European </w:t>
      </w:r>
      <w:r w:rsidRPr="00BB3C70">
        <w:rPr>
          <w:sz w:val="16"/>
        </w:rPr>
        <w:t>Convention on Human Right</w:t>
      </w:r>
      <w:r>
        <w:rPr>
          <w:sz w:val="16"/>
        </w:rPr>
        <w:t xml:space="preserve">s’, 1995, p. 40. Note, however, </w:t>
      </w:r>
      <w:r w:rsidRPr="00BB3C70">
        <w:rPr>
          <w:sz w:val="16"/>
        </w:rPr>
        <w:t>in X v Germany (1</w:t>
      </w:r>
      <w:r>
        <w:rPr>
          <w:sz w:val="16"/>
        </w:rPr>
        <w:t xml:space="preserve">984) 7 EHRR 152, the Commission </w:t>
      </w:r>
      <w:r w:rsidRPr="00BB3C70">
        <w:rPr>
          <w:sz w:val="16"/>
        </w:rPr>
        <w:t>found that the force-feeding</w:t>
      </w:r>
      <w:r>
        <w:rPr>
          <w:sz w:val="16"/>
        </w:rPr>
        <w:t xml:space="preserve"> of a prisoner on hunger strike </w:t>
      </w:r>
      <w:r w:rsidRPr="00BB3C70">
        <w:rPr>
          <w:sz w:val="16"/>
        </w:rPr>
        <w:t>did not violate Article 3, referri</w:t>
      </w:r>
      <w:r>
        <w:rPr>
          <w:sz w:val="16"/>
        </w:rPr>
        <w:t xml:space="preserve">ng to the state’s obligation to </w:t>
      </w:r>
      <w:r w:rsidRPr="00BB3C70">
        <w:rPr>
          <w:sz w:val="16"/>
        </w:rPr>
        <w:t>preserve life under Article 2</w:t>
      </w:r>
      <w:r>
        <w:rPr>
          <w:sz w:val="16"/>
        </w:rPr>
        <w:t xml:space="preserve">; the question of the patient’s </w:t>
      </w:r>
      <w:r w:rsidRPr="00BB3C70">
        <w:rPr>
          <w:sz w:val="16"/>
        </w:rPr>
        <w:t>capacity did not enter t</w:t>
      </w:r>
      <w:r>
        <w:rPr>
          <w:sz w:val="16"/>
        </w:rPr>
        <w:t xml:space="preserve">he equation. It is questionable </w:t>
      </w:r>
      <w:r w:rsidRPr="00BB3C70">
        <w:rPr>
          <w:sz w:val="16"/>
        </w:rPr>
        <w:t>whether this decision</w:t>
      </w:r>
      <w:r>
        <w:rPr>
          <w:sz w:val="16"/>
        </w:rPr>
        <w:t xml:space="preserve"> would now be followed (Harris,  </w:t>
      </w:r>
      <w:r w:rsidRPr="00BB3C70">
        <w:rPr>
          <w:sz w:val="16"/>
        </w:rPr>
        <w:t xml:space="preserve">O’Boyle and </w:t>
      </w:r>
      <w:proofErr w:type="spellStart"/>
      <w:r w:rsidRPr="00BB3C70">
        <w:rPr>
          <w:sz w:val="16"/>
        </w:rPr>
        <w:t>Warbrick</w:t>
      </w:r>
      <w:proofErr w:type="spellEnd"/>
      <w:r w:rsidRPr="00BB3C70">
        <w:rPr>
          <w:sz w:val="16"/>
        </w:rPr>
        <w:t>, ibid, p. 40, n.18)</w:t>
      </w:r>
    </w:p>
  </w:footnote>
  <w:footnote w:id="92">
    <w:p w:rsidR="00E41DB7" w:rsidRPr="00BB3C70" w:rsidRDefault="00E41DB7" w:rsidP="00BB3C70">
      <w:pPr>
        <w:pStyle w:val="FootnoteText"/>
        <w:rPr>
          <w:sz w:val="16"/>
        </w:rPr>
      </w:pPr>
      <w:r>
        <w:rPr>
          <w:rStyle w:val="FootnoteReference"/>
        </w:rPr>
        <w:t>91</w:t>
      </w:r>
      <w:r w:rsidRPr="00BB3C70">
        <w:rPr>
          <w:sz w:val="16"/>
        </w:rPr>
        <w:t xml:space="preserve"> A person lacks capacity if s</w:t>
      </w:r>
      <w:r>
        <w:rPr>
          <w:sz w:val="16"/>
        </w:rPr>
        <w:t xml:space="preserve">ome impairment or </w:t>
      </w:r>
      <w:r w:rsidRPr="00BB3C70">
        <w:rPr>
          <w:sz w:val="16"/>
        </w:rPr>
        <w:t>disturbance of mental</w:t>
      </w:r>
      <w:r>
        <w:rPr>
          <w:sz w:val="16"/>
        </w:rPr>
        <w:t xml:space="preserve"> functioning renders the person </w:t>
      </w:r>
      <w:r w:rsidRPr="00BB3C70">
        <w:rPr>
          <w:sz w:val="16"/>
        </w:rPr>
        <w:t xml:space="preserve">unable to make a decision </w:t>
      </w:r>
      <w:r>
        <w:rPr>
          <w:sz w:val="16"/>
        </w:rPr>
        <w:t xml:space="preserve">whether to consent or to refuse </w:t>
      </w:r>
      <w:r w:rsidRPr="00BB3C70">
        <w:rPr>
          <w:sz w:val="16"/>
        </w:rPr>
        <w:t>a proposed interference</w:t>
      </w:r>
      <w:r>
        <w:rPr>
          <w:sz w:val="16"/>
        </w:rPr>
        <w:t xml:space="preserve"> with their rights or liberties </w:t>
      </w:r>
      <w:r w:rsidRPr="00BB3C70">
        <w:rPr>
          <w:sz w:val="16"/>
        </w:rPr>
        <w:t>(invariably, some form of treatment). That inability will</w:t>
      </w:r>
    </w:p>
    <w:p w:rsidR="00E41DB7" w:rsidRPr="00BB3C70" w:rsidRDefault="00E41DB7" w:rsidP="00BB3C70">
      <w:pPr>
        <w:pStyle w:val="FootnoteText"/>
        <w:rPr>
          <w:sz w:val="16"/>
        </w:rPr>
      </w:pPr>
      <w:r w:rsidRPr="00BB3C70">
        <w:rPr>
          <w:sz w:val="16"/>
        </w:rPr>
        <w:t>occur when (a) the pati</w:t>
      </w:r>
      <w:r>
        <w:rPr>
          <w:sz w:val="16"/>
        </w:rPr>
        <w:t xml:space="preserve">ent is unable to comprehend and </w:t>
      </w:r>
      <w:r w:rsidRPr="00BB3C70">
        <w:rPr>
          <w:sz w:val="16"/>
        </w:rPr>
        <w:t>retain the information whi</w:t>
      </w:r>
      <w:r>
        <w:rPr>
          <w:sz w:val="16"/>
        </w:rPr>
        <w:t xml:space="preserve">ch is material to the decision, </w:t>
      </w:r>
      <w:r w:rsidRPr="00BB3C70">
        <w:rPr>
          <w:sz w:val="16"/>
        </w:rPr>
        <w:t>especially as to the likel</w:t>
      </w:r>
      <w:r>
        <w:rPr>
          <w:sz w:val="16"/>
        </w:rPr>
        <w:t xml:space="preserve">y consequences of having or not </w:t>
      </w:r>
      <w:r w:rsidRPr="00BB3C70">
        <w:rPr>
          <w:sz w:val="16"/>
        </w:rPr>
        <w:t>having the treatment in ques</w:t>
      </w:r>
      <w:r>
        <w:rPr>
          <w:sz w:val="16"/>
        </w:rPr>
        <w:t xml:space="preserve">tion; (b) the patient is unable </w:t>
      </w:r>
      <w:r w:rsidRPr="00BB3C70">
        <w:rPr>
          <w:sz w:val="16"/>
        </w:rPr>
        <w:t xml:space="preserve">to use the information and weigh it in </w:t>
      </w:r>
      <w:r>
        <w:rPr>
          <w:sz w:val="16"/>
        </w:rPr>
        <w:t xml:space="preserve">the balance as part </w:t>
      </w:r>
      <w:r w:rsidRPr="00BB3C70">
        <w:rPr>
          <w:sz w:val="16"/>
        </w:rPr>
        <w:t>of the process of arriv</w:t>
      </w:r>
      <w:r>
        <w:rPr>
          <w:sz w:val="16"/>
        </w:rPr>
        <w:t xml:space="preserve">ing at the decision: Re. MB (An </w:t>
      </w:r>
      <w:r w:rsidRPr="00BB3C70">
        <w:rPr>
          <w:sz w:val="16"/>
        </w:rPr>
        <w:t>Adult: Medical Treatme</w:t>
      </w:r>
      <w:r>
        <w:rPr>
          <w:sz w:val="16"/>
        </w:rPr>
        <w:t xml:space="preserve">nt) [1997] 2 F.C.R. 541, CA, at </w:t>
      </w:r>
      <w:r w:rsidRPr="00BB3C70">
        <w:rPr>
          <w:sz w:val="16"/>
        </w:rPr>
        <w:t>553H-554B per Butler-</w:t>
      </w:r>
      <w:proofErr w:type="spellStart"/>
      <w:r w:rsidRPr="00BB3C70">
        <w:rPr>
          <w:sz w:val="16"/>
        </w:rPr>
        <w:t>Sloss</w:t>
      </w:r>
      <w:proofErr w:type="spellEnd"/>
      <w:r w:rsidRPr="00BB3C70">
        <w:rPr>
          <w:sz w:val="16"/>
        </w:rPr>
        <w:t xml:space="preserve"> LJ</w:t>
      </w:r>
    </w:p>
  </w:footnote>
  <w:footnote w:id="93">
    <w:p w:rsidR="00E41DB7" w:rsidRDefault="00E41DB7">
      <w:pPr>
        <w:pStyle w:val="FootnoteText"/>
      </w:pPr>
      <w:r>
        <w:rPr>
          <w:rStyle w:val="FootnoteReference"/>
        </w:rPr>
        <w:t>92</w:t>
      </w:r>
      <w:r>
        <w:t xml:space="preserve"> </w:t>
      </w:r>
      <w:r w:rsidRPr="00B21978">
        <w:rPr>
          <w:sz w:val="16"/>
        </w:rPr>
        <w:t>Re. F [1990] 1 A.C. 1</w:t>
      </w:r>
    </w:p>
  </w:footnote>
  <w:footnote w:id="94">
    <w:p w:rsidR="00E41DB7" w:rsidRDefault="00E41DB7">
      <w:pPr>
        <w:pStyle w:val="FootnoteText"/>
      </w:pPr>
      <w:r>
        <w:rPr>
          <w:rStyle w:val="FootnoteReference"/>
        </w:rPr>
        <w:t>93</w:t>
      </w:r>
      <w:r>
        <w:t xml:space="preserve"> </w:t>
      </w:r>
      <w:r w:rsidRPr="00B21978">
        <w:rPr>
          <w:sz w:val="16"/>
        </w:rPr>
        <w:t>(1992) 15 EHRR 437, at §83).</w:t>
      </w:r>
    </w:p>
  </w:footnote>
  <w:footnote w:id="95">
    <w:p w:rsidR="00E41DB7" w:rsidRDefault="00E41DB7">
      <w:pPr>
        <w:pStyle w:val="FootnoteText"/>
      </w:pPr>
      <w:r>
        <w:rPr>
          <w:rStyle w:val="FootnoteReference"/>
        </w:rPr>
        <w:t>94</w:t>
      </w:r>
      <w:r>
        <w:t xml:space="preserve"> </w:t>
      </w:r>
      <w:r w:rsidRPr="00BE4149">
        <w:rPr>
          <w:sz w:val="16"/>
        </w:rPr>
        <w:t>(1992) 15 EHRR CD 100</w:t>
      </w:r>
    </w:p>
  </w:footnote>
  <w:footnote w:id="96">
    <w:p w:rsidR="00E41DB7" w:rsidRDefault="00E41DB7" w:rsidP="00BE4149">
      <w:pPr>
        <w:pStyle w:val="FootnoteText"/>
      </w:pPr>
      <w:r>
        <w:rPr>
          <w:rStyle w:val="FootnoteReference"/>
        </w:rPr>
        <w:t>95</w:t>
      </w:r>
      <w:r>
        <w:t xml:space="preserve"> </w:t>
      </w:r>
      <w:r w:rsidRPr="00BE4149">
        <w:rPr>
          <w:sz w:val="16"/>
        </w:rPr>
        <w:t xml:space="preserve">See Re. F (Adult Patient), (Unreported) 26 June 2000, CA, per </w:t>
      </w:r>
      <w:proofErr w:type="spellStart"/>
      <w:r w:rsidRPr="00BE4149">
        <w:rPr>
          <w:sz w:val="16"/>
        </w:rPr>
        <w:t>Sedley</w:t>
      </w:r>
      <w:proofErr w:type="spellEnd"/>
      <w:r w:rsidRPr="00BE4149">
        <w:rPr>
          <w:sz w:val="16"/>
        </w:rPr>
        <w:t xml:space="preserve"> LJ</w:t>
      </w:r>
    </w:p>
  </w:footnote>
  <w:footnote w:id="97">
    <w:p w:rsidR="00E41DB7" w:rsidRPr="00BE4149" w:rsidRDefault="00E41DB7" w:rsidP="00BE4149">
      <w:pPr>
        <w:pStyle w:val="FootnoteText"/>
        <w:rPr>
          <w:sz w:val="16"/>
        </w:rPr>
      </w:pPr>
      <w:r>
        <w:rPr>
          <w:rStyle w:val="FootnoteReference"/>
        </w:rPr>
        <w:t>96</w:t>
      </w:r>
      <w:r>
        <w:t xml:space="preserve"> </w:t>
      </w:r>
      <w:r w:rsidRPr="00BE4149">
        <w:rPr>
          <w:sz w:val="16"/>
        </w:rPr>
        <w:t>CO/967/2000 R v</w:t>
      </w:r>
      <w:r>
        <w:rPr>
          <w:sz w:val="16"/>
        </w:rPr>
        <w:t xml:space="preserve"> Broadmoor Hospital ex p W. The </w:t>
      </w:r>
      <w:r w:rsidRPr="00BE4149">
        <w:rPr>
          <w:sz w:val="16"/>
        </w:rPr>
        <w:t>applicant is seeking to ove</w:t>
      </w:r>
      <w:r>
        <w:rPr>
          <w:sz w:val="16"/>
        </w:rPr>
        <w:t xml:space="preserve">rturn the Judge’s ruling in R v </w:t>
      </w:r>
      <w:r w:rsidRPr="00BE4149">
        <w:rPr>
          <w:sz w:val="16"/>
        </w:rPr>
        <w:t xml:space="preserve">Collins and Ashworth Hospital Authority </w:t>
      </w:r>
      <w:r>
        <w:rPr>
          <w:sz w:val="16"/>
        </w:rPr>
        <w:t xml:space="preserve">ex parte </w:t>
      </w:r>
      <w:r w:rsidRPr="00BE4149">
        <w:rPr>
          <w:sz w:val="16"/>
        </w:rPr>
        <w:t>Brady (2000) (reviewed</w:t>
      </w:r>
      <w:r>
        <w:rPr>
          <w:sz w:val="16"/>
        </w:rPr>
        <w:t xml:space="preserve"> elsewhere in this issue of the </w:t>
      </w:r>
      <w:r w:rsidRPr="00BE4149">
        <w:rPr>
          <w:sz w:val="16"/>
        </w:rPr>
        <w:t>JMHL) that the quest</w:t>
      </w:r>
      <w:r>
        <w:rPr>
          <w:sz w:val="16"/>
        </w:rPr>
        <w:t xml:space="preserve">ion of whether the treatment is </w:t>
      </w:r>
      <w:r w:rsidRPr="00BE4149">
        <w:rPr>
          <w:sz w:val="16"/>
        </w:rPr>
        <w:t>“treatment for the m</w:t>
      </w:r>
      <w:r>
        <w:rPr>
          <w:sz w:val="16"/>
        </w:rPr>
        <w:t xml:space="preserve">ental disorder from which he is </w:t>
      </w:r>
      <w:r w:rsidRPr="00BE4149">
        <w:rPr>
          <w:sz w:val="16"/>
        </w:rPr>
        <w:t>suffering” is not a q</w:t>
      </w:r>
      <w:r>
        <w:rPr>
          <w:sz w:val="16"/>
        </w:rPr>
        <w:t xml:space="preserve">uestion of precedent fact. If a </w:t>
      </w:r>
      <w:r w:rsidRPr="00BE4149">
        <w:rPr>
          <w:sz w:val="16"/>
        </w:rPr>
        <w:t>question is one of prec</w:t>
      </w:r>
      <w:r>
        <w:rPr>
          <w:sz w:val="16"/>
        </w:rPr>
        <w:t xml:space="preserve">edent fact, a court in judicial </w:t>
      </w:r>
      <w:r w:rsidRPr="00BE4149">
        <w:rPr>
          <w:sz w:val="16"/>
        </w:rPr>
        <w:t>review proceedings dec</w:t>
      </w:r>
      <w:r>
        <w:rPr>
          <w:sz w:val="16"/>
        </w:rPr>
        <w:t xml:space="preserve">ides the question on its merits </w:t>
      </w:r>
      <w:r w:rsidRPr="00BE4149">
        <w:rPr>
          <w:sz w:val="16"/>
        </w:rPr>
        <w:t>rather than by applying the Wednesbury test.</w:t>
      </w:r>
    </w:p>
  </w:footnote>
  <w:footnote w:id="98">
    <w:p w:rsidR="00CA21C1" w:rsidRDefault="00CA21C1">
      <w:pPr>
        <w:pStyle w:val="FootnoteText"/>
      </w:pPr>
      <w:r>
        <w:rPr>
          <w:rStyle w:val="FootnoteReference"/>
        </w:rPr>
        <w:t>97</w:t>
      </w:r>
      <w:r>
        <w:t xml:space="preserve"> </w:t>
      </w:r>
      <w:r w:rsidR="00792FEA" w:rsidRPr="00792FEA">
        <w:rPr>
          <w:sz w:val="16"/>
        </w:rPr>
        <w:t>X v Germany (1956) 1 Yearbook 202</w:t>
      </w:r>
    </w:p>
  </w:footnote>
  <w:footnote w:id="99">
    <w:p w:rsidR="00CA21C1" w:rsidRPr="00792FEA" w:rsidRDefault="00CA21C1">
      <w:pPr>
        <w:pStyle w:val="FootnoteText"/>
        <w:rPr>
          <w:sz w:val="16"/>
        </w:rPr>
      </w:pPr>
      <w:r>
        <w:rPr>
          <w:rStyle w:val="FootnoteReference"/>
        </w:rPr>
        <w:t>98</w:t>
      </w:r>
      <w:r>
        <w:t xml:space="preserve"> </w:t>
      </w:r>
      <w:r w:rsidR="00792FEA" w:rsidRPr="00792FEA">
        <w:rPr>
          <w:sz w:val="16"/>
        </w:rPr>
        <w:t>(1995) 22 EHRR CD 135</w:t>
      </w:r>
    </w:p>
  </w:footnote>
  <w:footnote w:id="100">
    <w:p w:rsidR="00CA21C1" w:rsidRPr="00792FEA" w:rsidRDefault="00CA21C1">
      <w:pPr>
        <w:pStyle w:val="FootnoteText"/>
        <w:rPr>
          <w:sz w:val="16"/>
        </w:rPr>
      </w:pPr>
      <w:r>
        <w:rPr>
          <w:rStyle w:val="FootnoteReference"/>
        </w:rPr>
        <w:t>99</w:t>
      </w:r>
      <w:r>
        <w:t xml:space="preserve"> </w:t>
      </w:r>
      <w:r w:rsidR="00792FEA" w:rsidRPr="00792FEA">
        <w:rPr>
          <w:sz w:val="16"/>
        </w:rPr>
        <w:t>[1999] 28 EHRR CD 175</w:t>
      </w:r>
    </w:p>
  </w:footnote>
  <w:footnote w:id="101">
    <w:p w:rsidR="00CA21C1" w:rsidRDefault="00CA21C1" w:rsidP="00792FEA">
      <w:pPr>
        <w:pStyle w:val="FootnoteText"/>
      </w:pPr>
      <w:r>
        <w:rPr>
          <w:rStyle w:val="FootnoteReference"/>
        </w:rPr>
        <w:t>100</w:t>
      </w:r>
      <w:r>
        <w:t xml:space="preserve"> </w:t>
      </w:r>
      <w:r w:rsidR="00792FEA" w:rsidRPr="00792FEA">
        <w:rPr>
          <w:sz w:val="16"/>
        </w:rPr>
        <w:t>The domestic courts h</w:t>
      </w:r>
      <w:r w:rsidR="00792FEA" w:rsidRPr="00792FEA">
        <w:rPr>
          <w:sz w:val="16"/>
        </w:rPr>
        <w:t xml:space="preserve">ave come close to recognising a </w:t>
      </w:r>
      <w:r w:rsidR="00792FEA" w:rsidRPr="00792FEA">
        <w:rPr>
          <w:sz w:val="16"/>
        </w:rPr>
        <w:t>common law right to basi</w:t>
      </w:r>
      <w:r w:rsidR="00792FEA" w:rsidRPr="00792FEA">
        <w:rPr>
          <w:sz w:val="16"/>
        </w:rPr>
        <w:t xml:space="preserve">c shelter, R. v Lincolnshire CC </w:t>
      </w:r>
      <w:r w:rsidR="00792FEA" w:rsidRPr="00792FEA">
        <w:rPr>
          <w:sz w:val="16"/>
        </w:rPr>
        <w:t xml:space="preserve">Ex p. Atkinson (1996) </w:t>
      </w:r>
      <w:r w:rsidR="00792FEA" w:rsidRPr="00792FEA">
        <w:rPr>
          <w:sz w:val="16"/>
        </w:rPr>
        <w:t xml:space="preserve">8 Admin. L.R. 529. See also R v </w:t>
      </w:r>
      <w:r w:rsidR="00792FEA" w:rsidRPr="00792FEA">
        <w:rPr>
          <w:sz w:val="16"/>
        </w:rPr>
        <w:t>Wandsworth LBC ex p O Times, 18 July 2000</w:t>
      </w:r>
    </w:p>
  </w:footnote>
  <w:footnote w:id="102">
    <w:p w:rsidR="00B6187E" w:rsidRDefault="00B6187E">
      <w:pPr>
        <w:pStyle w:val="FootnoteText"/>
      </w:pPr>
      <w:r>
        <w:rPr>
          <w:rStyle w:val="FootnoteReference"/>
        </w:rPr>
        <w:t>101</w:t>
      </w:r>
      <w:r w:rsidRPr="00B6187E">
        <w:rPr>
          <w:sz w:val="16"/>
        </w:rPr>
        <w:t xml:space="preserve"> (1997) 24 EHRR 423</w:t>
      </w:r>
    </w:p>
  </w:footnote>
  <w:footnote w:id="103">
    <w:p w:rsidR="009E72AC" w:rsidRDefault="009E72AC">
      <w:pPr>
        <w:pStyle w:val="FootnoteText"/>
      </w:pPr>
      <w:r>
        <w:rPr>
          <w:rStyle w:val="FootnoteReference"/>
        </w:rPr>
        <w:t>102</w:t>
      </w:r>
      <w:r>
        <w:t xml:space="preserve"> </w:t>
      </w:r>
      <w:r w:rsidR="007C3DB3" w:rsidRPr="007C3DB3">
        <w:rPr>
          <w:sz w:val="16"/>
        </w:rPr>
        <w:t>(1999) 31 H.L.R. 10</w:t>
      </w:r>
    </w:p>
  </w:footnote>
  <w:footnote w:id="104">
    <w:p w:rsidR="009E72AC" w:rsidRDefault="009E72AC">
      <w:pPr>
        <w:pStyle w:val="FootnoteText"/>
      </w:pPr>
      <w:r>
        <w:rPr>
          <w:rStyle w:val="FootnoteReference"/>
        </w:rPr>
        <w:t>103</w:t>
      </w:r>
      <w:r>
        <w:t xml:space="preserve"> </w:t>
      </w:r>
      <w:r w:rsidR="007C3DB3" w:rsidRPr="007C3DB3">
        <w:rPr>
          <w:sz w:val="16"/>
        </w:rPr>
        <w:t>(1978) 13 DR 40</w:t>
      </w:r>
    </w:p>
  </w:footnote>
  <w:footnote w:id="105">
    <w:p w:rsidR="009E72AC" w:rsidRDefault="009E72AC">
      <w:pPr>
        <w:pStyle w:val="FootnoteText"/>
      </w:pPr>
      <w:r>
        <w:rPr>
          <w:rStyle w:val="FootnoteReference"/>
        </w:rPr>
        <w:t>104</w:t>
      </w:r>
      <w:r>
        <w:t xml:space="preserve"> </w:t>
      </w:r>
      <w:r w:rsidR="007C3DB3" w:rsidRPr="007C3DB3">
        <w:rPr>
          <w:sz w:val="16"/>
        </w:rPr>
        <w:t>(1996) 23 EHRR 101</w:t>
      </w:r>
    </w:p>
  </w:footnote>
  <w:footnote w:id="106">
    <w:p w:rsidR="009E72AC" w:rsidRDefault="009E72AC">
      <w:pPr>
        <w:pStyle w:val="FootnoteText"/>
      </w:pPr>
      <w:r>
        <w:rPr>
          <w:rStyle w:val="FootnoteReference"/>
        </w:rPr>
        <w:t>105</w:t>
      </w:r>
      <w:r>
        <w:t xml:space="preserve"> </w:t>
      </w:r>
      <w:r w:rsidR="007C3DB3" w:rsidRPr="007C3DB3">
        <w:rPr>
          <w:sz w:val="16"/>
        </w:rPr>
        <w:t>(1986) 47 DR 274</w:t>
      </w:r>
    </w:p>
  </w:footnote>
  <w:footnote w:id="107">
    <w:p w:rsidR="007C3DB3" w:rsidRPr="007C3DB3" w:rsidRDefault="009E72AC" w:rsidP="007C3DB3">
      <w:pPr>
        <w:pStyle w:val="FootnoteText"/>
        <w:rPr>
          <w:sz w:val="16"/>
        </w:rPr>
      </w:pPr>
      <w:r>
        <w:rPr>
          <w:rStyle w:val="FootnoteReference"/>
        </w:rPr>
        <w:t>106</w:t>
      </w:r>
      <w:r>
        <w:t xml:space="preserve"> </w:t>
      </w:r>
      <w:r w:rsidR="007C3DB3" w:rsidRPr="007C3DB3">
        <w:rPr>
          <w:sz w:val="16"/>
        </w:rPr>
        <w:t>Same-sex partners n</w:t>
      </w:r>
      <w:r w:rsidR="007C3DB3" w:rsidRPr="007C3DB3">
        <w:rPr>
          <w:sz w:val="16"/>
        </w:rPr>
        <w:t xml:space="preserve">ow have right of succession to a </w:t>
      </w:r>
      <w:r w:rsidR="007C3DB3" w:rsidRPr="007C3DB3">
        <w:rPr>
          <w:sz w:val="16"/>
        </w:rPr>
        <w:t>statutory or protected tenancy: Fitzpatrick v Sterling</w:t>
      </w:r>
    </w:p>
    <w:p w:rsidR="009E72AC" w:rsidRDefault="007C3DB3" w:rsidP="007C3DB3">
      <w:pPr>
        <w:pStyle w:val="FootnoteText"/>
      </w:pPr>
      <w:r w:rsidRPr="007C3DB3">
        <w:rPr>
          <w:sz w:val="16"/>
        </w:rPr>
        <w:t>Housing Association [1999] 3 W.L.R. 1113, HL</w:t>
      </w:r>
    </w:p>
  </w:footnote>
  <w:footnote w:id="108">
    <w:p w:rsidR="009E72AC" w:rsidRDefault="009E72AC">
      <w:pPr>
        <w:pStyle w:val="FootnoteText"/>
      </w:pPr>
      <w:r>
        <w:rPr>
          <w:rStyle w:val="FootnoteReference"/>
        </w:rPr>
        <w:t>107</w:t>
      </w:r>
      <w:r>
        <w:t xml:space="preserve"> </w:t>
      </w:r>
      <w:r w:rsidR="004103C6" w:rsidRPr="004103C6">
        <w:rPr>
          <w:sz w:val="16"/>
        </w:rPr>
        <w:t>[1999] Lloyd’s Rep. Med. 306</w:t>
      </w:r>
    </w:p>
  </w:footnote>
  <w:footnote w:id="109">
    <w:p w:rsidR="00725E04" w:rsidRPr="00366DD2" w:rsidRDefault="00725E04" w:rsidP="00366DD2">
      <w:pPr>
        <w:pStyle w:val="FootnoteText"/>
        <w:rPr>
          <w:sz w:val="16"/>
        </w:rPr>
      </w:pPr>
      <w:r>
        <w:rPr>
          <w:rStyle w:val="FootnoteReference"/>
        </w:rPr>
        <w:t>108</w:t>
      </w:r>
      <w:r>
        <w:t xml:space="preserve"> </w:t>
      </w:r>
      <w:r w:rsidR="00366DD2" w:rsidRPr="00366DD2">
        <w:rPr>
          <w:sz w:val="16"/>
        </w:rPr>
        <w:t>Following the decisi</w:t>
      </w:r>
      <w:r w:rsidR="00366DD2" w:rsidRPr="00366DD2">
        <w:rPr>
          <w:sz w:val="16"/>
        </w:rPr>
        <w:t xml:space="preserve">on of the House of Lords in R v </w:t>
      </w:r>
      <w:r w:rsidR="00366DD2" w:rsidRPr="00366DD2">
        <w:rPr>
          <w:sz w:val="16"/>
        </w:rPr>
        <w:t>Bournewood Community Mental Health NHS Tr</w:t>
      </w:r>
      <w:r w:rsidR="00366DD2">
        <w:rPr>
          <w:sz w:val="16"/>
        </w:rPr>
        <w:t xml:space="preserve">ust ex </w:t>
      </w:r>
      <w:r w:rsidR="00366DD2" w:rsidRPr="00366DD2">
        <w:rPr>
          <w:sz w:val="16"/>
        </w:rPr>
        <w:t>p L [1999] 1 A.C. 458</w:t>
      </w:r>
    </w:p>
  </w:footnote>
  <w:footnote w:id="110">
    <w:p w:rsidR="00F73ADA" w:rsidRDefault="00F73ADA" w:rsidP="005615DC">
      <w:pPr>
        <w:pStyle w:val="FootnoteText"/>
      </w:pPr>
      <w:r>
        <w:rPr>
          <w:rStyle w:val="FootnoteReference"/>
        </w:rPr>
        <w:t>109</w:t>
      </w:r>
      <w:r w:rsidRPr="005615DC">
        <w:rPr>
          <w:sz w:val="16"/>
        </w:rPr>
        <w:t xml:space="preserve"> </w:t>
      </w:r>
      <w:r w:rsidR="005615DC" w:rsidRPr="005615DC">
        <w:rPr>
          <w:sz w:val="16"/>
        </w:rPr>
        <w:t xml:space="preserve">Gillick v West </w:t>
      </w:r>
      <w:r w:rsidR="005615DC" w:rsidRPr="005615DC">
        <w:rPr>
          <w:sz w:val="16"/>
        </w:rPr>
        <w:t xml:space="preserve">Norfolk and Wisbech Area Health </w:t>
      </w:r>
      <w:r w:rsidR="005615DC" w:rsidRPr="005615DC">
        <w:rPr>
          <w:sz w:val="16"/>
        </w:rPr>
        <w:t>Authority and the DHSS [1986] 1 A.C. 112</w:t>
      </w:r>
    </w:p>
  </w:footnote>
  <w:footnote w:id="111">
    <w:p w:rsidR="00F73ADA" w:rsidRDefault="00F73ADA">
      <w:pPr>
        <w:pStyle w:val="FootnoteText"/>
      </w:pPr>
      <w:r>
        <w:rPr>
          <w:rStyle w:val="FootnoteReference"/>
        </w:rPr>
        <w:t>110</w:t>
      </w:r>
      <w:r>
        <w:t xml:space="preserve"> </w:t>
      </w:r>
      <w:r w:rsidR="005615DC" w:rsidRPr="005615DC">
        <w:rPr>
          <w:sz w:val="16"/>
        </w:rPr>
        <w:t>[1993] 2 FLR 187</w:t>
      </w:r>
    </w:p>
  </w:footnote>
  <w:footnote w:id="112">
    <w:p w:rsidR="00F73ADA" w:rsidRDefault="00F73ADA">
      <w:pPr>
        <w:pStyle w:val="FootnoteText"/>
      </w:pPr>
      <w:r>
        <w:rPr>
          <w:rStyle w:val="FootnoteReference"/>
        </w:rPr>
        <w:t>111</w:t>
      </w:r>
      <w:r w:rsidRPr="005615DC">
        <w:rPr>
          <w:sz w:val="16"/>
        </w:rPr>
        <w:t xml:space="preserve"> </w:t>
      </w:r>
      <w:r w:rsidR="005615DC" w:rsidRPr="005615DC">
        <w:rPr>
          <w:sz w:val="16"/>
        </w:rPr>
        <w:t>[1997] 2 F.L.R. 180</w:t>
      </w:r>
    </w:p>
  </w:footnote>
  <w:footnote w:id="113">
    <w:p w:rsidR="00C7660E" w:rsidRDefault="00C7660E">
      <w:pPr>
        <w:pStyle w:val="FootnoteText"/>
      </w:pPr>
      <w:r>
        <w:rPr>
          <w:rStyle w:val="FootnoteReference"/>
        </w:rPr>
        <w:t>112</w:t>
      </w:r>
      <w:r>
        <w:t xml:space="preserve"> </w:t>
      </w:r>
      <w:r w:rsidRPr="00C7660E">
        <w:rPr>
          <w:sz w:val="16"/>
        </w:rPr>
        <w:t>(1988) 11 EHRR 175</w:t>
      </w:r>
    </w:p>
  </w:footnote>
  <w:footnote w:id="114">
    <w:p w:rsidR="008B7B98" w:rsidRPr="008B7B98" w:rsidRDefault="00C7660E" w:rsidP="008B7B98">
      <w:pPr>
        <w:pStyle w:val="FootnoteText"/>
        <w:rPr>
          <w:sz w:val="16"/>
        </w:rPr>
      </w:pPr>
      <w:r>
        <w:rPr>
          <w:rStyle w:val="FootnoteReference"/>
        </w:rPr>
        <w:t>113</w:t>
      </w:r>
      <w:r>
        <w:t xml:space="preserve"> </w:t>
      </w:r>
      <w:r w:rsidR="008B7B98" w:rsidRPr="008B7B98">
        <w:rPr>
          <w:sz w:val="16"/>
        </w:rPr>
        <w:t>(1999) 27 EHRR</w:t>
      </w:r>
      <w:r w:rsidR="008B7B98">
        <w:rPr>
          <w:sz w:val="16"/>
        </w:rPr>
        <w:t xml:space="preserve"> 611. Moreover, Nielsen did not </w:t>
      </w:r>
      <w:r w:rsidR="008B7B98" w:rsidRPr="008B7B98">
        <w:rPr>
          <w:sz w:val="16"/>
        </w:rPr>
        <w:t>consider the Convent</w:t>
      </w:r>
      <w:r w:rsidR="008B7B98">
        <w:rPr>
          <w:sz w:val="16"/>
        </w:rPr>
        <w:t xml:space="preserve">ion on the Rights of the Child, </w:t>
      </w:r>
      <w:r w:rsidR="008B7B98" w:rsidRPr="008B7B98">
        <w:rPr>
          <w:sz w:val="16"/>
        </w:rPr>
        <w:t>which was ratified by the United Kingdom in 1991,</w:t>
      </w:r>
      <w:r w:rsidR="008B7B98">
        <w:rPr>
          <w:sz w:val="16"/>
        </w:rPr>
        <w:t xml:space="preserve"> </w:t>
      </w:r>
      <w:r w:rsidR="008B7B98" w:rsidRPr="008B7B98">
        <w:rPr>
          <w:sz w:val="16"/>
        </w:rPr>
        <w:t>article 12 of which require</w:t>
      </w:r>
      <w:r w:rsidR="008B7B98">
        <w:rPr>
          <w:sz w:val="16"/>
        </w:rPr>
        <w:t xml:space="preserve">s that decisions concerning the </w:t>
      </w:r>
      <w:r w:rsidR="008B7B98" w:rsidRPr="008B7B98">
        <w:rPr>
          <w:sz w:val="16"/>
        </w:rPr>
        <w:t>child should take into account the views of the child. The</w:t>
      </w:r>
    </w:p>
    <w:p w:rsidR="00C7660E" w:rsidRPr="008B7B98" w:rsidRDefault="008B7B98" w:rsidP="008B7B98">
      <w:pPr>
        <w:pStyle w:val="FootnoteText"/>
        <w:rPr>
          <w:sz w:val="16"/>
        </w:rPr>
      </w:pPr>
      <w:proofErr w:type="gramStart"/>
      <w:r w:rsidRPr="008B7B98">
        <w:rPr>
          <w:sz w:val="16"/>
        </w:rPr>
        <w:t>present</w:t>
      </w:r>
      <w:proofErr w:type="gramEnd"/>
      <w:r w:rsidRPr="008B7B98">
        <w:rPr>
          <w:sz w:val="16"/>
        </w:rPr>
        <w:t xml:space="preserve"> situation constitutes a violation of that principle.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AD"/>
    <w:rsid w:val="000044E9"/>
    <w:rsid w:val="00025670"/>
    <w:rsid w:val="00025F9E"/>
    <w:rsid w:val="00073DE8"/>
    <w:rsid w:val="00091E2F"/>
    <w:rsid w:val="000A5BB1"/>
    <w:rsid w:val="000F5C65"/>
    <w:rsid w:val="00114D41"/>
    <w:rsid w:val="00165486"/>
    <w:rsid w:val="001875B6"/>
    <w:rsid w:val="001A09A0"/>
    <w:rsid w:val="001D5E71"/>
    <w:rsid w:val="002211F0"/>
    <w:rsid w:val="00256C84"/>
    <w:rsid w:val="002664C8"/>
    <w:rsid w:val="00295E08"/>
    <w:rsid w:val="002A4E6B"/>
    <w:rsid w:val="002B2601"/>
    <w:rsid w:val="003215A1"/>
    <w:rsid w:val="00366DD2"/>
    <w:rsid w:val="003D0C23"/>
    <w:rsid w:val="003F6A43"/>
    <w:rsid w:val="00402627"/>
    <w:rsid w:val="004103C6"/>
    <w:rsid w:val="004C6331"/>
    <w:rsid w:val="00545173"/>
    <w:rsid w:val="005615DC"/>
    <w:rsid w:val="00585EC0"/>
    <w:rsid w:val="00593F7F"/>
    <w:rsid w:val="005A722D"/>
    <w:rsid w:val="005D725A"/>
    <w:rsid w:val="00622098"/>
    <w:rsid w:val="0062398A"/>
    <w:rsid w:val="00640877"/>
    <w:rsid w:val="00663B3E"/>
    <w:rsid w:val="00691E01"/>
    <w:rsid w:val="00725E04"/>
    <w:rsid w:val="0075742D"/>
    <w:rsid w:val="00792FEA"/>
    <w:rsid w:val="007C3DB3"/>
    <w:rsid w:val="007D0594"/>
    <w:rsid w:val="007F6B74"/>
    <w:rsid w:val="00840710"/>
    <w:rsid w:val="008652B8"/>
    <w:rsid w:val="008735DE"/>
    <w:rsid w:val="008A677A"/>
    <w:rsid w:val="008B7B98"/>
    <w:rsid w:val="008F2744"/>
    <w:rsid w:val="00922E4F"/>
    <w:rsid w:val="0093369D"/>
    <w:rsid w:val="00995280"/>
    <w:rsid w:val="009D1EA7"/>
    <w:rsid w:val="009E72AC"/>
    <w:rsid w:val="009F1666"/>
    <w:rsid w:val="009F3D57"/>
    <w:rsid w:val="009F691F"/>
    <w:rsid w:val="009F6CD8"/>
    <w:rsid w:val="00A7013F"/>
    <w:rsid w:val="00A7453B"/>
    <w:rsid w:val="00A74BE6"/>
    <w:rsid w:val="00AD058C"/>
    <w:rsid w:val="00AD34D2"/>
    <w:rsid w:val="00B130C5"/>
    <w:rsid w:val="00B21978"/>
    <w:rsid w:val="00B26368"/>
    <w:rsid w:val="00B6187E"/>
    <w:rsid w:val="00B75216"/>
    <w:rsid w:val="00BB3C70"/>
    <w:rsid w:val="00BD0D42"/>
    <w:rsid w:val="00BE0161"/>
    <w:rsid w:val="00BE4149"/>
    <w:rsid w:val="00BF2A77"/>
    <w:rsid w:val="00C0735F"/>
    <w:rsid w:val="00C2406A"/>
    <w:rsid w:val="00C567C1"/>
    <w:rsid w:val="00C7660E"/>
    <w:rsid w:val="00CA21C1"/>
    <w:rsid w:val="00D14E74"/>
    <w:rsid w:val="00D20F70"/>
    <w:rsid w:val="00D703B1"/>
    <w:rsid w:val="00DE2159"/>
    <w:rsid w:val="00DE5096"/>
    <w:rsid w:val="00DE5A2E"/>
    <w:rsid w:val="00E17A16"/>
    <w:rsid w:val="00E40341"/>
    <w:rsid w:val="00E41DB7"/>
    <w:rsid w:val="00E52EA2"/>
    <w:rsid w:val="00E84804"/>
    <w:rsid w:val="00ED267D"/>
    <w:rsid w:val="00EF23B0"/>
    <w:rsid w:val="00F002F2"/>
    <w:rsid w:val="00F04B69"/>
    <w:rsid w:val="00F052AD"/>
    <w:rsid w:val="00F63FA1"/>
    <w:rsid w:val="00F73ADA"/>
    <w:rsid w:val="00F77071"/>
    <w:rsid w:val="00F857BD"/>
    <w:rsid w:val="00FC5FD7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52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2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2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52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2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32</Pages>
  <Words>9977</Words>
  <Characters>56871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66715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91</cp:revision>
  <dcterms:created xsi:type="dcterms:W3CDTF">2014-09-30T11:05:00Z</dcterms:created>
  <dcterms:modified xsi:type="dcterms:W3CDTF">2014-10-01T08:38:00Z</dcterms:modified>
</cp:coreProperties>
</file>