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13" w:rsidRPr="00864613" w:rsidRDefault="00864613" w:rsidP="00864613">
      <w:pPr>
        <w:rPr>
          <w:sz w:val="56"/>
          <w:szCs w:val="56"/>
        </w:rPr>
      </w:pPr>
      <w:r w:rsidRPr="00864613">
        <w:rPr>
          <w:sz w:val="56"/>
          <w:szCs w:val="56"/>
        </w:rPr>
        <w:t>A Consideration of the Ap</w:t>
      </w:r>
      <w:r w:rsidRPr="00864613">
        <w:rPr>
          <w:sz w:val="56"/>
          <w:szCs w:val="56"/>
        </w:rPr>
        <w:t xml:space="preserve">proach the Mental Health Review </w:t>
      </w:r>
      <w:r w:rsidRPr="00864613">
        <w:rPr>
          <w:sz w:val="56"/>
          <w:szCs w:val="56"/>
        </w:rPr>
        <w:t>Tribunal Should Adopt Wh</w:t>
      </w:r>
      <w:r w:rsidRPr="00864613">
        <w:rPr>
          <w:sz w:val="56"/>
          <w:szCs w:val="56"/>
        </w:rPr>
        <w:t xml:space="preserve">en Considering the Discharge of </w:t>
      </w:r>
      <w:r w:rsidRPr="00864613">
        <w:rPr>
          <w:sz w:val="56"/>
          <w:szCs w:val="56"/>
        </w:rPr>
        <w:t>the Asymptomatic Patient</w:t>
      </w:r>
    </w:p>
    <w:p w:rsidR="00B47781" w:rsidRDefault="00B47781" w:rsidP="00864613"/>
    <w:p w:rsidR="00864613" w:rsidRDefault="00C41D4F" w:rsidP="00864613">
      <w:r>
        <w:t xml:space="preserve">David </w:t>
      </w:r>
      <w:proofErr w:type="spellStart"/>
      <w:r>
        <w:t>Mylan</w:t>
      </w:r>
      <w:proofErr w:type="spellEnd"/>
      <w:r>
        <w:rPr>
          <w:rStyle w:val="FootnoteReference"/>
        </w:rPr>
        <w:footnoteReference w:customMarkFollows="1" w:id="1"/>
        <w:t>*</w:t>
      </w:r>
    </w:p>
    <w:p w:rsidR="00B47781" w:rsidRDefault="00B47781" w:rsidP="00B47781">
      <w:pPr>
        <w:spacing w:line="240" w:lineRule="auto"/>
      </w:pPr>
    </w:p>
    <w:p w:rsidR="00864613" w:rsidRPr="00B47781" w:rsidRDefault="00864613" w:rsidP="00B47781">
      <w:pPr>
        <w:spacing w:line="240" w:lineRule="auto"/>
        <w:rPr>
          <w:b/>
        </w:rPr>
      </w:pPr>
      <w:r w:rsidRPr="00B47781">
        <w:rPr>
          <w:b/>
        </w:rPr>
        <w:t>Regina v London South and South West Region Mental Health Review Tribunal ex parte</w:t>
      </w:r>
    </w:p>
    <w:p w:rsidR="00864613" w:rsidRPr="00B47781" w:rsidRDefault="00864613" w:rsidP="00B47781">
      <w:pPr>
        <w:spacing w:line="240" w:lineRule="auto"/>
        <w:rPr>
          <w:b/>
        </w:rPr>
      </w:pPr>
      <w:r w:rsidRPr="00B47781">
        <w:rPr>
          <w:b/>
        </w:rPr>
        <w:t>Stephen Moyle</w:t>
      </w:r>
    </w:p>
    <w:p w:rsidR="00864613" w:rsidRPr="00B47781" w:rsidRDefault="00864613" w:rsidP="00B47781">
      <w:pPr>
        <w:spacing w:line="240" w:lineRule="auto"/>
        <w:rPr>
          <w:b/>
        </w:rPr>
      </w:pPr>
      <w:r w:rsidRPr="00B47781">
        <w:rPr>
          <w:b/>
        </w:rPr>
        <w:t>High Court (Queen’s Bench Division)</w:t>
      </w:r>
    </w:p>
    <w:p w:rsidR="00864613" w:rsidRPr="00B47781" w:rsidRDefault="00864613" w:rsidP="00B47781">
      <w:pPr>
        <w:spacing w:line="240" w:lineRule="auto"/>
        <w:rPr>
          <w:b/>
        </w:rPr>
      </w:pPr>
      <w:r w:rsidRPr="00B47781">
        <w:rPr>
          <w:b/>
        </w:rPr>
        <w:t>Latham J</w:t>
      </w:r>
    </w:p>
    <w:p w:rsidR="00864613" w:rsidRPr="00B47781" w:rsidRDefault="00864613" w:rsidP="00B47781">
      <w:pPr>
        <w:spacing w:line="240" w:lineRule="auto"/>
        <w:rPr>
          <w:b/>
        </w:rPr>
      </w:pPr>
      <w:r w:rsidRPr="00B47781">
        <w:rPr>
          <w:b/>
        </w:rPr>
        <w:t>Judgment Given 21st December 1999</w:t>
      </w:r>
    </w:p>
    <w:p w:rsidR="00864613" w:rsidRPr="00B47781" w:rsidRDefault="00864613" w:rsidP="00B47781">
      <w:pPr>
        <w:spacing w:line="240" w:lineRule="auto"/>
        <w:rPr>
          <w:b/>
        </w:rPr>
      </w:pPr>
      <w:r w:rsidRPr="00B47781">
        <w:rPr>
          <w:b/>
        </w:rPr>
        <w:t>TLR 10th February 2000</w:t>
      </w:r>
    </w:p>
    <w:p w:rsidR="00B47781" w:rsidRDefault="00B47781" w:rsidP="00B47781">
      <w:pPr>
        <w:spacing w:line="240" w:lineRule="auto"/>
      </w:pPr>
    </w:p>
    <w:p w:rsidR="00864613" w:rsidRPr="00366520" w:rsidRDefault="00864613" w:rsidP="00B47781">
      <w:pPr>
        <w:spacing w:line="240" w:lineRule="auto"/>
        <w:rPr>
          <w:b/>
        </w:rPr>
      </w:pPr>
      <w:r w:rsidRPr="00366520">
        <w:rPr>
          <w:b/>
        </w:rPr>
        <w:t>The Facts</w:t>
      </w:r>
    </w:p>
    <w:p w:rsidR="00864613" w:rsidRDefault="00864613" w:rsidP="00B47781">
      <w:pPr>
        <w:spacing w:line="240" w:lineRule="auto"/>
      </w:pPr>
      <w:r>
        <w:t>The Applicant Stephen Moyle was a Patient detained under section 37/41 of the Mental Health</w:t>
      </w:r>
    </w:p>
    <w:p w:rsidR="00864613" w:rsidRDefault="00864613" w:rsidP="00B47781">
      <w:pPr>
        <w:spacing w:line="240" w:lineRule="auto"/>
      </w:pPr>
      <w:r>
        <w:t>Act 1983 (“the Act”) having pleaded guilty on the 21st November 1990 to an offence of unlawful</w:t>
      </w:r>
    </w:p>
    <w:p w:rsidR="00864613" w:rsidRDefault="00864613" w:rsidP="00B47781">
      <w:pPr>
        <w:spacing w:line="240" w:lineRule="auto"/>
      </w:pPr>
      <w:r>
        <w:t>wounding. His legal categorisation</w:t>
      </w:r>
      <w:r w:rsidR="00366520">
        <w:rPr>
          <w:rStyle w:val="FootnoteReference"/>
        </w:rPr>
        <w:footnoteReference w:id="2"/>
      </w:r>
      <w:r>
        <w:t xml:space="preserve"> had originally been one of mental illness, which had been</w:t>
      </w:r>
    </w:p>
    <w:p w:rsidR="00864613" w:rsidRDefault="00864613" w:rsidP="00B47781">
      <w:pPr>
        <w:spacing w:line="240" w:lineRule="auto"/>
      </w:pPr>
      <w:r>
        <w:t>amended to mental illness and psychopathic disorder for a time and had reverted to mental illness</w:t>
      </w:r>
    </w:p>
    <w:p w:rsidR="00864613" w:rsidRDefault="00864613" w:rsidP="00B47781">
      <w:pPr>
        <w:spacing w:line="240" w:lineRule="auto"/>
      </w:pPr>
      <w:r>
        <w:t>in 1995.</w:t>
      </w:r>
    </w:p>
    <w:p w:rsidR="00864613" w:rsidRDefault="00864613" w:rsidP="00B47781">
      <w:pPr>
        <w:spacing w:line="240" w:lineRule="auto"/>
      </w:pPr>
      <w:r>
        <w:t>He applied for a Mental Health Review Tribunal (“MHRT”) on 23rd June 1998 and was at that date</w:t>
      </w:r>
    </w:p>
    <w:p w:rsidR="00864613" w:rsidRDefault="00864613" w:rsidP="00B47781">
      <w:pPr>
        <w:spacing w:line="240" w:lineRule="auto"/>
      </w:pPr>
      <w:r>
        <w:t>and throughout the time up to his MHRT asymptomatic as a consequence of medication.</w:t>
      </w:r>
    </w:p>
    <w:p w:rsidR="00864613" w:rsidRDefault="00864613" w:rsidP="00B47781">
      <w:pPr>
        <w:spacing w:line="240" w:lineRule="auto"/>
      </w:pPr>
      <w:r>
        <w:t>The medical evidence before the MHRT was that:-</w:t>
      </w:r>
    </w:p>
    <w:p w:rsidR="00864613" w:rsidRDefault="00864613" w:rsidP="00B47781">
      <w:pPr>
        <w:spacing w:line="240" w:lineRule="auto"/>
      </w:pPr>
      <w:r>
        <w:t>“his condition was such as would not make it appropriate for him to be liable to be detained were</w:t>
      </w:r>
    </w:p>
    <w:p w:rsidR="00864613" w:rsidRDefault="00864613" w:rsidP="00B47781">
      <w:pPr>
        <w:spacing w:line="240" w:lineRule="auto"/>
      </w:pPr>
      <w:r>
        <w:t>he in the community</w:t>
      </w:r>
      <w:r w:rsidR="00366520">
        <w:rPr>
          <w:rStyle w:val="FootnoteReference"/>
        </w:rPr>
        <w:footnoteReference w:id="3"/>
      </w:r>
      <w:r>
        <w:t>. However .........were he to stop taking the medication , he would quickly</w:t>
      </w:r>
    </w:p>
    <w:p w:rsidR="00864613" w:rsidRDefault="00864613" w:rsidP="00366520">
      <w:pPr>
        <w:spacing w:line="240" w:lineRule="auto"/>
      </w:pPr>
      <w:r>
        <w:lastRenderedPageBreak/>
        <w:t>relapse, and that after any relapse, it would be more difficult to produce satisfactory control of his</w:t>
      </w:r>
    </w:p>
    <w:p w:rsidR="00864613" w:rsidRDefault="00366520" w:rsidP="00366520">
      <w:pPr>
        <w:spacing w:line="240" w:lineRule="auto"/>
      </w:pPr>
      <w:r>
        <w:t>symptoms with drugs.”</w:t>
      </w:r>
      <w:r>
        <w:rPr>
          <w:rStyle w:val="FootnoteReference"/>
        </w:rPr>
        <w:footnoteReference w:id="4"/>
      </w:r>
    </w:p>
    <w:p w:rsidR="00864613" w:rsidRDefault="00864613" w:rsidP="00366520">
      <w:pPr>
        <w:spacing w:line="240" w:lineRule="auto"/>
      </w:pPr>
      <w:r>
        <w:t>The Psychiatrists giving evidence were all agreed that:</w:t>
      </w:r>
    </w:p>
    <w:p w:rsidR="00864613" w:rsidRDefault="00864613" w:rsidP="00366520">
      <w:pPr>
        <w:spacing w:line="240" w:lineRule="auto"/>
      </w:pPr>
      <w:r>
        <w:t>“were he to relapse he would pose a danger to himself and others”.</w:t>
      </w:r>
    </w:p>
    <w:p w:rsidR="00864613" w:rsidRDefault="00864613" w:rsidP="00366520">
      <w:pPr>
        <w:spacing w:line="240" w:lineRule="auto"/>
      </w:pPr>
      <w:r>
        <w:t>It was submitted to the Tribunal on behalf of the applicant that the admission and discharge criteria</w:t>
      </w:r>
    </w:p>
    <w:p w:rsidR="00864613" w:rsidRDefault="00864613" w:rsidP="00366520">
      <w:pPr>
        <w:spacing w:line="240" w:lineRule="auto"/>
      </w:pPr>
      <w:r>
        <w:t>should mirror each other so that if it was not appropriate for him to be admitted to detention from</w:t>
      </w:r>
    </w:p>
    <w:p w:rsidR="00587385" w:rsidRDefault="00864613" w:rsidP="00366520">
      <w:pPr>
        <w:spacing w:line="240" w:lineRule="auto"/>
      </w:pPr>
      <w:r>
        <w:t>the community in his present condition, then he must be discharged. The applicant himself gave an</w:t>
      </w:r>
    </w:p>
    <w:p w:rsidR="00366520" w:rsidRDefault="00366520" w:rsidP="00366520">
      <w:pPr>
        <w:spacing w:line="240" w:lineRule="auto"/>
      </w:pPr>
      <w:r>
        <w:t>assurance to the MHRT that were he to be discharged he would continue with the medication.</w:t>
      </w:r>
    </w:p>
    <w:p w:rsidR="00366520" w:rsidRDefault="00366520" w:rsidP="00366520">
      <w:pPr>
        <w:spacing w:line="240" w:lineRule="auto"/>
      </w:pPr>
      <w:r>
        <w:t>The MHRT rejected the legal submission and did not accept the patient’s assurance, as:-</w:t>
      </w:r>
    </w:p>
    <w:p w:rsidR="00366520" w:rsidRDefault="00366520" w:rsidP="00366520">
      <w:pPr>
        <w:spacing w:line="240" w:lineRule="auto"/>
      </w:pPr>
      <w:r>
        <w:t>“they could not be satisfied that his mental illness was not of a nature which made it appropriate</w:t>
      </w:r>
    </w:p>
    <w:p w:rsidR="00366520" w:rsidRDefault="00366520" w:rsidP="00366520">
      <w:pPr>
        <w:spacing w:line="240" w:lineRule="auto"/>
      </w:pPr>
      <w:proofErr w:type="gramStart"/>
      <w:r>
        <w:t>for</w:t>
      </w:r>
      <w:proofErr w:type="gramEnd"/>
      <w:r>
        <w:t xml:space="preserve"> him to be liable to be detained in a hospital for medical treatment, nor that he would not be a</w:t>
      </w:r>
    </w:p>
    <w:p w:rsidR="00366520" w:rsidRDefault="00366520" w:rsidP="00366520">
      <w:pPr>
        <w:spacing w:line="240" w:lineRule="auto"/>
      </w:pPr>
      <w:r>
        <w:t>danger to himself or others were he to be discharged”.</w:t>
      </w:r>
    </w:p>
    <w:p w:rsidR="00366520" w:rsidRDefault="00366520" w:rsidP="00366520">
      <w:pPr>
        <w:spacing w:line="240" w:lineRule="auto"/>
      </w:pPr>
    </w:p>
    <w:p w:rsidR="00366520" w:rsidRDefault="00366520" w:rsidP="00366520">
      <w:pPr>
        <w:spacing w:line="240" w:lineRule="auto"/>
      </w:pPr>
      <w:r>
        <w:t>The applicant sought judicial review of the MHRT’s decision on the basis that it was unlawful</w:t>
      </w:r>
    </w:p>
    <w:p w:rsidR="00366520" w:rsidRDefault="00366520" w:rsidP="00366520">
      <w:pPr>
        <w:spacing w:line="240" w:lineRule="auto"/>
      </w:pPr>
      <w:r>
        <w:t>because the MHRT had misdirected itself as to the law to be applied to an application for</w:t>
      </w:r>
    </w:p>
    <w:p w:rsidR="00366520" w:rsidRDefault="00366520" w:rsidP="00366520">
      <w:pPr>
        <w:spacing w:line="240" w:lineRule="auto"/>
      </w:pPr>
      <w:r>
        <w:t>discharge, and irrational, in that the medical evidence was only capable of supporting the</w:t>
      </w:r>
    </w:p>
    <w:p w:rsidR="00366520" w:rsidRDefault="00366520" w:rsidP="00366520">
      <w:pPr>
        <w:spacing w:line="240" w:lineRule="auto"/>
      </w:pPr>
      <w:r>
        <w:t>conclusion that he should be discharged.</w:t>
      </w:r>
    </w:p>
    <w:p w:rsidR="00C55889" w:rsidRPr="00C55889" w:rsidRDefault="00C55889" w:rsidP="00366520">
      <w:pPr>
        <w:spacing w:line="240" w:lineRule="auto"/>
        <w:rPr>
          <w:b/>
        </w:rPr>
      </w:pPr>
    </w:p>
    <w:p w:rsidR="00C55889" w:rsidRPr="00C55889" w:rsidRDefault="00C55889" w:rsidP="00C55889">
      <w:pPr>
        <w:spacing w:line="240" w:lineRule="auto"/>
        <w:rPr>
          <w:b/>
        </w:rPr>
      </w:pPr>
      <w:r w:rsidRPr="00C55889">
        <w:rPr>
          <w:b/>
        </w:rPr>
        <w:t>The Law</w:t>
      </w:r>
    </w:p>
    <w:p w:rsidR="00C55889" w:rsidRDefault="00C55889" w:rsidP="00C55889">
      <w:pPr>
        <w:spacing w:line="240" w:lineRule="auto"/>
      </w:pPr>
      <w:r>
        <w:t>When a MHRT considers an application from a patient or a reference of a patient detained under</w:t>
      </w:r>
    </w:p>
    <w:p w:rsidR="00C55889" w:rsidRDefault="00C55889" w:rsidP="00C55889">
      <w:pPr>
        <w:spacing w:line="240" w:lineRule="auto"/>
      </w:pPr>
      <w:r>
        <w:t>either an order for admission for treatment</w:t>
      </w:r>
      <w:r>
        <w:rPr>
          <w:rStyle w:val="FootnoteReference"/>
        </w:rPr>
        <w:footnoteReference w:id="5"/>
      </w:r>
      <w:r>
        <w:t xml:space="preserve"> or a hospital order</w:t>
      </w:r>
      <w:r>
        <w:rPr>
          <w:rStyle w:val="FootnoteReference"/>
        </w:rPr>
        <w:footnoteReference w:id="6"/>
      </w:r>
      <w:r>
        <w:t xml:space="preserve"> with or without a restriction</w:t>
      </w:r>
    </w:p>
    <w:p w:rsidR="00C55889" w:rsidRDefault="00C55889" w:rsidP="00C55889">
      <w:pPr>
        <w:spacing w:line="240" w:lineRule="auto"/>
      </w:pPr>
      <w:r>
        <w:t>order</w:t>
      </w:r>
      <w:r>
        <w:rPr>
          <w:rStyle w:val="FootnoteReference"/>
        </w:rPr>
        <w:footnoteReference w:id="7"/>
      </w:r>
      <w:r>
        <w:t xml:space="preserve"> it must order the discharge of the patient if satisfied that either:-</w:t>
      </w:r>
    </w:p>
    <w:p w:rsidR="00C55889" w:rsidRDefault="00C55889" w:rsidP="00C55889">
      <w:pPr>
        <w:spacing w:line="240" w:lineRule="auto"/>
      </w:pPr>
      <w:r>
        <w:t>“he is not then suffering from mental illness, psychopathic disorder, severe mental impairment or</w:t>
      </w:r>
    </w:p>
    <w:p w:rsidR="00C55889" w:rsidRDefault="00C55889" w:rsidP="00C55889">
      <w:pPr>
        <w:spacing w:line="240" w:lineRule="auto"/>
      </w:pPr>
      <w:r>
        <w:t>from any of those forms of disorder of a nature or degree which makes it appropriate for him to</w:t>
      </w:r>
    </w:p>
    <w:p w:rsidR="00C55889" w:rsidRDefault="00C55889" w:rsidP="00C55889">
      <w:pPr>
        <w:spacing w:line="240" w:lineRule="auto"/>
      </w:pPr>
      <w:r>
        <w:t xml:space="preserve">be liable to be detained in a </w:t>
      </w:r>
      <w:r>
        <w:t>hospital for medical treatment”</w:t>
      </w:r>
      <w:r>
        <w:rPr>
          <w:rStyle w:val="FootnoteReference"/>
        </w:rPr>
        <w:footnoteReference w:id="8"/>
      </w:r>
    </w:p>
    <w:p w:rsidR="00C55889" w:rsidRDefault="00C55889" w:rsidP="00C55889">
      <w:pPr>
        <w:spacing w:line="240" w:lineRule="auto"/>
      </w:pPr>
      <w:proofErr w:type="gramStart"/>
      <w:r>
        <w:lastRenderedPageBreak/>
        <w:t>or</w:t>
      </w:r>
      <w:proofErr w:type="gramEnd"/>
    </w:p>
    <w:p w:rsidR="00C55889" w:rsidRDefault="00C55889" w:rsidP="00C55889">
      <w:pPr>
        <w:spacing w:line="240" w:lineRule="auto"/>
      </w:pPr>
      <w:r>
        <w:t>“”that it is not necessary for the health or safety of the patient or for the protection of other</w:t>
      </w:r>
    </w:p>
    <w:p w:rsidR="00C55889" w:rsidRDefault="00C55889" w:rsidP="00C55889">
      <w:pPr>
        <w:spacing w:line="240" w:lineRule="auto"/>
      </w:pPr>
      <w:r>
        <w:t>persons that he should receive such treat</w:t>
      </w:r>
      <w:r w:rsidR="003439A4">
        <w:t>ment”.</w:t>
      </w:r>
      <w:r w:rsidR="003439A4">
        <w:rPr>
          <w:rStyle w:val="FootnoteReference"/>
        </w:rPr>
        <w:footnoteReference w:id="9"/>
      </w:r>
    </w:p>
    <w:p w:rsidR="00C55889" w:rsidRDefault="00C55889" w:rsidP="00C55889">
      <w:pPr>
        <w:spacing w:line="240" w:lineRule="auto"/>
      </w:pPr>
      <w:r>
        <w:t>The MHRT also has a general discretion (other than in the case of restricted patients) to discharge</w:t>
      </w:r>
    </w:p>
    <w:p w:rsidR="00C55889" w:rsidRDefault="00C55889" w:rsidP="00C55889">
      <w:pPr>
        <w:spacing w:line="240" w:lineRule="auto"/>
      </w:pPr>
      <w:r>
        <w:t>the patient when it considers it appropriate and the statutory criteria are not met.</w:t>
      </w:r>
    </w:p>
    <w:p w:rsidR="00C55889" w:rsidRDefault="00C55889" w:rsidP="00C55889">
      <w:pPr>
        <w:spacing w:line="240" w:lineRule="auto"/>
      </w:pPr>
      <w:r>
        <w:t>There are separate discharge criteria</w:t>
      </w:r>
      <w:r w:rsidR="003439A4">
        <w:rPr>
          <w:rStyle w:val="FootnoteReference"/>
        </w:rPr>
        <w:footnoteReference w:id="10"/>
      </w:r>
      <w:r>
        <w:t xml:space="preserve"> in respect of patients detained under an order for admission</w:t>
      </w:r>
    </w:p>
    <w:p w:rsidR="003439A4" w:rsidRDefault="00C55889" w:rsidP="00C55889">
      <w:pPr>
        <w:spacing w:line="240" w:lineRule="auto"/>
      </w:pPr>
      <w:r>
        <w:t>for assessment</w:t>
      </w:r>
      <w:r w:rsidR="003439A4">
        <w:rPr>
          <w:rStyle w:val="FootnoteReference"/>
        </w:rPr>
        <w:footnoteReference w:id="11"/>
      </w:r>
      <w:r>
        <w:t>; subject to Guardianship</w:t>
      </w:r>
      <w:r w:rsidR="003439A4">
        <w:rPr>
          <w:rStyle w:val="FootnoteReference"/>
        </w:rPr>
        <w:footnoteReference w:id="12"/>
      </w:r>
      <w:r>
        <w:t xml:space="preserve"> </w:t>
      </w:r>
      <w:r w:rsidR="003439A4">
        <w:rPr>
          <w:rStyle w:val="FootnoteReference"/>
        </w:rPr>
        <w:footnoteReference w:id="13"/>
      </w:r>
      <w:r>
        <w:t xml:space="preserve"> or subject to Aftercare under Supervision.</w:t>
      </w:r>
      <w:r w:rsidR="003439A4">
        <w:rPr>
          <w:rStyle w:val="FootnoteReference"/>
        </w:rPr>
        <w:footnoteReference w:id="14"/>
      </w:r>
      <w:r w:rsidR="003439A4">
        <w:t xml:space="preserve"> </w:t>
      </w:r>
      <w:r w:rsidR="003439A4">
        <w:rPr>
          <w:rStyle w:val="FootnoteReference"/>
        </w:rPr>
        <w:footnoteReference w:id="15"/>
      </w:r>
    </w:p>
    <w:p w:rsidR="003439A4" w:rsidRDefault="003439A4" w:rsidP="00C55889">
      <w:pPr>
        <w:spacing w:line="240" w:lineRule="auto"/>
      </w:pPr>
    </w:p>
    <w:p w:rsidR="00C55889" w:rsidRDefault="00C55889" w:rsidP="00C55889">
      <w:pPr>
        <w:spacing w:line="240" w:lineRule="auto"/>
      </w:pPr>
      <w:r>
        <w:t>The words “nature or degree” mu</w:t>
      </w:r>
      <w:r w:rsidR="003439A4">
        <w:t>st be construed disjunctively.</w:t>
      </w:r>
      <w:r w:rsidR="003439A4">
        <w:rPr>
          <w:rStyle w:val="FootnoteReference"/>
        </w:rPr>
        <w:footnoteReference w:id="16"/>
      </w:r>
      <w:r>
        <w:t>The double negative requires a</w:t>
      </w:r>
    </w:p>
    <w:p w:rsidR="00C55889" w:rsidRDefault="00C55889" w:rsidP="00C55889">
      <w:pPr>
        <w:spacing w:line="240" w:lineRule="auto"/>
      </w:pPr>
      <w:r>
        <w:t>patient seeking to obtain discharge on the first statutory ground to satisfy the MHRT that his</w:t>
      </w:r>
    </w:p>
    <w:p w:rsidR="00C55889" w:rsidRDefault="00C55889" w:rsidP="00C55889">
      <w:pPr>
        <w:spacing w:line="240" w:lineRule="auto"/>
      </w:pPr>
      <w:r>
        <w:t>mental disorder is not of a nature warranting detention and is not of a degree warranting</w:t>
      </w:r>
    </w:p>
    <w:p w:rsidR="00C55889" w:rsidRDefault="00C55889" w:rsidP="00C55889">
      <w:pPr>
        <w:spacing w:line="240" w:lineRule="auto"/>
      </w:pPr>
      <w:r>
        <w:t>detention.</w:t>
      </w:r>
    </w:p>
    <w:p w:rsidR="003439A4" w:rsidRDefault="003439A4" w:rsidP="00C55889">
      <w:pPr>
        <w:spacing w:line="240" w:lineRule="auto"/>
      </w:pPr>
    </w:p>
    <w:p w:rsidR="00C55889" w:rsidRDefault="00C55889" w:rsidP="00C55889">
      <w:pPr>
        <w:spacing w:line="240" w:lineRule="auto"/>
      </w:pPr>
      <w:r>
        <w:t>The wording of sections 3 and 37 of the Act relating to the criteria for admission to hospital under</w:t>
      </w:r>
    </w:p>
    <w:p w:rsidR="00C55889" w:rsidRDefault="00C55889" w:rsidP="00C55889">
      <w:pPr>
        <w:spacing w:line="240" w:lineRule="auto"/>
      </w:pPr>
      <w:proofErr w:type="gramStart"/>
      <w:r>
        <w:t>a</w:t>
      </w:r>
      <w:proofErr w:type="gramEnd"/>
      <w:r>
        <w:t xml:space="preserve"> treatment order or hospital order respectively are unambiguous as is the wording of section 72</w:t>
      </w:r>
    </w:p>
    <w:p w:rsidR="00C55889" w:rsidRDefault="00C55889" w:rsidP="00C55889">
      <w:pPr>
        <w:spacing w:line="240" w:lineRule="auto"/>
      </w:pPr>
      <w:proofErr w:type="gramStart"/>
      <w:r>
        <w:t>in</w:t>
      </w:r>
      <w:proofErr w:type="gramEnd"/>
      <w:r>
        <w:t xml:space="preserve"> relation to the criteria to be applied when considering discharge of detention. The criteria for</w:t>
      </w:r>
    </w:p>
    <w:p w:rsidR="00C55889" w:rsidRDefault="00C55889" w:rsidP="00C55889">
      <w:pPr>
        <w:spacing w:line="240" w:lineRule="auto"/>
      </w:pPr>
      <w:r>
        <w:t>both detention and discharge include tests that have been termed “appropriateness” and</w:t>
      </w:r>
    </w:p>
    <w:p w:rsidR="00C55889" w:rsidRDefault="00C55889" w:rsidP="00C55889">
      <w:pPr>
        <w:spacing w:line="240" w:lineRule="auto"/>
      </w:pPr>
      <w:r>
        <w:t>“necessity” (or “safety”) tests, and the wording of the “tests” approximate to each other.</w:t>
      </w:r>
    </w:p>
    <w:p w:rsidR="008A4D21" w:rsidRDefault="008A4D21" w:rsidP="00C55889">
      <w:pPr>
        <w:spacing w:line="240" w:lineRule="auto"/>
      </w:pPr>
    </w:p>
    <w:p w:rsidR="008A4D21" w:rsidRDefault="008A4D21" w:rsidP="008A4D21">
      <w:pPr>
        <w:spacing w:line="240" w:lineRule="auto"/>
      </w:pPr>
      <w:r>
        <w:t>There is however a third test that must be satisfied before a treatment order or hospital order can</w:t>
      </w:r>
    </w:p>
    <w:p w:rsidR="008A4D21" w:rsidRDefault="008A4D21" w:rsidP="008A4D21">
      <w:pPr>
        <w:spacing w:line="240" w:lineRule="auto"/>
      </w:pPr>
      <w:proofErr w:type="gramStart"/>
      <w:r>
        <w:t>be</w:t>
      </w:r>
      <w:proofErr w:type="gramEnd"/>
      <w:r>
        <w:t xml:space="preserve"> made in respect of a person suffering from either psychopathic disorder or mental impairment</w:t>
      </w:r>
    </w:p>
    <w:p w:rsidR="008A4D21" w:rsidRDefault="008A4D21" w:rsidP="008A4D21">
      <w:pPr>
        <w:spacing w:line="240" w:lineRule="auto"/>
      </w:pPr>
      <w:r>
        <w:t>namely that “such treatment is likely to alleviate or prevent a deterioration in his treatment”.</w:t>
      </w:r>
      <w:r>
        <w:rPr>
          <w:rStyle w:val="FootnoteReference"/>
        </w:rPr>
        <w:footnoteReference w:id="17"/>
      </w:r>
      <w:r>
        <w:t xml:space="preserve"> This</w:t>
      </w:r>
    </w:p>
    <w:p w:rsidR="008A4D21" w:rsidRDefault="008A4D21" w:rsidP="008A4D21">
      <w:pPr>
        <w:spacing w:line="240" w:lineRule="auto"/>
      </w:pPr>
      <w:r>
        <w:t>has become known as the “treatability” test and is not expressly mirrored in the Section 72</w:t>
      </w:r>
    </w:p>
    <w:p w:rsidR="008A4D21" w:rsidRDefault="008A4D21" w:rsidP="008A4D21">
      <w:pPr>
        <w:spacing w:line="240" w:lineRule="auto"/>
      </w:pPr>
      <w:r>
        <w:t>discharge criteria.</w:t>
      </w:r>
    </w:p>
    <w:p w:rsidR="008A4D21" w:rsidRDefault="008A4D21" w:rsidP="008A4D21">
      <w:pPr>
        <w:spacing w:line="240" w:lineRule="auto"/>
      </w:pPr>
    </w:p>
    <w:p w:rsidR="008A4D21" w:rsidRDefault="008A4D21" w:rsidP="008A4D21">
      <w:pPr>
        <w:spacing w:line="240" w:lineRule="auto"/>
      </w:pPr>
      <w:r>
        <w:t>The consequence appears to be that the untreatable psychopath (or person suffering from mental</w:t>
      </w:r>
    </w:p>
    <w:p w:rsidR="008A4D21" w:rsidRDefault="008A4D21" w:rsidP="008A4D21">
      <w:pPr>
        <w:spacing w:line="240" w:lineRule="auto"/>
      </w:pPr>
      <w:r>
        <w:t>impairment) cannot be detained under the Act but if detained cannot thereafter secure their</w:t>
      </w:r>
    </w:p>
    <w:p w:rsidR="008A4D21" w:rsidRDefault="008A4D21" w:rsidP="008A4D21">
      <w:pPr>
        <w:spacing w:line="240" w:lineRule="auto"/>
      </w:pPr>
      <w:r>
        <w:t>discharge through a MHRT under the mandatory criteria for discharge by showing that their</w:t>
      </w:r>
    </w:p>
    <w:p w:rsidR="008A4D21" w:rsidRDefault="008A4D21" w:rsidP="008A4D21">
      <w:pPr>
        <w:spacing w:line="240" w:lineRule="auto"/>
      </w:pPr>
      <w:proofErr w:type="gramStart"/>
      <w:r>
        <w:t>condition</w:t>
      </w:r>
      <w:proofErr w:type="gramEnd"/>
      <w:r>
        <w:t xml:space="preserve"> is not treatable.</w:t>
      </w:r>
    </w:p>
    <w:p w:rsidR="008A4D21" w:rsidRDefault="008A4D21" w:rsidP="008A4D21">
      <w:pPr>
        <w:spacing w:line="240" w:lineRule="auto"/>
      </w:pPr>
      <w:r>
        <w:t>Whether this is a correct statement of the law received judicial consideration in the case of:-</w:t>
      </w:r>
    </w:p>
    <w:p w:rsidR="00535922" w:rsidRDefault="00535922" w:rsidP="008A4D21">
      <w:pPr>
        <w:spacing w:line="240" w:lineRule="auto"/>
      </w:pPr>
    </w:p>
    <w:p w:rsidR="008A4D21" w:rsidRDefault="008A4D21" w:rsidP="008A4D21">
      <w:pPr>
        <w:spacing w:line="240" w:lineRule="auto"/>
      </w:pPr>
      <w:r w:rsidRPr="00535922">
        <w:rPr>
          <w:i/>
        </w:rPr>
        <w:t>R v Canons Park Mental Hea</w:t>
      </w:r>
      <w:r w:rsidR="00535922" w:rsidRPr="00535922">
        <w:rPr>
          <w:i/>
        </w:rPr>
        <w:t>lth Review Tribunal ex parte A</w:t>
      </w:r>
      <w:r w:rsidR="00535922">
        <w:rPr>
          <w:rStyle w:val="FootnoteReference"/>
        </w:rPr>
        <w:footnoteReference w:id="18"/>
      </w:r>
    </w:p>
    <w:p w:rsidR="008A4D21" w:rsidRDefault="008A4D21" w:rsidP="008A4D21">
      <w:pPr>
        <w:spacing w:line="240" w:lineRule="auto"/>
      </w:pPr>
      <w:r>
        <w:t>In a majority decision in the Court of Appeal Kennedy LJ with whom Nourse LJ agreed considered</w:t>
      </w:r>
    </w:p>
    <w:p w:rsidR="008A4D21" w:rsidRDefault="008A4D21" w:rsidP="008A4D21">
      <w:pPr>
        <w:spacing w:line="240" w:lineRule="auto"/>
      </w:pPr>
      <w:r>
        <w:t>that Parliament had deliberately omitted the “treatability” test, so that section 72 was not to be</w:t>
      </w:r>
    </w:p>
    <w:p w:rsidR="008A4D21" w:rsidRDefault="008A4D21" w:rsidP="008A4D21">
      <w:pPr>
        <w:spacing w:line="240" w:lineRule="auto"/>
      </w:pPr>
      <w:r>
        <w:t>read as if it provided criteria for discharge which in some way referred back to or mirrored the</w:t>
      </w:r>
    </w:p>
    <w:p w:rsidR="008A4D21" w:rsidRDefault="008A4D21" w:rsidP="008A4D21">
      <w:pPr>
        <w:spacing w:line="240" w:lineRule="auto"/>
      </w:pPr>
      <w:r>
        <w:t>criteria for admission.</w:t>
      </w:r>
    </w:p>
    <w:p w:rsidR="00535922" w:rsidRDefault="00535922" w:rsidP="008A4D21">
      <w:pPr>
        <w:spacing w:line="240" w:lineRule="auto"/>
      </w:pPr>
    </w:p>
    <w:p w:rsidR="008A4D21" w:rsidRDefault="008A4D21" w:rsidP="008A4D21">
      <w:pPr>
        <w:spacing w:line="240" w:lineRule="auto"/>
      </w:pPr>
      <w:proofErr w:type="spellStart"/>
      <w:r>
        <w:t>Roch</w:t>
      </w:r>
      <w:proofErr w:type="spellEnd"/>
      <w:r>
        <w:t xml:space="preserve"> LJ gave a dissenting judgment and the case did not receive consideration in the House of</w:t>
      </w:r>
    </w:p>
    <w:p w:rsidR="008A4D21" w:rsidRDefault="008A4D21" w:rsidP="008A4D21">
      <w:pPr>
        <w:spacing w:line="240" w:lineRule="auto"/>
      </w:pPr>
      <w:r>
        <w:t>Lords as it had become academic as a consequence of “A” being re-classified as mentally ill.</w:t>
      </w:r>
    </w:p>
    <w:p w:rsidR="008A4D21" w:rsidRDefault="008A4D21" w:rsidP="008A4D21">
      <w:pPr>
        <w:spacing w:line="240" w:lineRule="auto"/>
      </w:pPr>
      <w:r>
        <w:t>The same issue arose in Scotland some five years later in the case of:-</w:t>
      </w:r>
    </w:p>
    <w:p w:rsidR="00535922" w:rsidRPr="00535922" w:rsidRDefault="00535922" w:rsidP="008A4D21">
      <w:pPr>
        <w:spacing w:line="240" w:lineRule="auto"/>
        <w:rPr>
          <w:i/>
        </w:rPr>
      </w:pPr>
    </w:p>
    <w:p w:rsidR="008A4D21" w:rsidRPr="00535922" w:rsidRDefault="008A4D21" w:rsidP="008A4D21">
      <w:pPr>
        <w:spacing w:line="240" w:lineRule="auto"/>
        <w:rPr>
          <w:i/>
        </w:rPr>
      </w:pPr>
      <w:r w:rsidRPr="00535922">
        <w:rPr>
          <w:i/>
        </w:rPr>
        <w:t>Reid v Secretary of State for Scotla</w:t>
      </w:r>
      <w:r w:rsidR="00535922" w:rsidRPr="00535922">
        <w:rPr>
          <w:i/>
        </w:rPr>
        <w:t>nd</w:t>
      </w:r>
      <w:r w:rsidR="00535922">
        <w:rPr>
          <w:rStyle w:val="FootnoteReference"/>
          <w:i/>
        </w:rPr>
        <w:footnoteReference w:id="19"/>
      </w:r>
    </w:p>
    <w:p w:rsidR="008A4D21" w:rsidRDefault="008A4D21" w:rsidP="00535922">
      <w:pPr>
        <w:spacing w:line="240" w:lineRule="auto"/>
      </w:pPr>
      <w:r>
        <w:t>This case was considered by the House of Lords on the construction of the Scottish statute which</w:t>
      </w:r>
    </w:p>
    <w:p w:rsidR="008A4D21" w:rsidRDefault="008A4D21" w:rsidP="00535922">
      <w:pPr>
        <w:spacing w:line="240" w:lineRule="auto"/>
      </w:pPr>
      <w:r>
        <w:t>was accepted to be to all intents and purposes identical to the English legislation.</w:t>
      </w:r>
    </w:p>
    <w:p w:rsidR="00535922" w:rsidRDefault="00535922" w:rsidP="00535922">
      <w:pPr>
        <w:spacing w:line="240" w:lineRule="auto"/>
      </w:pPr>
    </w:p>
    <w:p w:rsidR="008A4D21" w:rsidRDefault="008A4D21" w:rsidP="00535922">
      <w:pPr>
        <w:spacing w:line="240" w:lineRule="auto"/>
      </w:pPr>
      <w:r>
        <w:t xml:space="preserve">Although </w:t>
      </w:r>
      <w:r w:rsidRPr="00535922">
        <w:rPr>
          <w:i/>
        </w:rPr>
        <w:t>Reid</w:t>
      </w:r>
      <w:r>
        <w:t xml:space="preserve"> does not expressly overrule Canons Park such a conclusion is inevitable and in Moyle</w:t>
      </w:r>
    </w:p>
    <w:p w:rsidR="008A4D21" w:rsidRDefault="008A4D21" w:rsidP="00535922">
      <w:pPr>
        <w:spacing w:line="240" w:lineRule="auto"/>
      </w:pPr>
      <w:r>
        <w:t>Latham J states:-</w:t>
      </w:r>
    </w:p>
    <w:p w:rsidR="008A4D21" w:rsidRDefault="008A4D21" w:rsidP="00535922">
      <w:pPr>
        <w:spacing w:line="240" w:lineRule="auto"/>
      </w:pPr>
      <w:r>
        <w:t>“Although, at page 42H [of the judgment in Reid] Lord Hope expressly stated that he would not</w:t>
      </w:r>
    </w:p>
    <w:p w:rsidR="008A4D21" w:rsidRDefault="008A4D21" w:rsidP="00535922">
      <w:pPr>
        <w:spacing w:line="240" w:lineRule="auto"/>
      </w:pPr>
      <w:r>
        <w:t>wish to go so far as to say Canons Park had been wrongly decided, it is in my judgment inevitable</w:t>
      </w:r>
    </w:p>
    <w:p w:rsidR="008A4D21" w:rsidRDefault="008A4D21" w:rsidP="00535922">
      <w:pPr>
        <w:spacing w:line="240" w:lineRule="auto"/>
      </w:pPr>
      <w:r>
        <w:t xml:space="preserve">that in agreeing with </w:t>
      </w:r>
      <w:proofErr w:type="spellStart"/>
      <w:r>
        <w:t>Roch</w:t>
      </w:r>
      <w:proofErr w:type="spellEnd"/>
      <w:r>
        <w:t xml:space="preserve"> LJ on the issue of statutory construction, he was disagreeing with</w:t>
      </w:r>
    </w:p>
    <w:p w:rsidR="00535922" w:rsidRDefault="00535922" w:rsidP="00535922">
      <w:pPr>
        <w:spacing w:line="240" w:lineRule="auto"/>
      </w:pPr>
      <w:r>
        <w:t>Kennedy LJ and Nourse L J.”</w:t>
      </w:r>
    </w:p>
    <w:p w:rsidR="008A4D21" w:rsidRDefault="008A4D21" w:rsidP="00535922">
      <w:pPr>
        <w:spacing w:line="240" w:lineRule="auto"/>
      </w:pPr>
      <w:r>
        <w:t xml:space="preserve">The ratio of </w:t>
      </w:r>
      <w:r w:rsidRPr="00535922">
        <w:rPr>
          <w:i/>
        </w:rPr>
        <w:t>Reid</w:t>
      </w:r>
      <w:r>
        <w:t xml:space="preserve"> is:-</w:t>
      </w:r>
    </w:p>
    <w:p w:rsidR="008A4D21" w:rsidRDefault="008A4D21" w:rsidP="00535922">
      <w:pPr>
        <w:spacing w:line="240" w:lineRule="auto"/>
      </w:pPr>
      <w:r>
        <w:lastRenderedPageBreak/>
        <w:t>“By referring to a mental disorder of a nature or degree which made it “appropriate for him to be</w:t>
      </w:r>
    </w:p>
    <w:p w:rsidR="008A4D21" w:rsidRDefault="008A4D21" w:rsidP="00535922">
      <w:pPr>
        <w:spacing w:line="240" w:lineRule="auto"/>
      </w:pPr>
      <w:r>
        <w:t>liable to be detained”, section 64 of the 1984 Act referred back to section 17 with the result that</w:t>
      </w:r>
    </w:p>
    <w:p w:rsidR="008A4D21" w:rsidRDefault="008A4D21" w:rsidP="00535922">
      <w:pPr>
        <w:spacing w:line="240" w:lineRule="auto"/>
      </w:pPr>
      <w:r>
        <w:t>the issues which the Sheriff or Tribunal were required to address when considering an application</w:t>
      </w:r>
    </w:p>
    <w:p w:rsidR="008A4D21" w:rsidRDefault="008A4D21" w:rsidP="00535922">
      <w:pPr>
        <w:spacing w:line="240" w:lineRule="auto"/>
      </w:pPr>
      <w:r>
        <w:t>for discharge under section 64 of a patient who was subject to a restriction order without limit of</w:t>
      </w:r>
    </w:p>
    <w:p w:rsidR="008A4D21" w:rsidRDefault="008A4D21" w:rsidP="00535922">
      <w:pPr>
        <w:spacing w:line="240" w:lineRule="auto"/>
      </w:pPr>
      <w:r>
        <w:t>time were the same as those which had to be considered when an application was made under</w:t>
      </w:r>
    </w:p>
    <w:p w:rsidR="008A4D21" w:rsidRDefault="008A4D21" w:rsidP="00535922">
      <w:pPr>
        <w:spacing w:line="240" w:lineRule="auto"/>
      </w:pPr>
      <w:r>
        <w:t>section 17(</w:t>
      </w:r>
      <w:r w:rsidR="00535922">
        <w:t>1) for admission to hospital.”</w:t>
      </w:r>
      <w:r w:rsidR="00535922">
        <w:rPr>
          <w:rStyle w:val="FootnoteReference"/>
        </w:rPr>
        <w:footnoteReference w:id="20"/>
      </w:r>
    </w:p>
    <w:p w:rsidR="00535922" w:rsidRDefault="00535922" w:rsidP="00535922">
      <w:pPr>
        <w:spacing w:line="240" w:lineRule="auto"/>
      </w:pPr>
    </w:p>
    <w:p w:rsidR="008A4D21" w:rsidRDefault="008A4D21" w:rsidP="00535922">
      <w:pPr>
        <w:spacing w:line="240" w:lineRule="auto"/>
      </w:pPr>
      <w:r>
        <w:t>Applied to the English legislation the ratio of the House of Lords judgment is that the section 72</w:t>
      </w:r>
    </w:p>
    <w:p w:rsidR="008A4D21" w:rsidRDefault="008A4D21" w:rsidP="00535922">
      <w:pPr>
        <w:spacing w:line="240" w:lineRule="auto"/>
      </w:pPr>
      <w:r>
        <w:t>criteria to be applied when considering discharge should be the same as those that had to be</w:t>
      </w:r>
    </w:p>
    <w:p w:rsidR="008A4D21" w:rsidRDefault="008A4D21" w:rsidP="00535922">
      <w:pPr>
        <w:spacing w:line="240" w:lineRule="auto"/>
      </w:pPr>
      <w:r>
        <w:t>considered for detention when making an application under section 3 (or imposing a hospital order</w:t>
      </w:r>
    </w:p>
    <w:p w:rsidR="008A4D21" w:rsidRDefault="008A4D21" w:rsidP="00535922">
      <w:pPr>
        <w:spacing w:line="240" w:lineRule="auto"/>
      </w:pPr>
      <w:r>
        <w:t>under section 37).</w:t>
      </w:r>
    </w:p>
    <w:p w:rsidR="00CA5C20" w:rsidRDefault="00CA5C20" w:rsidP="00535922">
      <w:pPr>
        <w:spacing w:line="240" w:lineRule="auto"/>
      </w:pPr>
    </w:p>
    <w:p w:rsidR="00CA5C20" w:rsidRPr="00CA5C20" w:rsidRDefault="00CA5C20" w:rsidP="00CA5C20">
      <w:pPr>
        <w:spacing w:line="240" w:lineRule="auto"/>
        <w:rPr>
          <w:b/>
        </w:rPr>
      </w:pPr>
      <w:r w:rsidRPr="00CA5C20">
        <w:rPr>
          <w:b/>
        </w:rPr>
        <w:t>The Decision</w:t>
      </w:r>
    </w:p>
    <w:p w:rsidR="00CA5C20" w:rsidRDefault="00CA5C20" w:rsidP="00CA5C20">
      <w:pPr>
        <w:spacing w:line="240" w:lineRule="auto"/>
      </w:pPr>
      <w:r>
        <w:t>The court in Moyle applied the Reid principle to the case of a patient with a mental illness, who as</w:t>
      </w:r>
    </w:p>
    <w:p w:rsidR="00CA5C20" w:rsidRDefault="00CA5C20" w:rsidP="00CA5C20">
      <w:pPr>
        <w:spacing w:line="240" w:lineRule="auto"/>
      </w:pPr>
      <w:proofErr w:type="gramStart"/>
      <w:r>
        <w:t>a</w:t>
      </w:r>
      <w:proofErr w:type="gramEnd"/>
      <w:r>
        <w:t xml:space="preserve"> result of taking medication was asymptomatic. The MHRT’s decision was quashed, and Stephen</w:t>
      </w:r>
    </w:p>
    <w:p w:rsidR="00CA5C20" w:rsidRDefault="00CA5C20" w:rsidP="00CA5C20">
      <w:pPr>
        <w:spacing w:line="240" w:lineRule="auto"/>
      </w:pPr>
      <w:r>
        <w:t>Moyle’s case was remitted to the MHRT for reconsideration. The application for judicial review</w:t>
      </w:r>
    </w:p>
    <w:p w:rsidR="00CA5C20" w:rsidRDefault="00CA5C20" w:rsidP="00CA5C20">
      <w:pPr>
        <w:spacing w:line="240" w:lineRule="auto"/>
      </w:pPr>
      <w:r>
        <w:t>was successful as the MHRT had failed to ask themselves the correct question when considering</w:t>
      </w:r>
    </w:p>
    <w:p w:rsidR="00CA5C20" w:rsidRDefault="00CA5C20" w:rsidP="00CA5C20">
      <w:pPr>
        <w:spacing w:line="240" w:lineRule="auto"/>
      </w:pPr>
      <w:r>
        <w:t>the appropriateness of detention.</w:t>
      </w:r>
    </w:p>
    <w:p w:rsidR="00CA5C20" w:rsidRDefault="00CA5C20" w:rsidP="00CA5C20">
      <w:pPr>
        <w:spacing w:line="240" w:lineRule="auto"/>
      </w:pPr>
      <w:r>
        <w:t>“By expressly disavowing the relevance of the admission criteria, I consider that they were wrong</w:t>
      </w:r>
    </w:p>
    <w:p w:rsidR="00CA5C20" w:rsidRDefault="00CA5C20" w:rsidP="00CA5C20">
      <w:pPr>
        <w:spacing w:line="240" w:lineRule="auto"/>
      </w:pPr>
      <w:proofErr w:type="gramStart"/>
      <w:r>
        <w:t>in</w:t>
      </w:r>
      <w:proofErr w:type="gramEnd"/>
      <w:r>
        <w:t xml:space="preserve"> law.”</w:t>
      </w:r>
      <w:r>
        <w:rPr>
          <w:rStyle w:val="FootnoteReference"/>
        </w:rPr>
        <w:footnoteReference w:id="21"/>
      </w:r>
    </w:p>
    <w:p w:rsidR="00CA5C20" w:rsidRDefault="00CA5C20" w:rsidP="00CA5C20">
      <w:pPr>
        <w:spacing w:line="240" w:lineRule="auto"/>
      </w:pPr>
      <w:r>
        <w:t>The Tribunal concluded that Stephen Moyle’s illness could not be considered to be of a degree</w:t>
      </w:r>
    </w:p>
    <w:p w:rsidR="00CA5C20" w:rsidRDefault="00CA5C20" w:rsidP="00CA5C20">
      <w:pPr>
        <w:spacing w:line="240" w:lineRule="auto"/>
      </w:pPr>
      <w:r>
        <w:t>making detention appropriate. The key issue was whether the nature of the illness made it</w:t>
      </w:r>
    </w:p>
    <w:p w:rsidR="00CA5C20" w:rsidRDefault="00CA5C20" w:rsidP="00CA5C20">
      <w:pPr>
        <w:spacing w:line="240" w:lineRule="auto"/>
      </w:pPr>
      <w:r>
        <w:t>appropriate to detain or discharge.</w:t>
      </w:r>
    </w:p>
    <w:p w:rsidR="00CA5C20" w:rsidRDefault="00CA5C20" w:rsidP="00CA5C20">
      <w:pPr>
        <w:spacing w:line="240" w:lineRule="auto"/>
      </w:pPr>
      <w:r>
        <w:t>Mr Justice Latham stated:-</w:t>
      </w:r>
    </w:p>
    <w:p w:rsidR="00CA5C20" w:rsidRDefault="00CA5C20" w:rsidP="00CA5C20">
      <w:pPr>
        <w:spacing w:line="240" w:lineRule="auto"/>
      </w:pPr>
      <w:r>
        <w:t>“The correct analysis, in my judgment, is that the nature of the illness of a patient such as the</w:t>
      </w:r>
    </w:p>
    <w:p w:rsidR="00CA5C20" w:rsidRDefault="00CA5C20" w:rsidP="00CA5C20">
      <w:pPr>
        <w:spacing w:line="240" w:lineRule="auto"/>
      </w:pPr>
      <w:r>
        <w:t>applicant is that it is an illness which will relapse in the absence of medication. The question that</w:t>
      </w:r>
    </w:p>
    <w:p w:rsidR="00CA5C20" w:rsidRDefault="00CA5C20" w:rsidP="00CA5C20">
      <w:pPr>
        <w:spacing w:line="240" w:lineRule="auto"/>
      </w:pPr>
      <w:r>
        <w:t>then has to be asked is whether the nature of that illness is such as to make it appropriate for him</w:t>
      </w:r>
    </w:p>
    <w:p w:rsidR="00CA5C20" w:rsidRDefault="00CA5C20" w:rsidP="00CA5C20">
      <w:pPr>
        <w:spacing w:line="240" w:lineRule="auto"/>
      </w:pPr>
      <w:r>
        <w:t>to be liable to be detained in hospital for medical treatment. Whether it is appropriate or not will</w:t>
      </w:r>
    </w:p>
    <w:p w:rsidR="00CA5C20" w:rsidRDefault="00CA5C20" w:rsidP="00CA5C20">
      <w:pPr>
        <w:spacing w:line="240" w:lineRule="auto"/>
      </w:pPr>
      <w:r>
        <w:lastRenderedPageBreak/>
        <w:t>depend upon an assessment of the probability that he will relapse in the near future if he were free</w:t>
      </w:r>
    </w:p>
    <w:p w:rsidR="00CA5C20" w:rsidRDefault="00B044FA" w:rsidP="00CA5C20">
      <w:pPr>
        <w:spacing w:line="240" w:lineRule="auto"/>
      </w:pPr>
      <w:r>
        <w:t>in the community”.</w:t>
      </w:r>
      <w:r>
        <w:rPr>
          <w:rStyle w:val="FootnoteReference"/>
        </w:rPr>
        <w:footnoteReference w:id="22"/>
      </w:r>
    </w:p>
    <w:p w:rsidR="00B044FA" w:rsidRPr="00B044FA" w:rsidRDefault="00B044FA" w:rsidP="00CA5C20">
      <w:pPr>
        <w:spacing w:line="240" w:lineRule="auto"/>
        <w:rPr>
          <w:b/>
        </w:rPr>
      </w:pPr>
    </w:p>
    <w:p w:rsidR="00CA5C20" w:rsidRPr="00B044FA" w:rsidRDefault="00CA5C20" w:rsidP="00CA5C20">
      <w:pPr>
        <w:spacing w:line="240" w:lineRule="auto"/>
        <w:rPr>
          <w:b/>
        </w:rPr>
      </w:pPr>
      <w:r w:rsidRPr="00B044FA">
        <w:rPr>
          <w:b/>
        </w:rPr>
        <w:t>Comment</w:t>
      </w:r>
    </w:p>
    <w:p w:rsidR="00CA5C20" w:rsidRPr="00B044FA" w:rsidRDefault="00CA5C20" w:rsidP="00CA5C20">
      <w:pPr>
        <w:spacing w:line="240" w:lineRule="auto"/>
        <w:rPr>
          <w:i/>
        </w:rPr>
      </w:pPr>
      <w:r w:rsidRPr="00B044FA">
        <w:rPr>
          <w:i/>
        </w:rPr>
        <w:t>The Test for Discharge</w:t>
      </w:r>
    </w:p>
    <w:p w:rsidR="00CA5C20" w:rsidRDefault="00CA5C20" w:rsidP="00B044FA">
      <w:pPr>
        <w:spacing w:line="240" w:lineRule="auto"/>
      </w:pPr>
      <w:r>
        <w:t>The case has caused some consternation amongst practitioners partly because they may have had</w:t>
      </w:r>
    </w:p>
    <w:p w:rsidR="00CA5C20" w:rsidRDefault="00CA5C20" w:rsidP="00B044FA">
      <w:pPr>
        <w:spacing w:line="240" w:lineRule="auto"/>
      </w:pPr>
      <w:r>
        <w:t>difficulty in appreciating its significance, as they have always regarded the non-sectionable patient</w:t>
      </w:r>
    </w:p>
    <w:p w:rsidR="00CA5C20" w:rsidRDefault="00CA5C20" w:rsidP="00B044FA">
      <w:pPr>
        <w:spacing w:line="240" w:lineRule="auto"/>
      </w:pPr>
      <w:proofErr w:type="gramStart"/>
      <w:r>
        <w:t>as</w:t>
      </w:r>
      <w:proofErr w:type="gramEnd"/>
      <w:r>
        <w:t xml:space="preserve"> a dischargeable patient and partly because the headnotes of the law reports fail to highlight the</w:t>
      </w:r>
    </w:p>
    <w:p w:rsidR="00B044FA" w:rsidRDefault="00CA5C20" w:rsidP="00B044FA">
      <w:pPr>
        <w:spacing w:line="240" w:lineRule="auto"/>
      </w:pPr>
      <w:r>
        <w:t>way in which the case analyses the meaning of “nature” within section 7</w:t>
      </w:r>
      <w:r w:rsidR="00B044FA">
        <w:t xml:space="preserve">2 and in consequence </w:t>
      </w:r>
    </w:p>
    <w:p w:rsidR="00CA5C20" w:rsidRDefault="00B044FA" w:rsidP="00B044FA">
      <w:pPr>
        <w:spacing w:line="240" w:lineRule="auto"/>
      </w:pPr>
      <w:r>
        <w:t xml:space="preserve">reinforces the judgment in </w:t>
      </w:r>
      <w:r w:rsidRPr="00B044FA">
        <w:rPr>
          <w:i/>
        </w:rPr>
        <w:t>Smith</w:t>
      </w:r>
      <w:r>
        <w:t>.</w:t>
      </w:r>
      <w:r>
        <w:rPr>
          <w:rStyle w:val="FootnoteReference"/>
        </w:rPr>
        <w:footnoteReference w:id="23"/>
      </w:r>
    </w:p>
    <w:p w:rsidR="00CA5C20" w:rsidRDefault="00CA5C20" w:rsidP="00B044FA">
      <w:pPr>
        <w:spacing w:line="240" w:lineRule="auto"/>
      </w:pPr>
      <w:r>
        <w:t xml:space="preserve">The headnote in The Times Law Report of </w:t>
      </w:r>
      <w:r w:rsidRPr="00B044FA">
        <w:rPr>
          <w:i/>
        </w:rPr>
        <w:t>Moyle</w:t>
      </w:r>
      <w:r>
        <w:t xml:space="preserve"> states:-</w:t>
      </w:r>
    </w:p>
    <w:p w:rsidR="00CA5C20" w:rsidRDefault="00CA5C20" w:rsidP="00B044FA">
      <w:pPr>
        <w:spacing w:line="240" w:lineRule="auto"/>
      </w:pPr>
      <w:r>
        <w:t>“On an application for discharge by a restricted patient, section 72 of the Mental Health Act 1983</w:t>
      </w:r>
    </w:p>
    <w:p w:rsidR="00CA5C20" w:rsidRDefault="00CA5C20" w:rsidP="00B044FA">
      <w:pPr>
        <w:spacing w:line="240" w:lineRule="auto"/>
      </w:pPr>
      <w:r>
        <w:t>was to be construed by reference to the statutory criteria for hospital detention set out in section</w:t>
      </w:r>
    </w:p>
    <w:p w:rsidR="00CA5C20" w:rsidRDefault="00B044FA" w:rsidP="00B044FA">
      <w:pPr>
        <w:spacing w:line="240" w:lineRule="auto"/>
      </w:pPr>
      <w:r>
        <w:t>3 of that Act.”</w:t>
      </w:r>
      <w:r>
        <w:rPr>
          <w:rStyle w:val="FootnoteReference"/>
        </w:rPr>
        <w:footnoteReference w:id="24"/>
      </w:r>
    </w:p>
    <w:p w:rsidR="00B044FA" w:rsidRDefault="00B044FA" w:rsidP="00B044FA">
      <w:pPr>
        <w:spacing w:line="240" w:lineRule="auto"/>
      </w:pPr>
    </w:p>
    <w:p w:rsidR="00CA5C20" w:rsidRDefault="00CA5C20" w:rsidP="00B044FA">
      <w:pPr>
        <w:spacing w:line="240" w:lineRule="auto"/>
      </w:pPr>
      <w:r>
        <w:t>The headnote in Lawtel states:-</w:t>
      </w:r>
    </w:p>
    <w:p w:rsidR="00B044FA" w:rsidRDefault="00B044FA" w:rsidP="00B044FA">
      <w:pPr>
        <w:spacing w:line="240" w:lineRule="auto"/>
      </w:pPr>
    </w:p>
    <w:p w:rsidR="00CA5C20" w:rsidRDefault="00CA5C20" w:rsidP="00996AB1">
      <w:pPr>
        <w:spacing w:line="240" w:lineRule="auto"/>
      </w:pPr>
      <w:r>
        <w:t>“The same criteria had to be applied by a mental health review tribunal in relation to admission and</w:t>
      </w:r>
    </w:p>
    <w:p w:rsidR="00CA5C20" w:rsidRDefault="00CA5C20" w:rsidP="00996AB1">
      <w:pPr>
        <w:spacing w:line="240" w:lineRule="auto"/>
      </w:pPr>
      <w:r>
        <w:t>discharge of a patient subject to a hospital order with restrictions unlimited in time, but the burden</w:t>
      </w:r>
    </w:p>
    <w:p w:rsidR="00CA5C20" w:rsidRDefault="00CA5C20" w:rsidP="00996AB1">
      <w:pPr>
        <w:spacing w:line="240" w:lineRule="auto"/>
      </w:pPr>
      <w:r>
        <w:t>of proof was reversed for the purposes of consideration of discharge. Whether it was appropriate or</w:t>
      </w:r>
    </w:p>
    <w:p w:rsidR="00996AB1" w:rsidRDefault="00CA5C20" w:rsidP="00996AB1">
      <w:pPr>
        <w:spacing w:line="240" w:lineRule="auto"/>
      </w:pPr>
      <w:r>
        <w:t xml:space="preserve">not for the patient to be detained in hospital for medical treatment depended upon an assessment </w:t>
      </w:r>
    </w:p>
    <w:p w:rsidR="00996AB1" w:rsidRDefault="00996AB1" w:rsidP="00996AB1">
      <w:pPr>
        <w:spacing w:line="240" w:lineRule="auto"/>
      </w:pPr>
      <w:r>
        <w:t xml:space="preserve">of </w:t>
      </w:r>
      <w:r w:rsidR="00CA5C20">
        <w:t xml:space="preserve">the probability that the applicant would relapse in the near future if he was free in the </w:t>
      </w:r>
    </w:p>
    <w:p w:rsidR="00996AB1" w:rsidRDefault="00996AB1" w:rsidP="00996AB1">
      <w:pPr>
        <w:spacing w:line="240" w:lineRule="auto"/>
      </w:pPr>
      <w:r>
        <w:t xml:space="preserve">community, </w:t>
      </w:r>
      <w:r w:rsidR="00CA5C20">
        <w:t>and that value judgment had to be exercised in the context of</w:t>
      </w:r>
      <w:r w:rsidR="00B044FA">
        <w:t xml:space="preserve"> the reverse burden of </w:t>
      </w:r>
    </w:p>
    <w:p w:rsidR="00602F51" w:rsidRDefault="00B044FA" w:rsidP="00996AB1">
      <w:pPr>
        <w:spacing w:line="240" w:lineRule="auto"/>
      </w:pPr>
      <w:proofErr w:type="gramStart"/>
      <w:r>
        <w:t>proof</w:t>
      </w:r>
      <w:proofErr w:type="gramEnd"/>
      <w:r>
        <w:t>.”</w:t>
      </w:r>
      <w:r>
        <w:rPr>
          <w:rStyle w:val="FootnoteReference"/>
        </w:rPr>
        <w:footnoteReference w:id="25"/>
      </w:r>
    </w:p>
    <w:p w:rsidR="00602F51" w:rsidRDefault="00602F51" w:rsidP="00996AB1">
      <w:pPr>
        <w:spacing w:line="240" w:lineRule="auto"/>
      </w:pPr>
    </w:p>
    <w:p w:rsidR="00602F51" w:rsidRDefault="00602F51" w:rsidP="00602F51">
      <w:pPr>
        <w:spacing w:line="240" w:lineRule="auto"/>
      </w:pPr>
      <w:r>
        <w:t>The case should not however be confined to restricted patients and must have a general</w:t>
      </w:r>
    </w:p>
    <w:p w:rsidR="00602F51" w:rsidRDefault="00602F51" w:rsidP="00602F51">
      <w:pPr>
        <w:spacing w:line="240" w:lineRule="auto"/>
      </w:pPr>
      <w:proofErr w:type="gramStart"/>
      <w:r>
        <w:t>applicability</w:t>
      </w:r>
      <w:proofErr w:type="gramEnd"/>
      <w:r>
        <w:t xml:space="preserve"> to any person</w:t>
      </w:r>
      <w:r>
        <w:rPr>
          <w:rStyle w:val="FootnoteReference"/>
        </w:rPr>
        <w:footnoteReference w:id="26"/>
      </w:r>
      <w:r>
        <w:t xml:space="preserve"> subject to the Act who has the right to make an application or be the</w:t>
      </w:r>
    </w:p>
    <w:p w:rsidR="00602F51" w:rsidRDefault="00602F51" w:rsidP="00602F51">
      <w:pPr>
        <w:spacing w:line="240" w:lineRule="auto"/>
      </w:pPr>
      <w:proofErr w:type="gramStart"/>
      <w:r>
        <w:lastRenderedPageBreak/>
        <w:t>subject</w:t>
      </w:r>
      <w:proofErr w:type="gramEnd"/>
      <w:r>
        <w:t xml:space="preserve"> of a reference to a MHRT.</w:t>
      </w:r>
    </w:p>
    <w:p w:rsidR="00602F51" w:rsidRDefault="00602F51" w:rsidP="00602F51">
      <w:pPr>
        <w:spacing w:line="240" w:lineRule="auto"/>
      </w:pPr>
    </w:p>
    <w:p w:rsidR="00602F51" w:rsidRDefault="00602F51" w:rsidP="00602F51">
      <w:pPr>
        <w:spacing w:line="240" w:lineRule="auto"/>
      </w:pPr>
      <w:r>
        <w:t>The Mental Health (Patients in the Community) Act 1995 (“the 1995 Act”) introduced the</w:t>
      </w:r>
    </w:p>
    <w:p w:rsidR="00602F51" w:rsidRDefault="00602F51" w:rsidP="00602F51">
      <w:pPr>
        <w:spacing w:line="240" w:lineRule="auto"/>
      </w:pPr>
      <w:r>
        <w:t>“Supervision Application” and required three “grounds”</w:t>
      </w:r>
      <w:r>
        <w:rPr>
          <w:rStyle w:val="FootnoteReference"/>
        </w:rPr>
        <w:footnoteReference w:id="27"/>
      </w:r>
      <w:r>
        <w:t xml:space="preserve"> to be satisfied before such an</w:t>
      </w:r>
    </w:p>
    <w:p w:rsidR="00602F51" w:rsidRDefault="00602F51" w:rsidP="00602F51">
      <w:pPr>
        <w:spacing w:line="240" w:lineRule="auto"/>
      </w:pPr>
      <w:r>
        <w:t>application can be made and three “conditions”</w:t>
      </w:r>
      <w:r>
        <w:rPr>
          <w:rStyle w:val="FootnoteReference"/>
        </w:rPr>
        <w:footnoteReference w:id="28"/>
      </w:r>
      <w:r>
        <w:t xml:space="preserve"> to be satisfied before a renewal can take place.</w:t>
      </w:r>
    </w:p>
    <w:p w:rsidR="00602F51" w:rsidRDefault="00602F51" w:rsidP="00602F51">
      <w:pPr>
        <w:spacing w:line="240" w:lineRule="auto"/>
      </w:pPr>
      <w:r>
        <w:t>The 1995 Act also amended section 72 of the 1983 Act by introducing section72 (4A) which sets</w:t>
      </w:r>
    </w:p>
    <w:p w:rsidR="00602F51" w:rsidRDefault="00602F51" w:rsidP="00602F51">
      <w:pPr>
        <w:spacing w:line="240" w:lineRule="auto"/>
      </w:pPr>
      <w:r>
        <w:t>out the criteria to be applied by a MHRT when considering an application by a patient subject to</w:t>
      </w:r>
    </w:p>
    <w:p w:rsidR="00602F51" w:rsidRDefault="00602F51" w:rsidP="00602F51">
      <w:pPr>
        <w:spacing w:line="240" w:lineRule="auto"/>
      </w:pPr>
      <w:r>
        <w:t>after-care under supervision.</w:t>
      </w:r>
    </w:p>
    <w:p w:rsidR="00602F51" w:rsidRDefault="00602F51" w:rsidP="00602F51">
      <w:pPr>
        <w:spacing w:line="240" w:lineRule="auto"/>
      </w:pPr>
    </w:p>
    <w:p w:rsidR="00602F51" w:rsidRDefault="00602F51" w:rsidP="00602F51">
      <w:pPr>
        <w:spacing w:line="240" w:lineRule="auto"/>
      </w:pPr>
      <w:r>
        <w:t xml:space="preserve">Parliament appears to have shown prescience in anticipating the </w:t>
      </w:r>
      <w:r w:rsidRPr="00602F51">
        <w:rPr>
          <w:i/>
        </w:rPr>
        <w:t>Reid/Moyle</w:t>
      </w:r>
      <w:r>
        <w:t xml:space="preserve"> issue by drafting the</w:t>
      </w:r>
    </w:p>
    <w:p w:rsidR="00602F51" w:rsidRDefault="00602F51" w:rsidP="00602F51">
      <w:pPr>
        <w:spacing w:line="240" w:lineRule="auto"/>
      </w:pPr>
      <w:r>
        <w:t>1995 Act in such a way that the admission and discharge criteria co-</w:t>
      </w:r>
      <w:proofErr w:type="spellStart"/>
      <w:r>
        <w:t>incide</w:t>
      </w:r>
      <w:proofErr w:type="spellEnd"/>
      <w:r>
        <w:t xml:space="preserve"> exactly whether the</w:t>
      </w:r>
    </w:p>
    <w:p w:rsidR="00602F51" w:rsidRDefault="00602F51" w:rsidP="00602F51">
      <w:pPr>
        <w:spacing w:line="240" w:lineRule="auto"/>
      </w:pPr>
      <w:r>
        <w:t>patient has or has not left hospital at the time of the hearing. It does this by referring the MHRT</w:t>
      </w:r>
    </w:p>
    <w:p w:rsidR="00602F51" w:rsidRDefault="00602F51" w:rsidP="00602F51">
      <w:pPr>
        <w:spacing w:line="240" w:lineRule="auto"/>
      </w:pPr>
      <w:r>
        <w:t>back to the admission/renewal criteria (which in any event only differ to reflect the fact that on</w:t>
      </w:r>
    </w:p>
    <w:p w:rsidR="00602F51" w:rsidRDefault="00602F51" w:rsidP="00602F51">
      <w:pPr>
        <w:spacing w:line="240" w:lineRule="auto"/>
      </w:pPr>
      <w:r>
        <w:t>admission to section 25A the patient has not yet started to receive section 117 services whereas on</w:t>
      </w:r>
    </w:p>
    <w:p w:rsidR="00602F51" w:rsidRDefault="00602F51" w:rsidP="00602F51">
      <w:pPr>
        <w:spacing w:line="240" w:lineRule="auto"/>
      </w:pPr>
      <w:r>
        <w:t>renewal he is receiving them).</w:t>
      </w:r>
    </w:p>
    <w:p w:rsidR="00602F51" w:rsidRDefault="00602F51" w:rsidP="00602F51">
      <w:pPr>
        <w:spacing w:line="240" w:lineRule="auto"/>
      </w:pPr>
    </w:p>
    <w:p w:rsidR="00602F51" w:rsidRDefault="00602F51" w:rsidP="00602F51">
      <w:pPr>
        <w:spacing w:line="240" w:lineRule="auto"/>
      </w:pPr>
      <w:r>
        <w:t>Rather than re-iterating the admission “grounds” 72(4A) states that the MHRT shall direct that the</w:t>
      </w:r>
    </w:p>
    <w:p w:rsidR="00602F51" w:rsidRDefault="00602F51" w:rsidP="00602F51">
      <w:pPr>
        <w:spacing w:line="240" w:lineRule="auto"/>
      </w:pPr>
      <w:r>
        <w:t xml:space="preserve">patient shall cease to be subject to s25A if satisfied that the “conditions set out in section </w:t>
      </w:r>
      <w:r>
        <w:t>25A (</w:t>
      </w:r>
      <w:r>
        <w:t>4)</w:t>
      </w:r>
    </w:p>
    <w:p w:rsidR="00602F51" w:rsidRDefault="00602F51" w:rsidP="00602F51">
      <w:pPr>
        <w:spacing w:line="240" w:lineRule="auto"/>
      </w:pPr>
      <w:r>
        <w:t>[in the case of a patient still in hospital] [section 25G(4) in any other case] are not complied with.”</w:t>
      </w:r>
    </w:p>
    <w:p w:rsidR="00602F51" w:rsidRDefault="00602F51" w:rsidP="00602F51">
      <w:pPr>
        <w:spacing w:line="240" w:lineRule="auto"/>
      </w:pPr>
      <w:r>
        <w:t>Section 72(4) sets out the criteria for the discharge of a Guardianship Order and mirrors the</w:t>
      </w:r>
    </w:p>
    <w:p w:rsidR="00602F51" w:rsidRDefault="00602F51" w:rsidP="00602F51">
      <w:pPr>
        <w:spacing w:line="240" w:lineRule="auto"/>
      </w:pPr>
      <w:r>
        <w:t>admission criteria set out in section 7(2) [and section 37(2</w:t>
      </w:r>
      <w:r>
        <w:t>) (</w:t>
      </w:r>
      <w:r>
        <w:t>a</w:t>
      </w:r>
      <w:r w:rsidR="00F45D3B">
        <w:t>) (</w:t>
      </w:r>
      <w:r>
        <w:t>ii)] of the Act.</w:t>
      </w:r>
    </w:p>
    <w:p w:rsidR="00602F51" w:rsidRPr="00602F51" w:rsidRDefault="00602F51" w:rsidP="00602F51">
      <w:pPr>
        <w:spacing w:line="240" w:lineRule="auto"/>
        <w:rPr>
          <w:b/>
        </w:rPr>
      </w:pPr>
    </w:p>
    <w:p w:rsidR="00602F51" w:rsidRPr="00602F51" w:rsidRDefault="00602F51" w:rsidP="00602F51">
      <w:pPr>
        <w:spacing w:line="240" w:lineRule="auto"/>
        <w:rPr>
          <w:b/>
        </w:rPr>
      </w:pPr>
      <w:r w:rsidRPr="00602F51">
        <w:rPr>
          <w:b/>
        </w:rPr>
        <w:t>The Burden of Proof</w:t>
      </w:r>
    </w:p>
    <w:p w:rsidR="00602F51" w:rsidRDefault="00602F51" w:rsidP="00602F51">
      <w:pPr>
        <w:spacing w:line="240" w:lineRule="auto"/>
      </w:pPr>
      <w:r>
        <w:t xml:space="preserve">Richard Gordon QC counsel for Stephen Moyle (who was also counsel for “A” in the </w:t>
      </w:r>
      <w:r w:rsidRPr="00F45D3B">
        <w:rPr>
          <w:i/>
        </w:rPr>
        <w:t>Canons Park</w:t>
      </w:r>
    </w:p>
    <w:p w:rsidR="00602F51" w:rsidRDefault="00602F51" w:rsidP="00602F51">
      <w:pPr>
        <w:spacing w:line="240" w:lineRule="auto"/>
      </w:pPr>
      <w:r>
        <w:t>case) submitted “that by its very nature, the Tribunal was a reviewing body”. This was emphatically</w:t>
      </w:r>
    </w:p>
    <w:p w:rsidR="00602F51" w:rsidRDefault="00602F51" w:rsidP="00602F51">
      <w:pPr>
        <w:spacing w:line="240" w:lineRule="auto"/>
      </w:pPr>
      <w:r>
        <w:t>rejected by Mr. Justice Latham in the following terms:-</w:t>
      </w:r>
    </w:p>
    <w:p w:rsidR="00602F51" w:rsidRDefault="00602F51" w:rsidP="00602F51">
      <w:pPr>
        <w:spacing w:line="240" w:lineRule="auto"/>
      </w:pPr>
      <w:r>
        <w:t>“In my judgment, for the reasons that I have already indicated, this submission is based on a</w:t>
      </w:r>
    </w:p>
    <w:p w:rsidR="00602F51" w:rsidRDefault="00602F51" w:rsidP="00602F51">
      <w:pPr>
        <w:spacing w:line="240" w:lineRule="auto"/>
      </w:pPr>
      <w:r>
        <w:t>misunderstanding of the nature of the Tribunal’s jurisdiction in relation to restricted patients.</w:t>
      </w:r>
    </w:p>
    <w:p w:rsidR="00602F51" w:rsidRDefault="00602F51" w:rsidP="00602F51">
      <w:pPr>
        <w:spacing w:line="240" w:lineRule="auto"/>
      </w:pPr>
      <w:r>
        <w:lastRenderedPageBreak/>
        <w:t>They have an original jurisdiction, in which they have to exercise their own judgment, based on the</w:t>
      </w:r>
    </w:p>
    <w:p w:rsidR="00602F51" w:rsidRDefault="00602F51" w:rsidP="00602F51">
      <w:pPr>
        <w:spacing w:line="240" w:lineRule="auto"/>
      </w:pPr>
      <w:r>
        <w:t>evidence before them.”</w:t>
      </w:r>
    </w:p>
    <w:p w:rsidR="00F45D3B" w:rsidRDefault="00F45D3B" w:rsidP="00602F51">
      <w:pPr>
        <w:spacing w:line="240" w:lineRule="auto"/>
      </w:pPr>
    </w:p>
    <w:p w:rsidR="00602F51" w:rsidRDefault="00602F51" w:rsidP="00602F51">
      <w:pPr>
        <w:spacing w:line="240" w:lineRule="auto"/>
      </w:pPr>
      <w:r>
        <w:t>There is no authority for suggesting that the jurisdiction of the MHRT should differ in respect of</w:t>
      </w:r>
    </w:p>
    <w:p w:rsidR="00602F51" w:rsidRDefault="00602F51" w:rsidP="00602F51">
      <w:pPr>
        <w:spacing w:line="240" w:lineRule="auto"/>
      </w:pPr>
      <w:r>
        <w:t>restricted and non-restricted patients although the power in relation to discharge differs. It</w:t>
      </w:r>
    </w:p>
    <w:p w:rsidR="00602F51" w:rsidRDefault="00602F51" w:rsidP="00602F51">
      <w:pPr>
        <w:spacing w:line="240" w:lineRule="auto"/>
      </w:pPr>
      <w:r>
        <w:t>therefore appears that Moyle is authority for the proposition that a MHRT is a judicial body with</w:t>
      </w:r>
    </w:p>
    <w:p w:rsidR="00602F51" w:rsidRDefault="00602F51" w:rsidP="00602F51">
      <w:pPr>
        <w:spacing w:line="240" w:lineRule="auto"/>
      </w:pPr>
      <w:r>
        <w:t>original jurisdiction and not an appellate or reviewing body.</w:t>
      </w:r>
    </w:p>
    <w:p w:rsidR="00F45D3B" w:rsidRDefault="00F45D3B" w:rsidP="00602F51">
      <w:pPr>
        <w:spacing w:line="240" w:lineRule="auto"/>
      </w:pPr>
    </w:p>
    <w:p w:rsidR="00602F51" w:rsidRDefault="00602F51" w:rsidP="00602F51">
      <w:pPr>
        <w:spacing w:line="240" w:lineRule="auto"/>
      </w:pPr>
      <w:r>
        <w:t xml:space="preserve">In the </w:t>
      </w:r>
      <w:r w:rsidRPr="00F45D3B">
        <w:rPr>
          <w:i/>
        </w:rPr>
        <w:t>Canons Park</w:t>
      </w:r>
      <w:r w:rsidR="00B976C2">
        <w:t xml:space="preserve"> case Kennedy L</w:t>
      </w:r>
      <w:r w:rsidR="003A351A">
        <w:t xml:space="preserve"> </w:t>
      </w:r>
      <w:r w:rsidR="00B976C2">
        <w:t>J stated</w:t>
      </w:r>
      <w:r w:rsidR="00B976C2">
        <w:rPr>
          <w:rStyle w:val="FootnoteReference"/>
        </w:rPr>
        <w:footnoteReference w:id="29"/>
      </w:r>
      <w:r>
        <w:t>:-</w:t>
      </w:r>
    </w:p>
    <w:p w:rsidR="00602F51" w:rsidRDefault="00602F51" w:rsidP="00602F51">
      <w:pPr>
        <w:spacing w:line="240" w:lineRule="auto"/>
      </w:pPr>
      <w:r>
        <w:t>“The first thing to be noted about section 72(1</w:t>
      </w:r>
      <w:r w:rsidR="00B976C2">
        <w:t>) (</w:t>
      </w:r>
      <w:r>
        <w:t>b) is that the tribunal is only required to direct</w:t>
      </w:r>
    </w:p>
    <w:p w:rsidR="00602F51" w:rsidRDefault="00602F51" w:rsidP="00602F51">
      <w:pPr>
        <w:spacing w:line="240" w:lineRule="auto"/>
      </w:pPr>
      <w:r>
        <w:t>discharge if it is satisfied of a negative - first, that the patient is not then suffering from [a specific</w:t>
      </w:r>
    </w:p>
    <w:p w:rsidR="00602F51" w:rsidRDefault="00602F51" w:rsidP="00602F51">
      <w:pPr>
        <w:spacing w:line="240" w:lineRule="auto"/>
      </w:pPr>
      <w:r>
        <w:t>form of mental disorder].If he may be, the obligation does not arise”.</w:t>
      </w:r>
    </w:p>
    <w:p w:rsidR="00B976C2" w:rsidRDefault="00B976C2" w:rsidP="00602F51">
      <w:pPr>
        <w:spacing w:line="240" w:lineRule="auto"/>
      </w:pPr>
    </w:p>
    <w:p w:rsidR="00602F51" w:rsidRDefault="00602F51" w:rsidP="00602F51">
      <w:pPr>
        <w:spacing w:line="240" w:lineRule="auto"/>
      </w:pPr>
      <w:r>
        <w:t>This supports the generally held view that the burden of proof is placed on the patient and this</w:t>
      </w:r>
    </w:p>
    <w:p w:rsidR="00602F51" w:rsidRDefault="00602F51" w:rsidP="00602F51">
      <w:pPr>
        <w:spacing w:line="240" w:lineRule="auto"/>
      </w:pPr>
      <w:r>
        <w:t xml:space="preserve">view is reinforced in the </w:t>
      </w:r>
      <w:r w:rsidR="00B976C2">
        <w:t>judgment of Mr Justice Latham.</w:t>
      </w:r>
      <w:r w:rsidR="00B976C2">
        <w:rPr>
          <w:rStyle w:val="FootnoteReference"/>
        </w:rPr>
        <w:footnoteReference w:id="30"/>
      </w:r>
    </w:p>
    <w:p w:rsidR="00625E95" w:rsidRDefault="00625E95" w:rsidP="00602F51">
      <w:pPr>
        <w:spacing w:line="240" w:lineRule="auto"/>
      </w:pPr>
    </w:p>
    <w:p w:rsidR="003A351A" w:rsidRDefault="003A351A" w:rsidP="003A351A">
      <w:pPr>
        <w:spacing w:line="240" w:lineRule="auto"/>
      </w:pPr>
      <w:r>
        <w:t>That value judgment [referring to the probability of relapse as a factor in determining the nature</w:t>
      </w:r>
    </w:p>
    <w:p w:rsidR="003A351A" w:rsidRDefault="003A351A" w:rsidP="003A351A">
      <w:pPr>
        <w:spacing w:line="240" w:lineRule="auto"/>
      </w:pPr>
      <w:proofErr w:type="gramStart"/>
      <w:r>
        <w:t>of</w:t>
      </w:r>
      <w:proofErr w:type="gramEnd"/>
      <w:r>
        <w:t xml:space="preserve"> a mental illness] has to be exercised in the context of the reverse burden of proof”.</w:t>
      </w:r>
    </w:p>
    <w:p w:rsidR="003A351A" w:rsidRDefault="003A351A" w:rsidP="003A351A">
      <w:pPr>
        <w:spacing w:line="240" w:lineRule="auto"/>
      </w:pPr>
      <w:r>
        <w:t>Moyle was however dealing with an application by the patient and it may be that in the case of a</w:t>
      </w:r>
    </w:p>
    <w:p w:rsidR="003A351A" w:rsidRDefault="003A351A" w:rsidP="003A351A">
      <w:pPr>
        <w:spacing w:line="240" w:lineRule="auto"/>
      </w:pPr>
      <w:r>
        <w:t>reference to the MHRT</w:t>
      </w:r>
      <w:r>
        <w:rPr>
          <w:rStyle w:val="FootnoteReference"/>
        </w:rPr>
        <w:footnoteReference w:id="31"/>
      </w:r>
      <w:r>
        <w:t xml:space="preserve"> a distinction can be drawn and that in such cases the burden of proof</w:t>
      </w:r>
    </w:p>
    <w:p w:rsidR="003A351A" w:rsidRDefault="003A351A" w:rsidP="003A351A">
      <w:pPr>
        <w:spacing w:line="240" w:lineRule="auto"/>
      </w:pPr>
      <w:r>
        <w:t>rests with the party seeking to detain. This submission is made because a requirement for the</w:t>
      </w:r>
    </w:p>
    <w:p w:rsidR="003A351A" w:rsidRDefault="003A351A" w:rsidP="003A351A">
      <w:pPr>
        <w:spacing w:line="240" w:lineRule="auto"/>
      </w:pPr>
      <w:r>
        <w:t>patient to prove he does not possess a mental disorder before the judicial body with original</w:t>
      </w:r>
    </w:p>
    <w:p w:rsidR="003A351A" w:rsidRDefault="003A351A" w:rsidP="003A351A">
      <w:pPr>
        <w:spacing w:line="240" w:lineRule="auto"/>
      </w:pPr>
      <w:r>
        <w:t>jurisdiction to determine the question would appear to be contrary to the decision of the</w:t>
      </w:r>
    </w:p>
    <w:p w:rsidR="003A351A" w:rsidRDefault="003A351A" w:rsidP="003A351A">
      <w:pPr>
        <w:spacing w:line="240" w:lineRule="auto"/>
      </w:pPr>
      <w:r>
        <w:t>European Court of Human Rights (ECHR) in:-</w:t>
      </w:r>
    </w:p>
    <w:p w:rsidR="003A351A" w:rsidRDefault="003A351A" w:rsidP="003A351A">
      <w:pPr>
        <w:spacing w:line="240" w:lineRule="auto"/>
      </w:pPr>
    </w:p>
    <w:p w:rsidR="003A351A" w:rsidRDefault="003A351A" w:rsidP="003A351A">
      <w:pPr>
        <w:spacing w:line="240" w:lineRule="auto"/>
      </w:pPr>
      <w:r w:rsidRPr="003A351A">
        <w:rPr>
          <w:i/>
        </w:rPr>
        <w:t>X v United Kingdom</w:t>
      </w:r>
      <w:r>
        <w:rPr>
          <w:rStyle w:val="FootnoteReference"/>
        </w:rPr>
        <w:footnoteReference w:id="32"/>
      </w:r>
    </w:p>
    <w:p w:rsidR="003A351A" w:rsidRDefault="003A351A" w:rsidP="003A351A">
      <w:pPr>
        <w:spacing w:line="240" w:lineRule="auto"/>
      </w:pPr>
      <w:r>
        <w:t>Paragraph 40 of the judgment of the ECHR in X v UK quoted with approval the judgment of the</w:t>
      </w:r>
    </w:p>
    <w:p w:rsidR="003A351A" w:rsidRDefault="003A351A" w:rsidP="003A351A">
      <w:pPr>
        <w:spacing w:line="240" w:lineRule="auto"/>
      </w:pPr>
      <w:r>
        <w:lastRenderedPageBreak/>
        <w:t>ECHR in</w:t>
      </w:r>
      <w:r>
        <w:t>:-</w:t>
      </w:r>
    </w:p>
    <w:p w:rsidR="003A351A" w:rsidRDefault="003A351A" w:rsidP="003A351A">
      <w:pPr>
        <w:spacing w:line="240" w:lineRule="auto"/>
        <w:rPr>
          <w:i/>
        </w:rPr>
      </w:pPr>
    </w:p>
    <w:p w:rsidR="003A351A" w:rsidRDefault="003A351A" w:rsidP="003A351A">
      <w:pPr>
        <w:spacing w:line="240" w:lineRule="auto"/>
      </w:pPr>
      <w:r w:rsidRPr="003A351A">
        <w:rPr>
          <w:i/>
        </w:rPr>
        <w:t xml:space="preserve">Winterwerp v The </w:t>
      </w:r>
      <w:proofErr w:type="spellStart"/>
      <w:r w:rsidRPr="003A351A">
        <w:rPr>
          <w:i/>
        </w:rPr>
        <w:t>Nederlands</w:t>
      </w:r>
      <w:proofErr w:type="spellEnd"/>
      <w:r>
        <w:rPr>
          <w:rStyle w:val="FootnoteReference"/>
          <w:i/>
        </w:rPr>
        <w:footnoteReference w:id="33"/>
      </w:r>
    </w:p>
    <w:p w:rsidR="003A351A" w:rsidRDefault="003A351A" w:rsidP="003A351A">
      <w:pPr>
        <w:spacing w:line="240" w:lineRule="auto"/>
      </w:pPr>
      <w:r>
        <w:t>Paragraph 40 states:-</w:t>
      </w:r>
    </w:p>
    <w:p w:rsidR="003A351A" w:rsidRDefault="003A351A" w:rsidP="003A351A">
      <w:pPr>
        <w:spacing w:line="240" w:lineRule="auto"/>
      </w:pPr>
      <w:r>
        <w:t xml:space="preserve">“In its </w:t>
      </w:r>
      <w:r w:rsidRPr="003A351A">
        <w:rPr>
          <w:i/>
        </w:rPr>
        <w:t>Winterwerp</w:t>
      </w:r>
      <w:r>
        <w:t xml:space="preserve"> judgment of 24 October 1979, the Court stated three minimum conditions</w:t>
      </w:r>
    </w:p>
    <w:p w:rsidR="003A351A" w:rsidRDefault="003A351A" w:rsidP="003A351A">
      <w:pPr>
        <w:spacing w:line="240" w:lineRule="auto"/>
      </w:pPr>
      <w:r>
        <w:t xml:space="preserve">which have to be satisfied in order for there to be “the lawful detention of a person of </w:t>
      </w:r>
      <w:proofErr w:type="gramStart"/>
      <w:r>
        <w:t>unsound</w:t>
      </w:r>
      <w:proofErr w:type="gramEnd"/>
    </w:p>
    <w:p w:rsidR="003A351A" w:rsidRDefault="003A351A" w:rsidP="003A351A">
      <w:pPr>
        <w:spacing w:line="240" w:lineRule="auto"/>
      </w:pPr>
      <w:r>
        <w:t>mind” within the meaning of Article 5 par. 1 (e) [of the European Convention of Human Rights</w:t>
      </w:r>
    </w:p>
    <w:p w:rsidR="003A351A" w:rsidRDefault="003A351A" w:rsidP="003A351A">
      <w:pPr>
        <w:spacing w:line="240" w:lineRule="auto"/>
      </w:pPr>
      <w:r>
        <w:t>(“the Convention”)]: except in emergency cases, the individual concerned must be reliably shown</w:t>
      </w:r>
    </w:p>
    <w:p w:rsidR="003A351A" w:rsidRDefault="003A351A" w:rsidP="003A351A">
      <w:pPr>
        <w:spacing w:line="240" w:lineRule="auto"/>
      </w:pPr>
      <w:proofErr w:type="gramStart"/>
      <w:r>
        <w:t>to</w:t>
      </w:r>
      <w:proofErr w:type="gramEnd"/>
      <w:r>
        <w:t xml:space="preserve"> be of unsound mind, that is to say, a true mental disorder must be established before a</w:t>
      </w:r>
    </w:p>
    <w:p w:rsidR="003A351A" w:rsidRDefault="003A351A" w:rsidP="003A351A">
      <w:pPr>
        <w:spacing w:line="240" w:lineRule="auto"/>
      </w:pPr>
      <w:r>
        <w:t>competent authority on the basis of objective medical expertise; the mental disorder must be of a</w:t>
      </w:r>
    </w:p>
    <w:p w:rsidR="003A351A" w:rsidRDefault="003A351A" w:rsidP="003A351A">
      <w:pPr>
        <w:spacing w:line="240" w:lineRule="auto"/>
      </w:pPr>
      <w:r>
        <w:t>kind or degree warranting compulsory confinement; and the validity of continued confinement</w:t>
      </w:r>
    </w:p>
    <w:p w:rsidR="003A351A" w:rsidRDefault="003A351A" w:rsidP="003A351A">
      <w:pPr>
        <w:spacing w:line="240" w:lineRule="auto"/>
      </w:pPr>
      <w:r>
        <w:t>depends upon the persistence of such disorder”.</w:t>
      </w:r>
    </w:p>
    <w:p w:rsidR="003A351A" w:rsidRDefault="003A351A" w:rsidP="003A351A">
      <w:pPr>
        <w:spacing w:line="240" w:lineRule="auto"/>
      </w:pPr>
      <w:r>
        <w:t>A periodic reference to a judicial body is required in order to comply with the requirement that</w:t>
      </w:r>
    </w:p>
    <w:p w:rsidR="003A351A" w:rsidRDefault="003A351A" w:rsidP="003A351A">
      <w:pPr>
        <w:spacing w:line="240" w:lineRule="auto"/>
      </w:pPr>
      <w:r>
        <w:t xml:space="preserve">the lawfulness of the detention </w:t>
      </w:r>
      <w:proofErr w:type="gramStart"/>
      <w:r>
        <w:t>be</w:t>
      </w:r>
      <w:proofErr w:type="gramEnd"/>
      <w:r>
        <w:t xml:space="preserve"> reviewed at reasonable intervals.</w:t>
      </w:r>
    </w:p>
    <w:p w:rsidR="003A351A" w:rsidRDefault="003A351A" w:rsidP="003A351A">
      <w:pPr>
        <w:spacing w:line="240" w:lineRule="auto"/>
      </w:pPr>
    </w:p>
    <w:p w:rsidR="003A351A" w:rsidRDefault="003A351A" w:rsidP="003A351A">
      <w:pPr>
        <w:spacing w:line="240" w:lineRule="auto"/>
      </w:pPr>
      <w:r>
        <w:t xml:space="preserve">Paragraph 52 of the </w:t>
      </w:r>
      <w:r w:rsidRPr="003A351A">
        <w:rPr>
          <w:i/>
        </w:rPr>
        <w:t>X v UK</w:t>
      </w:r>
      <w:r>
        <w:t xml:space="preserve"> judgment states:-</w:t>
      </w:r>
    </w:p>
    <w:p w:rsidR="003A351A" w:rsidRDefault="003A351A" w:rsidP="003A351A">
      <w:pPr>
        <w:spacing w:line="240" w:lineRule="auto"/>
      </w:pPr>
      <w:r>
        <w:t>“....it would be contrary to the object and purpose of Article 5 to interpret paragraph 4 as making</w:t>
      </w:r>
    </w:p>
    <w:p w:rsidR="003A351A" w:rsidRDefault="003A351A" w:rsidP="003A351A">
      <w:pPr>
        <w:spacing w:line="240" w:lineRule="auto"/>
      </w:pPr>
      <w:r>
        <w:t>this category of confinement immune from subsequent review of lawfulness merely provided that</w:t>
      </w:r>
    </w:p>
    <w:p w:rsidR="003A351A" w:rsidRDefault="003A351A" w:rsidP="003A351A">
      <w:pPr>
        <w:spacing w:line="240" w:lineRule="auto"/>
      </w:pPr>
      <w:r>
        <w:t>the initial decision issued from a court. The very nature of the deprivation of liberty under</w:t>
      </w:r>
    </w:p>
    <w:p w:rsidR="003A351A" w:rsidRDefault="003A351A" w:rsidP="003A351A">
      <w:pPr>
        <w:spacing w:line="240" w:lineRule="auto"/>
      </w:pPr>
      <w:r>
        <w:t xml:space="preserve">consideration would appear to require a review of lawfulness to be available at reasonable </w:t>
      </w:r>
    </w:p>
    <w:p w:rsidR="003A351A" w:rsidRDefault="003A351A" w:rsidP="003A351A">
      <w:pPr>
        <w:spacing w:line="240" w:lineRule="auto"/>
      </w:pPr>
      <w:r>
        <w:t>intervals.”</w:t>
      </w:r>
    </w:p>
    <w:p w:rsidR="003A351A" w:rsidRDefault="003A351A" w:rsidP="003A351A">
      <w:pPr>
        <w:spacing w:line="240" w:lineRule="auto"/>
      </w:pPr>
    </w:p>
    <w:p w:rsidR="003A351A" w:rsidRDefault="003A351A" w:rsidP="003A351A">
      <w:pPr>
        <w:spacing w:line="240" w:lineRule="auto"/>
      </w:pPr>
      <w:r>
        <w:t>If it is a correct statement of the law that the balance of the burden of proof is on the patient then</w:t>
      </w:r>
    </w:p>
    <w:p w:rsidR="003A351A" w:rsidRDefault="003A351A" w:rsidP="003A351A">
      <w:pPr>
        <w:spacing w:line="240" w:lineRule="auto"/>
      </w:pPr>
      <w:proofErr w:type="gramStart"/>
      <w:r>
        <w:t>it</w:t>
      </w:r>
      <w:proofErr w:type="gramEnd"/>
      <w:r>
        <w:t xml:space="preserve"> follows that there is no requirement for the detaining authority to adduce any evidence to</w:t>
      </w:r>
    </w:p>
    <w:p w:rsidR="003A351A" w:rsidRDefault="003A351A" w:rsidP="003A351A">
      <w:pPr>
        <w:spacing w:line="240" w:lineRule="auto"/>
      </w:pPr>
      <w:r>
        <w:t>support the lawfulness of continuing the detention. In circumstances when the patient elects not</w:t>
      </w:r>
    </w:p>
    <w:p w:rsidR="003A351A" w:rsidRDefault="003A351A" w:rsidP="003A351A">
      <w:pPr>
        <w:spacing w:line="240" w:lineRule="auto"/>
      </w:pPr>
      <w:proofErr w:type="gramStart"/>
      <w:r>
        <w:t>to</w:t>
      </w:r>
      <w:proofErr w:type="gramEnd"/>
      <w:r>
        <w:t xml:space="preserve"> participate in the proceedings either as a consequence of a mental disorder or for other reasons;</w:t>
      </w:r>
    </w:p>
    <w:p w:rsidR="003A351A" w:rsidRDefault="003A351A" w:rsidP="003A351A">
      <w:pPr>
        <w:spacing w:line="240" w:lineRule="auto"/>
      </w:pPr>
      <w:proofErr w:type="gramStart"/>
      <w:r>
        <w:t>or</w:t>
      </w:r>
      <w:proofErr w:type="gramEnd"/>
      <w:r>
        <w:t xml:space="preserve"> in circumstances when the patient lacks capacity to give instructions, (notwithstanding the</w:t>
      </w:r>
      <w:bookmarkStart w:id="0" w:name="_GoBack"/>
      <w:bookmarkEnd w:id="0"/>
    </w:p>
    <w:p w:rsidR="003A351A" w:rsidRDefault="003A351A" w:rsidP="003A351A">
      <w:pPr>
        <w:spacing w:line="240" w:lineRule="auto"/>
      </w:pPr>
      <w:r>
        <w:t>incapacity may not satisfy the MHA detention criteria) the MHRT would in consequence be</w:t>
      </w:r>
    </w:p>
    <w:p w:rsidR="003A351A" w:rsidRDefault="003A351A" w:rsidP="003A351A">
      <w:pPr>
        <w:spacing w:line="240" w:lineRule="auto"/>
      </w:pPr>
      <w:r>
        <w:t>required to uphold the lawfulness of the detention despite the absence of any evidence of the</w:t>
      </w:r>
    </w:p>
    <w:p w:rsidR="003A351A" w:rsidRDefault="003A351A" w:rsidP="003A351A">
      <w:pPr>
        <w:spacing w:line="240" w:lineRule="auto"/>
      </w:pPr>
      <w:r>
        <w:lastRenderedPageBreak/>
        <w:t>persistence of the disorder. Such an approach appears to be contrary to the requirement of</w:t>
      </w:r>
    </w:p>
    <w:p w:rsidR="003A351A" w:rsidRDefault="003A351A" w:rsidP="003A351A">
      <w:pPr>
        <w:spacing w:line="240" w:lineRule="auto"/>
      </w:pPr>
      <w:r>
        <w:t>the MHRT to make its decision on the basis of “objective medical expertise”, and would lead to</w:t>
      </w:r>
    </w:p>
    <w:p w:rsidR="003A351A" w:rsidRDefault="003A351A" w:rsidP="003A351A">
      <w:pPr>
        <w:spacing w:line="240" w:lineRule="auto"/>
      </w:pPr>
      <w:r>
        <w:t>the judicial body with original jurisdiction to determine whether a person has a mental disorder of</w:t>
      </w:r>
    </w:p>
    <w:p w:rsidR="003A351A" w:rsidRDefault="003A351A" w:rsidP="003A351A">
      <w:pPr>
        <w:spacing w:line="240" w:lineRule="auto"/>
      </w:pPr>
      <w:proofErr w:type="gramStart"/>
      <w:r>
        <w:t>a</w:t>
      </w:r>
      <w:proofErr w:type="gramEnd"/>
      <w:r>
        <w:t xml:space="preserve"> nature or degree such as to make detention appropriate, making a decision to detain in the</w:t>
      </w:r>
    </w:p>
    <w:p w:rsidR="00625E95" w:rsidRDefault="003A351A" w:rsidP="003A351A">
      <w:pPr>
        <w:spacing w:line="240" w:lineRule="auto"/>
      </w:pPr>
      <w:r>
        <w:t>absence of any evidence.</w:t>
      </w:r>
    </w:p>
    <w:p w:rsidR="00D30515" w:rsidRDefault="00D30515" w:rsidP="003A351A">
      <w:pPr>
        <w:spacing w:line="240" w:lineRule="auto"/>
      </w:pPr>
    </w:p>
    <w:p w:rsidR="00D30515" w:rsidRDefault="00D30515" w:rsidP="00D30515">
      <w:pPr>
        <w:spacing w:line="240" w:lineRule="auto"/>
      </w:pPr>
      <w:r>
        <w:t>It follows that there is an argument that those seeking to justify detention must adduce the</w:t>
      </w:r>
    </w:p>
    <w:p w:rsidR="00D30515" w:rsidRDefault="00D30515" w:rsidP="00D30515">
      <w:pPr>
        <w:spacing w:line="240" w:lineRule="auto"/>
      </w:pPr>
      <w:r>
        <w:t>necessary evidence, that is the burden of proof should lie with them, in order to comply with</w:t>
      </w:r>
    </w:p>
    <w:p w:rsidR="00D30515" w:rsidRDefault="00D30515" w:rsidP="00D30515">
      <w:pPr>
        <w:spacing w:line="240" w:lineRule="auto"/>
      </w:pPr>
      <w:r>
        <w:t>Article 5 of the Convention.</w:t>
      </w:r>
    </w:p>
    <w:p w:rsidR="00D30515" w:rsidRDefault="00D30515" w:rsidP="00D30515">
      <w:pPr>
        <w:spacing w:line="240" w:lineRule="auto"/>
      </w:pPr>
    </w:p>
    <w:p w:rsidR="00D30515" w:rsidRDefault="00D30515" w:rsidP="00D30515">
      <w:pPr>
        <w:spacing w:line="240" w:lineRule="auto"/>
      </w:pPr>
      <w:r>
        <w:t>When a MHRT is seized with an application by a patient detained under a hospital order the</w:t>
      </w:r>
    </w:p>
    <w:p w:rsidR="00D30515" w:rsidRDefault="00D30515" w:rsidP="00D30515">
      <w:pPr>
        <w:spacing w:line="240" w:lineRule="auto"/>
      </w:pPr>
      <w:r>
        <w:t>patient is in effect requesting the MHRT not to wait until the statutorily prescribed time for</w:t>
      </w:r>
    </w:p>
    <w:p w:rsidR="00D30515" w:rsidRDefault="00D30515" w:rsidP="00D30515">
      <w:pPr>
        <w:spacing w:line="240" w:lineRule="auto"/>
      </w:pPr>
      <w:r>
        <w:t>reconsideration that would arise as a consequence of a reference, and to reconsider whether the</w:t>
      </w:r>
    </w:p>
    <w:p w:rsidR="00D30515" w:rsidRDefault="00D30515" w:rsidP="00D30515">
      <w:pPr>
        <w:spacing w:line="240" w:lineRule="auto"/>
      </w:pPr>
      <w:r>
        <w:t>circumstances that pertained at the time of the imposition of the order by the Court still pertain.</w:t>
      </w:r>
    </w:p>
    <w:p w:rsidR="00D30515" w:rsidRDefault="00D30515" w:rsidP="00D30515">
      <w:pPr>
        <w:spacing w:line="240" w:lineRule="auto"/>
      </w:pPr>
      <w:r>
        <w:t>In these circumstances there is a logic in placing the burden of proof on the applicant.</w:t>
      </w:r>
    </w:p>
    <w:p w:rsidR="00D30515" w:rsidRDefault="00D30515" w:rsidP="00D30515">
      <w:pPr>
        <w:spacing w:line="240" w:lineRule="auto"/>
      </w:pPr>
      <w:r>
        <w:t>Where the application is made by a patient detained under Part II of the Act there is no original</w:t>
      </w:r>
    </w:p>
    <w:p w:rsidR="00D30515" w:rsidRDefault="00D30515" w:rsidP="00D30515">
      <w:pPr>
        <w:spacing w:line="240" w:lineRule="auto"/>
      </w:pPr>
      <w:r>
        <w:t>judicial authority for the detention and the situation would appear to be closer to that of a</w:t>
      </w:r>
    </w:p>
    <w:p w:rsidR="00D30515" w:rsidRDefault="00D30515" w:rsidP="00D30515">
      <w:pPr>
        <w:spacing w:line="240" w:lineRule="auto"/>
      </w:pPr>
      <w:r>
        <w:t>reference than to that of a hospital order.</w:t>
      </w:r>
    </w:p>
    <w:p w:rsidR="00104092" w:rsidRDefault="00104092" w:rsidP="00D30515">
      <w:pPr>
        <w:spacing w:line="240" w:lineRule="auto"/>
      </w:pPr>
    </w:p>
    <w:p w:rsidR="00104092" w:rsidRPr="00104092" w:rsidRDefault="00104092" w:rsidP="00104092">
      <w:pPr>
        <w:spacing w:line="240" w:lineRule="auto"/>
        <w:rPr>
          <w:b/>
        </w:rPr>
      </w:pPr>
      <w:r w:rsidRPr="00104092">
        <w:rPr>
          <w:b/>
        </w:rPr>
        <w:t>The Criteria for Discharge are Mirror Images of the Criteria for Admission</w:t>
      </w:r>
    </w:p>
    <w:p w:rsidR="00104092" w:rsidRDefault="00104092" w:rsidP="00104092">
      <w:pPr>
        <w:spacing w:line="240" w:lineRule="auto"/>
      </w:pPr>
      <w:r>
        <w:t xml:space="preserve">At page 17 of the </w:t>
      </w:r>
      <w:r w:rsidRPr="00104092">
        <w:rPr>
          <w:i/>
        </w:rPr>
        <w:t>Moyle</w:t>
      </w:r>
      <w:r>
        <w:t xml:space="preserve"> judgment Mr Justice Latham states:-</w:t>
      </w:r>
    </w:p>
    <w:p w:rsidR="00104092" w:rsidRDefault="00104092" w:rsidP="00104092">
      <w:pPr>
        <w:spacing w:line="240" w:lineRule="auto"/>
      </w:pPr>
      <w:r>
        <w:t>“I accept Mr Gordon’s submission that the decision in Reid requires the question of discharge to</w:t>
      </w:r>
    </w:p>
    <w:p w:rsidR="00104092" w:rsidRDefault="00104092" w:rsidP="00104092">
      <w:pPr>
        <w:spacing w:line="240" w:lineRule="auto"/>
      </w:pPr>
      <w:r>
        <w:t>be approached on the basis that the criteria for discharge are meant to be matching or mirror</w:t>
      </w:r>
    </w:p>
    <w:p w:rsidR="00104092" w:rsidRDefault="00104092" w:rsidP="00104092">
      <w:pPr>
        <w:spacing w:line="240" w:lineRule="auto"/>
      </w:pPr>
      <w:r>
        <w:t>images of the admission criteria.”</w:t>
      </w:r>
    </w:p>
    <w:p w:rsidR="00104092" w:rsidRDefault="00104092" w:rsidP="00104092">
      <w:pPr>
        <w:spacing w:line="240" w:lineRule="auto"/>
      </w:pPr>
      <w:r>
        <w:t>It is this part of the decision that has received prominence in the headnotes of the reports and has</w:t>
      </w:r>
    </w:p>
    <w:p w:rsidR="00104092" w:rsidRDefault="00104092" w:rsidP="00104092">
      <w:pPr>
        <w:spacing w:line="240" w:lineRule="auto"/>
      </w:pPr>
      <w:r>
        <w:t>attracted most interest from practitioners. It is a clear statement of the law but is as Mr Justice</w:t>
      </w:r>
    </w:p>
    <w:p w:rsidR="00104092" w:rsidRDefault="00104092" w:rsidP="00104092">
      <w:pPr>
        <w:spacing w:line="240" w:lineRule="auto"/>
      </w:pPr>
      <w:r>
        <w:t>Latham makes clear only a reiteration of the ratio of the House of Lords judgment in Reid. The</w:t>
      </w:r>
    </w:p>
    <w:p w:rsidR="00104092" w:rsidRDefault="00104092" w:rsidP="00104092">
      <w:pPr>
        <w:spacing w:line="240" w:lineRule="auto"/>
      </w:pPr>
      <w:r>
        <w:t>significance of the statement may prove to be not in respect of discharge but in respect of</w:t>
      </w:r>
    </w:p>
    <w:p w:rsidR="00104092" w:rsidRDefault="00104092" w:rsidP="00104092">
      <w:pPr>
        <w:spacing w:line="240" w:lineRule="auto"/>
      </w:pPr>
      <w:r>
        <w:t>admission.</w:t>
      </w:r>
    </w:p>
    <w:p w:rsidR="00104092" w:rsidRDefault="00104092" w:rsidP="00104092">
      <w:pPr>
        <w:spacing w:line="240" w:lineRule="auto"/>
      </w:pPr>
    </w:p>
    <w:p w:rsidR="00104092" w:rsidRDefault="00104092" w:rsidP="00104092">
      <w:pPr>
        <w:spacing w:line="240" w:lineRule="auto"/>
      </w:pPr>
      <w:r>
        <w:lastRenderedPageBreak/>
        <w:t>If the criteria for discharge mirror the admission criteria then it is inescapable that the criteria for</w:t>
      </w:r>
    </w:p>
    <w:p w:rsidR="00104092" w:rsidRDefault="00104092" w:rsidP="00104092">
      <w:pPr>
        <w:spacing w:line="240" w:lineRule="auto"/>
      </w:pPr>
      <w:r>
        <w:t>admission mirror the discharge criteria.</w:t>
      </w:r>
    </w:p>
    <w:p w:rsidR="00104092" w:rsidRDefault="00104092" w:rsidP="00104092">
      <w:pPr>
        <w:spacing w:line="240" w:lineRule="auto"/>
      </w:pPr>
    </w:p>
    <w:p w:rsidR="00104092" w:rsidRDefault="00104092" w:rsidP="00104092">
      <w:pPr>
        <w:spacing w:line="240" w:lineRule="auto"/>
      </w:pPr>
      <w:r>
        <w:t>When consideration is being given as to whether an asymptomatic person diagnosed as</w:t>
      </w:r>
    </w:p>
    <w:p w:rsidR="00104092" w:rsidRDefault="00104092" w:rsidP="00104092">
      <w:pPr>
        <w:spacing w:line="240" w:lineRule="auto"/>
      </w:pPr>
      <w:r>
        <w:t>schizophrenic or with a bi-polar affective disorder should be detained when the illness can not</w:t>
      </w:r>
    </w:p>
    <w:p w:rsidR="00104092" w:rsidRDefault="00104092" w:rsidP="00104092">
      <w:pPr>
        <w:spacing w:line="240" w:lineRule="auto"/>
      </w:pPr>
      <w:r>
        <w:t>considered to have any ascertainable “degree”, but the “nature” is well known as a consequence of</w:t>
      </w:r>
    </w:p>
    <w:p w:rsidR="00104092" w:rsidRDefault="00104092" w:rsidP="00104092">
      <w:pPr>
        <w:spacing w:line="240" w:lineRule="auto"/>
      </w:pPr>
      <w:r>
        <w:t>the history, it would appear appropriate to ask whether in the light of the person’s comments about</w:t>
      </w:r>
    </w:p>
    <w:p w:rsidR="00104092" w:rsidRDefault="00104092" w:rsidP="00104092">
      <w:pPr>
        <w:spacing w:line="240" w:lineRule="auto"/>
      </w:pPr>
      <w:r>
        <w:t>medication, they would on that day be successful in securing their discharge before a MHRT had</w:t>
      </w:r>
    </w:p>
    <w:p w:rsidR="00104092" w:rsidRDefault="00104092" w:rsidP="00104092">
      <w:pPr>
        <w:spacing w:line="240" w:lineRule="auto"/>
      </w:pPr>
      <w:r>
        <w:t>they been detained in hospital.</w:t>
      </w:r>
    </w:p>
    <w:p w:rsidR="00104092" w:rsidRDefault="00104092" w:rsidP="00104092">
      <w:pPr>
        <w:spacing w:line="240" w:lineRule="auto"/>
      </w:pPr>
    </w:p>
    <w:p w:rsidR="00104092" w:rsidRDefault="00104092" w:rsidP="00104092">
      <w:pPr>
        <w:spacing w:line="240" w:lineRule="auto"/>
      </w:pPr>
      <w:r>
        <w:t>If the person is ambivalent about continuing with medication and the history shows that their</w:t>
      </w:r>
    </w:p>
    <w:p w:rsidR="00104092" w:rsidRDefault="00104092" w:rsidP="00104092">
      <w:pPr>
        <w:spacing w:line="240" w:lineRule="auto"/>
      </w:pPr>
      <w:r>
        <w:t>health or safety or the safety of others is at risk when symptomatic, a MHRT applying the “nature”</w:t>
      </w:r>
    </w:p>
    <w:p w:rsidR="00104092" w:rsidRDefault="00104092" w:rsidP="00104092">
      <w:pPr>
        <w:spacing w:line="240" w:lineRule="auto"/>
      </w:pPr>
      <w:r>
        <w:t>test proposed by Mr Justice Latham (supra) would be likely to decide that they do not meet the</w:t>
      </w:r>
    </w:p>
    <w:p w:rsidR="00104092" w:rsidRDefault="00104092" w:rsidP="00104092">
      <w:pPr>
        <w:spacing w:line="240" w:lineRule="auto"/>
      </w:pPr>
      <w:r>
        <w:t>“appropriateness” test for discharge. If this is the case it follows as a consequence of the mirror</w:t>
      </w:r>
    </w:p>
    <w:p w:rsidR="00104092" w:rsidRDefault="00104092" w:rsidP="00104092">
      <w:pPr>
        <w:spacing w:line="240" w:lineRule="auto"/>
      </w:pPr>
      <w:r>
        <w:t>criteria that if the nature of the illness is such as to justify detention they could be admitted for</w:t>
      </w:r>
    </w:p>
    <w:p w:rsidR="00104092" w:rsidRDefault="00104092" w:rsidP="00104092">
      <w:pPr>
        <w:spacing w:line="240" w:lineRule="auto"/>
      </w:pPr>
      <w:r>
        <w:t>treatment under section 3. Such a conclusion appears to be a natural consequence of the Smith</w:t>
      </w:r>
    </w:p>
    <w:p w:rsidR="00104092" w:rsidRDefault="00104092" w:rsidP="00104092">
      <w:pPr>
        <w:spacing w:line="240" w:lineRule="auto"/>
      </w:pPr>
      <w:r>
        <w:t>decision referred to earlier.</w:t>
      </w:r>
    </w:p>
    <w:p w:rsidR="00390D68" w:rsidRPr="00390D68" w:rsidRDefault="00390D68" w:rsidP="00104092">
      <w:pPr>
        <w:spacing w:line="240" w:lineRule="auto"/>
        <w:rPr>
          <w:b/>
        </w:rPr>
      </w:pPr>
    </w:p>
    <w:p w:rsidR="00390D68" w:rsidRPr="00390D68" w:rsidRDefault="00390D68" w:rsidP="00390D68">
      <w:pPr>
        <w:spacing w:line="240" w:lineRule="auto"/>
        <w:rPr>
          <w:b/>
        </w:rPr>
      </w:pPr>
      <w:r w:rsidRPr="00390D68">
        <w:rPr>
          <w:b/>
        </w:rPr>
        <w:t>Conclusion</w:t>
      </w:r>
    </w:p>
    <w:p w:rsidR="00390D68" w:rsidRDefault="00390D68" w:rsidP="00390D68">
      <w:pPr>
        <w:spacing w:line="240" w:lineRule="auto"/>
      </w:pPr>
      <w:r>
        <w:t>Although Moyle is alre</w:t>
      </w:r>
      <w:r>
        <w:t>ady being used by practitioners</w:t>
      </w:r>
      <w:r>
        <w:rPr>
          <w:rStyle w:val="FootnoteReference"/>
        </w:rPr>
        <w:footnoteReference w:id="34"/>
      </w:r>
      <w:r>
        <w:t xml:space="preserve"> to support a submission before a MHRT</w:t>
      </w:r>
    </w:p>
    <w:p w:rsidR="00390D68" w:rsidRDefault="00390D68" w:rsidP="00390D68">
      <w:pPr>
        <w:spacing w:line="240" w:lineRule="auto"/>
      </w:pPr>
      <w:r>
        <w:t>that as the health of the patient on the day of the hearing is such that he could not be “sectioned”</w:t>
      </w:r>
    </w:p>
    <w:p w:rsidR="00390D68" w:rsidRDefault="00390D68" w:rsidP="00390D68">
      <w:pPr>
        <w:spacing w:line="240" w:lineRule="auto"/>
      </w:pPr>
      <w:r>
        <w:t>he should therefore be discharged, the use of the case in this way is both superficial and fails to</w:t>
      </w:r>
    </w:p>
    <w:p w:rsidR="00390D68" w:rsidRDefault="00390D68" w:rsidP="00390D68">
      <w:pPr>
        <w:spacing w:line="240" w:lineRule="auto"/>
      </w:pPr>
      <w:r>
        <w:t>appreciate the true significance. The importance of the case rests on the lucid exposition of the</w:t>
      </w:r>
    </w:p>
    <w:p w:rsidR="00390D68" w:rsidRDefault="00390D68" w:rsidP="00390D68">
      <w:pPr>
        <w:spacing w:line="240" w:lineRule="auto"/>
      </w:pPr>
      <w:r>
        <w:t>meaning of the word “nature” within the Act and the importance for the asymptomatic patient of</w:t>
      </w:r>
    </w:p>
    <w:p w:rsidR="00390D68" w:rsidRDefault="00390D68" w:rsidP="00390D68">
      <w:pPr>
        <w:spacing w:line="240" w:lineRule="auto"/>
      </w:pPr>
      <w:r>
        <w:t>appreciating the role of medication in his treatment and the significance of demonstrating to the</w:t>
      </w:r>
    </w:p>
    <w:p w:rsidR="00390D68" w:rsidRDefault="00390D68" w:rsidP="00390D68">
      <w:pPr>
        <w:spacing w:line="240" w:lineRule="auto"/>
      </w:pPr>
      <w:r>
        <w:t>Tribunal his commitment to continuing with it when not subject to the compulsion that follows</w:t>
      </w:r>
    </w:p>
    <w:p w:rsidR="00390D68" w:rsidRDefault="00390D68" w:rsidP="00390D68">
      <w:pPr>
        <w:spacing w:line="240" w:lineRule="auto"/>
      </w:pPr>
      <w:r>
        <w:t>from detention.</w:t>
      </w:r>
    </w:p>
    <w:p w:rsidR="00602F51" w:rsidRDefault="00602F51" w:rsidP="00602F51">
      <w:pPr>
        <w:spacing w:line="240" w:lineRule="auto"/>
      </w:pPr>
    </w:p>
    <w:p w:rsidR="00602F51" w:rsidRDefault="00602F51" w:rsidP="00602F51">
      <w:pPr>
        <w:spacing w:line="240" w:lineRule="auto"/>
      </w:pPr>
    </w:p>
    <w:sectPr w:rsidR="00602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D4F" w:rsidRDefault="00C41D4F" w:rsidP="00C41D4F">
      <w:pPr>
        <w:spacing w:after="0" w:line="240" w:lineRule="auto"/>
      </w:pPr>
      <w:r>
        <w:separator/>
      </w:r>
    </w:p>
  </w:endnote>
  <w:endnote w:type="continuationSeparator" w:id="0">
    <w:p w:rsidR="00C41D4F" w:rsidRDefault="00C41D4F" w:rsidP="00C4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D4F" w:rsidRDefault="00C41D4F" w:rsidP="00C41D4F">
      <w:pPr>
        <w:spacing w:after="0" w:line="240" w:lineRule="auto"/>
      </w:pPr>
      <w:r>
        <w:separator/>
      </w:r>
    </w:p>
  </w:footnote>
  <w:footnote w:type="continuationSeparator" w:id="0">
    <w:p w:rsidR="00C41D4F" w:rsidRDefault="00C41D4F" w:rsidP="00C41D4F">
      <w:pPr>
        <w:spacing w:after="0" w:line="240" w:lineRule="auto"/>
      </w:pPr>
      <w:r>
        <w:continuationSeparator/>
      </w:r>
    </w:p>
  </w:footnote>
  <w:footnote w:id="1">
    <w:p w:rsidR="00C41D4F" w:rsidRPr="00C41D4F" w:rsidRDefault="00C41D4F" w:rsidP="00C41D4F">
      <w:pPr>
        <w:pStyle w:val="FootnoteText"/>
        <w:rPr>
          <w:sz w:val="16"/>
        </w:rPr>
      </w:pPr>
      <w:r>
        <w:rPr>
          <w:rStyle w:val="FootnoteReference"/>
        </w:rPr>
        <w:t>*</w:t>
      </w:r>
      <w:r>
        <w:t xml:space="preserve"> </w:t>
      </w:r>
      <w:r w:rsidRPr="00C41D4F">
        <w:rPr>
          <w:sz w:val="16"/>
        </w:rPr>
        <w:t>Solicitor, Saxmundham</w:t>
      </w:r>
      <w:r w:rsidRPr="00C41D4F">
        <w:rPr>
          <w:sz w:val="16"/>
        </w:rPr>
        <w:t xml:space="preserve">, Suffolk. Mental Health Review </w:t>
      </w:r>
      <w:r w:rsidRPr="00C41D4F">
        <w:rPr>
          <w:sz w:val="16"/>
        </w:rPr>
        <w:t>Tribunal Legal Member</w:t>
      </w:r>
    </w:p>
  </w:footnote>
  <w:footnote w:id="2">
    <w:p w:rsidR="00366520" w:rsidRDefault="003665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6520">
        <w:rPr>
          <w:sz w:val="16"/>
        </w:rPr>
        <w:t>Section 1(2) Mental Health Act 1983.</w:t>
      </w:r>
    </w:p>
  </w:footnote>
  <w:footnote w:id="3">
    <w:p w:rsidR="00366520" w:rsidRPr="00366520" w:rsidRDefault="00366520" w:rsidP="0036652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366520">
        <w:rPr>
          <w:sz w:val="16"/>
        </w:rPr>
        <w:t xml:space="preserve">The question of whether a “condition” </w:t>
      </w:r>
      <w:r>
        <w:rPr>
          <w:sz w:val="16"/>
        </w:rPr>
        <w:t xml:space="preserve">is such as to </w:t>
      </w:r>
      <w:r w:rsidRPr="00366520">
        <w:rPr>
          <w:sz w:val="16"/>
        </w:rPr>
        <w:t xml:space="preserve">warrant detention is </w:t>
      </w:r>
      <w:r>
        <w:rPr>
          <w:sz w:val="16"/>
        </w:rPr>
        <w:t xml:space="preserve">a legal question that should be </w:t>
      </w:r>
      <w:r w:rsidRPr="00366520">
        <w:rPr>
          <w:sz w:val="16"/>
        </w:rPr>
        <w:t>answered following r</w:t>
      </w:r>
      <w:r>
        <w:rPr>
          <w:sz w:val="16"/>
        </w:rPr>
        <w:t xml:space="preserve">eceipt of medical evidence. Had </w:t>
      </w:r>
      <w:r w:rsidRPr="00366520">
        <w:rPr>
          <w:sz w:val="16"/>
        </w:rPr>
        <w:t>the Psychiatrists who ga</w:t>
      </w:r>
      <w:r>
        <w:rPr>
          <w:sz w:val="16"/>
        </w:rPr>
        <w:t xml:space="preserve">ve the evidence had the benefit </w:t>
      </w:r>
      <w:r w:rsidRPr="00366520">
        <w:rPr>
          <w:sz w:val="16"/>
        </w:rPr>
        <w:t>of the Moyle Judgment when making their assessment,</w:t>
      </w:r>
    </w:p>
    <w:p w:rsidR="00366520" w:rsidRPr="00366520" w:rsidRDefault="00366520" w:rsidP="00366520">
      <w:pPr>
        <w:pStyle w:val="FootnoteText"/>
        <w:rPr>
          <w:sz w:val="16"/>
        </w:rPr>
      </w:pPr>
      <w:proofErr w:type="gramStart"/>
      <w:r w:rsidRPr="00366520">
        <w:rPr>
          <w:sz w:val="16"/>
        </w:rPr>
        <w:t>the</w:t>
      </w:r>
      <w:proofErr w:type="gramEnd"/>
      <w:r w:rsidRPr="00366520">
        <w:rPr>
          <w:sz w:val="16"/>
        </w:rPr>
        <w:t xml:space="preserve"> assessment of detainabili</w:t>
      </w:r>
      <w:r>
        <w:rPr>
          <w:sz w:val="16"/>
        </w:rPr>
        <w:t xml:space="preserve">ty might have been </w:t>
      </w:r>
      <w:r w:rsidRPr="00366520">
        <w:rPr>
          <w:sz w:val="16"/>
        </w:rPr>
        <w:t>different.</w:t>
      </w:r>
    </w:p>
  </w:footnote>
  <w:footnote w:id="4">
    <w:p w:rsidR="00366520" w:rsidRDefault="003665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6520">
        <w:rPr>
          <w:sz w:val="16"/>
        </w:rPr>
        <w:t>Paragraph 2 of the Judgment.</w:t>
      </w:r>
    </w:p>
  </w:footnote>
  <w:footnote w:id="5">
    <w:p w:rsidR="00C55889" w:rsidRDefault="00C558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5889">
        <w:rPr>
          <w:sz w:val="16"/>
        </w:rPr>
        <w:t>Section 3</w:t>
      </w:r>
    </w:p>
  </w:footnote>
  <w:footnote w:id="6">
    <w:p w:rsidR="00C55889" w:rsidRDefault="00C558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5889">
        <w:rPr>
          <w:sz w:val="16"/>
        </w:rPr>
        <w:t>Section 37</w:t>
      </w:r>
    </w:p>
  </w:footnote>
  <w:footnote w:id="7">
    <w:p w:rsidR="00C55889" w:rsidRDefault="00C558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5889">
        <w:rPr>
          <w:sz w:val="16"/>
        </w:rPr>
        <w:t>Section 41</w:t>
      </w:r>
    </w:p>
  </w:footnote>
  <w:footnote w:id="8">
    <w:p w:rsidR="00C55889" w:rsidRDefault="00C558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5889">
        <w:rPr>
          <w:sz w:val="16"/>
        </w:rPr>
        <w:t>Section 72(1)(b)(</w:t>
      </w:r>
      <w:proofErr w:type="spellStart"/>
      <w:r w:rsidRPr="00C55889">
        <w:rPr>
          <w:sz w:val="16"/>
        </w:rPr>
        <w:t>i</w:t>
      </w:r>
      <w:proofErr w:type="spellEnd"/>
      <w:r w:rsidRPr="00C55889">
        <w:rPr>
          <w:sz w:val="16"/>
        </w:rPr>
        <w:t>)</w:t>
      </w:r>
    </w:p>
  </w:footnote>
  <w:footnote w:id="9">
    <w:p w:rsidR="003439A4" w:rsidRDefault="003439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439A4">
        <w:rPr>
          <w:sz w:val="16"/>
        </w:rPr>
        <w:t>Section 72(1)(b)(ii)</w:t>
      </w:r>
    </w:p>
  </w:footnote>
  <w:footnote w:id="10">
    <w:p w:rsidR="003439A4" w:rsidRDefault="003439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439A4">
        <w:rPr>
          <w:sz w:val="16"/>
        </w:rPr>
        <w:t>Section 72 (1)(a)(</w:t>
      </w:r>
      <w:proofErr w:type="spellStart"/>
      <w:r w:rsidRPr="003439A4">
        <w:rPr>
          <w:sz w:val="16"/>
        </w:rPr>
        <w:t>i</w:t>
      </w:r>
      <w:proofErr w:type="spellEnd"/>
      <w:r w:rsidRPr="003439A4">
        <w:rPr>
          <w:sz w:val="16"/>
        </w:rPr>
        <w:t>)&amp;(ii)</w:t>
      </w:r>
    </w:p>
  </w:footnote>
  <w:footnote w:id="11">
    <w:p w:rsidR="003439A4" w:rsidRDefault="003439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439A4">
        <w:rPr>
          <w:sz w:val="16"/>
        </w:rPr>
        <w:t>Section 2</w:t>
      </w:r>
    </w:p>
  </w:footnote>
  <w:footnote w:id="12">
    <w:p w:rsidR="003439A4" w:rsidRDefault="003439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439A4">
        <w:rPr>
          <w:sz w:val="16"/>
        </w:rPr>
        <w:t>Section 7</w:t>
      </w:r>
    </w:p>
  </w:footnote>
  <w:footnote w:id="13">
    <w:p w:rsidR="003439A4" w:rsidRDefault="003439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439A4">
        <w:rPr>
          <w:sz w:val="16"/>
        </w:rPr>
        <w:t>The discharge criteria are in Section 72(4)(a)&amp;(b)</w:t>
      </w:r>
    </w:p>
  </w:footnote>
  <w:footnote w:id="14">
    <w:p w:rsidR="003439A4" w:rsidRDefault="003439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439A4">
        <w:rPr>
          <w:sz w:val="16"/>
        </w:rPr>
        <w:t>Section 25A</w:t>
      </w:r>
    </w:p>
  </w:footnote>
  <w:footnote w:id="15">
    <w:p w:rsidR="003439A4" w:rsidRPr="003439A4" w:rsidRDefault="003439A4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3439A4">
        <w:rPr>
          <w:sz w:val="16"/>
        </w:rPr>
        <w:t>The discharge criteria are in section 72[(4A)(a)&amp;(b)]</w:t>
      </w:r>
    </w:p>
  </w:footnote>
  <w:footnote w:id="16">
    <w:p w:rsidR="003439A4" w:rsidRPr="003439A4" w:rsidRDefault="003439A4" w:rsidP="003439A4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3439A4">
        <w:rPr>
          <w:sz w:val="16"/>
        </w:rPr>
        <w:t>Regina v Mental Health Review Tribunal for South</w:t>
      </w:r>
      <w:r>
        <w:rPr>
          <w:sz w:val="16"/>
        </w:rPr>
        <w:t xml:space="preserve"> </w:t>
      </w:r>
      <w:r w:rsidRPr="003439A4">
        <w:rPr>
          <w:sz w:val="16"/>
        </w:rPr>
        <w:t>Thames Region ex</w:t>
      </w:r>
      <w:r>
        <w:rPr>
          <w:sz w:val="16"/>
        </w:rPr>
        <w:t xml:space="preserve"> parte Smith [TLR 9th. December </w:t>
      </w:r>
      <w:r w:rsidRPr="003439A4">
        <w:rPr>
          <w:sz w:val="16"/>
        </w:rPr>
        <w:t>1998]</w:t>
      </w:r>
    </w:p>
  </w:footnote>
  <w:footnote w:id="17">
    <w:p w:rsidR="008A4D21" w:rsidRDefault="008A4D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A4D21">
        <w:rPr>
          <w:sz w:val="16"/>
        </w:rPr>
        <w:t>Section 3(2)(b) and 37(2)(a)(</w:t>
      </w:r>
      <w:proofErr w:type="spellStart"/>
      <w:r w:rsidRPr="008A4D21">
        <w:rPr>
          <w:sz w:val="16"/>
        </w:rPr>
        <w:t>i</w:t>
      </w:r>
      <w:proofErr w:type="spellEnd"/>
      <w:r w:rsidRPr="008A4D21">
        <w:rPr>
          <w:sz w:val="16"/>
        </w:rPr>
        <w:t>)</w:t>
      </w:r>
    </w:p>
  </w:footnote>
  <w:footnote w:id="18">
    <w:p w:rsidR="00535922" w:rsidRDefault="005359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5922">
        <w:rPr>
          <w:sz w:val="16"/>
        </w:rPr>
        <w:t>[1994] 2All ER 659; [1995] QB 60</w:t>
      </w:r>
    </w:p>
  </w:footnote>
  <w:footnote w:id="19">
    <w:p w:rsidR="00535922" w:rsidRDefault="005359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5922">
        <w:rPr>
          <w:sz w:val="16"/>
        </w:rPr>
        <w:t>[1999] 2 WLR 28; [1999] 1 All ER 481</w:t>
      </w:r>
    </w:p>
  </w:footnote>
  <w:footnote w:id="20">
    <w:p w:rsidR="00535922" w:rsidRDefault="005359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A5C20" w:rsidRPr="00CA5C20">
        <w:rPr>
          <w:sz w:val="16"/>
        </w:rPr>
        <w:t>At page 482 paragraphs a - b [1999] 1 All ER</w:t>
      </w:r>
    </w:p>
  </w:footnote>
  <w:footnote w:id="21">
    <w:p w:rsidR="00CA5C20" w:rsidRDefault="00CA5C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044FA" w:rsidRPr="00B044FA">
        <w:rPr>
          <w:sz w:val="16"/>
        </w:rPr>
        <w:t>At page 22 of the Moyle judgment.</w:t>
      </w:r>
    </w:p>
  </w:footnote>
  <w:footnote w:id="22">
    <w:p w:rsidR="00B044FA" w:rsidRDefault="00B044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44FA">
        <w:rPr>
          <w:sz w:val="16"/>
        </w:rPr>
        <w:t>At pages 19 -20 of the Moyle judgment.</w:t>
      </w:r>
    </w:p>
  </w:footnote>
  <w:footnote w:id="23">
    <w:p w:rsidR="00B044FA" w:rsidRDefault="00B044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44FA">
        <w:rPr>
          <w:sz w:val="16"/>
        </w:rPr>
        <w:t>Supra</w:t>
      </w:r>
    </w:p>
  </w:footnote>
  <w:footnote w:id="24">
    <w:p w:rsidR="00B044FA" w:rsidRDefault="00B044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44FA">
        <w:rPr>
          <w:sz w:val="16"/>
        </w:rPr>
        <w:t>TLR 10/02/2000</w:t>
      </w:r>
    </w:p>
  </w:footnote>
  <w:footnote w:id="25">
    <w:p w:rsidR="00B044FA" w:rsidRDefault="00B044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44FA">
        <w:rPr>
          <w:sz w:val="16"/>
        </w:rPr>
        <w:t>LTL 14/01/2000 Document No: C7800683</w:t>
      </w:r>
    </w:p>
  </w:footnote>
  <w:footnote w:id="26">
    <w:p w:rsidR="00602F51" w:rsidRDefault="00602F51" w:rsidP="000108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1089D" w:rsidRPr="0001089D">
        <w:rPr>
          <w:sz w:val="16"/>
        </w:rPr>
        <w:t>That is subject to Section 2</w:t>
      </w:r>
      <w:r w:rsidR="0001089D" w:rsidRPr="0001089D">
        <w:rPr>
          <w:sz w:val="16"/>
        </w:rPr>
        <w:t xml:space="preserve">, Section 3, Section 7, Section </w:t>
      </w:r>
      <w:r w:rsidR="0001089D" w:rsidRPr="0001089D">
        <w:rPr>
          <w:sz w:val="16"/>
        </w:rPr>
        <w:t>37 or Section 25A.</w:t>
      </w:r>
    </w:p>
  </w:footnote>
  <w:footnote w:id="27">
    <w:p w:rsidR="00602F51" w:rsidRDefault="00602F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1089D" w:rsidRPr="0001089D">
        <w:rPr>
          <w:sz w:val="16"/>
        </w:rPr>
        <w:t>Section 25A (4) (a) (b) and(c).</w:t>
      </w:r>
    </w:p>
  </w:footnote>
  <w:footnote w:id="28">
    <w:p w:rsidR="00602F51" w:rsidRDefault="00602F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1089D" w:rsidRPr="0001089D">
        <w:rPr>
          <w:sz w:val="16"/>
        </w:rPr>
        <w:t>Section 25G (4) (a) (b) and(c).</w:t>
      </w:r>
    </w:p>
  </w:footnote>
  <w:footnote w:id="29">
    <w:p w:rsidR="00B976C2" w:rsidRDefault="00B976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0529E" w:rsidRPr="0080529E">
        <w:rPr>
          <w:sz w:val="16"/>
        </w:rPr>
        <w:t>[1994] 2 All ER at 683</w:t>
      </w:r>
    </w:p>
  </w:footnote>
  <w:footnote w:id="30">
    <w:p w:rsidR="00B976C2" w:rsidRDefault="00B976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0529E" w:rsidRPr="0080529E">
        <w:rPr>
          <w:sz w:val="16"/>
        </w:rPr>
        <w:t>Page 20 of the judgment.</w:t>
      </w:r>
    </w:p>
  </w:footnote>
  <w:footnote w:id="31">
    <w:p w:rsidR="003A351A" w:rsidRDefault="003A351A" w:rsidP="003A35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A351A">
        <w:rPr>
          <w:sz w:val="16"/>
        </w:rPr>
        <w:t>Section 67(1), Section 68(1), Section 68(2), Section</w:t>
      </w:r>
      <w:r w:rsidRPr="003A351A">
        <w:rPr>
          <w:sz w:val="16"/>
        </w:rPr>
        <w:t xml:space="preserve"> </w:t>
      </w:r>
      <w:r w:rsidRPr="003A351A">
        <w:rPr>
          <w:sz w:val="16"/>
        </w:rPr>
        <w:t>71(1), Section 71(2), Section 71(5) and Section 75(1</w:t>
      </w:r>
      <w:proofErr w:type="gramStart"/>
      <w:r w:rsidRPr="003A351A">
        <w:rPr>
          <w:sz w:val="16"/>
        </w:rPr>
        <w:t>)(</w:t>
      </w:r>
      <w:proofErr w:type="gramEnd"/>
      <w:r w:rsidRPr="003A351A">
        <w:rPr>
          <w:sz w:val="16"/>
        </w:rPr>
        <w:t>a).</w:t>
      </w:r>
    </w:p>
  </w:footnote>
  <w:footnote w:id="32">
    <w:p w:rsidR="003A351A" w:rsidRDefault="003A35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A351A">
        <w:rPr>
          <w:sz w:val="16"/>
        </w:rPr>
        <w:t>(1981) 4 E.H.R.R. 181; 1 B.M.L.R. 98</w:t>
      </w:r>
    </w:p>
  </w:footnote>
  <w:footnote w:id="33">
    <w:p w:rsidR="003A351A" w:rsidRDefault="003A35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A351A">
        <w:rPr>
          <w:sz w:val="16"/>
        </w:rPr>
        <w:t>(1979) 4 E.H.R.R. 387</w:t>
      </w:r>
    </w:p>
  </w:footnote>
  <w:footnote w:id="34">
    <w:p w:rsidR="00390D68" w:rsidRDefault="00390D68" w:rsidP="00390D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90D68">
        <w:rPr>
          <w:sz w:val="16"/>
        </w:rPr>
        <w:t>Personal knowledge of th</w:t>
      </w:r>
      <w:r w:rsidRPr="00390D68">
        <w:rPr>
          <w:sz w:val="16"/>
        </w:rPr>
        <w:t xml:space="preserve">e writer gained in his capacity </w:t>
      </w:r>
      <w:r w:rsidRPr="00390D68">
        <w:rPr>
          <w:sz w:val="16"/>
        </w:rPr>
        <w:t>as MHRT legal member.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13"/>
    <w:rsid w:val="0001089D"/>
    <w:rsid w:val="00104092"/>
    <w:rsid w:val="003439A4"/>
    <w:rsid w:val="00366520"/>
    <w:rsid w:val="00390D68"/>
    <w:rsid w:val="003A351A"/>
    <w:rsid w:val="00534AF0"/>
    <w:rsid w:val="00535922"/>
    <w:rsid w:val="00587385"/>
    <w:rsid w:val="005903F9"/>
    <w:rsid w:val="00602F51"/>
    <w:rsid w:val="00625E95"/>
    <w:rsid w:val="0080529E"/>
    <w:rsid w:val="00864613"/>
    <w:rsid w:val="008A4D21"/>
    <w:rsid w:val="00996AB1"/>
    <w:rsid w:val="00B044FA"/>
    <w:rsid w:val="00B47781"/>
    <w:rsid w:val="00B976C2"/>
    <w:rsid w:val="00C41D4F"/>
    <w:rsid w:val="00C55889"/>
    <w:rsid w:val="00CA5C20"/>
    <w:rsid w:val="00D30515"/>
    <w:rsid w:val="00DE6F25"/>
    <w:rsid w:val="00F4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41D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D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D4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2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E95"/>
  </w:style>
  <w:style w:type="paragraph" w:styleId="Footer">
    <w:name w:val="footer"/>
    <w:basedOn w:val="Normal"/>
    <w:link w:val="FooterChar"/>
    <w:uiPriority w:val="99"/>
    <w:unhideWhenUsed/>
    <w:rsid w:val="0062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E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41D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D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D4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2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E95"/>
  </w:style>
  <w:style w:type="paragraph" w:styleId="Footer">
    <w:name w:val="footer"/>
    <w:basedOn w:val="Normal"/>
    <w:link w:val="FooterChar"/>
    <w:uiPriority w:val="99"/>
    <w:unhideWhenUsed/>
    <w:rsid w:val="0062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11</Pages>
  <Words>2985</Words>
  <Characters>17019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19965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dcterms:created xsi:type="dcterms:W3CDTF">2014-10-13T12:14:00Z</dcterms:created>
  <dcterms:modified xsi:type="dcterms:W3CDTF">2014-10-13T15:34:00Z</dcterms:modified>
</cp:coreProperties>
</file>