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CB" w:rsidRDefault="00A7609A" w:rsidP="00A7609A">
      <w:pPr>
        <w:rPr>
          <w:sz w:val="56"/>
          <w:szCs w:val="56"/>
        </w:rPr>
      </w:pPr>
      <w:r w:rsidRPr="00A7609A">
        <w:rPr>
          <w:sz w:val="56"/>
          <w:szCs w:val="56"/>
        </w:rPr>
        <w:t>Mental Health Act Guardianship and the Protection of Children</w:t>
      </w:r>
    </w:p>
    <w:p w:rsidR="00A7609A" w:rsidRDefault="009B577E" w:rsidP="00A7609A">
      <w:r>
        <w:t>Ralph Sandland</w:t>
      </w:r>
      <w:r>
        <w:rPr>
          <w:rStyle w:val="FootnoteReference"/>
        </w:rPr>
        <w:footnoteReference w:customMarkFollows="1" w:id="1"/>
        <w:t>*</w:t>
      </w:r>
    </w:p>
    <w:p w:rsidR="009B577E" w:rsidRDefault="009B577E" w:rsidP="00A7609A">
      <w:pPr>
        <w:rPr>
          <w:b/>
        </w:rPr>
      </w:pPr>
    </w:p>
    <w:p w:rsidR="00A7609A" w:rsidRPr="009B577E" w:rsidRDefault="00A7609A" w:rsidP="00A7609A">
      <w:pPr>
        <w:rPr>
          <w:b/>
        </w:rPr>
      </w:pPr>
      <w:r w:rsidRPr="009B577E">
        <w:rPr>
          <w:b/>
        </w:rPr>
        <w:t>Re F (Mental Health Act: Guardianship) [2000] 1 FLR 192, CA</w:t>
      </w:r>
    </w:p>
    <w:p w:rsidR="00A7609A" w:rsidRPr="009B577E" w:rsidRDefault="00A7609A" w:rsidP="00A7609A">
      <w:r w:rsidRPr="009B577E">
        <w:t>Court of Appeal (30th September 1999). Evans, Thorpe, and Mummery LJJ. Judgment of the</w:t>
      </w:r>
    </w:p>
    <w:p w:rsidR="00A7609A" w:rsidRPr="009B577E" w:rsidRDefault="00A7609A" w:rsidP="00A7609A">
      <w:pPr>
        <w:rPr>
          <w:b/>
        </w:rPr>
      </w:pPr>
      <w:r w:rsidRPr="009B577E">
        <w:t>Court given by Thorpe LJ</w:t>
      </w:r>
      <w:r w:rsidRPr="009B577E">
        <w:rPr>
          <w:b/>
        </w:rPr>
        <w:t>.</w:t>
      </w:r>
    </w:p>
    <w:p w:rsidR="00A7609A" w:rsidRDefault="00A7609A" w:rsidP="00A7609A"/>
    <w:p w:rsidR="00A7609A" w:rsidRPr="009B577E" w:rsidRDefault="00A7609A" w:rsidP="00A7609A">
      <w:pPr>
        <w:rPr>
          <w:b/>
        </w:rPr>
      </w:pPr>
      <w:r w:rsidRPr="009B577E">
        <w:rPr>
          <w:b/>
        </w:rPr>
        <w:t>Introduction</w:t>
      </w:r>
    </w:p>
    <w:p w:rsidR="00A7609A" w:rsidRDefault="00A7609A" w:rsidP="00A7609A">
      <w:r>
        <w:t>This case arose as a spin-off from what on the face of it was a relatively straightforward application</w:t>
      </w:r>
    </w:p>
    <w:p w:rsidR="00A7609A" w:rsidRDefault="00A7609A" w:rsidP="00A7609A">
      <w:proofErr w:type="gramStart"/>
      <w:r>
        <w:t>for</w:t>
      </w:r>
      <w:proofErr w:type="gramEnd"/>
      <w:r>
        <w:t xml:space="preserve"> care orders, made by the Social Services Department of the London Borough of Hackney</w:t>
      </w:r>
    </w:p>
    <w:p w:rsidR="00A7609A" w:rsidRDefault="00A7609A" w:rsidP="00A7609A">
      <w:r>
        <w:t>(‘LBH’), in respect of eight siblings. The case is of interest to mental health lawyers by reason of</w:t>
      </w:r>
    </w:p>
    <w:p w:rsidR="00A7609A" w:rsidRDefault="00A7609A" w:rsidP="00A7609A">
      <w:proofErr w:type="gramStart"/>
      <w:r>
        <w:t>the</w:t>
      </w:r>
      <w:proofErr w:type="gramEnd"/>
      <w:r>
        <w:t xml:space="preserve"> attempt of LBH to use creatively elements of the Mental Health Act 1983 (‘the 1983 Act’)</w:t>
      </w:r>
    </w:p>
    <w:p w:rsidR="00A7609A" w:rsidRDefault="00A7609A" w:rsidP="00A7609A">
      <w:r>
        <w:t>regime to plug apparent gaps in the powers available to local authorities and the courts in the</w:t>
      </w:r>
    </w:p>
    <w:p w:rsidR="00A7609A" w:rsidRDefault="00A7609A" w:rsidP="00A7609A">
      <w:r>
        <w:t>Children Act 1989. This entailed the court’s consideration of various provisions of the 1983 Act,</w:t>
      </w:r>
    </w:p>
    <w:p w:rsidR="00A7609A" w:rsidRDefault="00A7609A" w:rsidP="00A7609A">
      <w:proofErr w:type="gramStart"/>
      <w:r>
        <w:t>as</w:t>
      </w:r>
      <w:proofErr w:type="gramEnd"/>
      <w:r>
        <w:t xml:space="preserve"> they relate to persons with learning difficulties. This case will also be of interest to family</w:t>
      </w:r>
    </w:p>
    <w:p w:rsidR="00A7609A" w:rsidRDefault="00A7609A" w:rsidP="00A7609A">
      <w:r>
        <w:t>lawyers, as the boundary between family law and mental health law, such as it is, was also</w:t>
      </w:r>
    </w:p>
    <w:p w:rsidR="00A7609A" w:rsidRDefault="00A7609A" w:rsidP="00A7609A">
      <w:r>
        <w:t>considered by the Court of Appeal. Moreover, it is worth remembering that the backdrop to all</w:t>
      </w:r>
    </w:p>
    <w:p w:rsidR="00A7609A" w:rsidRDefault="00A7609A" w:rsidP="00A7609A">
      <w:r>
        <w:t>judicial activity in the field of mental health law at present is the on-going root-and-branch reform</w:t>
      </w:r>
    </w:p>
    <w:p w:rsidR="00A7609A" w:rsidRDefault="00A7609A" w:rsidP="00A7609A">
      <w:r>
        <w:t>of this area of law. As will be discussed below, this case adds to a growing number that highlight</w:t>
      </w:r>
    </w:p>
    <w:p w:rsidR="00A7609A" w:rsidRDefault="00A7609A" w:rsidP="00A7609A">
      <w:r>
        <w:t>deficiencies in the operation of the current regime as it applies to adults with learning difficulties.</w:t>
      </w:r>
    </w:p>
    <w:p w:rsidR="00A7609A" w:rsidRDefault="00A7609A" w:rsidP="00A7609A">
      <w:r>
        <w:t>Finally, although there is little direct discussion to be found in the law report of the judgment of</w:t>
      </w:r>
    </w:p>
    <w:p w:rsidR="00A7609A" w:rsidRDefault="00A7609A" w:rsidP="00A7609A">
      <w:r>
        <w:t>the Court of Appeal, this case raises broader issues of human rights; a topic that none can afford</w:t>
      </w:r>
    </w:p>
    <w:p w:rsidR="00A7609A" w:rsidRDefault="00A7609A" w:rsidP="00A7609A">
      <w:r>
        <w:t>to ignore in light of the Human Rights Act 1998.</w:t>
      </w:r>
    </w:p>
    <w:p w:rsidR="009B577E" w:rsidRDefault="009B577E" w:rsidP="00A7609A"/>
    <w:p w:rsidR="00A7609A" w:rsidRPr="000E1471" w:rsidRDefault="00A7609A" w:rsidP="00A7609A">
      <w:pPr>
        <w:rPr>
          <w:b/>
        </w:rPr>
      </w:pPr>
      <w:r w:rsidRPr="000E1471">
        <w:rPr>
          <w:b/>
        </w:rPr>
        <w:lastRenderedPageBreak/>
        <w:t>The Facts</w:t>
      </w:r>
    </w:p>
    <w:p w:rsidR="00A7609A" w:rsidRDefault="00A7609A" w:rsidP="00BD5123">
      <w:pPr>
        <w:spacing w:line="240" w:lineRule="auto"/>
      </w:pPr>
      <w:r>
        <w:t>The appeal concerned the plans proposed by LBH in respect of T, the eldest of eight children born</w:t>
      </w:r>
    </w:p>
    <w:p w:rsidR="00A7609A" w:rsidRDefault="00A7609A" w:rsidP="00BD5123">
      <w:pPr>
        <w:spacing w:line="240" w:lineRule="auto"/>
      </w:pPr>
      <w:proofErr w:type="gramStart"/>
      <w:r>
        <w:t>to</w:t>
      </w:r>
      <w:proofErr w:type="gramEnd"/>
      <w:r>
        <w:t xml:space="preserve"> the F family between 1981 and 1992. All eight had been the subject of Emergency Protection</w:t>
      </w:r>
    </w:p>
    <w:p w:rsidR="00A7609A" w:rsidRDefault="00A7609A" w:rsidP="00BD5123">
      <w:pPr>
        <w:spacing w:line="240" w:lineRule="auto"/>
      </w:pPr>
      <w:r>
        <w:t>Orders (EPOs) made on 11 November 1998. The F children were taken from their home and placed</w:t>
      </w:r>
    </w:p>
    <w:p w:rsidR="00A7609A" w:rsidRDefault="00A7609A" w:rsidP="00BD5123">
      <w:pPr>
        <w:spacing w:line="240" w:lineRule="auto"/>
      </w:pPr>
      <w:r>
        <w:t>in various local authority accommodation. T, along with two of her sisters, was placed in a</w:t>
      </w:r>
    </w:p>
    <w:p w:rsidR="00A7609A" w:rsidRDefault="00A7609A" w:rsidP="00BD5123">
      <w:pPr>
        <w:spacing w:line="240" w:lineRule="auto"/>
      </w:pPr>
      <w:r>
        <w:t>specialist children’s home. This was intended by LBH as a first step to the seeking of full care</w:t>
      </w:r>
    </w:p>
    <w:p w:rsidR="00A7609A" w:rsidRDefault="00A7609A" w:rsidP="00BD5123">
      <w:pPr>
        <w:spacing w:line="240" w:lineRule="auto"/>
      </w:pPr>
      <w:r>
        <w:t>orders. The basis for the intervention of LBH was claimed neglect of the F children by their</w:t>
      </w:r>
    </w:p>
    <w:p w:rsidR="00A7609A" w:rsidRDefault="00A7609A" w:rsidP="00BD5123">
      <w:pPr>
        <w:spacing w:line="240" w:lineRule="auto"/>
      </w:pPr>
      <w:r>
        <w:t>parents, and the particular claim that the F children were exposed by their parents to adults ‘prone</w:t>
      </w:r>
    </w:p>
    <w:p w:rsidR="00A7609A" w:rsidRDefault="00A7609A" w:rsidP="00BD5123">
      <w:pPr>
        <w:spacing w:line="240" w:lineRule="auto"/>
      </w:pPr>
      <w:proofErr w:type="gramStart"/>
      <w:r>
        <w:t>to</w:t>
      </w:r>
      <w:proofErr w:type="gramEnd"/>
      <w:r>
        <w:t xml:space="preserve"> sexual abuse or exploitation of children’ in the words of Thorpe LJ</w:t>
      </w:r>
      <w:r w:rsidR="00BD5123">
        <w:rPr>
          <w:rStyle w:val="FootnoteReference"/>
        </w:rPr>
        <w:footnoteReference w:id="2"/>
      </w:r>
      <w:r>
        <w:t>. The care order hearing was</w:t>
      </w:r>
    </w:p>
    <w:p w:rsidR="00A7609A" w:rsidRDefault="00A7609A" w:rsidP="00BD5123">
      <w:pPr>
        <w:spacing w:line="240" w:lineRule="auto"/>
      </w:pPr>
      <w:r>
        <w:t>pending at the time of the instant case. The Court of Appeal was therefore confronted with</w:t>
      </w:r>
    </w:p>
    <w:p w:rsidR="00A7609A" w:rsidRDefault="00A7609A" w:rsidP="00BD5123">
      <w:pPr>
        <w:spacing w:line="240" w:lineRule="auto"/>
      </w:pPr>
      <w:r>
        <w:t>allegations rather than proof of inadequate parenting.</w:t>
      </w:r>
    </w:p>
    <w:p w:rsidR="00BD5123" w:rsidRDefault="00BD5123" w:rsidP="00BD5123">
      <w:pPr>
        <w:spacing w:line="240" w:lineRule="auto"/>
      </w:pPr>
    </w:p>
    <w:p w:rsidR="00BD5123" w:rsidRDefault="00BD5123" w:rsidP="00BD5123">
      <w:pPr>
        <w:spacing w:line="240" w:lineRule="auto"/>
      </w:pPr>
      <w:r>
        <w:t>An EPO lasts for a maximum of eight days in the first instance</w:t>
      </w:r>
      <w:r>
        <w:rPr>
          <w:rStyle w:val="FootnoteReference"/>
        </w:rPr>
        <w:footnoteReference w:id="3"/>
      </w:r>
      <w:r>
        <w:t>, renewable for one further period</w:t>
      </w:r>
    </w:p>
    <w:p w:rsidR="00BD5123" w:rsidRDefault="00BD5123" w:rsidP="00BD5123">
      <w:pPr>
        <w:spacing w:line="240" w:lineRule="auto"/>
      </w:pPr>
      <w:proofErr w:type="gramStart"/>
      <w:r>
        <w:t>of</w:t>
      </w:r>
      <w:proofErr w:type="gramEnd"/>
      <w:r>
        <w:t xml:space="preserve"> seven days</w:t>
      </w:r>
      <w:r>
        <w:rPr>
          <w:rStyle w:val="FootnoteReference"/>
        </w:rPr>
        <w:footnoteReference w:id="4"/>
      </w:r>
      <w:r>
        <w:t>. Eight days after the EPOs had first been made, interim care orders were made in</w:t>
      </w:r>
    </w:p>
    <w:p w:rsidR="00BD5123" w:rsidRDefault="00BD5123" w:rsidP="00BD5123">
      <w:pPr>
        <w:spacing w:line="240" w:lineRule="auto"/>
      </w:pPr>
      <w:r>
        <w:t>respect of the seven youngest children of the family. However, in the intervening period T had</w:t>
      </w:r>
    </w:p>
    <w:p w:rsidR="00BD5123" w:rsidRDefault="00BD5123" w:rsidP="00BD5123">
      <w:pPr>
        <w:spacing w:line="240" w:lineRule="auto"/>
      </w:pPr>
      <w:proofErr w:type="gramStart"/>
      <w:r>
        <w:t>passed</w:t>
      </w:r>
      <w:proofErr w:type="gramEnd"/>
      <w:r>
        <w:t xml:space="preserve"> her seventeenth birthday and so could not be made subject to a care order</w:t>
      </w:r>
      <w:r w:rsidR="00F33302">
        <w:rPr>
          <w:rStyle w:val="FootnoteReference"/>
        </w:rPr>
        <w:footnoteReference w:id="5"/>
      </w:r>
      <w:r>
        <w:t>. In her case,</w:t>
      </w:r>
    </w:p>
    <w:p w:rsidR="00BD5123" w:rsidRDefault="00BD5123" w:rsidP="00BD5123">
      <w:pPr>
        <w:spacing w:line="240" w:lineRule="auto"/>
      </w:pPr>
      <w:r>
        <w:t>therefore, the EPO was renewed for a further seven days. Thereafter, the order lapsed, although T</w:t>
      </w:r>
    </w:p>
    <w:p w:rsidR="00BD5123" w:rsidRDefault="00BD5123" w:rsidP="00BD5123">
      <w:pPr>
        <w:spacing w:line="240" w:lineRule="auto"/>
      </w:pPr>
      <w:r>
        <w:t>remained in local authority accommodation on a voluntary basis. During that time she was</w:t>
      </w:r>
    </w:p>
    <w:p w:rsidR="00BD5123" w:rsidRDefault="00BD5123" w:rsidP="00BD5123">
      <w:pPr>
        <w:spacing w:line="240" w:lineRule="auto"/>
      </w:pPr>
      <w:r>
        <w:t>examined by a consultant paediatrician, who formed the view that she had experienced sexual</w:t>
      </w:r>
    </w:p>
    <w:p w:rsidR="00BD5123" w:rsidRDefault="00BD5123" w:rsidP="00BD5123">
      <w:pPr>
        <w:spacing w:line="240" w:lineRule="auto"/>
      </w:pPr>
      <w:r>
        <w:t>intercourse. Some two months later, T’s parents announced that they wished for T to return home.</w:t>
      </w:r>
    </w:p>
    <w:p w:rsidR="00BD5123" w:rsidRDefault="00BD5123" w:rsidP="00BD5123">
      <w:pPr>
        <w:spacing w:line="240" w:lineRule="auto"/>
      </w:pPr>
      <w:r>
        <w:t xml:space="preserve">As T was being ‘voluntarily accommodated’ by LBH, </w:t>
      </w:r>
      <w:r>
        <w:t>s.20 (</w:t>
      </w:r>
      <w:r>
        <w:t>8) Children Act 1989 provides that</w:t>
      </w:r>
    </w:p>
    <w:p w:rsidR="00BD5123" w:rsidRDefault="00BD5123" w:rsidP="00BD5123">
      <w:pPr>
        <w:spacing w:line="240" w:lineRule="auto"/>
      </w:pPr>
      <w:r>
        <w:t>persons with parental responsibility ‘may at any time remove the child’. There is no requirement</w:t>
      </w:r>
    </w:p>
    <w:p w:rsidR="00BD5123" w:rsidRDefault="00BD5123" w:rsidP="00BD5123">
      <w:pPr>
        <w:spacing w:line="240" w:lineRule="auto"/>
      </w:pPr>
      <w:r>
        <w:t>that notice be given.</w:t>
      </w:r>
    </w:p>
    <w:p w:rsidR="00BD5123" w:rsidRDefault="00BD5123" w:rsidP="00BD5123">
      <w:pPr>
        <w:spacing w:line="240" w:lineRule="auto"/>
      </w:pPr>
    </w:p>
    <w:p w:rsidR="00BD5123" w:rsidRDefault="00BD5123" w:rsidP="00BD5123">
      <w:pPr>
        <w:spacing w:line="240" w:lineRule="auto"/>
      </w:pPr>
      <w:r>
        <w:t>T also wished to return to live in the family home. LBH was concerned that T would again be</w:t>
      </w:r>
    </w:p>
    <w:p w:rsidR="00BD5123" w:rsidRDefault="00BD5123" w:rsidP="00BD5123">
      <w:pPr>
        <w:spacing w:line="240" w:lineRule="auto"/>
      </w:pPr>
      <w:r>
        <w:t>exposed to the risks that had prompted their initial intervention. As T could not be made subject</w:t>
      </w:r>
    </w:p>
    <w:p w:rsidR="00BD5123" w:rsidRDefault="00BD5123" w:rsidP="00BD5123">
      <w:pPr>
        <w:spacing w:line="240" w:lineRule="auto"/>
      </w:pPr>
      <w:proofErr w:type="gramStart"/>
      <w:r>
        <w:t>to</w:t>
      </w:r>
      <w:proofErr w:type="gramEnd"/>
      <w:r>
        <w:t xml:space="preserve"> a care order, LBH felt that it had to seek another mechanism to ensure her protection. Of the</w:t>
      </w:r>
    </w:p>
    <w:p w:rsidR="00BD5123" w:rsidRDefault="00BD5123" w:rsidP="00BD5123">
      <w:pPr>
        <w:spacing w:line="240" w:lineRule="auto"/>
      </w:pPr>
      <w:r>
        <w:lastRenderedPageBreak/>
        <w:t>options open to it (discussed further below), it chose to seek a Guardianship Order under s.7 of</w:t>
      </w:r>
    </w:p>
    <w:p w:rsidR="00BD5123" w:rsidRDefault="00BD5123" w:rsidP="00BD5123">
      <w:pPr>
        <w:spacing w:line="240" w:lineRule="auto"/>
      </w:pPr>
      <w:r>
        <w:t>the 1983 Act, on the grounds that T was ‘mentally impaired’ within the meaning of that Act,</w:t>
      </w:r>
    </w:p>
    <w:p w:rsidR="00BD5123" w:rsidRDefault="00BD5123" w:rsidP="00BD5123">
      <w:pPr>
        <w:spacing w:line="240" w:lineRule="auto"/>
      </w:pPr>
      <w:r>
        <w:t>having a ‘mental age’ assessed at between five and eight years of age, and that it was necessary for</w:t>
      </w:r>
    </w:p>
    <w:p w:rsidR="00BD5123" w:rsidRDefault="00BD5123" w:rsidP="00BD5123">
      <w:pPr>
        <w:spacing w:line="240" w:lineRule="auto"/>
      </w:pPr>
      <w:r>
        <w:t>her welfare and protection.</w:t>
      </w:r>
    </w:p>
    <w:p w:rsidR="00BD5123" w:rsidRDefault="00BD5123" w:rsidP="00BD5123">
      <w:pPr>
        <w:spacing w:line="240" w:lineRule="auto"/>
      </w:pPr>
    </w:p>
    <w:p w:rsidR="00BD5123" w:rsidRDefault="00BD5123" w:rsidP="00BD5123">
      <w:pPr>
        <w:spacing w:line="240" w:lineRule="auto"/>
      </w:pPr>
      <w:r>
        <w:t>An order under s.7 of the 1983 Act cannot be made without the consent of the ‘Nearest Relative’</w:t>
      </w:r>
    </w:p>
    <w:p w:rsidR="00BD5123" w:rsidRDefault="00BD5123" w:rsidP="00BD5123">
      <w:pPr>
        <w:spacing w:line="240" w:lineRule="auto"/>
      </w:pPr>
      <w:proofErr w:type="gramStart"/>
      <w:r>
        <w:t>of</w:t>
      </w:r>
      <w:proofErr w:type="gramEnd"/>
      <w:r>
        <w:t xml:space="preserve"> the person to be made subject to the order</w:t>
      </w:r>
      <w:r w:rsidR="0037581C">
        <w:rPr>
          <w:rStyle w:val="FootnoteReference"/>
        </w:rPr>
        <w:footnoteReference w:id="6"/>
      </w:r>
      <w:r>
        <w:t xml:space="preserve">. In the present case that person was Mr. F, T’s </w:t>
      </w:r>
    </w:p>
    <w:p w:rsidR="00BD5123" w:rsidRDefault="00BD5123" w:rsidP="00BD5123">
      <w:pPr>
        <w:spacing w:line="240" w:lineRule="auto"/>
      </w:pPr>
      <w:r>
        <w:t>father,</w:t>
      </w:r>
      <w:r>
        <w:t xml:space="preserve"> </w:t>
      </w:r>
      <w:r>
        <w:t>who would not give his consent. However, there is provision</w:t>
      </w:r>
      <w:r w:rsidR="00B24E4B">
        <w:rPr>
          <w:rStyle w:val="FootnoteReference"/>
        </w:rPr>
        <w:footnoteReference w:id="7"/>
      </w:r>
      <w:r>
        <w:t xml:space="preserve"> for </w:t>
      </w:r>
      <w:r>
        <w:t xml:space="preserve">the substitution of the </w:t>
      </w:r>
    </w:p>
    <w:p w:rsidR="00BD5123" w:rsidRDefault="00BD5123" w:rsidP="00BD5123">
      <w:pPr>
        <w:spacing w:line="240" w:lineRule="auto"/>
      </w:pPr>
      <w:r>
        <w:t xml:space="preserve">Nearest </w:t>
      </w:r>
      <w:r>
        <w:t xml:space="preserve">Relative on grounds, </w:t>
      </w:r>
      <w:r w:rsidRPr="007436CA">
        <w:rPr>
          <w:i/>
        </w:rPr>
        <w:t>inter alia</w:t>
      </w:r>
      <w:r>
        <w:t>, that that person ‘objects unreasonably’ to the guardianship</w:t>
      </w:r>
    </w:p>
    <w:p w:rsidR="00BD5123" w:rsidRDefault="00BD5123" w:rsidP="00BD5123">
      <w:pPr>
        <w:spacing w:line="240" w:lineRule="auto"/>
      </w:pPr>
      <w:r>
        <w:t>application or has objected ‘without regard to the welfare of the patient’. Shoreditch county court</w:t>
      </w:r>
    </w:p>
    <w:p w:rsidR="00BD5123" w:rsidRDefault="00BD5123" w:rsidP="00BD5123">
      <w:pPr>
        <w:spacing w:line="240" w:lineRule="auto"/>
      </w:pPr>
      <w:r>
        <w:t>had, on the application of LBH, made an order under s.29 of the 1983 Act, by which Mr. F had</w:t>
      </w:r>
    </w:p>
    <w:p w:rsidR="00BD5123" w:rsidRDefault="00BD5123" w:rsidP="00BD5123">
      <w:pPr>
        <w:spacing w:line="240" w:lineRule="auto"/>
      </w:pPr>
      <w:r>
        <w:t>been replaced by a LBH social services department officer as Nearest Relative. A Guardianship</w:t>
      </w:r>
    </w:p>
    <w:p w:rsidR="00BD5123" w:rsidRDefault="00BD5123" w:rsidP="00BD5123">
      <w:pPr>
        <w:spacing w:line="240" w:lineRule="auto"/>
      </w:pPr>
      <w:r>
        <w:t>Order had then been made by LBH.</w:t>
      </w:r>
    </w:p>
    <w:p w:rsidR="00BD5123" w:rsidRDefault="00BD5123" w:rsidP="00BD5123">
      <w:pPr>
        <w:spacing w:line="240" w:lineRule="auto"/>
      </w:pPr>
    </w:p>
    <w:p w:rsidR="00BD5123" w:rsidRDefault="00BD5123" w:rsidP="00BD5123">
      <w:pPr>
        <w:spacing w:line="240" w:lineRule="auto"/>
      </w:pPr>
      <w:r>
        <w:t>Mr. F appealed, challenging the decision of the county court to displace him as Nearest Relative.</w:t>
      </w:r>
    </w:p>
    <w:p w:rsidR="00BD5123" w:rsidRDefault="00BD5123" w:rsidP="00BD5123">
      <w:pPr>
        <w:spacing w:line="240" w:lineRule="auto"/>
      </w:pPr>
      <w:r>
        <w:t>A narrow reading of the case, therefore, would deem the issues to be the interpretation of the</w:t>
      </w:r>
    </w:p>
    <w:p w:rsidR="00BD5123" w:rsidRDefault="00BD5123" w:rsidP="00BD5123">
      <w:pPr>
        <w:spacing w:line="240" w:lineRule="auto"/>
      </w:pPr>
      <w:r>
        <w:t>powers given to the county court by s.29 of the 1983 Act and, tangentially, the circumstances in</w:t>
      </w:r>
    </w:p>
    <w:p w:rsidR="00BD5123" w:rsidRDefault="00BD5123" w:rsidP="00BD5123">
      <w:pPr>
        <w:spacing w:line="240" w:lineRule="auto"/>
      </w:pPr>
      <w:r>
        <w:t>which an order under s.7 of the Act is appropriately made. However, as Thorpe LJ noted, ‘the real</w:t>
      </w:r>
    </w:p>
    <w:p w:rsidR="00BD5123" w:rsidRDefault="00BD5123" w:rsidP="00BD5123">
      <w:pPr>
        <w:spacing w:line="240" w:lineRule="auto"/>
      </w:pPr>
      <w:proofErr w:type="gramStart"/>
      <w:r>
        <w:t>issues</w:t>
      </w:r>
      <w:proofErr w:type="gramEnd"/>
      <w:r>
        <w:t xml:space="preserve"> in the case surround the neglect, abuse and protection of children’</w:t>
      </w:r>
      <w:r w:rsidR="00541EB2">
        <w:rPr>
          <w:rStyle w:val="FootnoteReference"/>
        </w:rPr>
        <w:footnoteReference w:id="8"/>
      </w:r>
      <w:r>
        <w:t>; and the desire to attend</w:t>
      </w:r>
    </w:p>
    <w:p w:rsidR="00BD5123" w:rsidRDefault="00BD5123" w:rsidP="00BD5123">
      <w:pPr>
        <w:spacing w:line="240" w:lineRule="auto"/>
      </w:pPr>
      <w:proofErr w:type="gramStart"/>
      <w:r>
        <w:t>to</w:t>
      </w:r>
      <w:proofErr w:type="gramEnd"/>
      <w:r>
        <w:t xml:space="preserve"> these issues drew the Court of Appeal into a consideration of a broader legal terrain than might</w:t>
      </w:r>
    </w:p>
    <w:p w:rsidR="00BD5123" w:rsidRDefault="00BD5123" w:rsidP="00BD5123">
      <w:pPr>
        <w:spacing w:line="240" w:lineRule="auto"/>
      </w:pPr>
      <w:r>
        <w:t>have been the case had a narrower construction of the case been adopted.</w:t>
      </w:r>
    </w:p>
    <w:p w:rsidR="00F33302" w:rsidRDefault="00F33302" w:rsidP="00BD5123">
      <w:pPr>
        <w:spacing w:line="240" w:lineRule="auto"/>
      </w:pPr>
    </w:p>
    <w:p w:rsidR="00BD5123" w:rsidRPr="00F33302" w:rsidRDefault="00BD5123" w:rsidP="00BD5123">
      <w:pPr>
        <w:spacing w:line="240" w:lineRule="auto"/>
        <w:rPr>
          <w:b/>
        </w:rPr>
      </w:pPr>
      <w:r w:rsidRPr="00F33302">
        <w:rPr>
          <w:b/>
        </w:rPr>
        <w:t>Judgment</w:t>
      </w:r>
    </w:p>
    <w:p w:rsidR="00BD5123" w:rsidRDefault="00BD5123" w:rsidP="00BD5123">
      <w:pPr>
        <w:spacing w:line="240" w:lineRule="auto"/>
      </w:pPr>
      <w:r>
        <w:t>The Court of Appeal allowed the appeal, holding that Mr. F could not be said to have been</w:t>
      </w:r>
    </w:p>
    <w:p w:rsidR="00BD5123" w:rsidRDefault="00BD5123" w:rsidP="00BD5123">
      <w:pPr>
        <w:spacing w:line="240" w:lineRule="auto"/>
      </w:pPr>
      <w:r>
        <w:t>objecting unreasonably to the making of the guardianship order as this was not a suitable case for</w:t>
      </w:r>
    </w:p>
    <w:p w:rsidR="00BD5123" w:rsidRDefault="00BD5123" w:rsidP="00BD5123">
      <w:pPr>
        <w:spacing w:line="240" w:lineRule="auto"/>
      </w:pPr>
      <w:r>
        <w:t>the making of such an order.</w:t>
      </w:r>
    </w:p>
    <w:p w:rsidR="007436CA" w:rsidRDefault="007436CA" w:rsidP="00BD5123">
      <w:pPr>
        <w:spacing w:line="240" w:lineRule="auto"/>
      </w:pPr>
    </w:p>
    <w:p w:rsidR="00BD5123" w:rsidRDefault="00BD5123" w:rsidP="00BD5123">
      <w:pPr>
        <w:spacing w:line="240" w:lineRule="auto"/>
      </w:pPr>
      <w:r>
        <w:t>The court reached that relatively straightforward conclusion by a rather less straightforward</w:t>
      </w:r>
    </w:p>
    <w:p w:rsidR="00BD5123" w:rsidRDefault="00BD5123" w:rsidP="00617BE7">
      <w:pPr>
        <w:spacing w:line="240" w:lineRule="auto"/>
      </w:pPr>
      <w:r>
        <w:lastRenderedPageBreak/>
        <w:t>reasoning process. The issues in this case are strung together like a daisychain: whether Mr. F could</w:t>
      </w:r>
    </w:p>
    <w:p w:rsidR="00F94C04" w:rsidRDefault="00F94C04" w:rsidP="00617BE7">
      <w:pPr>
        <w:spacing w:line="240" w:lineRule="auto"/>
      </w:pPr>
      <w:r>
        <w:t xml:space="preserve">be said to have objected unreasonably to the guardianship application depended on whether it </w:t>
      </w:r>
    </w:p>
    <w:p w:rsidR="00F94C04" w:rsidRDefault="00F94C04" w:rsidP="00617BE7">
      <w:pPr>
        <w:spacing w:line="240" w:lineRule="auto"/>
      </w:pPr>
      <w:r>
        <w:t xml:space="preserve">could </w:t>
      </w:r>
      <w:r>
        <w:t xml:space="preserve">be said that the guardianship order had been appropriately sought and made. This in turn </w:t>
      </w:r>
    </w:p>
    <w:p w:rsidR="00F94C04" w:rsidRDefault="00F94C04" w:rsidP="00617BE7">
      <w:pPr>
        <w:spacing w:line="240" w:lineRule="auto"/>
      </w:pPr>
      <w:r>
        <w:t xml:space="preserve">depended </w:t>
      </w:r>
      <w:r>
        <w:t xml:space="preserve">not only on whether the requirements for the making of such an order had been satisfied, </w:t>
      </w:r>
    </w:p>
    <w:p w:rsidR="00F94C04" w:rsidRDefault="00F94C04" w:rsidP="00617BE7">
      <w:pPr>
        <w:spacing w:line="240" w:lineRule="auto"/>
      </w:pPr>
      <w:proofErr w:type="gramStart"/>
      <w:r>
        <w:t>but</w:t>
      </w:r>
      <w:proofErr w:type="gramEnd"/>
      <w:r>
        <w:t xml:space="preserve"> also </w:t>
      </w:r>
      <w:r>
        <w:t>on whether there was a more appropriate alternative course of action open to LBH.</w:t>
      </w:r>
    </w:p>
    <w:p w:rsidR="00617BE7" w:rsidRDefault="00617BE7" w:rsidP="00617BE7">
      <w:pPr>
        <w:spacing w:line="240" w:lineRule="auto"/>
      </w:pPr>
    </w:p>
    <w:p w:rsidR="00617BE7" w:rsidRPr="00617BE7" w:rsidRDefault="00617BE7" w:rsidP="00617BE7">
      <w:pPr>
        <w:spacing w:line="240" w:lineRule="auto"/>
        <w:rPr>
          <w:b/>
        </w:rPr>
      </w:pPr>
      <w:r w:rsidRPr="00617BE7">
        <w:rPr>
          <w:b/>
        </w:rPr>
        <w:t>The Construction of ‘Mental Impairment’</w:t>
      </w:r>
    </w:p>
    <w:p w:rsidR="00617BE7" w:rsidRDefault="00617BE7" w:rsidP="00617BE7">
      <w:pPr>
        <w:spacing w:line="240" w:lineRule="auto"/>
      </w:pPr>
      <w:r>
        <w:t>The court dealt first with the construction of the relevant words of the 1983 Act. ‘Mental</w:t>
      </w:r>
    </w:p>
    <w:p w:rsidR="00617BE7" w:rsidRDefault="00617BE7" w:rsidP="00617BE7">
      <w:pPr>
        <w:spacing w:line="240" w:lineRule="auto"/>
      </w:pPr>
      <w:r>
        <w:t>impairment’ for the purposes of the 1983 Act, including its provisions relating to guardianship</w:t>
      </w:r>
    </w:p>
    <w:p w:rsidR="00617BE7" w:rsidRDefault="00617BE7" w:rsidP="00617BE7">
      <w:pPr>
        <w:spacing w:line="240" w:lineRule="auto"/>
      </w:pPr>
      <w:r>
        <w:t xml:space="preserve">orders, is defined in </w:t>
      </w:r>
      <w:r>
        <w:t>s.1 (</w:t>
      </w:r>
      <w:r>
        <w:t>2) as</w:t>
      </w:r>
    </w:p>
    <w:p w:rsidR="00617BE7" w:rsidRDefault="00617BE7" w:rsidP="00617BE7">
      <w:pPr>
        <w:spacing w:line="240" w:lineRule="auto"/>
        <w:ind w:firstLine="284"/>
      </w:pPr>
      <w:r>
        <w:t>A state of arrested or incomplete development of mind (not amounting to severe mental</w:t>
      </w:r>
    </w:p>
    <w:p w:rsidR="00617BE7" w:rsidRDefault="00617BE7" w:rsidP="00617BE7">
      <w:pPr>
        <w:spacing w:line="240" w:lineRule="auto"/>
        <w:ind w:firstLine="284"/>
      </w:pPr>
      <w:r>
        <w:t>impairment) which includes significant impairment of intelligence and social functioning and</w:t>
      </w:r>
    </w:p>
    <w:p w:rsidR="00617BE7" w:rsidRDefault="00617BE7" w:rsidP="00617BE7">
      <w:pPr>
        <w:spacing w:line="240" w:lineRule="auto"/>
        <w:ind w:firstLine="284"/>
      </w:pPr>
      <w:proofErr w:type="gramStart"/>
      <w:r>
        <w:t>is</w:t>
      </w:r>
      <w:proofErr w:type="gramEnd"/>
      <w:r>
        <w:t xml:space="preserve"> associated with abnormally aggressive or seriously irresponsible conduct on the part of the</w:t>
      </w:r>
    </w:p>
    <w:p w:rsidR="00617BE7" w:rsidRDefault="00617BE7" w:rsidP="00617BE7">
      <w:pPr>
        <w:spacing w:line="240" w:lineRule="auto"/>
        <w:ind w:firstLine="284"/>
      </w:pPr>
      <w:r>
        <w:t>person concerned</w:t>
      </w:r>
    </w:p>
    <w:p w:rsidR="00617BE7" w:rsidRDefault="00617BE7" w:rsidP="00617BE7">
      <w:pPr>
        <w:spacing w:line="240" w:lineRule="auto"/>
      </w:pPr>
      <w:r>
        <w:t>As Thorpe LJ discussed at some length, the reason for the association of the fact of mental</w:t>
      </w:r>
    </w:p>
    <w:p w:rsidR="00617BE7" w:rsidRDefault="00617BE7" w:rsidP="00617BE7">
      <w:pPr>
        <w:spacing w:line="240" w:lineRule="auto"/>
      </w:pPr>
      <w:r>
        <w:t xml:space="preserve">impairment with abnormally aggressive or seriously irresponsible behaviour that </w:t>
      </w:r>
      <w:r>
        <w:t>s.1 (</w:t>
      </w:r>
      <w:r>
        <w:t>2) makes, is to</w:t>
      </w:r>
    </w:p>
    <w:p w:rsidR="00617BE7" w:rsidRDefault="00617BE7" w:rsidP="00617BE7">
      <w:pPr>
        <w:spacing w:line="240" w:lineRule="auto"/>
      </w:pPr>
      <w:r>
        <w:t>exclude from the ambit of the legislation all but ‘the small group to whom we wished it to apply’</w:t>
      </w:r>
      <w:r>
        <w:rPr>
          <w:rStyle w:val="FootnoteReference"/>
        </w:rPr>
        <w:footnoteReference w:id="9"/>
      </w:r>
      <w:r>
        <w:t>,</w:t>
      </w:r>
    </w:p>
    <w:p w:rsidR="00617BE7" w:rsidRDefault="00617BE7" w:rsidP="00617BE7">
      <w:pPr>
        <w:spacing w:line="240" w:lineRule="auto"/>
      </w:pPr>
      <w:r>
        <w:t xml:space="preserve">that is, mentally impaired persons ‘for whom detention in prison should be </w:t>
      </w:r>
      <w:proofErr w:type="gramStart"/>
      <w:r>
        <w:t>avoided,</w:t>
      </w:r>
      <w:r>
        <w:rPr>
          <w:rStyle w:val="FootnoteReference"/>
        </w:rPr>
        <w:footnoteReference w:id="10"/>
      </w:r>
      <w:r>
        <w:t>.</w:t>
      </w:r>
      <w:proofErr w:type="gramEnd"/>
    </w:p>
    <w:p w:rsidR="00617BE7" w:rsidRDefault="00617BE7" w:rsidP="00617BE7">
      <w:pPr>
        <w:spacing w:line="240" w:lineRule="auto"/>
      </w:pPr>
    </w:p>
    <w:p w:rsidR="00617BE7" w:rsidRDefault="00617BE7" w:rsidP="00617BE7">
      <w:pPr>
        <w:spacing w:line="240" w:lineRule="auto"/>
      </w:pPr>
      <w:r>
        <w:t>Applying this approach, the court decided that T’s desire to return home should not be construed</w:t>
      </w:r>
    </w:p>
    <w:p w:rsidR="00617BE7" w:rsidRDefault="00617BE7" w:rsidP="00617BE7">
      <w:pPr>
        <w:spacing w:line="240" w:lineRule="auto"/>
      </w:pPr>
      <w:proofErr w:type="gramStart"/>
      <w:r>
        <w:t>as</w:t>
      </w:r>
      <w:proofErr w:type="gramEnd"/>
      <w:r>
        <w:t xml:space="preserve"> ‘seriously irresponsible’, notwithstanding that LBH had concerns that this would expose T to</w:t>
      </w:r>
    </w:p>
    <w:p w:rsidR="00617BE7" w:rsidRDefault="00617BE7" w:rsidP="00617BE7">
      <w:pPr>
        <w:spacing w:line="240" w:lineRule="auto"/>
      </w:pPr>
      <w:proofErr w:type="gramStart"/>
      <w:r>
        <w:t>risk.</w:t>
      </w:r>
      <w:proofErr w:type="gramEnd"/>
      <w:r>
        <w:t xml:space="preserve"> In the view of the court, this was a judgment that to a considerable extent turned on the facts</w:t>
      </w:r>
    </w:p>
    <w:p w:rsidR="00617BE7" w:rsidRDefault="00617BE7" w:rsidP="00617BE7">
      <w:pPr>
        <w:spacing w:line="240" w:lineRule="auto"/>
      </w:pPr>
      <w:proofErr w:type="gramStart"/>
      <w:r>
        <w:t>of</w:t>
      </w:r>
      <w:proofErr w:type="gramEnd"/>
      <w:r>
        <w:t xml:space="preserve"> the case. The court decided that LBH’s concerns related to a household of ten, rather than one</w:t>
      </w:r>
    </w:p>
    <w:p w:rsidR="00617BE7" w:rsidRDefault="00617BE7" w:rsidP="00617BE7">
      <w:pPr>
        <w:spacing w:line="240" w:lineRule="auto"/>
      </w:pPr>
      <w:r>
        <w:t xml:space="preserve">of </w:t>
      </w:r>
      <w:proofErr w:type="gramStart"/>
      <w:r>
        <w:t>three,</w:t>
      </w:r>
      <w:proofErr w:type="gramEnd"/>
      <w:r>
        <w:t xml:space="preserve"> and that there was considerably less risk of neglect if T were the only child of the family</w:t>
      </w:r>
    </w:p>
    <w:p w:rsidR="00617BE7" w:rsidRDefault="00617BE7" w:rsidP="00617BE7">
      <w:pPr>
        <w:spacing w:line="240" w:lineRule="auto"/>
      </w:pPr>
      <w:proofErr w:type="gramStart"/>
      <w:r>
        <w:t>living</w:t>
      </w:r>
      <w:proofErr w:type="gramEnd"/>
      <w:r>
        <w:t xml:space="preserve"> at home</w:t>
      </w:r>
      <w:r>
        <w:rPr>
          <w:rStyle w:val="FootnoteReference"/>
        </w:rPr>
        <w:footnoteReference w:id="11"/>
      </w:r>
      <w:r>
        <w:t>. It also noted that the vast majority of children who are received into local</w:t>
      </w:r>
    </w:p>
    <w:p w:rsidR="00617BE7" w:rsidRDefault="00617BE7" w:rsidP="00617BE7">
      <w:pPr>
        <w:spacing w:line="240" w:lineRule="auto"/>
      </w:pPr>
      <w:r>
        <w:t>authority care return home by the age of eighteen, so that it could not be said that T’s desire was</w:t>
      </w:r>
    </w:p>
    <w:p w:rsidR="00617BE7" w:rsidRDefault="00617BE7" w:rsidP="00617BE7">
      <w:pPr>
        <w:spacing w:line="240" w:lineRule="auto"/>
      </w:pPr>
      <w:r>
        <w:t>seriously irresponsible by comparison with that of other young people in her situation. Indeed, it</w:t>
      </w:r>
    </w:p>
    <w:p w:rsidR="00617BE7" w:rsidRDefault="00617BE7" w:rsidP="00617BE7">
      <w:pPr>
        <w:spacing w:line="240" w:lineRule="auto"/>
      </w:pPr>
      <w:r>
        <w:t>was ‘natural’</w:t>
      </w:r>
      <w:r>
        <w:rPr>
          <w:rStyle w:val="FootnoteReference"/>
        </w:rPr>
        <w:footnoteReference w:id="12"/>
      </w:r>
      <w:r>
        <w:t>. Finally it was pointed out that two of the four incidents cited by LHB as evidence</w:t>
      </w:r>
    </w:p>
    <w:p w:rsidR="00617BE7" w:rsidRDefault="00617BE7" w:rsidP="00617BE7">
      <w:pPr>
        <w:spacing w:line="240" w:lineRule="auto"/>
      </w:pPr>
      <w:proofErr w:type="gramStart"/>
      <w:r>
        <w:lastRenderedPageBreak/>
        <w:t>of</w:t>
      </w:r>
      <w:proofErr w:type="gramEnd"/>
      <w:r>
        <w:t xml:space="preserve"> risk to T occurred at school, which she continued to attend whilst living in the children’s</w:t>
      </w:r>
    </w:p>
    <w:p w:rsidR="00617BE7" w:rsidRDefault="00617BE7" w:rsidP="00617BE7">
      <w:pPr>
        <w:spacing w:line="240" w:lineRule="auto"/>
      </w:pPr>
      <w:r>
        <w:t>home</w:t>
      </w:r>
      <w:r w:rsidR="00BF3F1D">
        <w:rPr>
          <w:rStyle w:val="FootnoteReference"/>
        </w:rPr>
        <w:footnoteReference w:id="13"/>
      </w:r>
      <w:r>
        <w:t>. Preventing her from returning home would not reduce her exposure to these risks.</w:t>
      </w:r>
    </w:p>
    <w:p w:rsidR="00BF3F1D" w:rsidRDefault="00BF3F1D" w:rsidP="00617BE7">
      <w:pPr>
        <w:spacing w:line="240" w:lineRule="auto"/>
      </w:pPr>
    </w:p>
    <w:p w:rsidR="00BF3F1D" w:rsidRPr="00BF3F1D" w:rsidRDefault="00BF3F1D" w:rsidP="00BF3F1D">
      <w:pPr>
        <w:spacing w:line="240" w:lineRule="auto"/>
        <w:rPr>
          <w:b/>
        </w:rPr>
      </w:pPr>
      <w:r w:rsidRPr="00BF3F1D">
        <w:rPr>
          <w:b/>
        </w:rPr>
        <w:t>The Choice between Guardianship and Wardship</w:t>
      </w:r>
    </w:p>
    <w:p w:rsidR="00BF3F1D" w:rsidRDefault="00BF3F1D" w:rsidP="00BF3F1D">
      <w:pPr>
        <w:spacing w:line="240" w:lineRule="auto"/>
      </w:pPr>
      <w:r>
        <w:t>Having decided that T’s desire to return home could not be labelled as ‘seriously irresponsible’ and</w:t>
      </w:r>
    </w:p>
    <w:p w:rsidR="00BF3F1D" w:rsidRDefault="00BF3F1D" w:rsidP="00BF3F1D">
      <w:pPr>
        <w:spacing w:line="240" w:lineRule="auto"/>
      </w:pPr>
      <w:proofErr w:type="gramStart"/>
      <w:r>
        <w:t>so</w:t>
      </w:r>
      <w:proofErr w:type="gramEnd"/>
      <w:r>
        <w:t xml:space="preserve"> did not fall within the scope of Part II of the 1983 Act, the court then turned to consider the</w:t>
      </w:r>
    </w:p>
    <w:p w:rsidR="00BF3F1D" w:rsidRDefault="00BF3F1D" w:rsidP="00BF3F1D">
      <w:pPr>
        <w:spacing w:line="240" w:lineRule="auto"/>
      </w:pPr>
      <w:r>
        <w:t>alternative course of action in this situation. It was held that, rather than looking to the Mental</w:t>
      </w:r>
    </w:p>
    <w:p w:rsidR="00BF3F1D" w:rsidRDefault="00BF3F1D" w:rsidP="00BF3F1D">
      <w:pPr>
        <w:spacing w:line="240" w:lineRule="auto"/>
      </w:pPr>
      <w:r>
        <w:t>Health Act, those in the position of LBH should invite the court to give leave to invoke the</w:t>
      </w:r>
    </w:p>
    <w:p w:rsidR="00BF3F1D" w:rsidRDefault="00BF3F1D" w:rsidP="00BF3F1D">
      <w:pPr>
        <w:spacing w:line="240" w:lineRule="auto"/>
      </w:pPr>
      <w:r>
        <w:t>inherent jurisdiction of the High Court, under the procedure found in s.100</w:t>
      </w:r>
      <w:r>
        <w:t xml:space="preserve"> </w:t>
      </w:r>
      <w:r>
        <w:t>(3) Children Act 1989.</w:t>
      </w:r>
    </w:p>
    <w:p w:rsidR="00BF3F1D" w:rsidRDefault="00BF3F1D" w:rsidP="00BF3F1D">
      <w:pPr>
        <w:spacing w:line="240" w:lineRule="auto"/>
      </w:pPr>
      <w:r>
        <w:t>This would have the effect of making T a ward of court. The court noted a number of advantages</w:t>
      </w:r>
    </w:p>
    <w:p w:rsidR="00BF3F1D" w:rsidRDefault="00BF3F1D" w:rsidP="00BF3F1D">
      <w:pPr>
        <w:spacing w:line="240" w:lineRule="auto"/>
      </w:pPr>
      <w:proofErr w:type="gramStart"/>
      <w:r>
        <w:t>that</w:t>
      </w:r>
      <w:proofErr w:type="gramEnd"/>
      <w:r>
        <w:t xml:space="preserve"> this mechanism has over the use of guardianship.</w:t>
      </w:r>
    </w:p>
    <w:p w:rsidR="003D46F6" w:rsidRDefault="003D46F6" w:rsidP="00BF3F1D">
      <w:pPr>
        <w:spacing w:line="240" w:lineRule="auto"/>
      </w:pPr>
    </w:p>
    <w:p w:rsidR="003D46F6" w:rsidRDefault="003D46F6" w:rsidP="003D46F6">
      <w:pPr>
        <w:spacing w:line="240" w:lineRule="auto"/>
      </w:pPr>
      <w:r>
        <w:t>First, a court operating under the inherent jurisdiction ‘would have ensured [T’s] continuing</w:t>
      </w:r>
    </w:p>
    <w:p w:rsidR="003D46F6" w:rsidRDefault="003D46F6" w:rsidP="003D46F6">
      <w:pPr>
        <w:spacing w:line="240" w:lineRule="auto"/>
      </w:pPr>
      <w:r>
        <w:t>protection in the exercise of its almost unlimited powers’</w:t>
      </w:r>
      <w:r>
        <w:rPr>
          <w:rStyle w:val="FootnoteReference"/>
        </w:rPr>
        <w:footnoteReference w:id="14"/>
      </w:r>
      <w:r>
        <w:t>. The Guardianship regime, by contrast,</w:t>
      </w:r>
    </w:p>
    <w:p w:rsidR="003D46F6" w:rsidRDefault="003D46F6" w:rsidP="003D46F6">
      <w:pPr>
        <w:spacing w:line="240" w:lineRule="auto"/>
      </w:pPr>
      <w:proofErr w:type="gramStart"/>
      <w:r>
        <w:t>has</w:t>
      </w:r>
      <w:proofErr w:type="gramEnd"/>
      <w:r>
        <w:t xml:space="preserve"> since the coming into force of the Mental Health (Amendment) Act 1982</w:t>
      </w:r>
      <w:r>
        <w:rPr>
          <w:rStyle w:val="FootnoteReference"/>
        </w:rPr>
        <w:footnoteReference w:id="15"/>
      </w:r>
      <w:r>
        <w:t>, operated a</w:t>
      </w:r>
    </w:p>
    <w:p w:rsidR="003D46F6" w:rsidRDefault="003D46F6" w:rsidP="003D46F6">
      <w:pPr>
        <w:spacing w:line="240" w:lineRule="auto"/>
      </w:pPr>
      <w:r>
        <w:t>circumscribed ‘essential powers’ approach, which had been introduced purposefully to reform the</w:t>
      </w:r>
    </w:p>
    <w:p w:rsidR="003D46F6" w:rsidRDefault="003D46F6" w:rsidP="003D46F6">
      <w:pPr>
        <w:spacing w:line="240" w:lineRule="auto"/>
      </w:pPr>
      <w:r>
        <w:t>extremely wide and vaguely defined powers which a guardian enjoyed under the Mental Health Act</w:t>
      </w:r>
    </w:p>
    <w:p w:rsidR="003D46F6" w:rsidRDefault="003D46F6" w:rsidP="003D46F6">
      <w:pPr>
        <w:spacing w:line="240" w:lineRule="auto"/>
      </w:pPr>
      <w:r>
        <w:t>1959. Under the existing law, a guardian has three powers: to specify where the person subject to</w:t>
      </w:r>
    </w:p>
    <w:p w:rsidR="003D46F6" w:rsidRDefault="003D46F6" w:rsidP="003D46F6">
      <w:pPr>
        <w:spacing w:line="240" w:lineRule="auto"/>
      </w:pPr>
      <w:proofErr w:type="gramStart"/>
      <w:r>
        <w:t>the</w:t>
      </w:r>
      <w:proofErr w:type="gramEnd"/>
      <w:r>
        <w:t xml:space="preserve"> order shall live; to require that person to attend specified places for the receipt of medical</w:t>
      </w:r>
    </w:p>
    <w:p w:rsidR="003D46F6" w:rsidRDefault="003D46F6" w:rsidP="003D46F6">
      <w:pPr>
        <w:spacing w:line="240" w:lineRule="auto"/>
      </w:pPr>
      <w:r>
        <w:t>treatment, occupation, education or training; and to require that access to the person subject to</w:t>
      </w:r>
    </w:p>
    <w:p w:rsidR="003D46F6" w:rsidRDefault="003D46F6" w:rsidP="003D46F6">
      <w:pPr>
        <w:spacing w:line="240" w:lineRule="auto"/>
      </w:pPr>
      <w:proofErr w:type="gramStart"/>
      <w:r>
        <w:t>the</w:t>
      </w:r>
      <w:proofErr w:type="gramEnd"/>
      <w:r>
        <w:t xml:space="preserve"> order be given be given to any doctor, approved social worker or other specified person</w:t>
      </w:r>
      <w:r>
        <w:rPr>
          <w:rStyle w:val="FootnoteReference"/>
        </w:rPr>
        <w:footnoteReference w:id="16"/>
      </w:r>
      <w:r>
        <w:t>.</w:t>
      </w:r>
    </w:p>
    <w:p w:rsidR="003D46F6" w:rsidRDefault="003D46F6" w:rsidP="003D46F6">
      <w:pPr>
        <w:spacing w:line="240" w:lineRule="auto"/>
      </w:pPr>
      <w:r>
        <w:t>In the view of the court these powers are simply not designed to be flexible enough to deal with all</w:t>
      </w:r>
    </w:p>
    <w:p w:rsidR="003D46F6" w:rsidRDefault="003D46F6" w:rsidP="003D46F6">
      <w:pPr>
        <w:spacing w:line="240" w:lineRule="auto"/>
      </w:pPr>
      <w:r>
        <w:t>the welfare and protection issues that may arise in the case of a young person like T.</w:t>
      </w:r>
    </w:p>
    <w:p w:rsidR="003D46F6" w:rsidRDefault="003D46F6" w:rsidP="003D46F6">
      <w:pPr>
        <w:spacing w:line="240" w:lineRule="auto"/>
      </w:pPr>
    </w:p>
    <w:p w:rsidR="003D46F6" w:rsidRDefault="003D46F6" w:rsidP="003D46F6">
      <w:pPr>
        <w:spacing w:line="240" w:lineRule="auto"/>
      </w:pPr>
      <w:r>
        <w:t>Secondly, by extension, the court pointed out that the guardianship regime is not a child-centred</w:t>
      </w:r>
    </w:p>
    <w:p w:rsidR="003D46F6" w:rsidRDefault="003D46F6" w:rsidP="003D46F6">
      <w:pPr>
        <w:spacing w:line="240" w:lineRule="auto"/>
      </w:pPr>
      <w:r>
        <w:t>jurisdiction</w:t>
      </w:r>
      <w:r w:rsidR="00CC1BAA">
        <w:rPr>
          <w:rStyle w:val="FootnoteReference"/>
        </w:rPr>
        <w:footnoteReference w:id="17"/>
      </w:r>
      <w:r>
        <w:t>. Indeed, guardianship is only available for persons aged sixteen and over</w:t>
      </w:r>
      <w:r w:rsidR="00CC1BAA">
        <w:rPr>
          <w:rStyle w:val="FootnoteReference"/>
        </w:rPr>
        <w:footnoteReference w:id="18"/>
      </w:r>
      <w:r>
        <w:t>. Wardship</w:t>
      </w:r>
    </w:p>
    <w:p w:rsidR="003D46F6" w:rsidRDefault="003D46F6" w:rsidP="003D46F6">
      <w:pPr>
        <w:spacing w:line="240" w:lineRule="auto"/>
      </w:pPr>
      <w:proofErr w:type="gramStart"/>
      <w:r>
        <w:lastRenderedPageBreak/>
        <w:t>by</w:t>
      </w:r>
      <w:proofErr w:type="gramEnd"/>
      <w:r>
        <w:t xml:space="preserve"> contrast is exclusively concerned with the protection and furtherance of the best interests of</w:t>
      </w:r>
    </w:p>
    <w:p w:rsidR="003D46F6" w:rsidRDefault="003D46F6" w:rsidP="003D46F6">
      <w:pPr>
        <w:spacing w:line="240" w:lineRule="auto"/>
      </w:pPr>
      <w:r>
        <w:t xml:space="preserve">the child. Had </w:t>
      </w:r>
      <w:proofErr w:type="spellStart"/>
      <w:r>
        <w:t>T</w:t>
      </w:r>
      <w:proofErr w:type="spellEnd"/>
      <w:r>
        <w:t xml:space="preserve"> been made a ward of court, she would have been represented by the Official</w:t>
      </w:r>
    </w:p>
    <w:p w:rsidR="003D46F6" w:rsidRDefault="003D46F6" w:rsidP="003D46F6">
      <w:pPr>
        <w:spacing w:line="240" w:lineRule="auto"/>
      </w:pPr>
      <w:r>
        <w:t>Solicitor, who would have carried out an independent inquiry into the situation, and have</w:t>
      </w:r>
    </w:p>
    <w:p w:rsidR="003D46F6" w:rsidRDefault="003D46F6" w:rsidP="003D46F6">
      <w:pPr>
        <w:spacing w:line="240" w:lineRule="auto"/>
      </w:pPr>
      <w:r>
        <w:t>provided the court with a report of that inquiry</w:t>
      </w:r>
      <w:r w:rsidR="00C434DF">
        <w:rPr>
          <w:rStyle w:val="FootnoteReference"/>
        </w:rPr>
        <w:footnoteReference w:id="19"/>
      </w:r>
      <w:r>
        <w:t>. The Official Solicitor could also have provided</w:t>
      </w:r>
    </w:p>
    <w:p w:rsidR="003D46F6" w:rsidRDefault="003D46F6" w:rsidP="003D46F6">
      <w:pPr>
        <w:spacing w:line="240" w:lineRule="auto"/>
      </w:pPr>
      <w:r>
        <w:t>independent legal representation for T in court</w:t>
      </w:r>
      <w:r w:rsidR="00C434DF">
        <w:rPr>
          <w:rStyle w:val="FootnoteReference"/>
        </w:rPr>
        <w:footnoteReference w:id="20"/>
      </w:r>
      <w:r>
        <w:t>. In the Guardianship regime, by contrast,</w:t>
      </w:r>
    </w:p>
    <w:p w:rsidR="003D46F6" w:rsidRDefault="003D46F6" w:rsidP="003D46F6">
      <w:pPr>
        <w:spacing w:line="240" w:lineRule="auto"/>
      </w:pPr>
      <w:proofErr w:type="gramStart"/>
      <w:r>
        <w:t>r</w:t>
      </w:r>
      <w:proofErr w:type="gramEnd"/>
      <w:r>
        <w:t xml:space="preserve"> 12(3)(b), Civil Procedure Rules 1998 specifically provides that the person to be made subject to a</w:t>
      </w:r>
    </w:p>
    <w:p w:rsidR="003D46F6" w:rsidRDefault="003D46F6" w:rsidP="003D46F6">
      <w:pPr>
        <w:spacing w:line="240" w:lineRule="auto"/>
      </w:pPr>
      <w:r>
        <w:t>guardianship order shall not be made a respondent in a disputed s.29 application. The court held</w:t>
      </w:r>
    </w:p>
    <w:p w:rsidR="003D46F6" w:rsidRDefault="003D46F6" w:rsidP="003D46F6">
      <w:pPr>
        <w:spacing w:line="240" w:lineRule="auto"/>
      </w:pPr>
      <w:r>
        <w:t>that ‘T would have been advantaged by that aspect of the wardship jurisdiction’, whilst the</w:t>
      </w:r>
    </w:p>
    <w:p w:rsidR="003D46F6" w:rsidRDefault="003D46F6" w:rsidP="003D46F6">
      <w:pPr>
        <w:spacing w:line="240" w:lineRule="auto"/>
      </w:pPr>
      <w:r>
        <w:t>situation under the Mental Health Act ‘seems a comparatively impoverished alternative’</w:t>
      </w:r>
      <w:r w:rsidR="00C434DF">
        <w:rPr>
          <w:rStyle w:val="FootnoteReference"/>
        </w:rPr>
        <w:footnoteReference w:id="21"/>
      </w:r>
      <w:r>
        <w:t>.</w:t>
      </w:r>
    </w:p>
    <w:p w:rsidR="003D46F6" w:rsidRDefault="003D46F6" w:rsidP="003D46F6">
      <w:pPr>
        <w:spacing w:line="240" w:lineRule="auto"/>
      </w:pPr>
      <w:r>
        <w:t>Finally, the court noted, had wardship been invoked it would have been possible for one judge to</w:t>
      </w:r>
    </w:p>
    <w:p w:rsidR="003D46F6" w:rsidRDefault="003D46F6" w:rsidP="003D46F6">
      <w:pPr>
        <w:spacing w:line="240" w:lineRule="auto"/>
      </w:pPr>
      <w:r>
        <w:t>consider the interests of all eight children together in consolidated proceedings, whereas the choice</w:t>
      </w:r>
    </w:p>
    <w:p w:rsidR="003D46F6" w:rsidRDefault="003D46F6" w:rsidP="003D46F6">
      <w:pPr>
        <w:spacing w:line="240" w:lineRule="auto"/>
      </w:pPr>
      <w:proofErr w:type="gramStart"/>
      <w:r>
        <w:t>of</w:t>
      </w:r>
      <w:proofErr w:type="gramEnd"/>
      <w:r>
        <w:t xml:space="preserve"> guardianship had channeled T away from her siblings</w:t>
      </w:r>
      <w:r w:rsidR="00C434DF">
        <w:rPr>
          <w:rStyle w:val="FootnoteReference"/>
        </w:rPr>
        <w:footnoteReference w:id="22"/>
      </w:r>
      <w:r>
        <w:t>. Taking all these points together, the</w:t>
      </w:r>
    </w:p>
    <w:p w:rsidR="003D46F6" w:rsidRDefault="003D46F6" w:rsidP="003D46F6">
      <w:pPr>
        <w:spacing w:line="240" w:lineRule="auto"/>
      </w:pPr>
      <w:r>
        <w:t>court concluded that guardianship was in any case less suitable than wardship as a mechanism to</w:t>
      </w:r>
    </w:p>
    <w:p w:rsidR="003D46F6" w:rsidRDefault="003D46F6" w:rsidP="003D46F6">
      <w:pPr>
        <w:spacing w:line="240" w:lineRule="auto"/>
      </w:pPr>
      <w:r>
        <w:t>best protect the interests of a young person such as T.</w:t>
      </w:r>
    </w:p>
    <w:p w:rsidR="00C434DF" w:rsidRDefault="00C434DF" w:rsidP="003D46F6">
      <w:pPr>
        <w:spacing w:line="240" w:lineRule="auto"/>
      </w:pPr>
    </w:p>
    <w:p w:rsidR="00C434DF" w:rsidRPr="00C434DF" w:rsidRDefault="00C434DF" w:rsidP="00C434DF">
      <w:pPr>
        <w:spacing w:line="240" w:lineRule="auto"/>
        <w:rPr>
          <w:b/>
        </w:rPr>
      </w:pPr>
      <w:r w:rsidRPr="00C434DF">
        <w:rPr>
          <w:b/>
        </w:rPr>
        <w:t>Commentary</w:t>
      </w:r>
    </w:p>
    <w:p w:rsidR="00C434DF" w:rsidRDefault="00C434DF" w:rsidP="00C434DF">
      <w:pPr>
        <w:spacing w:line="240" w:lineRule="auto"/>
      </w:pPr>
      <w:r>
        <w:t>On one view, seemingly the view of the Court of Appeal, this is a case that turned on its own facts.</w:t>
      </w:r>
    </w:p>
    <w:p w:rsidR="00C434DF" w:rsidRDefault="00C434DF" w:rsidP="00C434DF">
      <w:pPr>
        <w:spacing w:line="240" w:lineRule="auto"/>
      </w:pPr>
      <w:r>
        <w:t>On the question of the preferability of wardship over guardianship, the court underscored the fact</w:t>
      </w:r>
    </w:p>
    <w:p w:rsidR="00C434DF" w:rsidRDefault="00C434DF" w:rsidP="00C434DF">
      <w:pPr>
        <w:spacing w:line="240" w:lineRule="auto"/>
      </w:pPr>
      <w:proofErr w:type="gramStart"/>
      <w:r>
        <w:t>that</w:t>
      </w:r>
      <w:proofErr w:type="gramEnd"/>
      <w:r>
        <w:t xml:space="preserve"> ‘Clearly each case must depend on its particular facts and we would not wish to be taken as</w:t>
      </w:r>
    </w:p>
    <w:p w:rsidR="00C434DF" w:rsidRDefault="00C434DF" w:rsidP="00C434DF">
      <w:pPr>
        <w:spacing w:line="240" w:lineRule="auto"/>
      </w:pPr>
      <w:r>
        <w:t>offering any general guideline’</w:t>
      </w:r>
      <w:r>
        <w:rPr>
          <w:rStyle w:val="FootnoteReference"/>
        </w:rPr>
        <w:footnoteReference w:id="23"/>
      </w:r>
      <w:r>
        <w:t>. And by way of conclusion, the court again stated that ‘we wish to</w:t>
      </w:r>
    </w:p>
    <w:p w:rsidR="00C434DF" w:rsidRDefault="00C434DF" w:rsidP="00C434DF">
      <w:pPr>
        <w:spacing w:line="240" w:lineRule="auto"/>
      </w:pPr>
      <w:r>
        <w:t>emphasise that we have reached our conclusions on the special facts of a difficult and unusual</w:t>
      </w:r>
    </w:p>
    <w:p w:rsidR="00C434DF" w:rsidRDefault="00C434DF" w:rsidP="00C434DF">
      <w:pPr>
        <w:spacing w:line="240" w:lineRule="auto"/>
      </w:pPr>
      <w:r>
        <w:t>case’</w:t>
      </w:r>
      <w:r>
        <w:rPr>
          <w:rStyle w:val="FootnoteReference"/>
        </w:rPr>
        <w:footnoteReference w:id="24"/>
      </w:r>
      <w:r>
        <w:t>. Yet the fact is that this judgment does impact at the level of ‘policy’, and does so in a</w:t>
      </w:r>
    </w:p>
    <w:p w:rsidR="00C434DF" w:rsidRDefault="00C434DF" w:rsidP="00C434DF">
      <w:pPr>
        <w:spacing w:line="240" w:lineRule="auto"/>
      </w:pPr>
      <w:r>
        <w:t>number of ways.</w:t>
      </w:r>
    </w:p>
    <w:p w:rsidR="00720677" w:rsidRDefault="00720677" w:rsidP="00C434DF">
      <w:pPr>
        <w:spacing w:line="240" w:lineRule="auto"/>
      </w:pPr>
    </w:p>
    <w:p w:rsidR="00720677" w:rsidRDefault="00720677" w:rsidP="00720677">
      <w:pPr>
        <w:spacing w:line="240" w:lineRule="auto"/>
      </w:pPr>
      <w:r>
        <w:t>First, the judgment does make clear that an important element of the distinction between wardship</w:t>
      </w:r>
    </w:p>
    <w:p w:rsidR="00720677" w:rsidRDefault="00720677" w:rsidP="00720677">
      <w:pPr>
        <w:spacing w:line="240" w:lineRule="auto"/>
      </w:pPr>
      <w:r>
        <w:lastRenderedPageBreak/>
        <w:t>and guardianship is that between a child-centred and an adult-centred regime. Guardianship is</w:t>
      </w:r>
    </w:p>
    <w:p w:rsidR="00720677" w:rsidRDefault="00720677" w:rsidP="00720677">
      <w:pPr>
        <w:spacing w:line="240" w:lineRule="auto"/>
      </w:pPr>
      <w:r>
        <w:t>posited on the policy of minimum interference with the rights of the individual. Wardship is based</w:t>
      </w:r>
    </w:p>
    <w:p w:rsidR="00720677" w:rsidRDefault="00720677" w:rsidP="00720677">
      <w:pPr>
        <w:spacing w:line="240" w:lineRule="auto"/>
      </w:pPr>
      <w:proofErr w:type="gramStart"/>
      <w:r>
        <w:t>on</w:t>
      </w:r>
      <w:proofErr w:type="gramEnd"/>
      <w:r>
        <w:t xml:space="preserve"> the much broader concept of the welfare of the child. It will be rare indeed that, when there is</w:t>
      </w:r>
    </w:p>
    <w:p w:rsidR="00720677" w:rsidRDefault="00720677" w:rsidP="00720677">
      <w:pPr>
        <w:spacing w:line="240" w:lineRule="auto"/>
      </w:pPr>
      <w:proofErr w:type="gramStart"/>
      <w:r>
        <w:t>a</w:t>
      </w:r>
      <w:proofErr w:type="gramEnd"/>
      <w:r>
        <w:t xml:space="preserve"> choice between the two (that is when the person who is to be the subject of the order is aged</w:t>
      </w:r>
    </w:p>
    <w:p w:rsidR="00720677" w:rsidRDefault="00720677" w:rsidP="00720677">
      <w:pPr>
        <w:spacing w:line="240" w:lineRule="auto"/>
      </w:pPr>
      <w:r>
        <w:t>sixteen or seventeen), guardianship will be the preferable option. It is not surprising that the Court</w:t>
      </w:r>
    </w:p>
    <w:p w:rsidR="00720677" w:rsidRDefault="00720677" w:rsidP="00720677">
      <w:pPr>
        <w:spacing w:line="240" w:lineRule="auto"/>
      </w:pPr>
      <w:proofErr w:type="gramStart"/>
      <w:r>
        <w:t>of</w:t>
      </w:r>
      <w:proofErr w:type="gramEnd"/>
      <w:r>
        <w:t xml:space="preserve"> Appeal, when presented with a choice, expressed such a preference, as in this it follows earlier</w:t>
      </w:r>
    </w:p>
    <w:p w:rsidR="00720677" w:rsidRDefault="00720677" w:rsidP="00720677">
      <w:pPr>
        <w:spacing w:line="240" w:lineRule="auto"/>
      </w:pPr>
      <w:r>
        <w:t>decisions of the court, which also have preferred to construct older children as children rather</w:t>
      </w:r>
    </w:p>
    <w:p w:rsidR="00720677" w:rsidRDefault="00720677" w:rsidP="00720677">
      <w:pPr>
        <w:spacing w:line="240" w:lineRule="auto"/>
      </w:pPr>
      <w:r>
        <w:t>than as adults</w:t>
      </w:r>
      <w:r>
        <w:rPr>
          <w:rStyle w:val="FootnoteReference"/>
        </w:rPr>
        <w:footnoteReference w:id="25"/>
      </w:r>
      <w:r>
        <w:t>. Of course, wardship was only invoked in this case because of the limitation placed</w:t>
      </w:r>
    </w:p>
    <w:p w:rsidR="00720677" w:rsidRDefault="00720677" w:rsidP="00720677">
      <w:pPr>
        <w:spacing w:line="240" w:lineRule="auto"/>
      </w:pPr>
      <w:proofErr w:type="gramStart"/>
      <w:r>
        <w:t>on</w:t>
      </w:r>
      <w:proofErr w:type="gramEnd"/>
      <w:r>
        <w:t xml:space="preserve"> the availability of care orders by s.31(3) Children Act. But although the powers of a court</w:t>
      </w:r>
    </w:p>
    <w:p w:rsidR="00720677" w:rsidRDefault="00720677" w:rsidP="00720677">
      <w:pPr>
        <w:spacing w:line="240" w:lineRule="auto"/>
      </w:pPr>
      <w:r>
        <w:t>exercising the wardship jurisdiction are greater than those available to a local authority over a child</w:t>
      </w:r>
    </w:p>
    <w:p w:rsidR="00720677" w:rsidRDefault="00720677" w:rsidP="00720677">
      <w:pPr>
        <w:spacing w:line="240" w:lineRule="auto"/>
      </w:pPr>
      <w:proofErr w:type="gramStart"/>
      <w:r>
        <w:t>in</w:t>
      </w:r>
      <w:proofErr w:type="gramEnd"/>
      <w:r>
        <w:t xml:space="preserve"> care</w:t>
      </w:r>
      <w:r>
        <w:rPr>
          <w:rStyle w:val="FootnoteReference"/>
        </w:rPr>
        <w:footnoteReference w:id="26"/>
      </w:r>
      <w:r>
        <w:t>, nothing turns on this in the present context, since a care order shares many of the</w:t>
      </w:r>
    </w:p>
    <w:p w:rsidR="00720677" w:rsidRDefault="00720677" w:rsidP="00720677">
      <w:pPr>
        <w:spacing w:line="240" w:lineRule="auto"/>
      </w:pPr>
      <w:r>
        <w:t>advantages of wardship by comparison with guardianship.</w:t>
      </w:r>
    </w:p>
    <w:p w:rsidR="00720677" w:rsidRDefault="00720677" w:rsidP="00720677">
      <w:pPr>
        <w:spacing w:line="240" w:lineRule="auto"/>
      </w:pPr>
    </w:p>
    <w:p w:rsidR="00720677" w:rsidRDefault="00720677" w:rsidP="00720677">
      <w:pPr>
        <w:spacing w:line="240" w:lineRule="auto"/>
      </w:pPr>
      <w:r>
        <w:t>Secondly, it provides confirmation that ‘abnormally aggressive or seriously irresponsible conduct’,</w:t>
      </w:r>
    </w:p>
    <w:p w:rsidR="00720677" w:rsidRDefault="00720677" w:rsidP="00720677">
      <w:pPr>
        <w:spacing w:line="240" w:lineRule="auto"/>
      </w:pPr>
      <w:r>
        <w:t>which features in the definition not just of ‘mental impairment’, but also of ‘severe mental</w:t>
      </w:r>
    </w:p>
    <w:p w:rsidR="00720677" w:rsidRDefault="00720677" w:rsidP="00720677">
      <w:pPr>
        <w:spacing w:line="240" w:lineRule="auto"/>
      </w:pPr>
      <w:r>
        <w:t xml:space="preserve">impairment’ and ‘psychopathic disorder’ in </w:t>
      </w:r>
      <w:r>
        <w:t>s.1 (</w:t>
      </w:r>
      <w:r>
        <w:t>2) of the 1983 Act, is to be construed narrowly.</w:t>
      </w:r>
    </w:p>
    <w:p w:rsidR="00720677" w:rsidRDefault="00720677" w:rsidP="00720677">
      <w:pPr>
        <w:spacing w:line="240" w:lineRule="auto"/>
      </w:pPr>
      <w:r>
        <w:t>It is interesting to note, first, that the court emphasised that those found to be seriously</w:t>
      </w:r>
    </w:p>
    <w:p w:rsidR="00720677" w:rsidRDefault="00720677" w:rsidP="00720677">
      <w:pPr>
        <w:spacing w:line="240" w:lineRule="auto"/>
      </w:pPr>
      <w:r>
        <w:t>irresponsible became liable not only to guardianship but also to civil confinement</w:t>
      </w:r>
      <w:r>
        <w:rPr>
          <w:rStyle w:val="FootnoteReference"/>
        </w:rPr>
        <w:footnoteReference w:id="27"/>
      </w:r>
      <w:r>
        <w:t>; and, second,</w:t>
      </w:r>
    </w:p>
    <w:p w:rsidR="00720677" w:rsidRDefault="00720677" w:rsidP="00720677">
      <w:pPr>
        <w:spacing w:line="240" w:lineRule="auto"/>
      </w:pPr>
      <w:r>
        <w:t>that in arriving at its conclusion the court focused not on the words themselves, but on the</w:t>
      </w:r>
    </w:p>
    <w:p w:rsidR="00720677" w:rsidRDefault="00720677" w:rsidP="00720677">
      <w:pPr>
        <w:spacing w:line="240" w:lineRule="auto"/>
      </w:pPr>
      <w:r>
        <w:t>intention behind them. For the fact is that, although this form of words was selected, according to</w:t>
      </w:r>
    </w:p>
    <w:p w:rsidR="00720677" w:rsidRDefault="00720677" w:rsidP="00720677">
      <w:pPr>
        <w:spacing w:line="240" w:lineRule="auto"/>
      </w:pPr>
      <w:r>
        <w:t>Lord Elton ‘after a long dictionary search and a good deal of discussion’</w:t>
      </w:r>
      <w:r>
        <w:rPr>
          <w:rStyle w:val="FootnoteReference"/>
        </w:rPr>
        <w:footnoteReference w:id="28"/>
      </w:r>
      <w:r>
        <w:t>, their meaning is not</w:t>
      </w:r>
    </w:p>
    <w:p w:rsidR="00720677" w:rsidRDefault="00720677" w:rsidP="00720677">
      <w:pPr>
        <w:spacing w:line="240" w:lineRule="auto"/>
      </w:pPr>
      <w:r>
        <w:t xml:space="preserve">transparent. This is because ‘abnormal aggression’ and ‘serious irresponsibility’ are more </w:t>
      </w:r>
    </w:p>
    <w:p w:rsidR="0097550B" w:rsidRDefault="0097550B" w:rsidP="00720677">
      <w:pPr>
        <w:spacing w:line="240" w:lineRule="auto"/>
      </w:pPr>
      <w:r>
        <w:t xml:space="preserve">moralpolitical </w:t>
      </w:r>
      <w:r w:rsidR="00720677">
        <w:t xml:space="preserve">than medical concepts, and so their meaning will always contain a considerable </w:t>
      </w:r>
    </w:p>
    <w:p w:rsidR="00720677" w:rsidRDefault="0097550B" w:rsidP="00720677">
      <w:pPr>
        <w:spacing w:line="240" w:lineRule="auto"/>
      </w:pPr>
      <w:r>
        <w:t xml:space="preserve">subjective </w:t>
      </w:r>
      <w:r w:rsidR="00720677">
        <w:t xml:space="preserve">element. They are in fact words upon which meaning is </w:t>
      </w:r>
      <w:r w:rsidR="00720677" w:rsidRPr="0097550B">
        <w:rPr>
          <w:i/>
        </w:rPr>
        <w:t xml:space="preserve">imposed </w:t>
      </w:r>
      <w:r w:rsidR="00720677">
        <w:t>by the reader.</w:t>
      </w:r>
    </w:p>
    <w:p w:rsidR="0097550B" w:rsidRDefault="0097550B" w:rsidP="00720677">
      <w:pPr>
        <w:spacing w:line="240" w:lineRule="auto"/>
      </w:pPr>
    </w:p>
    <w:p w:rsidR="00720677" w:rsidRDefault="00720677" w:rsidP="00720677">
      <w:pPr>
        <w:spacing w:line="240" w:lineRule="auto"/>
      </w:pPr>
      <w:r>
        <w:t>The real significance of the decision of the court on this point, then, is that by turning to the,</w:t>
      </w:r>
    </w:p>
    <w:p w:rsidR="00720677" w:rsidRDefault="00720677" w:rsidP="00720677">
      <w:pPr>
        <w:spacing w:line="240" w:lineRule="auto"/>
      </w:pPr>
      <w:r>
        <w:lastRenderedPageBreak/>
        <w:t>highly contextualised, intention of the framers in ‘giving meaning’ to this phrase, the court</w:t>
      </w:r>
    </w:p>
    <w:p w:rsidR="00720677" w:rsidRDefault="00720677" w:rsidP="00720677">
      <w:pPr>
        <w:spacing w:line="240" w:lineRule="auto"/>
      </w:pPr>
      <w:r>
        <w:t>reaffirmed civil libertarianism over paternalism in the use of guardianship, turning its back on the</w:t>
      </w:r>
    </w:p>
    <w:p w:rsidR="00720677" w:rsidRDefault="00720677" w:rsidP="00720677">
      <w:pPr>
        <w:spacing w:line="240" w:lineRule="auto"/>
      </w:pPr>
      <w:r>
        <w:t>opportunity to start a process which may have extended the scope of guardianship considerably. It</w:t>
      </w:r>
    </w:p>
    <w:p w:rsidR="00720677" w:rsidRDefault="00720677" w:rsidP="00720677">
      <w:pPr>
        <w:spacing w:line="240" w:lineRule="auto"/>
      </w:pPr>
      <w:r>
        <w:t>would not have involved any particular corruption of the English language to hold that T was</w:t>
      </w:r>
    </w:p>
    <w:p w:rsidR="00720677" w:rsidRDefault="00720677" w:rsidP="00720677">
      <w:pPr>
        <w:spacing w:line="240" w:lineRule="auto"/>
      </w:pPr>
      <w:r>
        <w:t>exhibiting ‘seriously irresponsible conduct’ in returning to live in a home at which she was at real</w:t>
      </w:r>
    </w:p>
    <w:p w:rsidR="00720677" w:rsidRDefault="00720677" w:rsidP="00720677">
      <w:pPr>
        <w:spacing w:line="240" w:lineRule="auto"/>
      </w:pPr>
      <w:proofErr w:type="gramStart"/>
      <w:r>
        <w:t>risk</w:t>
      </w:r>
      <w:proofErr w:type="gramEnd"/>
      <w:r>
        <w:t xml:space="preserve"> of sexual abuse and neglect. It would, however, have involved a muddying of the ethos behind</w:t>
      </w:r>
    </w:p>
    <w:p w:rsidR="00720677" w:rsidRDefault="00720677" w:rsidP="00720677">
      <w:pPr>
        <w:spacing w:line="240" w:lineRule="auto"/>
      </w:pPr>
      <w:r>
        <w:t>the scheme. And who could say where, if T’s conduct fell on the ‘seriously irresponsible’ side of</w:t>
      </w:r>
    </w:p>
    <w:p w:rsidR="00720677" w:rsidRDefault="00720677" w:rsidP="00720677">
      <w:pPr>
        <w:spacing w:line="240" w:lineRule="auto"/>
      </w:pPr>
      <w:proofErr w:type="gramStart"/>
      <w:r>
        <w:t>the</w:t>
      </w:r>
      <w:proofErr w:type="gramEnd"/>
      <w:r>
        <w:t xml:space="preserve"> line, that line would be drawn in future cases?</w:t>
      </w:r>
    </w:p>
    <w:p w:rsidR="00E82D77" w:rsidRDefault="00E82D77" w:rsidP="00720677">
      <w:pPr>
        <w:spacing w:line="240" w:lineRule="auto"/>
      </w:pPr>
    </w:p>
    <w:p w:rsidR="00720677" w:rsidRDefault="00720677" w:rsidP="00720677">
      <w:pPr>
        <w:spacing w:line="240" w:lineRule="auto"/>
      </w:pPr>
      <w:r>
        <w:t xml:space="preserve">We know, from the case of </w:t>
      </w:r>
      <w:r w:rsidRPr="00E82D77">
        <w:rPr>
          <w:i/>
        </w:rPr>
        <w:t>R v Hall</w:t>
      </w:r>
      <w:r>
        <w:t xml:space="preserve"> (1988) 86 Cr App R 159 (CA) that both ‘severe mental</w:t>
      </w:r>
    </w:p>
    <w:p w:rsidR="00720677" w:rsidRDefault="00720677" w:rsidP="00720677">
      <w:pPr>
        <w:spacing w:line="240" w:lineRule="auto"/>
      </w:pPr>
      <w:r>
        <w:t>impairment’ and ‘mental impairment’ are to be assessed in the context of the Sexual Offences Act</w:t>
      </w:r>
    </w:p>
    <w:p w:rsidR="00720677" w:rsidRDefault="00720677" w:rsidP="00720677">
      <w:pPr>
        <w:spacing w:line="240" w:lineRule="auto"/>
      </w:pPr>
      <w:r>
        <w:t>1956 by reference to normally developed persons. Although there is some uncertainty regarding</w:t>
      </w:r>
    </w:p>
    <w:p w:rsidR="00720677" w:rsidRDefault="00720677" w:rsidP="00720677">
      <w:pPr>
        <w:spacing w:line="240" w:lineRule="auto"/>
      </w:pPr>
      <w:r>
        <w:t>the transferability of this decision into the context of the interpretation of the 1983 Act</w:t>
      </w:r>
      <w:r w:rsidR="00E82D77">
        <w:rPr>
          <w:rStyle w:val="FootnoteReference"/>
        </w:rPr>
        <w:footnoteReference w:id="29"/>
      </w:r>
      <w:r>
        <w:t>, Hall</w:t>
      </w:r>
    </w:p>
    <w:p w:rsidR="00720677" w:rsidRDefault="00720677" w:rsidP="00720677">
      <w:pPr>
        <w:spacing w:line="240" w:lineRule="auto"/>
      </w:pPr>
      <w:r>
        <w:t>nevertheless seems to suggest that ‘abnormally aggressive or seriously irresponsible conduct’</w:t>
      </w:r>
    </w:p>
    <w:p w:rsidR="007E3A56" w:rsidRDefault="007E3A56" w:rsidP="007E3A56">
      <w:pPr>
        <w:spacing w:line="240" w:lineRule="auto"/>
      </w:pPr>
      <w:r>
        <w:t>should be defined in the same way. And on one level this is what the Court of Appeal proceeds to</w:t>
      </w:r>
    </w:p>
    <w:p w:rsidR="007E3A56" w:rsidRDefault="007E3A56" w:rsidP="007E3A56">
      <w:pPr>
        <w:spacing w:line="240" w:lineRule="auto"/>
      </w:pPr>
      <w:proofErr w:type="gramStart"/>
      <w:r>
        <w:t>do</w:t>
      </w:r>
      <w:proofErr w:type="gramEnd"/>
      <w:r>
        <w:t>, holding essentially that T’s desire to return home is ‘natural’; that is, normal; that is, not</w:t>
      </w:r>
    </w:p>
    <w:p w:rsidR="007E3A56" w:rsidRDefault="007E3A56" w:rsidP="007E3A56">
      <w:pPr>
        <w:spacing w:line="240" w:lineRule="auto"/>
      </w:pPr>
      <w:r>
        <w:t>sufficiently distinct from normally developed young persons. But for the court, it was in any case</w:t>
      </w:r>
    </w:p>
    <w:p w:rsidR="007E3A56" w:rsidRDefault="007E3A56" w:rsidP="007E3A56">
      <w:pPr>
        <w:spacing w:line="240" w:lineRule="auto"/>
      </w:pPr>
      <w:r>
        <w:t>‘simply inapt’</w:t>
      </w:r>
      <w:r>
        <w:rPr>
          <w:rStyle w:val="FootnoteReference"/>
        </w:rPr>
        <w:footnoteReference w:id="30"/>
      </w:r>
      <w:r>
        <w:t xml:space="preserve"> to construe T’s conduct as falling within the </w:t>
      </w:r>
      <w:r w:rsidR="004E0B92">
        <w:t>s.1 (</w:t>
      </w:r>
      <w:r>
        <w:t>2) definition; and this is a statement</w:t>
      </w:r>
    </w:p>
    <w:p w:rsidR="007E3A56" w:rsidRDefault="007E3A56" w:rsidP="007E3A56">
      <w:pPr>
        <w:spacing w:line="240" w:lineRule="auto"/>
      </w:pPr>
      <w:r>
        <w:t>about the underlying policy of the 1983 Act, rather than about the particular facts of the case. In</w:t>
      </w:r>
    </w:p>
    <w:p w:rsidR="007E3A56" w:rsidRDefault="007E3A56" w:rsidP="007E3A56">
      <w:pPr>
        <w:spacing w:line="240" w:lineRule="auto"/>
      </w:pPr>
      <w:proofErr w:type="gramStart"/>
      <w:r>
        <w:t>the</w:t>
      </w:r>
      <w:proofErr w:type="gramEnd"/>
      <w:r>
        <w:t xml:space="preserve"> sense that this view is not dictated or governed by legal rules, it is an extra-legal judgment: the</w:t>
      </w:r>
    </w:p>
    <w:p w:rsidR="00720677" w:rsidRDefault="007E3A56" w:rsidP="00C434DF">
      <w:pPr>
        <w:spacing w:line="240" w:lineRule="auto"/>
      </w:pPr>
      <w:proofErr w:type="gramStart"/>
      <w:r>
        <w:t>judge</w:t>
      </w:r>
      <w:proofErr w:type="gramEnd"/>
      <w:r>
        <w:t xml:space="preserve"> as citizen or as politician but not as lawyer.</w:t>
      </w:r>
    </w:p>
    <w:p w:rsidR="007E3A56" w:rsidRDefault="007E3A56" w:rsidP="00C434DF">
      <w:pPr>
        <w:spacing w:line="240" w:lineRule="auto"/>
      </w:pPr>
    </w:p>
    <w:p w:rsidR="007E3A56" w:rsidRDefault="007E3A56" w:rsidP="007E3A56">
      <w:pPr>
        <w:spacing w:line="240" w:lineRule="auto"/>
      </w:pPr>
      <w:r>
        <w:t>This should not be taken to imply, however, an argument that the Court of Appeal adopted the</w:t>
      </w:r>
    </w:p>
    <w:p w:rsidR="007E3A56" w:rsidRDefault="007E3A56" w:rsidP="007E3A56">
      <w:pPr>
        <w:spacing w:line="240" w:lineRule="auto"/>
      </w:pPr>
      <w:r>
        <w:t>‘wrong’ policy. It seems unarguable that the ‘essential powers’ approach is unsuitable to meet the</w:t>
      </w:r>
    </w:p>
    <w:p w:rsidR="007E3A56" w:rsidRDefault="007E3A56" w:rsidP="007E3A56">
      <w:pPr>
        <w:spacing w:line="240" w:lineRule="auto"/>
      </w:pPr>
      <w:r>
        <w:t>needs of a person such as T. For instance, the court noted in passing that LBH had placed</w:t>
      </w:r>
    </w:p>
    <w:p w:rsidR="007E3A56" w:rsidRDefault="007E3A56" w:rsidP="007E3A56">
      <w:pPr>
        <w:spacing w:line="240" w:lineRule="auto"/>
      </w:pPr>
      <w:r>
        <w:t>restrictions on contact between T and her parents, purportedly under the powers given by the</w:t>
      </w:r>
    </w:p>
    <w:p w:rsidR="007E3A56" w:rsidRDefault="007E3A56" w:rsidP="007E3A56">
      <w:pPr>
        <w:spacing w:line="240" w:lineRule="auto"/>
      </w:pPr>
      <w:r>
        <w:t>guardianship order, which in the court’s view were of doubtful legality</w:t>
      </w:r>
      <w:r w:rsidR="004E0B92">
        <w:rPr>
          <w:rStyle w:val="FootnoteReference"/>
        </w:rPr>
        <w:footnoteReference w:id="31"/>
      </w:r>
      <w:r>
        <w:t>. The point was incidental</w:t>
      </w:r>
    </w:p>
    <w:p w:rsidR="007E3A56" w:rsidRDefault="007E3A56" w:rsidP="007E3A56">
      <w:pPr>
        <w:spacing w:line="240" w:lineRule="auto"/>
      </w:pPr>
      <w:proofErr w:type="gramStart"/>
      <w:r>
        <w:t>to</w:t>
      </w:r>
      <w:proofErr w:type="gramEnd"/>
      <w:r>
        <w:t xml:space="preserve"> the appeal and so perhaps understated by the court. But it is clear: there is no provision in the</w:t>
      </w:r>
    </w:p>
    <w:p w:rsidR="007E3A56" w:rsidRDefault="007E3A56" w:rsidP="007E3A56">
      <w:pPr>
        <w:spacing w:line="240" w:lineRule="auto"/>
      </w:pPr>
      <w:r>
        <w:lastRenderedPageBreak/>
        <w:t xml:space="preserve">powers given by </w:t>
      </w:r>
      <w:proofErr w:type="gramStart"/>
      <w:r>
        <w:t>s.8(</w:t>
      </w:r>
      <w:proofErr w:type="gramEnd"/>
      <w:r>
        <w:t>1) of the 1983 Act to place limitations on those with whom the person subject</w:t>
      </w:r>
    </w:p>
    <w:p w:rsidR="007E3A56" w:rsidRDefault="007E3A56" w:rsidP="007E3A56">
      <w:pPr>
        <w:spacing w:line="240" w:lineRule="auto"/>
      </w:pPr>
      <w:proofErr w:type="gramStart"/>
      <w:r>
        <w:t>to</w:t>
      </w:r>
      <w:proofErr w:type="gramEnd"/>
      <w:r>
        <w:t xml:space="preserve"> the order may have contact. On the other hand, it may be suggested that the Court of Appeal</w:t>
      </w:r>
    </w:p>
    <w:p w:rsidR="007E3A56" w:rsidRDefault="007E3A56" w:rsidP="007E3A56">
      <w:pPr>
        <w:spacing w:line="240" w:lineRule="auto"/>
      </w:pPr>
      <w:proofErr w:type="gramStart"/>
      <w:r>
        <w:t>was</w:t>
      </w:r>
      <w:proofErr w:type="gramEnd"/>
      <w:r>
        <w:t xml:space="preserve"> so closely focused on the intention behind the guardianship scheme that it failed to consider</w:t>
      </w:r>
    </w:p>
    <w:p w:rsidR="007E3A56" w:rsidRDefault="007E3A56" w:rsidP="007E3A56">
      <w:pPr>
        <w:spacing w:line="240" w:lineRule="auto"/>
      </w:pPr>
      <w:proofErr w:type="gramStart"/>
      <w:r>
        <w:t>how</w:t>
      </w:r>
      <w:proofErr w:type="gramEnd"/>
      <w:r>
        <w:t xml:space="preserve"> a guardian is actually able in practice to control contact between the person subject to the</w:t>
      </w:r>
    </w:p>
    <w:p w:rsidR="007E3A56" w:rsidRDefault="007E3A56" w:rsidP="007E3A56">
      <w:pPr>
        <w:spacing w:line="240" w:lineRule="auto"/>
      </w:pPr>
      <w:r>
        <w:t xml:space="preserve">order and others. In </w:t>
      </w:r>
      <w:r w:rsidRPr="00F97543">
        <w:rPr>
          <w:i/>
        </w:rPr>
        <w:t xml:space="preserve">Cambridgeshire County Council v R (An Adult) </w:t>
      </w:r>
      <w:r>
        <w:t>[1995] 1 FLR 50 (FD), which</w:t>
      </w:r>
    </w:p>
    <w:p w:rsidR="007E3A56" w:rsidRDefault="007E3A56" w:rsidP="007E3A56">
      <w:pPr>
        <w:spacing w:line="240" w:lineRule="auto"/>
      </w:pPr>
      <w:r>
        <w:t>involved a situation broadly comparable to that of T in the instant case</w:t>
      </w:r>
      <w:r w:rsidR="00F97543">
        <w:rPr>
          <w:rStyle w:val="FootnoteReference"/>
        </w:rPr>
        <w:footnoteReference w:id="32"/>
      </w:r>
      <w:r>
        <w:t>, Hale J. took the view that</w:t>
      </w:r>
    </w:p>
    <w:p w:rsidR="007E3A56" w:rsidRDefault="007E3A56" w:rsidP="007E3A56">
      <w:pPr>
        <w:spacing w:line="240" w:lineRule="auto"/>
      </w:pPr>
      <w:r>
        <w:t>‘Guardianship would ... give the [local] authority the greater part of what they seek’</w:t>
      </w:r>
      <w:r w:rsidR="00F97543">
        <w:rPr>
          <w:rStyle w:val="FootnoteReference"/>
        </w:rPr>
        <w:footnoteReference w:id="33"/>
      </w:r>
      <w:r>
        <w:t>. In Hale J.’s</w:t>
      </w:r>
    </w:p>
    <w:p w:rsidR="007E3A56" w:rsidRDefault="007E3A56" w:rsidP="007E3A56">
      <w:pPr>
        <w:spacing w:line="240" w:lineRule="auto"/>
      </w:pPr>
      <w:r>
        <w:t>view this would allow the authority to dictate where R would live and this, combined with the</w:t>
      </w:r>
    </w:p>
    <w:p w:rsidR="007E3A56" w:rsidRDefault="007E3A56" w:rsidP="007E3A56">
      <w:pPr>
        <w:spacing w:line="240" w:lineRule="auto"/>
      </w:pPr>
      <w:r>
        <w:t>general right to control access to private property, could in practice regulate contact between R and</w:t>
      </w:r>
    </w:p>
    <w:p w:rsidR="007E3A56" w:rsidRDefault="007E3A56" w:rsidP="007E3A56">
      <w:pPr>
        <w:spacing w:line="240" w:lineRule="auto"/>
      </w:pPr>
      <w:r>
        <w:t>her family. This view may be problematic for other reasons</w:t>
      </w:r>
      <w:r w:rsidR="00012F0B">
        <w:rPr>
          <w:rStyle w:val="FootnoteReference"/>
        </w:rPr>
        <w:footnoteReference w:id="34"/>
      </w:r>
      <w:r>
        <w:t>, but it does make the point that the</w:t>
      </w:r>
    </w:p>
    <w:p w:rsidR="007E3A56" w:rsidRDefault="007E3A56" w:rsidP="007E3A56">
      <w:pPr>
        <w:spacing w:line="240" w:lineRule="auto"/>
      </w:pPr>
      <w:r>
        <w:t>Court of Appeal’s explanation of guardianship as nothing more than the three powers specified in</w:t>
      </w:r>
    </w:p>
    <w:p w:rsidR="007E3A56" w:rsidRDefault="00F97543" w:rsidP="007E3A56">
      <w:pPr>
        <w:spacing w:line="240" w:lineRule="auto"/>
      </w:pPr>
      <w:r>
        <w:t>s.8 (</w:t>
      </w:r>
      <w:r w:rsidR="007E3A56">
        <w:t>1) of the 1983 Act may capture the technical position but is rather further away from what will</w:t>
      </w:r>
    </w:p>
    <w:p w:rsidR="007E3A56" w:rsidRDefault="007E3A56" w:rsidP="007E3A56">
      <w:pPr>
        <w:spacing w:line="240" w:lineRule="auto"/>
      </w:pPr>
      <w:r>
        <w:t xml:space="preserve">often </w:t>
      </w:r>
      <w:proofErr w:type="gramStart"/>
      <w:r>
        <w:t>be</w:t>
      </w:r>
      <w:proofErr w:type="gramEnd"/>
      <w:r>
        <w:t xml:space="preserve"> the realities of the situation.</w:t>
      </w:r>
    </w:p>
    <w:p w:rsidR="00F97543" w:rsidRDefault="00F97543" w:rsidP="007E3A56">
      <w:pPr>
        <w:spacing w:line="240" w:lineRule="auto"/>
      </w:pPr>
    </w:p>
    <w:p w:rsidR="007E3A56" w:rsidRDefault="007E3A56" w:rsidP="007E3A56">
      <w:pPr>
        <w:spacing w:line="240" w:lineRule="auto"/>
      </w:pPr>
      <w:r>
        <w:t>That the Court of Appeal took a rigorously civil libertarian approach to the interpretation of the</w:t>
      </w:r>
    </w:p>
    <w:p w:rsidR="007E3A56" w:rsidRDefault="007E3A56" w:rsidP="007E3A56">
      <w:pPr>
        <w:spacing w:line="240" w:lineRule="auto"/>
      </w:pPr>
      <w:r>
        <w:t>1983 Act does not of course mean that it was indifferent to the arguments in favour of paternalism</w:t>
      </w:r>
    </w:p>
    <w:p w:rsidR="007E3A56" w:rsidRDefault="007E3A56" w:rsidP="007E3A56">
      <w:pPr>
        <w:spacing w:line="240" w:lineRule="auto"/>
      </w:pPr>
      <w:proofErr w:type="gramStart"/>
      <w:r>
        <w:t>or</w:t>
      </w:r>
      <w:proofErr w:type="gramEnd"/>
      <w:r>
        <w:t xml:space="preserve"> protectionism. Rather, for the court it was an issue concerning appropriate mechanisms. As far</w:t>
      </w:r>
    </w:p>
    <w:p w:rsidR="007E3A56" w:rsidRDefault="007E3A56" w:rsidP="007E3A56">
      <w:pPr>
        <w:spacing w:line="240" w:lineRule="auto"/>
      </w:pPr>
      <w:proofErr w:type="gramStart"/>
      <w:r>
        <w:t>as</w:t>
      </w:r>
      <w:proofErr w:type="gramEnd"/>
      <w:r>
        <w:t xml:space="preserve"> children are concerned, the regime established under the Children Act 1989 and related</w:t>
      </w:r>
    </w:p>
    <w:p w:rsidR="007E3A56" w:rsidRDefault="007E3A56" w:rsidP="007E3A56">
      <w:pPr>
        <w:spacing w:line="240" w:lineRule="auto"/>
      </w:pPr>
      <w:r>
        <w:t>legislation, supplemented by the inherent jurisdiction, is the appropriate forum for the</w:t>
      </w:r>
    </w:p>
    <w:p w:rsidR="007E3A56" w:rsidRDefault="007E3A56" w:rsidP="007E3A56">
      <w:pPr>
        <w:spacing w:line="240" w:lineRule="auto"/>
      </w:pPr>
      <w:r>
        <w:t>implementation of protectionist concerns. For adults these mechanisms are not available. Instead,</w:t>
      </w:r>
    </w:p>
    <w:p w:rsidR="007E3A56" w:rsidRDefault="007E3A56" w:rsidP="007E3A56">
      <w:pPr>
        <w:spacing w:line="240" w:lineRule="auto"/>
      </w:pPr>
      <w:proofErr w:type="gramStart"/>
      <w:r>
        <w:t>at</w:t>
      </w:r>
      <w:proofErr w:type="gramEnd"/>
      <w:r>
        <w:t xml:space="preserve"> present, all that exists is the inherent jurisdiction of the High Court to issue declarations as to</w:t>
      </w:r>
    </w:p>
    <w:p w:rsidR="007E3A56" w:rsidRDefault="007E3A56" w:rsidP="007E3A56">
      <w:pPr>
        <w:spacing w:line="240" w:lineRule="auto"/>
      </w:pPr>
      <w:proofErr w:type="gramStart"/>
      <w:r>
        <w:t>the</w:t>
      </w:r>
      <w:proofErr w:type="gramEnd"/>
      <w:r>
        <w:t xml:space="preserve"> best interests of an adult lacking competency to take his or her own decisions. This was of</w:t>
      </w:r>
    </w:p>
    <w:p w:rsidR="007E3A56" w:rsidRDefault="007E3A56" w:rsidP="007E3A56">
      <w:pPr>
        <w:spacing w:line="240" w:lineRule="auto"/>
      </w:pPr>
      <w:r>
        <w:t>course a live issue in this case as T, having passed her seventeenth birthday shortly after the making</w:t>
      </w:r>
    </w:p>
    <w:p w:rsidR="007E3A56" w:rsidRDefault="007E3A56" w:rsidP="007E3A56">
      <w:pPr>
        <w:spacing w:line="240" w:lineRule="auto"/>
      </w:pPr>
      <w:proofErr w:type="gramStart"/>
      <w:r>
        <w:t>of</w:t>
      </w:r>
      <w:proofErr w:type="gramEnd"/>
      <w:r>
        <w:t xml:space="preserve"> the initial EPOs, was rapidly approaching her eighteenth birthday by the time of the appeal, at</w:t>
      </w:r>
    </w:p>
    <w:p w:rsidR="007E3A56" w:rsidRDefault="007E3A56" w:rsidP="007E3A56">
      <w:pPr>
        <w:spacing w:line="240" w:lineRule="auto"/>
      </w:pPr>
      <w:proofErr w:type="gramStart"/>
      <w:r>
        <w:t>which</w:t>
      </w:r>
      <w:proofErr w:type="gramEnd"/>
      <w:r>
        <w:t xml:space="preserve"> time the wardship jurisdiction would no longer be available.</w:t>
      </w:r>
    </w:p>
    <w:p w:rsidR="00720677" w:rsidRPr="00A7609A" w:rsidRDefault="00720677" w:rsidP="001C0E59">
      <w:pPr>
        <w:spacing w:line="240" w:lineRule="auto"/>
      </w:pPr>
    </w:p>
    <w:p w:rsidR="001C0E59" w:rsidRDefault="001C0E59" w:rsidP="001C0E59">
      <w:pPr>
        <w:spacing w:line="240" w:lineRule="auto"/>
      </w:pPr>
      <w:r>
        <w:lastRenderedPageBreak/>
        <w:t xml:space="preserve">The court declined to embark on a comparison between the powers available under guardianship </w:t>
      </w:r>
    </w:p>
    <w:p w:rsidR="001C0E59" w:rsidRDefault="001C0E59" w:rsidP="001C0E59">
      <w:pPr>
        <w:spacing w:line="240" w:lineRule="auto"/>
      </w:pPr>
      <w:proofErr w:type="gramStart"/>
      <w:r>
        <w:t>and</w:t>
      </w:r>
      <w:proofErr w:type="gramEnd"/>
      <w:r>
        <w:t xml:space="preserve"> </w:t>
      </w:r>
      <w:r>
        <w:t>that which is possible by way of the issuance of a best interests declaration</w:t>
      </w:r>
      <w:r>
        <w:rPr>
          <w:rStyle w:val="FootnoteReference"/>
        </w:rPr>
        <w:footnoteReference w:id="35"/>
      </w:r>
      <w:r>
        <w:t xml:space="preserve">. It did, however, </w:t>
      </w:r>
    </w:p>
    <w:p w:rsidR="001C0E59" w:rsidRDefault="001C0E59" w:rsidP="001C0E59">
      <w:pPr>
        <w:spacing w:line="240" w:lineRule="auto"/>
      </w:pPr>
      <w:r>
        <w:t xml:space="preserve">express </w:t>
      </w:r>
      <w:r>
        <w:t xml:space="preserve">a ‘wish to see the Family Division judge given wider powers to deal with the welfare of adult </w:t>
      </w:r>
    </w:p>
    <w:p w:rsidR="001C0E59" w:rsidRDefault="001C0E59" w:rsidP="001C0E59">
      <w:pPr>
        <w:spacing w:line="240" w:lineRule="auto"/>
      </w:pPr>
      <w:r>
        <w:t xml:space="preserve">patients </w:t>
      </w:r>
      <w:r>
        <w:t xml:space="preserve">where that cannot be fully achievable under the provisions of the Mental Health Act </w:t>
      </w:r>
    </w:p>
    <w:p w:rsidR="001C0E59" w:rsidRDefault="001C0E59" w:rsidP="001C0E59">
      <w:pPr>
        <w:spacing w:line="240" w:lineRule="auto"/>
      </w:pPr>
      <w:r>
        <w:t>1983’</w:t>
      </w:r>
      <w:r>
        <w:rPr>
          <w:rStyle w:val="FootnoteReference"/>
        </w:rPr>
        <w:footnoteReference w:id="36"/>
      </w:r>
      <w:r>
        <w:t xml:space="preserve">. Family </w:t>
      </w:r>
      <w:r>
        <w:t xml:space="preserve">Division judges have in fact proven fairly ready to develop the use of the mechanism </w:t>
      </w:r>
    </w:p>
    <w:p w:rsidR="001C0E59" w:rsidRPr="001C0E59" w:rsidRDefault="001C0E59" w:rsidP="001C0E59">
      <w:pPr>
        <w:spacing w:line="240" w:lineRule="auto"/>
        <w:rPr>
          <w:i/>
        </w:rPr>
      </w:pPr>
      <w:proofErr w:type="gramStart"/>
      <w:r>
        <w:t>of</w:t>
      </w:r>
      <w:proofErr w:type="gramEnd"/>
      <w:r>
        <w:t xml:space="preserve"> the </w:t>
      </w:r>
      <w:r>
        <w:t xml:space="preserve">declaration since the landmark decision of the House of Lords </w:t>
      </w:r>
      <w:r w:rsidRPr="001C0E59">
        <w:rPr>
          <w:i/>
        </w:rPr>
        <w:t xml:space="preserve">in Re F (Mental Patient: </w:t>
      </w:r>
    </w:p>
    <w:p w:rsidR="001C0E59" w:rsidRDefault="001C0E59" w:rsidP="001C0E59">
      <w:pPr>
        <w:spacing w:line="240" w:lineRule="auto"/>
      </w:pPr>
      <w:r w:rsidRPr="001C0E59">
        <w:rPr>
          <w:i/>
        </w:rPr>
        <w:t>Sterilisation)</w:t>
      </w:r>
      <w:r>
        <w:t xml:space="preserve"> </w:t>
      </w:r>
      <w:r>
        <w:t xml:space="preserve">[1990] 2 AC 1 (sub.nom. </w:t>
      </w:r>
      <w:r w:rsidRPr="001C0E59">
        <w:rPr>
          <w:i/>
        </w:rPr>
        <w:t>F v West Berkshire HA</w:t>
      </w:r>
      <w:r>
        <w:t xml:space="preserve"> [1989] 2 All ER 545). In that case, as is </w:t>
      </w:r>
    </w:p>
    <w:p w:rsidR="001C0E59" w:rsidRDefault="001C0E59" w:rsidP="001C0E59">
      <w:pPr>
        <w:spacing w:line="240" w:lineRule="auto"/>
      </w:pPr>
      <w:r>
        <w:t>wel</w:t>
      </w:r>
      <w:r>
        <w:t xml:space="preserve">l known, </w:t>
      </w:r>
      <w:r>
        <w:t xml:space="preserve">the House held that a Family Division judge might properly issue a declaration that a </w:t>
      </w:r>
    </w:p>
    <w:p w:rsidR="001C0E59" w:rsidRDefault="001C0E59" w:rsidP="001C0E59">
      <w:pPr>
        <w:spacing w:line="240" w:lineRule="auto"/>
      </w:pPr>
      <w:r>
        <w:t xml:space="preserve">proposed </w:t>
      </w:r>
      <w:r>
        <w:t xml:space="preserve">course of action, in respect of the medical treatment of an adult patient who lacks the </w:t>
      </w:r>
    </w:p>
    <w:p w:rsidR="001C0E59" w:rsidRDefault="001C0E59" w:rsidP="001C0E59">
      <w:pPr>
        <w:spacing w:line="240" w:lineRule="auto"/>
      </w:pPr>
      <w:r>
        <w:t xml:space="preserve">capacity to </w:t>
      </w:r>
      <w:r>
        <w:t xml:space="preserve">take his or her own decisions and protect his or her own best interests, is lawful. In </w:t>
      </w:r>
    </w:p>
    <w:p w:rsidR="001C0E59" w:rsidRDefault="001C0E59" w:rsidP="001C0E59">
      <w:pPr>
        <w:spacing w:line="240" w:lineRule="auto"/>
      </w:pPr>
      <w:r>
        <w:t xml:space="preserve">explaining the </w:t>
      </w:r>
      <w:r>
        <w:t xml:space="preserve">concept of ‘best interests’, Lord Goff with the concurrence of other member of the </w:t>
      </w:r>
    </w:p>
    <w:p w:rsidR="001C0E59" w:rsidRDefault="001C0E59" w:rsidP="001C0E59">
      <w:pPr>
        <w:spacing w:line="240" w:lineRule="auto"/>
      </w:pPr>
      <w:r>
        <w:t xml:space="preserve">House, used the </w:t>
      </w:r>
      <w:r>
        <w:t>seemingly broad phrase ‘life, health or well-being’</w:t>
      </w:r>
      <w:r>
        <w:rPr>
          <w:rStyle w:val="FootnoteReference"/>
        </w:rPr>
        <w:footnoteReference w:id="37"/>
      </w:r>
      <w:r>
        <w:t xml:space="preserve">. But it has generally been </w:t>
      </w:r>
    </w:p>
    <w:p w:rsidR="001C0E59" w:rsidRDefault="001C0E59" w:rsidP="001C0E59">
      <w:pPr>
        <w:spacing w:line="240" w:lineRule="auto"/>
      </w:pPr>
      <w:r>
        <w:t xml:space="preserve">assumed that the </w:t>
      </w:r>
      <w:r>
        <w:t xml:space="preserve">jurisdiction is of limited effect. The Court of Appeal in the present case referred to </w:t>
      </w:r>
    </w:p>
    <w:p w:rsidR="001C0E59" w:rsidRPr="001C0E59" w:rsidRDefault="001C0E59" w:rsidP="001C0E59">
      <w:pPr>
        <w:spacing w:line="240" w:lineRule="auto"/>
        <w:rPr>
          <w:i/>
        </w:rPr>
      </w:pPr>
      <w:proofErr w:type="gramStart"/>
      <w:r>
        <w:t>two</w:t>
      </w:r>
      <w:proofErr w:type="gramEnd"/>
      <w:r>
        <w:t xml:space="preserve"> High Court </w:t>
      </w:r>
      <w:r>
        <w:t xml:space="preserve">decisions, </w:t>
      </w:r>
      <w:r w:rsidRPr="001C0E59">
        <w:rPr>
          <w:i/>
        </w:rPr>
        <w:t>Re C (Mental Patient: Contact)</w:t>
      </w:r>
      <w:r>
        <w:t xml:space="preserve"> [1993] 1 FLR 940 (FD) and </w:t>
      </w:r>
      <w:r w:rsidRPr="001C0E59">
        <w:rPr>
          <w:i/>
        </w:rPr>
        <w:t xml:space="preserve">Cambridgeshire </w:t>
      </w:r>
    </w:p>
    <w:p w:rsidR="001C0E59" w:rsidRDefault="001C0E59" w:rsidP="001C0E59">
      <w:pPr>
        <w:spacing w:line="240" w:lineRule="auto"/>
      </w:pPr>
      <w:r w:rsidRPr="001C0E59">
        <w:rPr>
          <w:i/>
        </w:rPr>
        <w:t xml:space="preserve">County Council v </w:t>
      </w:r>
      <w:r w:rsidRPr="001C0E59">
        <w:rPr>
          <w:i/>
        </w:rPr>
        <w:t>R (An Adult)</w:t>
      </w:r>
      <w:r>
        <w:t xml:space="preserve"> (above). In the former of these, it was held that where an adult child </w:t>
      </w:r>
    </w:p>
    <w:p w:rsidR="001C0E59" w:rsidRDefault="001C0E59" w:rsidP="001C0E59">
      <w:pPr>
        <w:spacing w:line="240" w:lineRule="auto"/>
      </w:pPr>
      <w:r>
        <w:t xml:space="preserve">with learning </w:t>
      </w:r>
      <w:r>
        <w:t>difficulties lived with one parent, and that parent wa</w:t>
      </w:r>
      <w:r>
        <w:t xml:space="preserve">s refusing access to the </w:t>
      </w:r>
    </w:p>
    <w:p w:rsidR="001C0E59" w:rsidRDefault="001C0E59" w:rsidP="001C0E59">
      <w:pPr>
        <w:spacing w:line="240" w:lineRule="auto"/>
      </w:pPr>
      <w:r>
        <w:t xml:space="preserve">absent parent, the High </w:t>
      </w:r>
      <w:r>
        <w:t xml:space="preserve">Court could, in the best interests of the young person in question, grant </w:t>
      </w:r>
    </w:p>
    <w:p w:rsidR="001C0E59" w:rsidRDefault="001C0E59" w:rsidP="001C0E59">
      <w:pPr>
        <w:spacing w:line="240" w:lineRule="auto"/>
      </w:pPr>
      <w:r>
        <w:t xml:space="preserve">access by way of declaration. </w:t>
      </w:r>
      <w:r>
        <w:t xml:space="preserve">This was on the basis that access to one’s parents is a common law </w:t>
      </w:r>
    </w:p>
    <w:p w:rsidR="001C0E59" w:rsidRDefault="001C0E59" w:rsidP="001C0E59">
      <w:pPr>
        <w:spacing w:line="240" w:lineRule="auto"/>
      </w:pPr>
      <w:proofErr w:type="gramStart"/>
      <w:r>
        <w:t>right</w:t>
      </w:r>
      <w:proofErr w:type="gramEnd"/>
      <w:r>
        <w:t xml:space="preserve"> and hence infringement is </w:t>
      </w:r>
      <w:r>
        <w:t xml:space="preserve">unlawful and therefore properly the subject of a declaration. But in </w:t>
      </w:r>
    </w:p>
    <w:p w:rsidR="001C0E59" w:rsidRDefault="001C0E59" w:rsidP="001C0E59">
      <w:pPr>
        <w:spacing w:line="240" w:lineRule="auto"/>
      </w:pPr>
      <w:proofErr w:type="gramStart"/>
      <w:r>
        <w:t>the</w:t>
      </w:r>
      <w:proofErr w:type="gramEnd"/>
      <w:r>
        <w:t xml:space="preserve"> l</w:t>
      </w:r>
      <w:r>
        <w:t xml:space="preserve">atter case, as discussed above, </w:t>
      </w:r>
      <w:r>
        <w:t xml:space="preserve">the issue was not access but the prevention of contact between </w:t>
      </w:r>
    </w:p>
    <w:p w:rsidR="001C0E59" w:rsidRDefault="001C0E59" w:rsidP="001C0E59">
      <w:pPr>
        <w:spacing w:line="240" w:lineRule="auto"/>
      </w:pPr>
      <w:proofErr w:type="gramStart"/>
      <w:r>
        <w:t>an</w:t>
      </w:r>
      <w:proofErr w:type="gramEnd"/>
      <w:r>
        <w:t xml:space="preserve"> adult woman with learning </w:t>
      </w:r>
      <w:r>
        <w:t xml:space="preserve">difficulties and members of her family. Re C was distinguished as the </w:t>
      </w:r>
    </w:p>
    <w:p w:rsidR="001C0E59" w:rsidRDefault="001C0E59" w:rsidP="001C0E59">
      <w:pPr>
        <w:spacing w:line="240" w:lineRule="auto"/>
      </w:pPr>
      <w:r>
        <w:t xml:space="preserve">prevention of contact is not </w:t>
      </w:r>
      <w:r>
        <w:t xml:space="preserve">the protection of a common law right but the infringement of one, </w:t>
      </w:r>
    </w:p>
    <w:p w:rsidR="001C0E59" w:rsidRDefault="001C0E59" w:rsidP="001C0E59">
      <w:pPr>
        <w:spacing w:line="240" w:lineRule="auto"/>
      </w:pPr>
      <w:r>
        <w:t>namely the r</w:t>
      </w:r>
      <w:r>
        <w:t xml:space="preserve">ight to freedom of </w:t>
      </w:r>
      <w:r>
        <w:t xml:space="preserve">association. Hale J. took the view that the power to issue </w:t>
      </w:r>
    </w:p>
    <w:p w:rsidR="001C0E59" w:rsidRDefault="001C0E59" w:rsidP="001C0E59">
      <w:pPr>
        <w:spacing w:line="240" w:lineRule="auto"/>
      </w:pPr>
      <w:r>
        <w:t>declaration</w:t>
      </w:r>
      <w:r>
        <w:t xml:space="preserve">s was in effect only a power to </w:t>
      </w:r>
      <w:r>
        <w:t>state the strict legal position</w:t>
      </w:r>
      <w:r>
        <w:rPr>
          <w:rStyle w:val="FootnoteReference"/>
        </w:rPr>
        <w:footnoteReference w:id="38"/>
      </w:r>
      <w:r>
        <w:t xml:space="preserve">, which did not extend to </w:t>
      </w:r>
    </w:p>
    <w:p w:rsidR="001C0E59" w:rsidRDefault="001C0E59" w:rsidP="001C0E59">
      <w:pPr>
        <w:spacing w:line="240" w:lineRule="auto"/>
      </w:pPr>
      <w:r>
        <w:t>permitting</w:t>
      </w:r>
      <w:r>
        <w:t xml:space="preserve"> the infringement of common law </w:t>
      </w:r>
      <w:r>
        <w:t xml:space="preserve">rights. As such, as the Court of Appeal seemed to </w:t>
      </w:r>
    </w:p>
    <w:p w:rsidR="001C0E59" w:rsidRDefault="001C0E59" w:rsidP="001C0E59">
      <w:pPr>
        <w:spacing w:line="240" w:lineRule="auto"/>
      </w:pPr>
      <w:r>
        <w:t xml:space="preserve">accept, the </w:t>
      </w:r>
      <w:r>
        <w:t xml:space="preserve">mechanism of the best interests </w:t>
      </w:r>
      <w:r>
        <w:t xml:space="preserve">declaration would not be able to prevent contact </w:t>
      </w:r>
    </w:p>
    <w:p w:rsidR="001C0E59" w:rsidRDefault="001C0E59" w:rsidP="001C0E59">
      <w:pPr>
        <w:spacing w:line="240" w:lineRule="auto"/>
      </w:pPr>
      <w:r>
        <w:t xml:space="preserve">between T and her </w:t>
      </w:r>
      <w:r>
        <w:t xml:space="preserve">parents, or prevent T returning </w:t>
      </w:r>
      <w:r>
        <w:t xml:space="preserve">home, in the instant case. If this is correct, then </w:t>
      </w:r>
    </w:p>
    <w:p w:rsidR="001C0E59" w:rsidRDefault="001C0E59" w:rsidP="009C7EBC">
      <w:pPr>
        <w:spacing w:line="240" w:lineRule="auto"/>
      </w:pPr>
      <w:r>
        <w:lastRenderedPageBreak/>
        <w:t>on her attaining adulthood, the law would be able to</w:t>
      </w:r>
      <w:r>
        <w:t xml:space="preserve"> </w:t>
      </w:r>
      <w:r>
        <w:t>offer T no protection in this regard.</w:t>
      </w:r>
    </w:p>
    <w:p w:rsidR="001C0E59" w:rsidRDefault="001C0E59" w:rsidP="009C7EBC">
      <w:pPr>
        <w:spacing w:line="240" w:lineRule="auto"/>
      </w:pPr>
      <w:r>
        <w:t>There are three points that can be made here. First, in lamenting the limitations of the mechanism</w:t>
      </w:r>
    </w:p>
    <w:p w:rsidR="001C0E59" w:rsidRDefault="001C0E59" w:rsidP="009C7EBC">
      <w:pPr>
        <w:spacing w:line="240" w:lineRule="auto"/>
      </w:pPr>
      <w:proofErr w:type="gramStart"/>
      <w:r>
        <w:t>of</w:t>
      </w:r>
      <w:proofErr w:type="gramEnd"/>
      <w:r>
        <w:t xml:space="preserve"> the best interests declaration, the Court of Appeal in this case adds its voice to what has become</w:t>
      </w:r>
    </w:p>
    <w:p w:rsidR="001C0E59" w:rsidRDefault="001C0E59" w:rsidP="009C7EBC">
      <w:pPr>
        <w:spacing w:line="240" w:lineRule="auto"/>
      </w:pPr>
      <w:proofErr w:type="gramStart"/>
      <w:r>
        <w:t>a</w:t>
      </w:r>
      <w:proofErr w:type="gramEnd"/>
      <w:r>
        <w:t xml:space="preserve"> virtual collective mantra for all those with an interest in this area of law and social policy. As is</w:t>
      </w:r>
    </w:p>
    <w:p w:rsidR="001C0E59" w:rsidRDefault="001C0E59" w:rsidP="009C7EBC">
      <w:pPr>
        <w:spacing w:line="240" w:lineRule="auto"/>
      </w:pPr>
      <w:r>
        <w:t>well known, the process to reform this area of law began in the late 1980s following the decision</w:t>
      </w:r>
    </w:p>
    <w:p w:rsidR="001C0E59" w:rsidRDefault="001C0E59" w:rsidP="009C7EBC">
      <w:pPr>
        <w:spacing w:line="240" w:lineRule="auto"/>
      </w:pPr>
      <w:proofErr w:type="gramStart"/>
      <w:r>
        <w:t>in</w:t>
      </w:r>
      <w:proofErr w:type="gramEnd"/>
      <w:r>
        <w:t xml:space="preserve"> </w:t>
      </w:r>
      <w:r w:rsidRPr="009C7EBC">
        <w:rPr>
          <w:i/>
        </w:rPr>
        <w:t>F v West Berks</w:t>
      </w:r>
      <w:r>
        <w:t>. It has threatened to produce legislation on a couple of occasions in the 1990s.</w:t>
      </w:r>
    </w:p>
    <w:p w:rsidR="001C0E59" w:rsidRDefault="001C0E59" w:rsidP="009C7EBC">
      <w:pPr>
        <w:spacing w:line="240" w:lineRule="auto"/>
      </w:pPr>
      <w:r>
        <w:t>The situation at present, likely to continue until after the next general election at the earliest, is that</w:t>
      </w:r>
    </w:p>
    <w:p w:rsidR="001C0E59" w:rsidRDefault="001C0E59" w:rsidP="009C7EBC">
      <w:pPr>
        <w:spacing w:line="240" w:lineRule="auto"/>
      </w:pPr>
      <w:proofErr w:type="gramStart"/>
      <w:r>
        <w:t>the</w:t>
      </w:r>
      <w:proofErr w:type="gramEnd"/>
      <w:r>
        <w:t xml:space="preserve"> government accepts the need for reform but is unable to pledge the necessary parliamentary</w:t>
      </w:r>
    </w:p>
    <w:p w:rsidR="001C0E59" w:rsidRDefault="001C0E59" w:rsidP="009C7EBC">
      <w:pPr>
        <w:spacing w:line="240" w:lineRule="auto"/>
      </w:pPr>
      <w:r>
        <w:t>time</w:t>
      </w:r>
      <w:r w:rsidR="00651294">
        <w:rPr>
          <w:rStyle w:val="FootnoteReference"/>
        </w:rPr>
        <w:footnoteReference w:id="39"/>
      </w:r>
      <w:r>
        <w:t>. Until legislation is forthcoming - the courts have stated on numerous occasions from the F</w:t>
      </w:r>
    </w:p>
    <w:p w:rsidR="001C0E59" w:rsidRDefault="001C0E59" w:rsidP="009C7EBC">
      <w:pPr>
        <w:spacing w:line="240" w:lineRule="auto"/>
      </w:pPr>
      <w:proofErr w:type="gramStart"/>
      <w:r>
        <w:t>case</w:t>
      </w:r>
      <w:proofErr w:type="gramEnd"/>
      <w:r>
        <w:t xml:space="preserve"> onwards that the changes required are beyond their jurisdiction to deliver - they will no doubt</w:t>
      </w:r>
    </w:p>
    <w:p w:rsidR="001C0E59" w:rsidRDefault="001C0E59" w:rsidP="009C7EBC">
      <w:pPr>
        <w:spacing w:line="240" w:lineRule="auto"/>
      </w:pPr>
      <w:r>
        <w:t>continue to identify gaps in the coverage of the protection offered to persons like T.</w:t>
      </w:r>
    </w:p>
    <w:p w:rsidR="009C7EBC" w:rsidRDefault="009C7EBC" w:rsidP="009C7EBC">
      <w:pPr>
        <w:spacing w:line="240" w:lineRule="auto"/>
      </w:pPr>
    </w:p>
    <w:p w:rsidR="001C0E59" w:rsidRDefault="001C0E59" w:rsidP="009C7EBC">
      <w:pPr>
        <w:spacing w:line="240" w:lineRule="auto"/>
      </w:pPr>
      <w:r>
        <w:t>The second point, however, is that perhaps in the meantime more creative use could be made of</w:t>
      </w:r>
    </w:p>
    <w:p w:rsidR="00A7609A" w:rsidRDefault="001C0E59" w:rsidP="009C7EBC">
      <w:pPr>
        <w:spacing w:line="240" w:lineRule="auto"/>
      </w:pPr>
      <w:r>
        <w:t>the existing law. Little was said in this regard by the Court of Appeal in the present case. But it</w:t>
      </w:r>
    </w:p>
    <w:p w:rsidR="009C7EBC" w:rsidRDefault="009C7EBC" w:rsidP="009C7EBC">
      <w:pPr>
        <w:spacing w:line="240" w:lineRule="auto"/>
      </w:pPr>
      <w:r>
        <w:t>would also have been interesting to see how the court would have responded, for example, to an</w:t>
      </w:r>
    </w:p>
    <w:p w:rsidR="009C7EBC" w:rsidRDefault="009C7EBC" w:rsidP="009C7EBC">
      <w:pPr>
        <w:spacing w:line="240" w:lineRule="auto"/>
      </w:pPr>
      <w:r>
        <w:t>argument that the common law right of access between parent and child was never absolute at</w:t>
      </w:r>
    </w:p>
    <w:p w:rsidR="009C7EBC" w:rsidRDefault="009C7EBC" w:rsidP="009C7EBC">
      <w:pPr>
        <w:spacing w:line="240" w:lineRule="auto"/>
      </w:pPr>
      <w:r>
        <w:t>common law</w:t>
      </w:r>
      <w:r>
        <w:rPr>
          <w:rStyle w:val="FootnoteReference"/>
        </w:rPr>
        <w:footnoteReference w:id="40"/>
      </w:r>
      <w:r>
        <w:t xml:space="preserve">, and therefore it is possible to </w:t>
      </w:r>
      <w:r w:rsidRPr="009C7EBC">
        <w:rPr>
          <w:b/>
        </w:rPr>
        <w:t>declare</w:t>
      </w:r>
      <w:r>
        <w:t>, in an appropriate fact situation, that the</w:t>
      </w:r>
    </w:p>
    <w:p w:rsidR="009C7EBC" w:rsidRDefault="009C7EBC" w:rsidP="009C7EBC">
      <w:pPr>
        <w:spacing w:line="240" w:lineRule="auto"/>
      </w:pPr>
      <w:r>
        <w:t>common law position is that the right is not exercisable</w:t>
      </w:r>
      <w:r>
        <w:rPr>
          <w:rStyle w:val="FootnoteReference"/>
        </w:rPr>
        <w:footnoteReference w:id="41"/>
      </w:r>
      <w:r>
        <w:t>, on the basis that its exercise is contrary</w:t>
      </w:r>
    </w:p>
    <w:p w:rsidR="009C7EBC" w:rsidRDefault="009C7EBC" w:rsidP="009C7EBC">
      <w:pPr>
        <w:spacing w:line="240" w:lineRule="auto"/>
      </w:pPr>
      <w:proofErr w:type="gramStart"/>
      <w:r>
        <w:t>to</w:t>
      </w:r>
      <w:proofErr w:type="gramEnd"/>
      <w:r>
        <w:t xml:space="preserve"> the best interests of the person concerned</w:t>
      </w:r>
      <w:r>
        <w:rPr>
          <w:rStyle w:val="FootnoteReference"/>
        </w:rPr>
        <w:footnoteReference w:id="42"/>
      </w:r>
      <w:r>
        <w:t>.</w:t>
      </w:r>
    </w:p>
    <w:p w:rsidR="009C7EBC" w:rsidRDefault="009C7EBC" w:rsidP="009C7EBC">
      <w:pPr>
        <w:spacing w:line="240" w:lineRule="auto"/>
      </w:pPr>
    </w:p>
    <w:p w:rsidR="009C7EBC" w:rsidRDefault="009C7EBC" w:rsidP="009C7EBC">
      <w:pPr>
        <w:spacing w:line="240" w:lineRule="auto"/>
      </w:pPr>
      <w:r>
        <w:t xml:space="preserve">In </w:t>
      </w:r>
      <w:r w:rsidRPr="009C7EBC">
        <w:rPr>
          <w:i/>
        </w:rPr>
        <w:t>Cambridgeshire</w:t>
      </w:r>
      <w:r>
        <w:t xml:space="preserve"> Hale J. also discussed the relevance of the law relating to harassment. At that</w:t>
      </w:r>
    </w:p>
    <w:p w:rsidR="009C7EBC" w:rsidRDefault="009C7EBC" w:rsidP="009C7EBC">
      <w:pPr>
        <w:spacing w:line="240" w:lineRule="auto"/>
      </w:pPr>
      <w:r>
        <w:t>time, it was at least arguable that there was no tort of harassment, the latest decision at that time</w:t>
      </w:r>
    </w:p>
    <w:p w:rsidR="009C7EBC" w:rsidRDefault="009C7EBC" w:rsidP="009C7EBC">
      <w:pPr>
        <w:spacing w:line="240" w:lineRule="auto"/>
      </w:pPr>
      <w:r>
        <w:t xml:space="preserve">being that of the Court of Appeal in </w:t>
      </w:r>
      <w:r w:rsidRPr="009C7EBC">
        <w:rPr>
          <w:i/>
        </w:rPr>
        <w:t>Khorasandjian v Bush</w:t>
      </w:r>
      <w:r>
        <w:t xml:space="preserve"> [1993] QB 727 (CA). But since</w:t>
      </w:r>
    </w:p>
    <w:p w:rsidR="009C7EBC" w:rsidRDefault="009C7EBC" w:rsidP="009C7EBC">
      <w:pPr>
        <w:spacing w:line="240" w:lineRule="auto"/>
      </w:pPr>
      <w:r w:rsidRPr="009C7EBC">
        <w:rPr>
          <w:i/>
        </w:rPr>
        <w:t>Cambridgeshire</w:t>
      </w:r>
      <w:r>
        <w:t xml:space="preserve"> was decided the Court of Appeal in </w:t>
      </w:r>
      <w:r w:rsidRPr="009C7EBC">
        <w:rPr>
          <w:i/>
        </w:rPr>
        <w:t>Burris v Azadani</w:t>
      </w:r>
      <w:r>
        <w:t xml:space="preserve"> has stated that there is a tort</w:t>
      </w:r>
    </w:p>
    <w:p w:rsidR="009C7EBC" w:rsidRDefault="009C7EBC" w:rsidP="00B85994">
      <w:pPr>
        <w:spacing w:line="240" w:lineRule="auto"/>
      </w:pPr>
      <w:r>
        <w:lastRenderedPageBreak/>
        <w:t>of harassment; or at least that the High Court should be prepared to invoke its inherent</w:t>
      </w:r>
    </w:p>
    <w:p w:rsidR="009C7EBC" w:rsidRDefault="009C7EBC" w:rsidP="00B85994">
      <w:pPr>
        <w:spacing w:line="240" w:lineRule="auto"/>
      </w:pPr>
      <w:r>
        <w:t>jurisdiction to issue an injunction to prevent an activity that is not tortious if, on balancing the</w:t>
      </w:r>
    </w:p>
    <w:p w:rsidR="009C7EBC" w:rsidRDefault="009C7EBC" w:rsidP="00B85994">
      <w:pPr>
        <w:spacing w:line="240" w:lineRule="auto"/>
      </w:pPr>
      <w:r>
        <w:t>needs and interests of those concerned ‘the court recognises a need to protect the legitimate</w:t>
      </w:r>
    </w:p>
    <w:p w:rsidR="009C7EBC" w:rsidRDefault="009C7EBC" w:rsidP="00B85994">
      <w:pPr>
        <w:spacing w:line="240" w:lineRule="auto"/>
      </w:pPr>
      <w:r>
        <w:t>interests of those who have invoked the jurisdiction’</w:t>
      </w:r>
      <w:r w:rsidR="001E60AA">
        <w:rPr>
          <w:rStyle w:val="FootnoteReference"/>
        </w:rPr>
        <w:footnoteReference w:id="43"/>
      </w:r>
      <w:r>
        <w:t>. Perhaps this element of the inherent</w:t>
      </w:r>
    </w:p>
    <w:p w:rsidR="009C7EBC" w:rsidRDefault="009C7EBC" w:rsidP="00B85994">
      <w:pPr>
        <w:spacing w:line="240" w:lineRule="auto"/>
      </w:pPr>
      <w:r>
        <w:t>jurisdiction - to issue injunctions - could usefully be developed in the area of mental health as it</w:t>
      </w:r>
    </w:p>
    <w:p w:rsidR="009C7EBC" w:rsidRDefault="009C7EBC" w:rsidP="00B85994">
      <w:pPr>
        <w:spacing w:line="240" w:lineRule="auto"/>
      </w:pPr>
      <w:r>
        <w:t>seemingly has been in the area of family law</w:t>
      </w:r>
      <w:r w:rsidR="001E60AA">
        <w:rPr>
          <w:rStyle w:val="FootnoteReference"/>
        </w:rPr>
        <w:footnoteReference w:id="44"/>
      </w:r>
      <w:r>
        <w:t>. It is worth noting that in Cambridgeshire Hale J. did</w:t>
      </w:r>
    </w:p>
    <w:p w:rsidR="009C7EBC" w:rsidRDefault="009C7EBC" w:rsidP="00B85994">
      <w:pPr>
        <w:spacing w:line="240" w:lineRule="auto"/>
      </w:pPr>
      <w:r>
        <w:t>not hold that the law of harassment is inapplicable, she merely noted that ‘no one has sought to</w:t>
      </w:r>
    </w:p>
    <w:p w:rsidR="009C7EBC" w:rsidRDefault="009C7EBC" w:rsidP="00B85994">
      <w:pPr>
        <w:spacing w:line="240" w:lineRule="auto"/>
      </w:pPr>
      <w:r>
        <w:t>persuade’</w:t>
      </w:r>
      <w:r w:rsidR="001E60AA">
        <w:rPr>
          <w:rStyle w:val="FootnoteReference"/>
        </w:rPr>
        <w:footnoteReference w:id="45"/>
      </w:r>
      <w:r>
        <w:t xml:space="preserve"> her that it was applicable. But even if </w:t>
      </w:r>
      <w:r w:rsidRPr="009D50C9">
        <w:rPr>
          <w:i/>
        </w:rPr>
        <w:t>Burris</w:t>
      </w:r>
      <w:r>
        <w:t xml:space="preserve"> turns out to be a questionable authority,</w:t>
      </w:r>
    </w:p>
    <w:p w:rsidR="009C7EBC" w:rsidRDefault="009C7EBC" w:rsidP="00B85994">
      <w:pPr>
        <w:spacing w:line="240" w:lineRule="auto"/>
      </w:pPr>
      <w:r>
        <w:t>there are still the mechanisms to regulate contact between adults that are contained in the Family</w:t>
      </w:r>
    </w:p>
    <w:p w:rsidR="009C7EBC" w:rsidRDefault="009C7EBC" w:rsidP="00B85994">
      <w:pPr>
        <w:spacing w:line="240" w:lineRule="auto"/>
      </w:pPr>
      <w:r>
        <w:t>Law Act 1996 and the Protection from Harassment Act 1997. This is not to deny that these statutes</w:t>
      </w:r>
    </w:p>
    <w:p w:rsidR="009C7EBC" w:rsidRDefault="009C7EBC" w:rsidP="00B85994">
      <w:pPr>
        <w:spacing w:line="240" w:lineRule="auto"/>
      </w:pPr>
      <w:r>
        <w:t>are aimed at a fairly narrow set of issues, but this does not mean that they could not usefully be</w:t>
      </w:r>
    </w:p>
    <w:p w:rsidR="009C7EBC" w:rsidRDefault="009C7EBC" w:rsidP="00B85994">
      <w:pPr>
        <w:spacing w:line="240" w:lineRule="auto"/>
      </w:pPr>
      <w:r>
        <w:t>employed in appropriate circumstances.</w:t>
      </w:r>
    </w:p>
    <w:p w:rsidR="001E60AA" w:rsidRDefault="001E60AA" w:rsidP="00B85994">
      <w:pPr>
        <w:spacing w:line="240" w:lineRule="auto"/>
      </w:pPr>
    </w:p>
    <w:p w:rsidR="009C7EBC" w:rsidRDefault="009C7EBC" w:rsidP="00B85994">
      <w:pPr>
        <w:spacing w:line="240" w:lineRule="auto"/>
      </w:pPr>
      <w:r>
        <w:t>Moreover, this being the third point, if the Court of Appeal has shown itself willing to abandon</w:t>
      </w:r>
    </w:p>
    <w:p w:rsidR="00B85994" w:rsidRDefault="009C7EBC" w:rsidP="00B85994">
      <w:pPr>
        <w:spacing w:line="240" w:lineRule="auto"/>
      </w:pPr>
      <w:proofErr w:type="gramStart"/>
      <w:r>
        <w:t>the</w:t>
      </w:r>
      <w:proofErr w:type="gramEnd"/>
      <w:r>
        <w:t xml:space="preserve"> requirement that there need be an identifiable legal right that has been infringed before a </w:t>
      </w:r>
    </w:p>
    <w:p w:rsidR="009C7EBC" w:rsidRDefault="00B85994" w:rsidP="00B85994">
      <w:pPr>
        <w:spacing w:line="240" w:lineRule="auto"/>
      </w:pPr>
      <w:r>
        <w:t xml:space="preserve">Family </w:t>
      </w:r>
      <w:r w:rsidR="009C7EBC">
        <w:t>Division judge acting under the authority of the inherent jurisdiction might properly issue an</w:t>
      </w:r>
    </w:p>
    <w:p w:rsidR="009C7EBC" w:rsidRDefault="009C7EBC" w:rsidP="00B85994">
      <w:pPr>
        <w:spacing w:line="240" w:lineRule="auto"/>
      </w:pPr>
      <w:r>
        <w:t>injunction placing limits on the rights of another party</w:t>
      </w:r>
      <w:r w:rsidR="00B85994">
        <w:rPr>
          <w:rStyle w:val="FootnoteReference"/>
        </w:rPr>
        <w:footnoteReference w:id="46"/>
      </w:r>
      <w:r>
        <w:t>, then perhaps it is arguable that this might</w:t>
      </w:r>
    </w:p>
    <w:p w:rsidR="009C7EBC" w:rsidRDefault="009C7EBC" w:rsidP="00B85994">
      <w:pPr>
        <w:spacing w:line="240" w:lineRule="auto"/>
      </w:pPr>
      <w:r>
        <w:t>also enable the judge to issue a declaration as to best interests that does not defend an identifiable</w:t>
      </w:r>
    </w:p>
    <w:p w:rsidR="009C7EBC" w:rsidRDefault="009C7EBC" w:rsidP="00B85994">
      <w:pPr>
        <w:spacing w:line="240" w:lineRule="auto"/>
      </w:pPr>
      <w:r>
        <w:t>common law right, but which rather declares that a particular course of action is lawful as in the</w:t>
      </w:r>
    </w:p>
    <w:p w:rsidR="009C7EBC" w:rsidRDefault="009C7EBC" w:rsidP="00B85994">
      <w:pPr>
        <w:spacing w:line="240" w:lineRule="auto"/>
      </w:pPr>
      <w:r>
        <w:t>best interests of the person concerned, even where that infringes in some way the legal rights of</w:t>
      </w:r>
    </w:p>
    <w:p w:rsidR="00810D61" w:rsidRDefault="00810D61" w:rsidP="00810D61">
      <w:pPr>
        <w:spacing w:line="240" w:lineRule="auto"/>
      </w:pPr>
      <w:r>
        <w:t>that person or some third party. After all, no legal right is absolute, and the power to issue</w:t>
      </w:r>
    </w:p>
    <w:p w:rsidR="00810D61" w:rsidRDefault="00810D61" w:rsidP="00810D61">
      <w:pPr>
        <w:spacing w:line="240" w:lineRule="auto"/>
      </w:pPr>
      <w:r>
        <w:t>declarations and to issue injunctions are both merely part of a broad raft of powers that comprise</w:t>
      </w:r>
    </w:p>
    <w:p w:rsidR="00810D61" w:rsidRDefault="00810D61" w:rsidP="00810D61">
      <w:pPr>
        <w:spacing w:line="240" w:lineRule="auto"/>
      </w:pPr>
      <w:proofErr w:type="gramStart"/>
      <w:r>
        <w:t>the</w:t>
      </w:r>
      <w:proofErr w:type="gramEnd"/>
      <w:r>
        <w:t xml:space="preserve"> inherent jurisdiction</w:t>
      </w:r>
      <w:r>
        <w:rPr>
          <w:rStyle w:val="FootnoteReference"/>
        </w:rPr>
        <w:footnoteReference w:id="47"/>
      </w:r>
      <w:r>
        <w:t>. Perhaps a greater willingness to issue injunctions under the authority of</w:t>
      </w:r>
    </w:p>
    <w:p w:rsidR="00810D61" w:rsidRDefault="00810D61" w:rsidP="00810D61">
      <w:pPr>
        <w:spacing w:line="240" w:lineRule="auto"/>
      </w:pPr>
      <w:r>
        <w:t>Burris</w:t>
      </w:r>
      <w:r>
        <w:rPr>
          <w:rStyle w:val="FootnoteReference"/>
        </w:rPr>
        <w:footnoteReference w:id="48"/>
      </w:r>
      <w:r>
        <w:t xml:space="preserve"> would be a useful development in the protection of persons lacking capacity. The inherent</w:t>
      </w:r>
    </w:p>
    <w:p w:rsidR="00810D61" w:rsidRDefault="00810D61" w:rsidP="00810D61">
      <w:pPr>
        <w:spacing w:line="240" w:lineRule="auto"/>
      </w:pPr>
      <w:r>
        <w:lastRenderedPageBreak/>
        <w:t>jurisdiction seems to operate with a very broad definition of ‘harassment’, similar to that of</w:t>
      </w:r>
    </w:p>
    <w:p w:rsidR="00810D61" w:rsidRDefault="00810D61" w:rsidP="00810D61">
      <w:pPr>
        <w:spacing w:line="240" w:lineRule="auto"/>
      </w:pPr>
      <w:r>
        <w:t>‘molestation’ in the Family Law Act 1996, which is ‘any conduct which could be properly regarded</w:t>
      </w:r>
    </w:p>
    <w:p w:rsidR="00810D61" w:rsidRDefault="00810D61" w:rsidP="00810D61">
      <w:pPr>
        <w:spacing w:line="240" w:lineRule="auto"/>
      </w:pPr>
      <w:r>
        <w:t>as such a degree of harassment as to call for the intervention of the court’</w:t>
      </w:r>
      <w:r w:rsidR="000A25E6">
        <w:rPr>
          <w:rStyle w:val="FootnoteReference"/>
        </w:rPr>
        <w:footnoteReference w:id="49"/>
      </w:r>
      <w:r>
        <w:t>. This may not be the</w:t>
      </w:r>
    </w:p>
    <w:p w:rsidR="00810D61" w:rsidRDefault="00810D61" w:rsidP="00810D61">
      <w:pPr>
        <w:spacing w:line="240" w:lineRule="auto"/>
      </w:pPr>
      <w:r>
        <w:t>strongest argument in legal terms, but I for one would like to have seen it put to the Court of</w:t>
      </w:r>
    </w:p>
    <w:p w:rsidR="006B5B87" w:rsidRDefault="00810D61" w:rsidP="00810D61">
      <w:pPr>
        <w:spacing w:line="240" w:lineRule="auto"/>
      </w:pPr>
      <w:r>
        <w:t>Appeal in this case.</w:t>
      </w:r>
    </w:p>
    <w:p w:rsidR="00EE1F8A" w:rsidRDefault="00EE1F8A" w:rsidP="00810D61">
      <w:pPr>
        <w:spacing w:line="240" w:lineRule="auto"/>
      </w:pPr>
    </w:p>
    <w:p w:rsidR="00EE1F8A" w:rsidRDefault="00EE1F8A" w:rsidP="00856F50">
      <w:pPr>
        <w:spacing w:line="240" w:lineRule="auto"/>
      </w:pPr>
      <w:r>
        <w:t>Finally, it is worth pointing out that the court chose to ‘express no view’</w:t>
      </w:r>
      <w:r>
        <w:rPr>
          <w:rStyle w:val="FootnoteReference"/>
        </w:rPr>
        <w:footnoteReference w:id="50"/>
      </w:r>
      <w:r>
        <w:t xml:space="preserve"> in respect of the</w:t>
      </w:r>
    </w:p>
    <w:p w:rsidR="00EE1F8A" w:rsidRDefault="00EE1F8A" w:rsidP="00856F50">
      <w:pPr>
        <w:spacing w:line="240" w:lineRule="auto"/>
      </w:pPr>
      <w:r>
        <w:t>submission of council for Mr.F, that the situation whereby a person in T’s position is prevented</w:t>
      </w:r>
    </w:p>
    <w:p w:rsidR="00EE1F8A" w:rsidRDefault="00EE1F8A" w:rsidP="00856F50">
      <w:pPr>
        <w:spacing w:line="240" w:lineRule="auto"/>
      </w:pPr>
      <w:r>
        <w:t>from representation before a court hearing an application to displace her Nearest Relative amounts</w:t>
      </w:r>
    </w:p>
    <w:p w:rsidR="00EE1F8A" w:rsidRDefault="00EE1F8A" w:rsidP="00856F50">
      <w:pPr>
        <w:spacing w:line="240" w:lineRule="auto"/>
      </w:pPr>
      <w:proofErr w:type="gramStart"/>
      <w:r>
        <w:t>to</w:t>
      </w:r>
      <w:proofErr w:type="gramEnd"/>
      <w:r>
        <w:t xml:space="preserve"> a breach of her human rights. The law report does not disclose which particular right or rights</w:t>
      </w:r>
    </w:p>
    <w:p w:rsidR="00EE1F8A" w:rsidRDefault="00EE1F8A" w:rsidP="00856F50">
      <w:pPr>
        <w:spacing w:line="240" w:lineRule="auto"/>
      </w:pPr>
      <w:proofErr w:type="gramStart"/>
      <w:r>
        <w:t>were</w:t>
      </w:r>
      <w:proofErr w:type="gramEnd"/>
      <w:r>
        <w:t xml:space="preserve"> mentioned. It may well have been Art 6.1 of the Convention</w:t>
      </w:r>
      <w:r w:rsidR="002351EC">
        <w:rPr>
          <w:rStyle w:val="FootnoteReference"/>
        </w:rPr>
        <w:footnoteReference w:id="51"/>
      </w:r>
      <w:r>
        <w:t>, which provides that ‘In</w:t>
      </w:r>
    </w:p>
    <w:p w:rsidR="00EE1F8A" w:rsidRDefault="00EE1F8A" w:rsidP="00856F50">
      <w:pPr>
        <w:spacing w:line="240" w:lineRule="auto"/>
      </w:pPr>
      <w:r>
        <w:t>determination of his civil rights and obligations... everyone is entitled to a fair and public hearing’.</w:t>
      </w:r>
    </w:p>
    <w:p w:rsidR="00EE1F8A" w:rsidRDefault="00EE1F8A" w:rsidP="00856F50">
      <w:pPr>
        <w:spacing w:line="240" w:lineRule="auto"/>
      </w:pPr>
      <w:r>
        <w:t>Art 6 is one of those convention rights incorporated into domestic law by s.1 Human Rights Act,</w:t>
      </w:r>
    </w:p>
    <w:p w:rsidR="00EE1F8A" w:rsidRDefault="00EE1F8A" w:rsidP="00856F50">
      <w:pPr>
        <w:spacing w:line="240" w:lineRule="auto"/>
      </w:pPr>
      <w:r>
        <w:t xml:space="preserve">1998. It is </w:t>
      </w:r>
      <w:proofErr w:type="gramStart"/>
      <w:r>
        <w:t>not,</w:t>
      </w:r>
      <w:proofErr w:type="gramEnd"/>
      <w:r>
        <w:t xml:space="preserve"> however, clear that it would be able to assist a person in T’s position. Art 6.3 gives</w:t>
      </w:r>
    </w:p>
    <w:p w:rsidR="00EE1F8A" w:rsidRDefault="00EE1F8A" w:rsidP="00856F50">
      <w:pPr>
        <w:spacing w:line="240" w:lineRule="auto"/>
      </w:pPr>
      <w:r>
        <w:t xml:space="preserve">those charged with a criminal offence with rights, </w:t>
      </w:r>
      <w:r w:rsidRPr="002351EC">
        <w:rPr>
          <w:b/>
        </w:rPr>
        <w:t>inter alia</w:t>
      </w:r>
      <w:r>
        <w:t>, to defend him- or herself and to</w:t>
      </w:r>
    </w:p>
    <w:p w:rsidR="00EE1F8A" w:rsidRDefault="00EE1F8A" w:rsidP="00856F50">
      <w:pPr>
        <w:spacing w:line="240" w:lineRule="auto"/>
      </w:pPr>
      <w:r>
        <w:t>examine witnesses. Although there is no corresponding positive right in relation to civil</w:t>
      </w:r>
    </w:p>
    <w:p w:rsidR="00EE1F8A" w:rsidRDefault="00EE1F8A" w:rsidP="00856F50">
      <w:pPr>
        <w:spacing w:line="240" w:lineRule="auto"/>
      </w:pPr>
      <w:r>
        <w:t>proceedings, it is likely that a similar right of audience is inherent in the generally applicable</w:t>
      </w:r>
    </w:p>
    <w:p w:rsidR="00EE1F8A" w:rsidRDefault="00EE1F8A" w:rsidP="00856F50">
      <w:pPr>
        <w:spacing w:line="240" w:lineRule="auto"/>
      </w:pPr>
      <w:r>
        <w:t>requirement for ‘a fair and public hearing’. The attitude of the European Court of Human Rights</w:t>
      </w:r>
    </w:p>
    <w:p w:rsidR="00EE1F8A" w:rsidRDefault="00EE1F8A" w:rsidP="00856F50">
      <w:pPr>
        <w:spacing w:line="240" w:lineRule="auto"/>
      </w:pPr>
      <w:r>
        <w:t>has been that Art 6.1 should not be construed restrictively</w:t>
      </w:r>
      <w:r w:rsidR="002351EC">
        <w:rPr>
          <w:rStyle w:val="FootnoteReference"/>
        </w:rPr>
        <w:footnoteReference w:id="52"/>
      </w:r>
      <w:r>
        <w:t>, but it is not clear whether this means</w:t>
      </w:r>
    </w:p>
    <w:p w:rsidR="00EE1F8A" w:rsidRDefault="00EE1F8A" w:rsidP="00856F50">
      <w:pPr>
        <w:spacing w:line="240" w:lineRule="auto"/>
      </w:pPr>
      <w:r>
        <w:t>that the protection offered by Art 6 extends to those who are not a party to the proceedings in</w:t>
      </w:r>
    </w:p>
    <w:p w:rsidR="00EE1F8A" w:rsidRDefault="00EE1F8A" w:rsidP="00856F50">
      <w:pPr>
        <w:spacing w:line="240" w:lineRule="auto"/>
      </w:pPr>
      <w:r>
        <w:t>question. Technically, s.29 proceedings do not determine the civil rights of the person subject to,</w:t>
      </w:r>
    </w:p>
    <w:p w:rsidR="00EE1F8A" w:rsidRDefault="00EE1F8A" w:rsidP="00856F50">
      <w:pPr>
        <w:spacing w:line="240" w:lineRule="auto"/>
      </w:pPr>
      <w:proofErr w:type="gramStart"/>
      <w:r>
        <w:t>or</w:t>
      </w:r>
      <w:proofErr w:type="gramEnd"/>
      <w:r>
        <w:t xml:space="preserve"> intended to be subject to, the order under the 1983 Act. There is scope for arguing that in</w:t>
      </w:r>
    </w:p>
    <w:p w:rsidR="00EE1F8A" w:rsidRDefault="00EE1F8A" w:rsidP="00856F50">
      <w:pPr>
        <w:spacing w:line="240" w:lineRule="auto"/>
      </w:pPr>
      <w:r>
        <w:t>practice this may be the case, but even so there are of course mechanisms - at present the mental</w:t>
      </w:r>
    </w:p>
    <w:p w:rsidR="00EE1F8A" w:rsidRDefault="00EE1F8A" w:rsidP="00856F50">
      <w:pPr>
        <w:spacing w:line="240" w:lineRule="auto"/>
      </w:pPr>
      <w:r>
        <w:t>health review tribunal system - that are available to a person detained under the 1983 Act which</w:t>
      </w:r>
    </w:p>
    <w:p w:rsidR="00EE1F8A" w:rsidRDefault="00EE1F8A" w:rsidP="00856F50">
      <w:pPr>
        <w:spacing w:line="240" w:lineRule="auto"/>
      </w:pPr>
      <w:r>
        <w:t>clearly are designed to be determinative of the extent of civil freedom enjoyed by the person</w:t>
      </w:r>
    </w:p>
    <w:p w:rsidR="00EE1F8A" w:rsidRDefault="00EE1F8A" w:rsidP="00856F50">
      <w:pPr>
        <w:spacing w:line="240" w:lineRule="auto"/>
      </w:pPr>
      <w:r>
        <w:t>subject to the order, and at which representation is a right. On the other hand, the decision of the</w:t>
      </w:r>
    </w:p>
    <w:p w:rsidR="00EE1F8A" w:rsidRDefault="00EE1F8A" w:rsidP="00EE1F8A">
      <w:pPr>
        <w:spacing w:line="240" w:lineRule="auto"/>
      </w:pPr>
      <w:r>
        <w:lastRenderedPageBreak/>
        <w:t>county court in this case, to make the s.29 order, did have, as an immediate consequence, the</w:t>
      </w:r>
    </w:p>
    <w:p w:rsidR="00EE1F8A" w:rsidRDefault="00EE1F8A" w:rsidP="00EE1F8A">
      <w:pPr>
        <w:spacing w:line="240" w:lineRule="auto"/>
      </w:pPr>
      <w:r>
        <w:t xml:space="preserve">making of an order under s.7, </w:t>
      </w:r>
      <w:proofErr w:type="gramStart"/>
      <w:r>
        <w:t>In</w:t>
      </w:r>
      <w:proofErr w:type="gramEnd"/>
      <w:r>
        <w:t xml:space="preserve"> reality, therefore, T’s interests were all but directly before the</w:t>
      </w:r>
    </w:p>
    <w:p w:rsidR="00EE1F8A" w:rsidRDefault="00EE1F8A" w:rsidP="00EE1F8A">
      <w:pPr>
        <w:spacing w:line="240" w:lineRule="auto"/>
      </w:pPr>
      <w:r>
        <w:t>court, and it does seem at least arguable on the basis of Moreira de Azevedo that that is enough to</w:t>
      </w:r>
    </w:p>
    <w:p w:rsidR="00EE1F8A" w:rsidRDefault="00EE1F8A" w:rsidP="00EE1F8A">
      <w:pPr>
        <w:spacing w:line="240" w:lineRule="auto"/>
      </w:pPr>
      <w:r>
        <w:t>bring a person in her position within Art.6. In future, of course, it will not be so easy for the courts</w:t>
      </w:r>
    </w:p>
    <w:p w:rsidR="00EE1F8A" w:rsidRDefault="00EE1F8A" w:rsidP="00EE1F8A">
      <w:pPr>
        <w:spacing w:line="240" w:lineRule="auto"/>
      </w:pPr>
      <w:proofErr w:type="gramStart"/>
      <w:r>
        <w:t>to</w:t>
      </w:r>
      <w:proofErr w:type="gramEnd"/>
      <w:r>
        <w:t xml:space="preserve"> avoid addressing such arguments.</w:t>
      </w:r>
    </w:p>
    <w:p w:rsidR="00392F3E" w:rsidRPr="00392F3E" w:rsidRDefault="00392F3E" w:rsidP="00EE1F8A">
      <w:pPr>
        <w:spacing w:line="240" w:lineRule="auto"/>
        <w:rPr>
          <w:b/>
        </w:rPr>
      </w:pPr>
    </w:p>
    <w:p w:rsidR="00392F3E" w:rsidRPr="00392F3E" w:rsidRDefault="00392F3E" w:rsidP="00392F3E">
      <w:pPr>
        <w:spacing w:line="240" w:lineRule="auto"/>
        <w:rPr>
          <w:b/>
        </w:rPr>
      </w:pPr>
      <w:r w:rsidRPr="00392F3E">
        <w:rPr>
          <w:b/>
        </w:rPr>
        <w:t>Concluding Comments</w:t>
      </w:r>
    </w:p>
    <w:p w:rsidR="00392F3E" w:rsidRDefault="00392F3E" w:rsidP="00007114">
      <w:pPr>
        <w:spacing w:line="240" w:lineRule="auto"/>
      </w:pPr>
      <w:r>
        <w:t>In one sense, the Court of Appeal was quite right to say that this is an unusual case, which turns</w:t>
      </w:r>
    </w:p>
    <w:p w:rsidR="00392F3E" w:rsidRDefault="00392F3E" w:rsidP="00007114">
      <w:pPr>
        <w:spacing w:line="240" w:lineRule="auto"/>
      </w:pPr>
      <w:proofErr w:type="gramStart"/>
      <w:r>
        <w:t>on</w:t>
      </w:r>
      <w:proofErr w:type="gramEnd"/>
      <w:r>
        <w:t xml:space="preserve"> its own facts. The choice between guardianship and wardship can only arise in respect of young</w:t>
      </w:r>
    </w:p>
    <w:p w:rsidR="00392F3E" w:rsidRDefault="00392F3E" w:rsidP="00007114">
      <w:pPr>
        <w:spacing w:line="240" w:lineRule="auto"/>
      </w:pPr>
      <w:r>
        <w:t>people who are ‘mentally disordered’ in one of the four ways required by s.7</w:t>
      </w:r>
      <w:r w:rsidR="00912A9F">
        <w:t xml:space="preserve"> </w:t>
      </w:r>
      <w:r>
        <w:t>(1) of the 1983 Act,</w:t>
      </w:r>
    </w:p>
    <w:p w:rsidR="00392F3E" w:rsidRDefault="00392F3E" w:rsidP="00007114">
      <w:pPr>
        <w:spacing w:line="240" w:lineRule="auto"/>
      </w:pPr>
      <w:r>
        <w:t>and who are of seventeen years of age. For those younger than seventeen, a care order rather than</w:t>
      </w:r>
    </w:p>
    <w:p w:rsidR="00392F3E" w:rsidRDefault="00392F3E" w:rsidP="00007114">
      <w:pPr>
        <w:spacing w:line="240" w:lineRule="auto"/>
      </w:pPr>
      <w:r>
        <w:t>wardship is the appropriate option, and for those younger than sixteen guardianship is not</w:t>
      </w:r>
    </w:p>
    <w:p w:rsidR="00392F3E" w:rsidRDefault="00392F3E" w:rsidP="00007114">
      <w:pPr>
        <w:spacing w:line="240" w:lineRule="auto"/>
      </w:pPr>
      <w:r>
        <w:t>available. For those older than seventeen, neither wardship nor a care order is possible.</w:t>
      </w:r>
    </w:p>
    <w:p w:rsidR="00912A9F" w:rsidRDefault="00912A9F" w:rsidP="00007114">
      <w:pPr>
        <w:spacing w:line="240" w:lineRule="auto"/>
      </w:pPr>
    </w:p>
    <w:p w:rsidR="00392F3E" w:rsidRDefault="00392F3E" w:rsidP="00007114">
      <w:pPr>
        <w:spacing w:line="240" w:lineRule="auto"/>
      </w:pPr>
      <w:r>
        <w:t>So it is fair to say that this is a factually unusual case which has forced us to look at familiar legal</w:t>
      </w:r>
    </w:p>
    <w:p w:rsidR="00392F3E" w:rsidRDefault="00392F3E" w:rsidP="00007114">
      <w:pPr>
        <w:spacing w:line="240" w:lineRule="auto"/>
      </w:pPr>
      <w:r>
        <w:t>provisions from an unfamiliar angle. But in so doing, as this note has shown, the facts of this case</w:t>
      </w:r>
    </w:p>
    <w:p w:rsidR="00392F3E" w:rsidRDefault="00392F3E" w:rsidP="00007114">
      <w:pPr>
        <w:spacing w:line="240" w:lineRule="auto"/>
      </w:pPr>
      <w:r>
        <w:t>have acted so as to provide an insight into various broader policy qu</w:t>
      </w:r>
      <w:bookmarkStart w:id="0" w:name="_GoBack"/>
      <w:bookmarkEnd w:id="0"/>
      <w:r>
        <w:t>estions, allowing the Court of</w:t>
      </w:r>
    </w:p>
    <w:p w:rsidR="00392F3E" w:rsidRDefault="00392F3E" w:rsidP="00007114">
      <w:pPr>
        <w:spacing w:line="240" w:lineRule="auto"/>
      </w:pPr>
      <w:r>
        <w:t>Appeal to specify in some detail why it is that wardship should have been preferred to guardianship</w:t>
      </w:r>
    </w:p>
    <w:p w:rsidR="00392F3E" w:rsidRDefault="00392F3E" w:rsidP="00007114">
      <w:pPr>
        <w:spacing w:line="240" w:lineRule="auto"/>
      </w:pPr>
      <w:proofErr w:type="gramStart"/>
      <w:r>
        <w:t>on</w:t>
      </w:r>
      <w:proofErr w:type="gramEnd"/>
      <w:r>
        <w:t xml:space="preserve"> these facts. The message is that the Court of Appeal is not prepared to allow the extension of</w:t>
      </w:r>
    </w:p>
    <w:p w:rsidR="00392F3E" w:rsidRDefault="00392F3E" w:rsidP="00007114">
      <w:pPr>
        <w:spacing w:line="240" w:lineRule="auto"/>
      </w:pPr>
      <w:proofErr w:type="gramStart"/>
      <w:r>
        <w:t>the</w:t>
      </w:r>
      <w:proofErr w:type="gramEnd"/>
      <w:r>
        <w:t xml:space="preserve"> guardianship regime on grounds of beneficence, any further than was, in the court’s view,</w:t>
      </w:r>
    </w:p>
    <w:p w:rsidR="00392F3E" w:rsidRDefault="00392F3E" w:rsidP="00007114">
      <w:pPr>
        <w:spacing w:line="240" w:lineRule="auto"/>
      </w:pPr>
      <w:r>
        <w:t>intended by the framers of the legislation. But as this note has also shown, this case leaves</w:t>
      </w:r>
    </w:p>
    <w:p w:rsidR="00392F3E" w:rsidRDefault="00392F3E" w:rsidP="00007114">
      <w:pPr>
        <w:spacing w:line="240" w:lineRule="auto"/>
      </w:pPr>
      <w:r>
        <w:t>questions unanswered and options unexplored. For now, whether there could be an increased role</w:t>
      </w:r>
    </w:p>
    <w:p w:rsidR="00392F3E" w:rsidRDefault="00392F3E" w:rsidP="00007114">
      <w:pPr>
        <w:spacing w:line="240" w:lineRule="auto"/>
      </w:pPr>
      <w:proofErr w:type="gramStart"/>
      <w:r>
        <w:t>for</w:t>
      </w:r>
      <w:proofErr w:type="gramEnd"/>
      <w:r>
        <w:t xml:space="preserve"> the law of harassment in this area; whether the inherent declaratory powers of the High Court</w:t>
      </w:r>
    </w:p>
    <w:p w:rsidR="00392F3E" w:rsidRDefault="00392F3E" w:rsidP="00007114">
      <w:pPr>
        <w:spacing w:line="240" w:lineRule="auto"/>
      </w:pPr>
      <w:r>
        <w:t>have been developed to the fullest extent possible; and whether human rights law is set to make a</w:t>
      </w:r>
    </w:p>
    <w:p w:rsidR="00392F3E" w:rsidRDefault="00392F3E" w:rsidP="00007114">
      <w:pPr>
        <w:spacing w:line="240" w:lineRule="auto"/>
      </w:pPr>
      <w:r>
        <w:t>marked impact on mental health law and policy, are questions that still await an answer.</w:t>
      </w:r>
    </w:p>
    <w:p w:rsidR="00392F3E" w:rsidRDefault="00392F3E" w:rsidP="00007114">
      <w:pPr>
        <w:spacing w:line="240" w:lineRule="auto"/>
      </w:pPr>
    </w:p>
    <w:p w:rsidR="00392F3E" w:rsidRPr="00A7609A" w:rsidRDefault="00392F3E" w:rsidP="00007114">
      <w:pPr>
        <w:spacing w:line="240" w:lineRule="auto"/>
      </w:pPr>
    </w:p>
    <w:sectPr w:rsidR="00392F3E" w:rsidRPr="00A76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7E" w:rsidRDefault="009B577E" w:rsidP="009B577E">
      <w:pPr>
        <w:spacing w:after="0" w:line="240" w:lineRule="auto"/>
      </w:pPr>
      <w:r>
        <w:separator/>
      </w:r>
    </w:p>
  </w:endnote>
  <w:endnote w:type="continuationSeparator" w:id="0">
    <w:p w:rsidR="009B577E" w:rsidRDefault="009B577E" w:rsidP="009B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7E" w:rsidRDefault="009B577E" w:rsidP="009B577E">
      <w:pPr>
        <w:spacing w:after="0" w:line="240" w:lineRule="auto"/>
      </w:pPr>
      <w:r>
        <w:separator/>
      </w:r>
    </w:p>
  </w:footnote>
  <w:footnote w:type="continuationSeparator" w:id="0">
    <w:p w:rsidR="009B577E" w:rsidRDefault="009B577E" w:rsidP="009B577E">
      <w:pPr>
        <w:spacing w:after="0" w:line="240" w:lineRule="auto"/>
      </w:pPr>
      <w:r>
        <w:continuationSeparator/>
      </w:r>
    </w:p>
  </w:footnote>
  <w:footnote w:id="1">
    <w:p w:rsidR="009B577E" w:rsidRPr="009B577E" w:rsidRDefault="009B577E" w:rsidP="009B577E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Pr="009B577E">
        <w:rPr>
          <w:sz w:val="16"/>
        </w:rPr>
        <w:t xml:space="preserve">Ralph Sandland, </w:t>
      </w:r>
      <w:r>
        <w:rPr>
          <w:sz w:val="16"/>
        </w:rPr>
        <w:t xml:space="preserve">Senior Lecturer, School of Law, </w:t>
      </w:r>
      <w:r w:rsidRPr="009B577E">
        <w:rPr>
          <w:sz w:val="16"/>
        </w:rPr>
        <w:t>University of Nottingham.</w:t>
      </w:r>
    </w:p>
  </w:footnote>
  <w:footnote w:id="2">
    <w:p w:rsidR="00BD5123" w:rsidRPr="00BD5123" w:rsidRDefault="00BD5123" w:rsidP="00BD512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D5123">
        <w:rPr>
          <w:sz w:val="16"/>
        </w:rPr>
        <w:t>[2000] 1 FLR</w:t>
      </w:r>
      <w:r>
        <w:rPr>
          <w:sz w:val="16"/>
        </w:rPr>
        <w:t xml:space="preserve"> 192 at 193 D-E. All subsequent </w:t>
      </w:r>
      <w:r w:rsidRPr="00BD5123">
        <w:rPr>
          <w:sz w:val="16"/>
        </w:rPr>
        <w:t>references will be to this report unless specified.</w:t>
      </w:r>
    </w:p>
  </w:footnote>
  <w:footnote w:id="3">
    <w:p w:rsidR="00BD5123" w:rsidRDefault="00BD51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5123">
        <w:rPr>
          <w:sz w:val="16"/>
        </w:rPr>
        <w:t>Children Act, 1989, s.45</w:t>
      </w:r>
      <w:r w:rsidR="00F33302">
        <w:rPr>
          <w:sz w:val="16"/>
        </w:rPr>
        <w:t xml:space="preserve"> </w:t>
      </w:r>
      <w:r w:rsidRPr="00BD5123">
        <w:rPr>
          <w:sz w:val="16"/>
        </w:rPr>
        <w:t>(1).</w:t>
      </w:r>
    </w:p>
  </w:footnote>
  <w:footnote w:id="4">
    <w:p w:rsidR="00BD5123" w:rsidRDefault="00BD51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5123">
        <w:rPr>
          <w:sz w:val="16"/>
        </w:rPr>
        <w:t xml:space="preserve">Children Act, 1989, </w:t>
      </w:r>
      <w:r w:rsidR="00F33302" w:rsidRPr="00BD5123">
        <w:rPr>
          <w:sz w:val="16"/>
        </w:rPr>
        <w:t>s.45 (</w:t>
      </w:r>
      <w:r w:rsidRPr="00BD5123">
        <w:rPr>
          <w:sz w:val="16"/>
        </w:rPr>
        <w:t>5).</w:t>
      </w:r>
    </w:p>
  </w:footnote>
  <w:footnote w:id="5">
    <w:p w:rsidR="00F33302" w:rsidRDefault="00F333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3302">
        <w:rPr>
          <w:sz w:val="16"/>
        </w:rPr>
        <w:t>Children Act, 1989, s.31 (3).</w:t>
      </w:r>
    </w:p>
  </w:footnote>
  <w:footnote w:id="6">
    <w:p w:rsidR="0037581C" w:rsidRDefault="003758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36CA" w:rsidRPr="007436CA">
        <w:rPr>
          <w:sz w:val="16"/>
        </w:rPr>
        <w:t xml:space="preserve">Mental Health Act 1983, </w:t>
      </w:r>
      <w:r w:rsidR="00617BE7" w:rsidRPr="007436CA">
        <w:rPr>
          <w:sz w:val="16"/>
        </w:rPr>
        <w:t>s.11 (</w:t>
      </w:r>
      <w:r w:rsidR="007436CA" w:rsidRPr="007436CA">
        <w:rPr>
          <w:sz w:val="16"/>
        </w:rPr>
        <w:t>4).</w:t>
      </w:r>
    </w:p>
  </w:footnote>
  <w:footnote w:id="7">
    <w:p w:rsidR="00B24E4B" w:rsidRDefault="00B24E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36CA" w:rsidRPr="007436CA">
        <w:rPr>
          <w:sz w:val="16"/>
        </w:rPr>
        <w:t>In s.29 of the 1983 Act.</w:t>
      </w:r>
    </w:p>
  </w:footnote>
  <w:footnote w:id="8">
    <w:p w:rsidR="00541EB2" w:rsidRDefault="00541E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36CA" w:rsidRPr="007436CA">
        <w:rPr>
          <w:sz w:val="16"/>
        </w:rPr>
        <w:t>At 193 C.</w:t>
      </w:r>
    </w:p>
  </w:footnote>
  <w:footnote w:id="9">
    <w:p w:rsidR="00617BE7" w:rsidRPr="00617BE7" w:rsidRDefault="00617BE7" w:rsidP="00617BE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17BE7">
        <w:rPr>
          <w:sz w:val="16"/>
        </w:rPr>
        <w:t>Lord Elton, introduc</w:t>
      </w:r>
      <w:r>
        <w:rPr>
          <w:sz w:val="16"/>
        </w:rPr>
        <w:t xml:space="preserve">ing these words into the Mental </w:t>
      </w:r>
      <w:r w:rsidRPr="00617BE7">
        <w:rPr>
          <w:sz w:val="16"/>
        </w:rPr>
        <w:t>Health (Amendment) B</w:t>
      </w:r>
      <w:r>
        <w:rPr>
          <w:sz w:val="16"/>
        </w:rPr>
        <w:t xml:space="preserve">ill, the forerunner of the 1983 </w:t>
      </w:r>
      <w:r w:rsidRPr="00617BE7">
        <w:rPr>
          <w:sz w:val="16"/>
        </w:rPr>
        <w:t>Act, on 19th January 1982.</w:t>
      </w:r>
    </w:p>
  </w:footnote>
  <w:footnote w:id="10">
    <w:p w:rsidR="00617BE7" w:rsidRDefault="00617B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7BE7">
        <w:rPr>
          <w:sz w:val="16"/>
        </w:rPr>
        <w:t>Ibid.</w:t>
      </w:r>
    </w:p>
  </w:footnote>
  <w:footnote w:id="11">
    <w:p w:rsidR="00617BE7" w:rsidRDefault="00617BE7">
      <w:pPr>
        <w:pStyle w:val="FootnoteText"/>
      </w:pPr>
      <w:r>
        <w:rPr>
          <w:rStyle w:val="FootnoteReference"/>
        </w:rPr>
        <w:footnoteRef/>
      </w:r>
      <w:r w:rsidRPr="00617BE7">
        <w:rPr>
          <w:sz w:val="16"/>
        </w:rPr>
        <w:t xml:space="preserve"> At 198 D-E.</w:t>
      </w:r>
    </w:p>
  </w:footnote>
  <w:footnote w:id="12">
    <w:p w:rsidR="00617BE7" w:rsidRDefault="00617B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F3F1D" w:rsidRPr="00BF3F1D">
        <w:rPr>
          <w:sz w:val="16"/>
        </w:rPr>
        <w:t>At 198 C.</w:t>
      </w:r>
    </w:p>
  </w:footnote>
  <w:footnote w:id="13">
    <w:p w:rsidR="00BF3F1D" w:rsidRDefault="00BF3F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3F1D">
        <w:rPr>
          <w:sz w:val="16"/>
        </w:rPr>
        <w:t>At 198 G-H.</w:t>
      </w:r>
    </w:p>
  </w:footnote>
  <w:footnote w:id="14">
    <w:p w:rsidR="003D46F6" w:rsidRDefault="003D46F6">
      <w:pPr>
        <w:pStyle w:val="FootnoteText"/>
      </w:pPr>
      <w:r>
        <w:rPr>
          <w:rStyle w:val="FootnoteReference"/>
        </w:rPr>
        <w:footnoteRef/>
      </w:r>
      <w:r w:rsidRPr="00CC1BAA">
        <w:rPr>
          <w:sz w:val="16"/>
        </w:rPr>
        <w:t xml:space="preserve"> </w:t>
      </w:r>
      <w:r w:rsidR="00CC1BAA" w:rsidRPr="00CC1BAA">
        <w:rPr>
          <w:sz w:val="16"/>
        </w:rPr>
        <w:t>At 193 H.</w:t>
      </w:r>
    </w:p>
  </w:footnote>
  <w:footnote w:id="15">
    <w:p w:rsidR="003D46F6" w:rsidRDefault="003D46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1BAA" w:rsidRPr="00CC1BAA">
        <w:rPr>
          <w:sz w:val="16"/>
        </w:rPr>
        <w:t>Later consolidated into the Mental Health Act 1983.</w:t>
      </w:r>
    </w:p>
  </w:footnote>
  <w:footnote w:id="16">
    <w:p w:rsidR="003D46F6" w:rsidRDefault="003D46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1BAA" w:rsidRPr="00CC1BAA">
        <w:rPr>
          <w:sz w:val="16"/>
        </w:rPr>
        <w:t xml:space="preserve">Mental Health Act 1983, </w:t>
      </w:r>
      <w:proofErr w:type="gramStart"/>
      <w:r w:rsidR="00CC1BAA" w:rsidRPr="00CC1BAA">
        <w:rPr>
          <w:sz w:val="16"/>
        </w:rPr>
        <w:t>s.8(</w:t>
      </w:r>
      <w:proofErr w:type="gramEnd"/>
      <w:r w:rsidR="00CC1BAA" w:rsidRPr="00CC1BAA">
        <w:rPr>
          <w:sz w:val="16"/>
        </w:rPr>
        <w:t>1).</w:t>
      </w:r>
    </w:p>
  </w:footnote>
  <w:footnote w:id="17">
    <w:p w:rsidR="00CC1BAA" w:rsidRDefault="00CC1BAA" w:rsidP="00CC1BAA">
      <w:pPr>
        <w:pStyle w:val="FootnoteText"/>
        <w:tabs>
          <w:tab w:val="left" w:pos="720"/>
        </w:tabs>
      </w:pPr>
      <w:r>
        <w:rPr>
          <w:rStyle w:val="FootnoteReference"/>
        </w:rPr>
        <w:footnoteRef/>
      </w:r>
      <w:r>
        <w:t xml:space="preserve"> </w:t>
      </w:r>
      <w:r w:rsidRPr="00CC1BAA">
        <w:rPr>
          <w:sz w:val="16"/>
        </w:rPr>
        <w:t>At 199 G.</w:t>
      </w:r>
      <w:r>
        <w:tab/>
      </w:r>
    </w:p>
  </w:footnote>
  <w:footnote w:id="18">
    <w:p w:rsidR="00CC1BAA" w:rsidRDefault="00CC1B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C1BAA">
        <w:rPr>
          <w:sz w:val="16"/>
        </w:rPr>
        <w:t>Mental Health Act 1983, s.7 (1).</w:t>
      </w:r>
    </w:p>
  </w:footnote>
  <w:footnote w:id="19">
    <w:p w:rsidR="00C434DF" w:rsidRDefault="00C434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0677" w:rsidRPr="00720677">
        <w:rPr>
          <w:sz w:val="16"/>
        </w:rPr>
        <w:t>At 193 H.</w:t>
      </w:r>
    </w:p>
  </w:footnote>
  <w:footnote w:id="20">
    <w:p w:rsidR="00C434DF" w:rsidRDefault="00C434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0677" w:rsidRPr="00720677">
        <w:rPr>
          <w:sz w:val="16"/>
        </w:rPr>
        <w:t>At 199 D.</w:t>
      </w:r>
    </w:p>
  </w:footnote>
  <w:footnote w:id="21">
    <w:p w:rsidR="00C434DF" w:rsidRDefault="00C434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0677" w:rsidRPr="00720677">
        <w:rPr>
          <w:sz w:val="16"/>
        </w:rPr>
        <w:t>At 199 F.</w:t>
      </w:r>
    </w:p>
  </w:footnote>
  <w:footnote w:id="22">
    <w:p w:rsidR="00C434DF" w:rsidRDefault="00C434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0677" w:rsidRPr="00720677">
        <w:rPr>
          <w:sz w:val="16"/>
        </w:rPr>
        <w:t>At 199 F-G.</w:t>
      </w:r>
    </w:p>
  </w:footnote>
  <w:footnote w:id="23">
    <w:p w:rsidR="00C434DF" w:rsidRDefault="00C434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0677" w:rsidRPr="00720677">
        <w:rPr>
          <w:sz w:val="16"/>
        </w:rPr>
        <w:t>At 198 E.</w:t>
      </w:r>
    </w:p>
  </w:footnote>
  <w:footnote w:id="24">
    <w:p w:rsidR="00C434DF" w:rsidRDefault="00C434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0677" w:rsidRPr="00720677">
        <w:rPr>
          <w:sz w:val="16"/>
        </w:rPr>
        <w:t>At 200 D-E.</w:t>
      </w:r>
    </w:p>
  </w:footnote>
  <w:footnote w:id="25">
    <w:p w:rsidR="00720677" w:rsidRPr="0097550B" w:rsidRDefault="00720677" w:rsidP="0097550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7550B" w:rsidRPr="0097550B">
        <w:rPr>
          <w:sz w:val="16"/>
        </w:rPr>
        <w:t>Re R (A Minor) (</w:t>
      </w:r>
      <w:r w:rsidR="0097550B">
        <w:rPr>
          <w:sz w:val="16"/>
        </w:rPr>
        <w:t xml:space="preserve">Wardship: Consent </w:t>
      </w:r>
      <w:proofErr w:type="gramStart"/>
      <w:r w:rsidR="0097550B">
        <w:rPr>
          <w:sz w:val="16"/>
        </w:rPr>
        <w:t>To</w:t>
      </w:r>
      <w:proofErr w:type="gramEnd"/>
      <w:r w:rsidR="0097550B">
        <w:rPr>
          <w:sz w:val="16"/>
        </w:rPr>
        <w:t xml:space="preserve"> Treatment) </w:t>
      </w:r>
      <w:r w:rsidR="0097550B" w:rsidRPr="0097550B">
        <w:rPr>
          <w:sz w:val="16"/>
        </w:rPr>
        <w:t>[1991] 3 W</w:t>
      </w:r>
      <w:r w:rsidR="0097550B">
        <w:rPr>
          <w:sz w:val="16"/>
        </w:rPr>
        <w:t xml:space="preserve">LR 592; Re W (A Minor) (Medical </w:t>
      </w:r>
      <w:r w:rsidR="0097550B" w:rsidRPr="0097550B">
        <w:rPr>
          <w:sz w:val="16"/>
        </w:rPr>
        <w:t>Treatment: Court’s Jurisdiction) [1992] 3 WLR 758.</w:t>
      </w:r>
    </w:p>
  </w:footnote>
  <w:footnote w:id="26">
    <w:p w:rsidR="00720677" w:rsidRPr="0097550B" w:rsidRDefault="00720677" w:rsidP="0097550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7550B" w:rsidRPr="0097550B">
        <w:rPr>
          <w:sz w:val="16"/>
        </w:rPr>
        <w:t>For example, s.3</w:t>
      </w:r>
      <w:r w:rsidR="0097550B">
        <w:rPr>
          <w:sz w:val="16"/>
        </w:rPr>
        <w:t xml:space="preserve">4, Children Act 1989 limits the </w:t>
      </w:r>
      <w:r w:rsidR="0097550B" w:rsidRPr="0097550B">
        <w:rPr>
          <w:sz w:val="16"/>
        </w:rPr>
        <w:t>restrictions that a local</w:t>
      </w:r>
      <w:r w:rsidR="0097550B">
        <w:rPr>
          <w:sz w:val="16"/>
        </w:rPr>
        <w:t xml:space="preserve"> authority can place on contact </w:t>
      </w:r>
      <w:r w:rsidR="0097550B" w:rsidRPr="0097550B">
        <w:rPr>
          <w:sz w:val="16"/>
        </w:rPr>
        <w:t>between a child in care a</w:t>
      </w:r>
      <w:r w:rsidR="0097550B">
        <w:rPr>
          <w:sz w:val="16"/>
        </w:rPr>
        <w:t xml:space="preserve">nd his or her parents and other </w:t>
      </w:r>
      <w:r w:rsidR="0097550B" w:rsidRPr="0097550B">
        <w:rPr>
          <w:sz w:val="16"/>
        </w:rPr>
        <w:t>defined carers. An a</w:t>
      </w:r>
      <w:r w:rsidR="0097550B">
        <w:rPr>
          <w:sz w:val="16"/>
        </w:rPr>
        <w:t xml:space="preserve">uthority can, however, seek the </w:t>
      </w:r>
      <w:r w:rsidR="0097550B" w:rsidRPr="0097550B">
        <w:rPr>
          <w:sz w:val="16"/>
        </w:rPr>
        <w:t>permission of a court to prevent contact.</w:t>
      </w:r>
    </w:p>
  </w:footnote>
  <w:footnote w:id="27">
    <w:p w:rsidR="00720677" w:rsidRDefault="007206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550B" w:rsidRPr="0097550B">
        <w:rPr>
          <w:sz w:val="16"/>
        </w:rPr>
        <w:t>At 198 B-C.</w:t>
      </w:r>
    </w:p>
  </w:footnote>
  <w:footnote w:id="28">
    <w:p w:rsidR="00720677" w:rsidRDefault="007206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550B" w:rsidRPr="0097550B">
        <w:rPr>
          <w:sz w:val="16"/>
        </w:rPr>
        <w:t xml:space="preserve">Lord Elton, op </w:t>
      </w:r>
      <w:proofErr w:type="spellStart"/>
      <w:r w:rsidR="0097550B" w:rsidRPr="0097550B">
        <w:rPr>
          <w:sz w:val="16"/>
        </w:rPr>
        <w:t>cit</w:t>
      </w:r>
      <w:proofErr w:type="spellEnd"/>
      <w:r w:rsidR="0097550B" w:rsidRPr="0097550B">
        <w:rPr>
          <w:sz w:val="16"/>
        </w:rPr>
        <w:t>, cited by Thorpe LJ at 197 C-D</w:t>
      </w:r>
    </w:p>
  </w:footnote>
  <w:footnote w:id="29">
    <w:p w:rsidR="00E82D77" w:rsidRPr="00CE746B" w:rsidRDefault="00E82D77" w:rsidP="00CE746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CE746B" w:rsidRPr="00CE746B">
        <w:rPr>
          <w:sz w:val="16"/>
        </w:rPr>
        <w:t>See P.Bartlett and R.</w:t>
      </w:r>
      <w:r w:rsidR="00CE746B">
        <w:rPr>
          <w:sz w:val="16"/>
        </w:rPr>
        <w:t xml:space="preserve"> Sandland, (1999) Mental Health </w:t>
      </w:r>
      <w:r w:rsidR="00CE746B" w:rsidRPr="00CE746B">
        <w:rPr>
          <w:sz w:val="16"/>
        </w:rPr>
        <w:t>Law Policy and Practice</w:t>
      </w:r>
      <w:r w:rsidR="00CE746B">
        <w:rPr>
          <w:sz w:val="16"/>
        </w:rPr>
        <w:t xml:space="preserve">, London: Blackstones Press, pp </w:t>
      </w:r>
      <w:r w:rsidR="00CE746B" w:rsidRPr="00CE746B">
        <w:rPr>
          <w:sz w:val="16"/>
        </w:rPr>
        <w:t>27-29.</w:t>
      </w:r>
    </w:p>
  </w:footnote>
  <w:footnote w:id="30">
    <w:p w:rsidR="007E3A56" w:rsidRDefault="007E3A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3A56">
        <w:rPr>
          <w:sz w:val="16"/>
        </w:rPr>
        <w:t>At 198 E.</w:t>
      </w:r>
    </w:p>
  </w:footnote>
  <w:footnote w:id="31">
    <w:p w:rsidR="004E0B92" w:rsidRDefault="004E0B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4E0B92">
        <w:rPr>
          <w:sz w:val="16"/>
        </w:rPr>
        <w:t>At 198 G-H.</w:t>
      </w:r>
      <w:proofErr w:type="gramEnd"/>
    </w:p>
  </w:footnote>
  <w:footnote w:id="32">
    <w:p w:rsidR="00F97543" w:rsidRPr="00F97543" w:rsidRDefault="00F97543" w:rsidP="00F9754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97543">
        <w:rPr>
          <w:sz w:val="16"/>
        </w:rPr>
        <w:t>like T, R, a young w</w:t>
      </w:r>
      <w:r>
        <w:rPr>
          <w:sz w:val="16"/>
        </w:rPr>
        <w:t xml:space="preserve">oman of twenty-one, having mild </w:t>
      </w:r>
      <w:r w:rsidRPr="00F97543">
        <w:rPr>
          <w:sz w:val="16"/>
        </w:rPr>
        <w:t>learning difficulties, live</w:t>
      </w:r>
      <w:r>
        <w:rPr>
          <w:sz w:val="16"/>
        </w:rPr>
        <w:t xml:space="preserve">d away from her family in local </w:t>
      </w:r>
      <w:r w:rsidRPr="00F97543">
        <w:rPr>
          <w:sz w:val="16"/>
        </w:rPr>
        <w:t>authority accommodati</w:t>
      </w:r>
      <w:r>
        <w:rPr>
          <w:sz w:val="16"/>
        </w:rPr>
        <w:t xml:space="preserve">on having been taken into care. </w:t>
      </w:r>
      <w:r w:rsidRPr="00F97543">
        <w:rPr>
          <w:sz w:val="16"/>
        </w:rPr>
        <w:t>Also like T she had expres</w:t>
      </w:r>
      <w:r>
        <w:rPr>
          <w:sz w:val="16"/>
        </w:rPr>
        <w:t xml:space="preserve">sed a wish to return to live in </w:t>
      </w:r>
      <w:r w:rsidRPr="00F97543">
        <w:rPr>
          <w:sz w:val="16"/>
        </w:rPr>
        <w:t>the family home, wherea</w:t>
      </w:r>
      <w:r>
        <w:rPr>
          <w:sz w:val="16"/>
        </w:rPr>
        <w:t xml:space="preserve">s the local authority wished to </w:t>
      </w:r>
      <w:r w:rsidRPr="00F97543">
        <w:rPr>
          <w:sz w:val="16"/>
        </w:rPr>
        <w:t>prevent contact between R and members of her family</w:t>
      </w:r>
      <w:r>
        <w:rPr>
          <w:sz w:val="16"/>
        </w:rPr>
        <w:t xml:space="preserve">, </w:t>
      </w:r>
      <w:r w:rsidRPr="00F97543">
        <w:rPr>
          <w:sz w:val="16"/>
        </w:rPr>
        <w:t xml:space="preserve">including her father who </w:t>
      </w:r>
      <w:r>
        <w:rPr>
          <w:sz w:val="16"/>
        </w:rPr>
        <w:t xml:space="preserve">had been convicted of a serious </w:t>
      </w:r>
      <w:r w:rsidRPr="00F97543">
        <w:rPr>
          <w:sz w:val="16"/>
        </w:rPr>
        <w:t>sexual offence against her.</w:t>
      </w:r>
    </w:p>
  </w:footnote>
  <w:footnote w:id="33">
    <w:p w:rsidR="00F97543" w:rsidRDefault="00F975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7543">
        <w:rPr>
          <w:sz w:val="16"/>
        </w:rPr>
        <w:t>[1995] 1 FLR 50 at 55E.</w:t>
      </w:r>
    </w:p>
  </w:footnote>
  <w:footnote w:id="34">
    <w:p w:rsidR="00012F0B" w:rsidRPr="00012F0B" w:rsidRDefault="00012F0B" w:rsidP="00012F0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012F0B">
        <w:rPr>
          <w:sz w:val="16"/>
        </w:rPr>
        <w:t>Namely that there m</w:t>
      </w:r>
      <w:r>
        <w:rPr>
          <w:sz w:val="16"/>
        </w:rPr>
        <w:t xml:space="preserve">ay well have been no ‘seriously </w:t>
      </w:r>
      <w:r w:rsidRPr="00012F0B">
        <w:rPr>
          <w:sz w:val="16"/>
        </w:rPr>
        <w:t>irresponsible conduct’ o</w:t>
      </w:r>
      <w:r>
        <w:rPr>
          <w:sz w:val="16"/>
        </w:rPr>
        <w:t xml:space="preserve">n the part of R, as that phrase </w:t>
      </w:r>
      <w:r w:rsidRPr="00012F0B">
        <w:rPr>
          <w:sz w:val="16"/>
        </w:rPr>
        <w:t xml:space="preserve">was explained by the Court of Appeal in </w:t>
      </w:r>
      <w:r>
        <w:rPr>
          <w:sz w:val="16"/>
        </w:rPr>
        <w:t xml:space="preserve">the present </w:t>
      </w:r>
      <w:r w:rsidRPr="00012F0B">
        <w:rPr>
          <w:sz w:val="16"/>
        </w:rPr>
        <w:t>case, thus excluding</w:t>
      </w:r>
      <w:r>
        <w:rPr>
          <w:sz w:val="16"/>
        </w:rPr>
        <w:t xml:space="preserve"> her, like T, from the ambit of </w:t>
      </w:r>
      <w:r w:rsidRPr="00012F0B">
        <w:rPr>
          <w:sz w:val="16"/>
        </w:rPr>
        <w:t>guardianship.</w:t>
      </w:r>
    </w:p>
  </w:footnote>
  <w:footnote w:id="35">
    <w:p w:rsidR="001C0E59" w:rsidRDefault="001C0E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2886" w:rsidRPr="008B2886">
        <w:rPr>
          <w:sz w:val="16"/>
        </w:rPr>
        <w:t>At 199G-200A.</w:t>
      </w:r>
    </w:p>
  </w:footnote>
  <w:footnote w:id="36">
    <w:p w:rsidR="001C0E59" w:rsidRDefault="001C0E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2886" w:rsidRPr="008B2886">
        <w:rPr>
          <w:sz w:val="16"/>
        </w:rPr>
        <w:t>At 200 D-E.</w:t>
      </w:r>
    </w:p>
  </w:footnote>
  <w:footnote w:id="37">
    <w:p w:rsidR="001C0E59" w:rsidRDefault="001C0E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2886" w:rsidRPr="008B2886">
        <w:rPr>
          <w:sz w:val="16"/>
        </w:rPr>
        <w:t>[1990] 2 A.C. 1 at 76.</w:t>
      </w:r>
    </w:p>
  </w:footnote>
  <w:footnote w:id="38">
    <w:p w:rsidR="001C0E59" w:rsidRDefault="001C0E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2886" w:rsidRPr="008B2886">
        <w:rPr>
          <w:sz w:val="16"/>
        </w:rPr>
        <w:t>[1995] 1 FLR 50 at 52 F-G.</w:t>
      </w:r>
    </w:p>
  </w:footnote>
  <w:footnote w:id="39">
    <w:p w:rsidR="00651294" w:rsidRPr="009C7EBC" w:rsidRDefault="00651294" w:rsidP="009C7EB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C7EBC" w:rsidRPr="009C7EBC">
        <w:rPr>
          <w:sz w:val="16"/>
        </w:rPr>
        <w:t>Lord Chance</w:t>
      </w:r>
      <w:r w:rsidR="009C7EBC">
        <w:rPr>
          <w:sz w:val="16"/>
        </w:rPr>
        <w:t xml:space="preserve">llor’s Department (1999) Making </w:t>
      </w:r>
      <w:r w:rsidR="009C7EBC" w:rsidRPr="009C7EBC">
        <w:rPr>
          <w:sz w:val="16"/>
        </w:rPr>
        <w:t>Decisions: The Go</w:t>
      </w:r>
      <w:r w:rsidR="009C7EBC">
        <w:rPr>
          <w:sz w:val="16"/>
        </w:rPr>
        <w:t xml:space="preserve">vernment’s proposals for making </w:t>
      </w:r>
      <w:r w:rsidR="009C7EBC" w:rsidRPr="009C7EBC">
        <w:rPr>
          <w:sz w:val="16"/>
        </w:rPr>
        <w:t>decisions on behalf of</w:t>
      </w:r>
      <w:r w:rsidR="009C7EBC">
        <w:rPr>
          <w:sz w:val="16"/>
        </w:rPr>
        <w:t xml:space="preserve"> mentally incapacitated adults, </w:t>
      </w:r>
      <w:r w:rsidR="009C7EBC" w:rsidRPr="009C7EBC">
        <w:rPr>
          <w:sz w:val="16"/>
        </w:rPr>
        <w:t xml:space="preserve">London: Lord </w:t>
      </w:r>
      <w:r w:rsidR="009C7EBC">
        <w:rPr>
          <w:sz w:val="16"/>
        </w:rPr>
        <w:t xml:space="preserve">Chancellor’s Department. </w:t>
      </w:r>
      <w:r w:rsidR="009C7EBC" w:rsidRPr="009C7EBC">
        <w:rPr>
          <w:sz w:val="16"/>
        </w:rPr>
        <w:t>www.open.gov.uk/lcd/family/mdecisions</w:t>
      </w:r>
    </w:p>
  </w:footnote>
  <w:footnote w:id="40">
    <w:p w:rsidR="009C7EBC" w:rsidRPr="009C7EBC" w:rsidRDefault="009C7EBC" w:rsidP="009C7EB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C7EBC">
        <w:rPr>
          <w:sz w:val="16"/>
        </w:rPr>
        <w:t>As would be possible, for</w:t>
      </w:r>
      <w:r>
        <w:rPr>
          <w:sz w:val="16"/>
        </w:rPr>
        <w:t xml:space="preserve"> example, on the basis what was </w:t>
      </w:r>
      <w:r w:rsidRPr="009C7EBC">
        <w:rPr>
          <w:sz w:val="16"/>
        </w:rPr>
        <w:t>said by the House of Lords in Gillick v West Norfolk</w:t>
      </w:r>
      <w:r>
        <w:rPr>
          <w:sz w:val="16"/>
        </w:rPr>
        <w:t xml:space="preserve"> </w:t>
      </w:r>
      <w:r w:rsidRPr="009C7EBC">
        <w:rPr>
          <w:sz w:val="16"/>
        </w:rPr>
        <w:t>and Wisbech AHA</w:t>
      </w:r>
      <w:r>
        <w:rPr>
          <w:sz w:val="16"/>
        </w:rPr>
        <w:t xml:space="preserve"> [1986] AC 112 per Lord Scarman </w:t>
      </w:r>
      <w:r w:rsidRPr="009C7EBC">
        <w:rPr>
          <w:sz w:val="16"/>
        </w:rPr>
        <w:t>at 183: ‘Parental rights cl</w:t>
      </w:r>
      <w:r>
        <w:rPr>
          <w:sz w:val="16"/>
        </w:rPr>
        <w:t xml:space="preserve">early do exist, and they do not </w:t>
      </w:r>
      <w:r w:rsidRPr="009C7EBC">
        <w:rPr>
          <w:sz w:val="16"/>
        </w:rPr>
        <w:t>wholly disappear until the age of majority</w:t>
      </w:r>
      <w:proofErr w:type="gramStart"/>
      <w:r w:rsidRPr="009C7EBC">
        <w:rPr>
          <w:sz w:val="16"/>
        </w:rPr>
        <w:t>...</w:t>
      </w:r>
      <w:proofErr w:type="gramEnd"/>
      <w:r w:rsidRPr="009C7EBC">
        <w:rPr>
          <w:sz w:val="16"/>
        </w:rPr>
        <w:t xml:space="preserve"> But the</w:t>
      </w:r>
    </w:p>
    <w:p w:rsidR="009C7EBC" w:rsidRPr="009C7EBC" w:rsidRDefault="009C7EBC" w:rsidP="009C7EBC">
      <w:pPr>
        <w:pStyle w:val="FootnoteText"/>
        <w:rPr>
          <w:sz w:val="16"/>
        </w:rPr>
      </w:pPr>
      <w:r w:rsidRPr="009C7EBC">
        <w:rPr>
          <w:sz w:val="16"/>
        </w:rPr>
        <w:t>common law has never trea</w:t>
      </w:r>
      <w:r>
        <w:rPr>
          <w:sz w:val="16"/>
        </w:rPr>
        <w:t xml:space="preserve">ted such rights as sovereign or </w:t>
      </w:r>
      <w:r w:rsidRPr="009C7EBC">
        <w:rPr>
          <w:sz w:val="16"/>
        </w:rPr>
        <w:t>beyond review and control case.’</w:t>
      </w:r>
    </w:p>
  </w:footnote>
  <w:footnote w:id="41">
    <w:p w:rsidR="009C7EBC" w:rsidRPr="009C7EBC" w:rsidRDefault="009C7EBC" w:rsidP="009C7EB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C7EBC">
        <w:rPr>
          <w:sz w:val="16"/>
        </w:rPr>
        <w:t>This argument</w:t>
      </w:r>
      <w:r>
        <w:rPr>
          <w:sz w:val="16"/>
        </w:rPr>
        <w:t xml:space="preserve"> was rejected by Hale J. in the </w:t>
      </w:r>
      <w:r w:rsidRPr="009C7EBC">
        <w:rPr>
          <w:sz w:val="16"/>
        </w:rPr>
        <w:t>Cambridgeshire case, [1995] 1 FLR 50 at 52 E-53 C.</w:t>
      </w:r>
    </w:p>
  </w:footnote>
  <w:footnote w:id="42">
    <w:p w:rsidR="009C7EBC" w:rsidRPr="009C7EBC" w:rsidRDefault="009C7EBC" w:rsidP="009C7EB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C7EBC">
        <w:rPr>
          <w:sz w:val="16"/>
        </w:rPr>
        <w:t>In point of fact, T’s situ</w:t>
      </w:r>
      <w:r>
        <w:rPr>
          <w:sz w:val="16"/>
        </w:rPr>
        <w:t xml:space="preserve">ation continued to be litigated </w:t>
      </w:r>
      <w:r w:rsidRPr="009C7EBC">
        <w:rPr>
          <w:sz w:val="16"/>
        </w:rPr>
        <w:t>after her eighte</w:t>
      </w:r>
      <w:r>
        <w:rPr>
          <w:sz w:val="16"/>
        </w:rPr>
        <w:t xml:space="preserve">enth birthday, with LBH seeking </w:t>
      </w:r>
      <w:r w:rsidRPr="009C7EBC">
        <w:rPr>
          <w:sz w:val="16"/>
        </w:rPr>
        <w:t>declarations from t</w:t>
      </w:r>
      <w:r>
        <w:rPr>
          <w:sz w:val="16"/>
        </w:rPr>
        <w:t xml:space="preserve">he High Court, that it would be </w:t>
      </w:r>
      <w:r w:rsidRPr="009C7EBC">
        <w:rPr>
          <w:sz w:val="16"/>
        </w:rPr>
        <w:t>lawful to keep</w:t>
      </w:r>
      <w:r>
        <w:rPr>
          <w:sz w:val="16"/>
        </w:rPr>
        <w:t xml:space="preserve"> T in LBH accommodation, and to </w:t>
      </w:r>
      <w:r w:rsidRPr="009C7EBC">
        <w:rPr>
          <w:sz w:val="16"/>
        </w:rPr>
        <w:t>prevent contact with her</w:t>
      </w:r>
      <w:r>
        <w:rPr>
          <w:sz w:val="16"/>
        </w:rPr>
        <w:t xml:space="preserve"> mother (her father having died </w:t>
      </w:r>
      <w:r w:rsidRPr="009C7EBC">
        <w:rPr>
          <w:sz w:val="16"/>
        </w:rPr>
        <w:t>shortly after the pr</w:t>
      </w:r>
      <w:r>
        <w:rPr>
          <w:sz w:val="16"/>
        </w:rPr>
        <w:t xml:space="preserve">esent appeal was heard). On the </w:t>
      </w:r>
      <w:r w:rsidRPr="009C7EBC">
        <w:rPr>
          <w:sz w:val="16"/>
        </w:rPr>
        <w:t>preliminary question</w:t>
      </w:r>
      <w:r>
        <w:rPr>
          <w:sz w:val="16"/>
        </w:rPr>
        <w:t xml:space="preserve">, of whether the High Court has </w:t>
      </w:r>
      <w:r w:rsidRPr="009C7EBC">
        <w:rPr>
          <w:sz w:val="16"/>
        </w:rPr>
        <w:t>jurisdiction to grant</w:t>
      </w:r>
      <w:r>
        <w:rPr>
          <w:sz w:val="16"/>
        </w:rPr>
        <w:t xml:space="preserve"> declarations in regard to such </w:t>
      </w:r>
      <w:r w:rsidRPr="009C7EBC">
        <w:rPr>
          <w:sz w:val="16"/>
        </w:rPr>
        <w:t>matters, the Court of A</w:t>
      </w:r>
      <w:r>
        <w:rPr>
          <w:sz w:val="16"/>
        </w:rPr>
        <w:t xml:space="preserve">ppeal (In re F (adult patient), </w:t>
      </w:r>
      <w:r w:rsidRPr="009C7EBC">
        <w:rPr>
          <w:sz w:val="16"/>
        </w:rPr>
        <w:t>CA, case no. 2000/009</w:t>
      </w:r>
      <w:r>
        <w:rPr>
          <w:sz w:val="16"/>
        </w:rPr>
        <w:t xml:space="preserve">4) answered in the affirmative, </w:t>
      </w:r>
      <w:r w:rsidRPr="009C7EBC">
        <w:rPr>
          <w:sz w:val="16"/>
        </w:rPr>
        <w:t xml:space="preserve">taking a very broad </w:t>
      </w:r>
      <w:r>
        <w:rPr>
          <w:sz w:val="16"/>
        </w:rPr>
        <w:t xml:space="preserve">view of the legitimate scope of </w:t>
      </w:r>
      <w:r w:rsidRPr="009C7EBC">
        <w:rPr>
          <w:sz w:val="16"/>
        </w:rPr>
        <w:t>declaratory relief. This im</w:t>
      </w:r>
      <w:r>
        <w:rPr>
          <w:sz w:val="16"/>
        </w:rPr>
        <w:t xml:space="preserve">portant decision is the subject </w:t>
      </w:r>
      <w:r w:rsidRPr="009C7EBC">
        <w:rPr>
          <w:sz w:val="16"/>
        </w:rPr>
        <w:t>of a case note in this Journal at p196.</w:t>
      </w:r>
    </w:p>
  </w:footnote>
  <w:footnote w:id="43">
    <w:p w:rsidR="001E60AA" w:rsidRDefault="001E60AA" w:rsidP="00634D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34DB5" w:rsidRPr="00634DB5">
        <w:rPr>
          <w:sz w:val="16"/>
        </w:rPr>
        <w:t>Per Lord Bingha</w:t>
      </w:r>
      <w:r w:rsidR="00634DB5" w:rsidRPr="00634DB5">
        <w:rPr>
          <w:sz w:val="16"/>
        </w:rPr>
        <w:t xml:space="preserve">m, M.R., [1995] 4 ALL ER 802 at </w:t>
      </w:r>
      <w:r w:rsidR="00634DB5" w:rsidRPr="00634DB5">
        <w:rPr>
          <w:sz w:val="16"/>
        </w:rPr>
        <w:t>807.</w:t>
      </w:r>
    </w:p>
  </w:footnote>
  <w:footnote w:id="44">
    <w:p w:rsidR="001E60AA" w:rsidRPr="00634DB5" w:rsidRDefault="001E60AA" w:rsidP="00634DB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34DB5" w:rsidRPr="00634DB5">
        <w:rPr>
          <w:sz w:val="16"/>
        </w:rPr>
        <w:t xml:space="preserve">J. </w:t>
      </w:r>
      <w:proofErr w:type="spellStart"/>
      <w:r w:rsidR="00634DB5" w:rsidRPr="00634DB5">
        <w:rPr>
          <w:sz w:val="16"/>
        </w:rPr>
        <w:t>Conaghan</w:t>
      </w:r>
      <w:proofErr w:type="spellEnd"/>
      <w:r w:rsidR="00634DB5" w:rsidRPr="00634DB5">
        <w:rPr>
          <w:sz w:val="16"/>
        </w:rPr>
        <w:t xml:space="preserve"> [1996]</w:t>
      </w:r>
      <w:r w:rsidR="00634DB5">
        <w:rPr>
          <w:sz w:val="16"/>
        </w:rPr>
        <w:t xml:space="preserve"> ‘Gendered Harms and the Law of </w:t>
      </w:r>
      <w:r w:rsidR="00634DB5" w:rsidRPr="00634DB5">
        <w:rPr>
          <w:sz w:val="16"/>
        </w:rPr>
        <w:t>Tort: Remedying (Sex</w:t>
      </w:r>
      <w:r w:rsidR="00634DB5">
        <w:rPr>
          <w:sz w:val="16"/>
        </w:rPr>
        <w:t xml:space="preserve">ual) Harassment’ 16(3) OJLS 407 </w:t>
      </w:r>
      <w:r w:rsidR="00634DB5" w:rsidRPr="00634DB5">
        <w:rPr>
          <w:sz w:val="16"/>
        </w:rPr>
        <w:t>has argued that relianc</w:t>
      </w:r>
      <w:r w:rsidR="00634DB5">
        <w:rPr>
          <w:sz w:val="16"/>
        </w:rPr>
        <w:t xml:space="preserve">e on Burris should be cautious, </w:t>
      </w:r>
      <w:r w:rsidR="00634DB5" w:rsidRPr="00634DB5">
        <w:rPr>
          <w:sz w:val="16"/>
        </w:rPr>
        <w:t>because the decision goes so clearly against the acce</w:t>
      </w:r>
      <w:r w:rsidR="00634DB5">
        <w:rPr>
          <w:sz w:val="16"/>
        </w:rPr>
        <w:t xml:space="preserve">pted </w:t>
      </w:r>
      <w:r w:rsidR="00634DB5" w:rsidRPr="00634DB5">
        <w:rPr>
          <w:sz w:val="16"/>
        </w:rPr>
        <w:t>wisdom that the inherent j</w:t>
      </w:r>
      <w:r w:rsidR="00634DB5">
        <w:rPr>
          <w:sz w:val="16"/>
        </w:rPr>
        <w:t xml:space="preserve">urisdiction can only operate by </w:t>
      </w:r>
      <w:r w:rsidR="00634DB5" w:rsidRPr="00634DB5">
        <w:rPr>
          <w:sz w:val="16"/>
        </w:rPr>
        <w:t>way of an injunction to</w:t>
      </w:r>
      <w:r w:rsidR="00634DB5">
        <w:rPr>
          <w:sz w:val="16"/>
        </w:rPr>
        <w:t xml:space="preserve"> prevent the infringement of an </w:t>
      </w:r>
      <w:r w:rsidR="00634DB5" w:rsidRPr="00634DB5">
        <w:rPr>
          <w:sz w:val="16"/>
        </w:rPr>
        <w:t>identifiable legal right.</w:t>
      </w:r>
    </w:p>
  </w:footnote>
  <w:footnote w:id="45">
    <w:p w:rsidR="001E60AA" w:rsidRDefault="001E60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34DB5" w:rsidRPr="00634DB5">
        <w:rPr>
          <w:sz w:val="16"/>
        </w:rPr>
        <w:t>[1995] 1 FLR 50 at 52 H.</w:t>
      </w:r>
    </w:p>
  </w:footnote>
  <w:footnote w:id="46">
    <w:p w:rsidR="00B85994" w:rsidRPr="00634DB5" w:rsidRDefault="00B85994" w:rsidP="00634DB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34DB5" w:rsidRPr="00634DB5">
        <w:rPr>
          <w:sz w:val="16"/>
        </w:rPr>
        <w:t>In Burris, the defend</w:t>
      </w:r>
      <w:r w:rsidR="00634DB5">
        <w:rPr>
          <w:sz w:val="16"/>
        </w:rPr>
        <w:t xml:space="preserve">ant had been made subject to an </w:t>
      </w:r>
      <w:r w:rsidR="00634DB5" w:rsidRPr="00634DB5">
        <w:rPr>
          <w:sz w:val="16"/>
        </w:rPr>
        <w:t>injunction preventin</w:t>
      </w:r>
      <w:r w:rsidR="00634DB5">
        <w:rPr>
          <w:sz w:val="16"/>
        </w:rPr>
        <w:t xml:space="preserve">g him from approaching within a </w:t>
      </w:r>
      <w:r w:rsidR="00634DB5" w:rsidRPr="00634DB5">
        <w:rPr>
          <w:sz w:val="16"/>
        </w:rPr>
        <w:t>specified distance fr</w:t>
      </w:r>
      <w:r w:rsidR="00634DB5">
        <w:rPr>
          <w:sz w:val="16"/>
        </w:rPr>
        <w:t xml:space="preserve">om the complainant’s home, thus </w:t>
      </w:r>
      <w:r w:rsidR="00634DB5" w:rsidRPr="00634DB5">
        <w:rPr>
          <w:sz w:val="16"/>
        </w:rPr>
        <w:t>limiting his legal right to u</w:t>
      </w:r>
      <w:r w:rsidR="00634DB5">
        <w:rPr>
          <w:sz w:val="16"/>
        </w:rPr>
        <w:t xml:space="preserve">se a public road. The defendant </w:t>
      </w:r>
      <w:r w:rsidR="00634DB5" w:rsidRPr="00634DB5">
        <w:rPr>
          <w:sz w:val="16"/>
        </w:rPr>
        <w:t>was found to have breac</w:t>
      </w:r>
      <w:r w:rsidR="00634DB5">
        <w:rPr>
          <w:sz w:val="16"/>
        </w:rPr>
        <w:t xml:space="preserve">hed the terms of the injunction </w:t>
      </w:r>
      <w:r w:rsidR="00634DB5" w:rsidRPr="00634DB5">
        <w:rPr>
          <w:sz w:val="16"/>
        </w:rPr>
        <w:t>and imprisoned for contempt of cour</w:t>
      </w:r>
      <w:r w:rsidR="00634DB5">
        <w:rPr>
          <w:sz w:val="16"/>
        </w:rPr>
        <w:t xml:space="preserve">t. On appeal, the </w:t>
      </w:r>
      <w:r w:rsidR="00634DB5" w:rsidRPr="00634DB5">
        <w:rPr>
          <w:sz w:val="16"/>
        </w:rPr>
        <w:t>Court of Appeal upheld the terms of the injunction.</w:t>
      </w:r>
    </w:p>
  </w:footnote>
  <w:footnote w:id="47">
    <w:p w:rsidR="00810D61" w:rsidRPr="00810D61" w:rsidRDefault="00810D61" w:rsidP="00810D6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10D61">
        <w:rPr>
          <w:sz w:val="16"/>
        </w:rPr>
        <w:t>Again, readers are referr</w:t>
      </w:r>
      <w:r>
        <w:rPr>
          <w:sz w:val="16"/>
        </w:rPr>
        <w:t xml:space="preserve">ed to the decision of the Court </w:t>
      </w:r>
      <w:r w:rsidRPr="00810D61">
        <w:rPr>
          <w:sz w:val="16"/>
        </w:rPr>
        <w:t>of Appeal in the seq</w:t>
      </w:r>
      <w:r>
        <w:rPr>
          <w:sz w:val="16"/>
        </w:rPr>
        <w:t xml:space="preserve">uel to the case presently under </w:t>
      </w:r>
      <w:r w:rsidRPr="00810D61">
        <w:rPr>
          <w:sz w:val="16"/>
        </w:rPr>
        <w:t>discussion, see fn.41, above, which addres</w:t>
      </w:r>
      <w:r>
        <w:rPr>
          <w:sz w:val="16"/>
        </w:rPr>
        <w:t xml:space="preserve">ses directly </w:t>
      </w:r>
      <w:r w:rsidRPr="00810D61">
        <w:rPr>
          <w:sz w:val="16"/>
        </w:rPr>
        <w:t>arguments along these lines and see p196 of the Journal.</w:t>
      </w:r>
    </w:p>
  </w:footnote>
  <w:footnote w:id="48">
    <w:p w:rsidR="00810D61" w:rsidRPr="00810D61" w:rsidRDefault="00810D61" w:rsidP="00810D6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10D61">
        <w:rPr>
          <w:sz w:val="16"/>
        </w:rPr>
        <w:t>In fact, as it is most of</w:t>
      </w:r>
      <w:r>
        <w:rPr>
          <w:sz w:val="16"/>
        </w:rPr>
        <w:t xml:space="preserve">ten contact with family members </w:t>
      </w:r>
      <w:r w:rsidRPr="00810D61">
        <w:rPr>
          <w:sz w:val="16"/>
        </w:rPr>
        <w:t>that is at issue, the po</w:t>
      </w:r>
      <w:r>
        <w:rPr>
          <w:sz w:val="16"/>
        </w:rPr>
        <w:t xml:space="preserve">wers in Family Law Act to issue </w:t>
      </w:r>
      <w:r w:rsidRPr="00810D61">
        <w:rPr>
          <w:sz w:val="16"/>
        </w:rPr>
        <w:t>‘non-molestation orders</w:t>
      </w:r>
      <w:r>
        <w:rPr>
          <w:sz w:val="16"/>
        </w:rPr>
        <w:t xml:space="preserve">’ would often be available, and </w:t>
      </w:r>
      <w:r w:rsidRPr="00810D61">
        <w:rPr>
          <w:sz w:val="16"/>
        </w:rPr>
        <w:t>here it is clear that ther</w:t>
      </w:r>
      <w:r>
        <w:rPr>
          <w:sz w:val="16"/>
        </w:rPr>
        <w:t xml:space="preserve">e need be no infringement of an </w:t>
      </w:r>
      <w:r w:rsidRPr="00810D61">
        <w:rPr>
          <w:sz w:val="16"/>
        </w:rPr>
        <w:t>identifiable legal right.</w:t>
      </w:r>
    </w:p>
  </w:footnote>
  <w:footnote w:id="49">
    <w:p w:rsidR="000A25E6" w:rsidRPr="00EE1F8A" w:rsidRDefault="000A25E6" w:rsidP="00EE1F8A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EE1F8A" w:rsidRPr="00EE1F8A">
        <w:rPr>
          <w:sz w:val="16"/>
        </w:rPr>
        <w:t>Horner v Horner [1982]</w:t>
      </w:r>
      <w:r w:rsidR="00EE1F8A">
        <w:rPr>
          <w:sz w:val="16"/>
        </w:rPr>
        <w:t xml:space="preserve"> 4 F.L.R. 50 at 51 Ormrod L.J., </w:t>
      </w:r>
      <w:r w:rsidR="00EE1F8A" w:rsidRPr="00EE1F8A">
        <w:rPr>
          <w:sz w:val="16"/>
        </w:rPr>
        <w:t xml:space="preserve">but see also C v C (Non-Molestation </w:t>
      </w:r>
      <w:r w:rsidR="00EE1F8A">
        <w:rPr>
          <w:sz w:val="16"/>
        </w:rPr>
        <w:t xml:space="preserve">Order: </w:t>
      </w:r>
      <w:r w:rsidR="00EE1F8A" w:rsidRPr="00EE1F8A">
        <w:rPr>
          <w:sz w:val="16"/>
        </w:rPr>
        <w:t>Jurisdiction] [1998] 1 FLR 554 (CA).</w:t>
      </w:r>
    </w:p>
  </w:footnote>
  <w:footnote w:id="50">
    <w:p w:rsidR="00EE1F8A" w:rsidRDefault="00EE1F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1F8A">
        <w:rPr>
          <w:sz w:val="16"/>
        </w:rPr>
        <w:t>At 199 F.</w:t>
      </w:r>
    </w:p>
  </w:footnote>
  <w:footnote w:id="51">
    <w:p w:rsidR="002351EC" w:rsidRPr="00856F50" w:rsidRDefault="002351EC" w:rsidP="00856F50">
      <w:pPr>
        <w:pStyle w:val="FootnoteText"/>
        <w:rPr>
          <w:sz w:val="16"/>
        </w:rPr>
      </w:pPr>
      <w:r>
        <w:rPr>
          <w:rStyle w:val="FootnoteReference"/>
        </w:rPr>
        <w:footnoteRef/>
      </w:r>
      <w:r w:rsidR="00856F50" w:rsidRPr="00856F50">
        <w:rPr>
          <w:sz w:val="16"/>
        </w:rPr>
        <w:t>Arts 5 and 8 of the Conve</w:t>
      </w:r>
      <w:r w:rsidR="00856F50">
        <w:rPr>
          <w:sz w:val="16"/>
        </w:rPr>
        <w:t xml:space="preserve">ntion (concerning the rights to </w:t>
      </w:r>
      <w:r w:rsidR="00856F50" w:rsidRPr="00856F50">
        <w:rPr>
          <w:sz w:val="16"/>
        </w:rPr>
        <w:t>security of the person and r</w:t>
      </w:r>
      <w:r w:rsidR="00856F50">
        <w:rPr>
          <w:sz w:val="16"/>
        </w:rPr>
        <w:t xml:space="preserve">egard for family life), were to </w:t>
      </w:r>
      <w:r w:rsidR="00856F50" w:rsidRPr="00856F50">
        <w:rPr>
          <w:sz w:val="16"/>
        </w:rPr>
        <w:t xml:space="preserve">be discussed by </w:t>
      </w:r>
      <w:proofErr w:type="spellStart"/>
      <w:r w:rsidR="00856F50" w:rsidRPr="00856F50">
        <w:rPr>
          <w:sz w:val="16"/>
        </w:rPr>
        <w:t>Sed</w:t>
      </w:r>
      <w:r w:rsidR="00856F50">
        <w:rPr>
          <w:sz w:val="16"/>
        </w:rPr>
        <w:t>ley</w:t>
      </w:r>
      <w:proofErr w:type="spellEnd"/>
      <w:r w:rsidR="00856F50">
        <w:rPr>
          <w:sz w:val="16"/>
        </w:rPr>
        <w:t xml:space="preserve"> LJ in the later proceedings </w:t>
      </w:r>
      <w:r w:rsidR="00856F50" w:rsidRPr="00856F50">
        <w:rPr>
          <w:sz w:val="16"/>
        </w:rPr>
        <w:t>relating to F (see f</w:t>
      </w:r>
      <w:r w:rsidR="00856F50">
        <w:rPr>
          <w:sz w:val="16"/>
        </w:rPr>
        <w:t xml:space="preserve">n. 41, above) in the context of </w:t>
      </w:r>
      <w:r w:rsidR="00856F50" w:rsidRPr="00856F50">
        <w:rPr>
          <w:sz w:val="16"/>
        </w:rPr>
        <w:t>declaratory relief.</w:t>
      </w:r>
      <w:r w:rsidRPr="00856F50">
        <w:rPr>
          <w:sz w:val="16"/>
        </w:rPr>
        <w:t xml:space="preserve"> </w:t>
      </w:r>
    </w:p>
  </w:footnote>
  <w:footnote w:id="52">
    <w:p w:rsidR="002351EC" w:rsidRDefault="002351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56F50" w:rsidRPr="00856F50">
        <w:rPr>
          <w:sz w:val="16"/>
        </w:rPr>
        <w:t>Moreira de Azevedo v Portugal (1990) 13 EHRR 721.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A"/>
    <w:rsid w:val="00007114"/>
    <w:rsid w:val="00012F0B"/>
    <w:rsid w:val="000A25E6"/>
    <w:rsid w:val="000E1471"/>
    <w:rsid w:val="001309CB"/>
    <w:rsid w:val="001C0E59"/>
    <w:rsid w:val="001E60AA"/>
    <w:rsid w:val="002351EC"/>
    <w:rsid w:val="0037581C"/>
    <w:rsid w:val="00392F3E"/>
    <w:rsid w:val="003D46F6"/>
    <w:rsid w:val="004E0B92"/>
    <w:rsid w:val="00541EB2"/>
    <w:rsid w:val="00617BE7"/>
    <w:rsid w:val="00634DB5"/>
    <w:rsid w:val="00651294"/>
    <w:rsid w:val="006B5B87"/>
    <w:rsid w:val="00720677"/>
    <w:rsid w:val="007436CA"/>
    <w:rsid w:val="007E3A56"/>
    <w:rsid w:val="00810D61"/>
    <w:rsid w:val="00856F50"/>
    <w:rsid w:val="008B2886"/>
    <w:rsid w:val="00912A9F"/>
    <w:rsid w:val="0097550B"/>
    <w:rsid w:val="009A5E2D"/>
    <w:rsid w:val="009B577E"/>
    <w:rsid w:val="009B7CF8"/>
    <w:rsid w:val="009C7EBC"/>
    <w:rsid w:val="009D50C9"/>
    <w:rsid w:val="00A7609A"/>
    <w:rsid w:val="00B24E4B"/>
    <w:rsid w:val="00B85994"/>
    <w:rsid w:val="00BD5123"/>
    <w:rsid w:val="00BF3F1D"/>
    <w:rsid w:val="00C03147"/>
    <w:rsid w:val="00C434DF"/>
    <w:rsid w:val="00C70CD4"/>
    <w:rsid w:val="00CC1BAA"/>
    <w:rsid w:val="00CE746B"/>
    <w:rsid w:val="00E82D77"/>
    <w:rsid w:val="00EE1F8A"/>
    <w:rsid w:val="00F33302"/>
    <w:rsid w:val="00F605FD"/>
    <w:rsid w:val="00F94C04"/>
    <w:rsid w:val="00F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5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57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59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59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59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5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57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59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59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5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dcterms:created xsi:type="dcterms:W3CDTF">2014-10-14T09:36:00Z</dcterms:created>
  <dcterms:modified xsi:type="dcterms:W3CDTF">2014-10-14T11:29:00Z</dcterms:modified>
</cp:coreProperties>
</file>