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ADB" w:rsidRPr="00B91ADB" w:rsidRDefault="00B91ADB" w:rsidP="00B91ADB">
      <w:pPr>
        <w:rPr>
          <w:i/>
          <w:iCs/>
          <w:sz w:val="40"/>
        </w:rPr>
      </w:pPr>
      <w:r w:rsidRPr="00B91ADB">
        <w:rPr>
          <w:i/>
          <w:iCs/>
          <w:sz w:val="40"/>
        </w:rPr>
        <w:t>Confidentiality and Patients’ Rights</w:t>
      </w:r>
    </w:p>
    <w:p w:rsidR="00B91ADB" w:rsidRPr="00B91ADB" w:rsidRDefault="007B212F" w:rsidP="00B91ADB">
      <w:pPr>
        <w:rPr>
          <w:i/>
          <w:iCs/>
          <w:sz w:val="28"/>
        </w:rPr>
      </w:pPr>
      <w:r>
        <w:rPr>
          <w:i/>
          <w:iCs/>
          <w:sz w:val="28"/>
        </w:rPr>
        <w:t>Simon Foster</w:t>
      </w:r>
      <w:r>
        <w:rPr>
          <w:rStyle w:val="FootnoteReference"/>
          <w:i/>
          <w:iCs/>
          <w:sz w:val="28"/>
        </w:rPr>
        <w:footnoteReference w:customMarkFollows="1" w:id="1"/>
        <w:t>*</w:t>
      </w:r>
    </w:p>
    <w:p w:rsidR="00B91ADB" w:rsidRDefault="00B91ADB" w:rsidP="00B91ADB">
      <w:pPr>
        <w:rPr>
          <w:b/>
          <w:bCs/>
        </w:rPr>
      </w:pPr>
    </w:p>
    <w:p w:rsidR="00B91ADB" w:rsidRPr="00B91ADB" w:rsidRDefault="00B91ADB" w:rsidP="00B91ADB">
      <w:pPr>
        <w:rPr>
          <w:b/>
          <w:bCs/>
        </w:rPr>
      </w:pPr>
      <w:r w:rsidRPr="00B91ADB">
        <w:rPr>
          <w:b/>
          <w:bCs/>
        </w:rPr>
        <w:t>R (on the application of Ann S) v Plymouth City Council and C (Interested party) [2002]</w:t>
      </w:r>
      <w:r w:rsidR="009B4C18">
        <w:rPr>
          <w:b/>
          <w:bCs/>
        </w:rPr>
        <w:t xml:space="preserve"> </w:t>
      </w:r>
      <w:r w:rsidRPr="00B91ADB">
        <w:rPr>
          <w:b/>
          <w:bCs/>
        </w:rPr>
        <w:t xml:space="preserve">EWCA </w:t>
      </w:r>
      <w:proofErr w:type="spellStart"/>
      <w:r w:rsidRPr="00B91ADB">
        <w:rPr>
          <w:b/>
          <w:bCs/>
        </w:rPr>
        <w:t>Civ</w:t>
      </w:r>
      <w:proofErr w:type="spellEnd"/>
      <w:r w:rsidRPr="00B91ADB">
        <w:rPr>
          <w:b/>
          <w:bCs/>
        </w:rPr>
        <w:t xml:space="preserve"> 388</w:t>
      </w:r>
    </w:p>
    <w:p w:rsidR="00B91ADB" w:rsidRDefault="00B91ADB" w:rsidP="00B91ADB">
      <w:pPr>
        <w:rPr>
          <w:b/>
          <w:bCs/>
        </w:rPr>
      </w:pPr>
      <w:r w:rsidRPr="00B91ADB">
        <w:rPr>
          <w:b/>
          <w:bCs/>
        </w:rPr>
        <w:t>Court of Appeal (26th March 2002) (Kennedy, Clarke and Hale LJJ)</w:t>
      </w:r>
    </w:p>
    <w:p w:rsidR="00B91ADB" w:rsidRPr="00B91ADB" w:rsidRDefault="00B91ADB" w:rsidP="00B91ADB">
      <w:pPr>
        <w:rPr>
          <w:b/>
          <w:bCs/>
        </w:rPr>
      </w:pPr>
    </w:p>
    <w:p w:rsidR="00B91ADB" w:rsidRPr="00B91ADB" w:rsidRDefault="00B91ADB" w:rsidP="00B91ADB">
      <w:pPr>
        <w:rPr>
          <w:b/>
          <w:bCs/>
          <w:sz w:val="24"/>
        </w:rPr>
      </w:pPr>
      <w:r w:rsidRPr="00B91ADB">
        <w:rPr>
          <w:b/>
          <w:bCs/>
          <w:sz w:val="24"/>
        </w:rPr>
        <w:t>Introduction</w:t>
      </w:r>
    </w:p>
    <w:p w:rsidR="00595FC7" w:rsidRDefault="00B91ADB" w:rsidP="009B4C18">
      <w:pPr>
        <w:spacing w:after="0"/>
      </w:pPr>
      <w:r w:rsidRPr="00B91ADB">
        <w:t xml:space="preserve">In this case the Court of Appeal considered the proper balance between an incapacitated </w:t>
      </w:r>
      <w:proofErr w:type="gramStart"/>
      <w:r w:rsidRPr="00B91ADB">
        <w:t>patient’s</w:t>
      </w:r>
      <w:proofErr w:type="gramEnd"/>
      <w:r w:rsidR="008B75B1">
        <w:t xml:space="preserve"> </w:t>
      </w:r>
      <w:r w:rsidRPr="00B91ADB">
        <w:t>right to confidentiality and the right of his nearest relative (s.26 Mental Health Act 1983) to</w:t>
      </w:r>
      <w:r w:rsidR="008B75B1">
        <w:t xml:space="preserve"> </w:t>
      </w:r>
      <w:r w:rsidRPr="00B91ADB">
        <w:t>sufficient information to exercise her role effectively. The court reviewed the common law</w:t>
      </w:r>
      <w:r w:rsidR="008B75B1">
        <w:t xml:space="preserve"> </w:t>
      </w:r>
      <w:r w:rsidRPr="00B91ADB">
        <w:t>principles and applied Article 8 of the European Convention. The judgment is to some extent</w:t>
      </w:r>
      <w:r w:rsidR="008B75B1">
        <w:t xml:space="preserve"> </w:t>
      </w:r>
      <w:r w:rsidRPr="00B91ADB">
        <w:t>limited to a nearest relative case, but the principles are of much wider application.</w:t>
      </w:r>
    </w:p>
    <w:p w:rsidR="007B212F" w:rsidRDefault="007B212F" w:rsidP="009B4C18">
      <w:pPr>
        <w:spacing w:after="0"/>
      </w:pPr>
    </w:p>
    <w:p w:rsidR="007B212F" w:rsidRDefault="007B212F" w:rsidP="007B212F">
      <w:pPr>
        <w:spacing w:after="0"/>
      </w:pPr>
    </w:p>
    <w:p w:rsidR="007B212F" w:rsidRPr="007B212F" w:rsidRDefault="007B212F" w:rsidP="007B212F">
      <w:pPr>
        <w:spacing w:after="0"/>
        <w:rPr>
          <w:b/>
          <w:sz w:val="24"/>
        </w:rPr>
      </w:pPr>
      <w:r w:rsidRPr="007B212F">
        <w:rPr>
          <w:b/>
          <w:sz w:val="24"/>
        </w:rPr>
        <w:t>The facts</w:t>
      </w:r>
    </w:p>
    <w:p w:rsidR="007B212F" w:rsidRDefault="007B212F" w:rsidP="007B212F">
      <w:pPr>
        <w:spacing w:after="0"/>
      </w:pPr>
      <w:r>
        <w:t>Mrs S was the mother of C, who was born in 1974 and thus was 27 at the date of hearing. She had</w:t>
      </w:r>
      <w:r w:rsidR="008B75B1">
        <w:t xml:space="preserve"> </w:t>
      </w:r>
      <w:r>
        <w:t>brought him up alone. C had learning and behavioural difficulties, which received different</w:t>
      </w:r>
      <w:r w:rsidR="008B75B1">
        <w:t xml:space="preserve"> </w:t>
      </w:r>
      <w:r>
        <w:t>diagnoses, and he had attended special schools. The diagnoses on record at the relevant time were</w:t>
      </w:r>
      <w:r w:rsidR="008B75B1">
        <w:t xml:space="preserve"> </w:t>
      </w:r>
      <w:r>
        <w:t>avoidant personality disorder and learning disability. His mother wanted to look after him at home</w:t>
      </w:r>
      <w:r w:rsidR="008B75B1">
        <w:t xml:space="preserve"> </w:t>
      </w:r>
      <w:r>
        <w:t>with appropriate support from health and social services, including periods of respite care and</w:t>
      </w:r>
      <w:r w:rsidR="008B75B1">
        <w:t xml:space="preserve"> </w:t>
      </w:r>
      <w:r>
        <w:t>appropriate treatment for his learning and behavioural difficulties. His behaviour presented</w:t>
      </w:r>
      <w:r w:rsidR="008B75B1">
        <w:t xml:space="preserve"> </w:t>
      </w:r>
      <w:r>
        <w:t>problems for her, and her neighbours, when he lived at home, but these were less noticeable in</w:t>
      </w:r>
      <w:r w:rsidR="008B75B1">
        <w:t xml:space="preserve"> </w:t>
      </w:r>
      <w:r>
        <w:t>other settings. As C got older, the professional view was that it would be better if he were in a stable</w:t>
      </w:r>
      <w:r w:rsidR="008B75B1">
        <w:t xml:space="preserve"> </w:t>
      </w:r>
      <w:r>
        <w:t>residential environment away from home.</w:t>
      </w:r>
    </w:p>
    <w:p w:rsidR="007B212F" w:rsidRDefault="007B212F" w:rsidP="007B212F">
      <w:pPr>
        <w:spacing w:after="0"/>
      </w:pPr>
    </w:p>
    <w:p w:rsidR="007B212F" w:rsidRDefault="007B212F" w:rsidP="007B212F">
      <w:pPr>
        <w:spacing w:after="0"/>
      </w:pPr>
      <w:r>
        <w:t>In February 1998 a case conference concluded that guardianship should be pursued. C’s</w:t>
      </w:r>
      <w:r w:rsidR="008B75B1">
        <w:t xml:space="preserve"> </w:t>
      </w:r>
      <w:r>
        <w:t>consultant, Dr Morris, reported that he would be better placed in a small caring environment</w:t>
      </w:r>
      <w:r w:rsidR="008B75B1">
        <w:t xml:space="preserve"> </w:t>
      </w:r>
      <w:r>
        <w:t>separate from his mother’s home, maintaining social contact between C and his mother. This was</w:t>
      </w:r>
      <w:r w:rsidR="008B75B1">
        <w:t xml:space="preserve"> </w:t>
      </w:r>
      <w:r>
        <w:t>discussed with his mother, who was also told that if she and C disagreed, social services could</w:t>
      </w:r>
      <w:r w:rsidR="008B75B1">
        <w:t xml:space="preserve"> </w:t>
      </w:r>
      <w:r>
        <w:t>apply to court for her to be displaced as nearest relative. She asked for time to consult with</w:t>
      </w:r>
      <w:r w:rsidR="008B75B1">
        <w:t xml:space="preserve"> </w:t>
      </w:r>
      <w:proofErr w:type="spellStart"/>
      <w:r>
        <w:t>Mencap</w:t>
      </w:r>
      <w:proofErr w:type="spellEnd"/>
      <w:r>
        <w:t>, a major learning disability organisation.</w:t>
      </w:r>
    </w:p>
    <w:p w:rsidR="007B212F" w:rsidRDefault="007B212F" w:rsidP="007B212F">
      <w:pPr>
        <w:spacing w:after="0"/>
      </w:pPr>
    </w:p>
    <w:p w:rsidR="007B212F" w:rsidRDefault="007B212F" w:rsidP="007B212F">
      <w:pPr>
        <w:spacing w:after="0"/>
      </w:pPr>
      <w:r>
        <w:t>In April 1998 C was admitted to hospital under section 2 MHA 1983. A short-term residential</w:t>
      </w:r>
      <w:r w:rsidR="008B75B1">
        <w:t xml:space="preserve"> </w:t>
      </w:r>
      <w:r>
        <w:t>placement was arranged while discussions about guardianship continued. Eventually an application</w:t>
      </w:r>
      <w:r w:rsidR="008B75B1">
        <w:t xml:space="preserve"> </w:t>
      </w:r>
      <w:r>
        <w:t>was made to displace C’s mother as nearest relative (under section 29 MHA 1983). In July 1998 the</w:t>
      </w:r>
      <w:r w:rsidR="008B75B1">
        <w:t xml:space="preserve"> m</w:t>
      </w:r>
      <w:r>
        <w:t>other signed a form to say that she did not object to guardianship, on the understanding that the</w:t>
      </w:r>
      <w:r w:rsidR="008B75B1">
        <w:t xml:space="preserve"> </w:t>
      </w:r>
      <w:r>
        <w:t>application to displace her would be withdrawn. C was admitted to guardianship on 14th July</w:t>
      </w:r>
      <w:r w:rsidR="008B75B1">
        <w:t xml:space="preserve"> </w:t>
      </w:r>
      <w:r>
        <w:t xml:space="preserve">1998. </w:t>
      </w:r>
      <w:r>
        <w:lastRenderedPageBreak/>
        <w:t>Guardianship was renewed in January 1999, July 1999 and July 2000 (and was renewed again</w:t>
      </w:r>
      <w:r w:rsidR="008B75B1">
        <w:t xml:space="preserve"> </w:t>
      </w:r>
      <w:r>
        <w:t>during these proceedings).</w:t>
      </w:r>
    </w:p>
    <w:p w:rsidR="00F51AEE" w:rsidRDefault="00F51AEE" w:rsidP="007B212F">
      <w:pPr>
        <w:spacing w:after="0"/>
      </w:pPr>
    </w:p>
    <w:p w:rsidR="00230111" w:rsidRDefault="00230111" w:rsidP="00230111">
      <w:pPr>
        <w:spacing w:after="0"/>
      </w:pPr>
      <w:r w:rsidRPr="00230111">
        <w:t>Mrs S attended care planning meetings and received the minutes. However, she was shown none of</w:t>
      </w:r>
      <w:r>
        <w:t xml:space="preserve"> </w:t>
      </w:r>
      <w:r w:rsidRPr="00230111">
        <w:t>the documentation upon which the guardianship or its renewal was based, other than very brief</w:t>
      </w:r>
      <w:r>
        <w:t xml:space="preserve"> </w:t>
      </w:r>
      <w:r w:rsidRPr="00230111">
        <w:t>minutes relating to the first renewal in January 1999. At this time she had asked for access to C’s</w:t>
      </w:r>
      <w:r>
        <w:t xml:space="preserve"> </w:t>
      </w:r>
      <w:r w:rsidRPr="00230111">
        <w:t>files to assist with pursuing a formal complaint against social services, but this was refused. She</w:t>
      </w:r>
      <w:r>
        <w:t xml:space="preserve"> </w:t>
      </w:r>
      <w:r w:rsidRPr="00230111">
        <w:t>made a complaint to the local government ombudsman but decided not to pursue it.</w:t>
      </w:r>
    </w:p>
    <w:p w:rsidR="00230111" w:rsidRPr="00230111" w:rsidRDefault="00230111" w:rsidP="00230111">
      <w:pPr>
        <w:spacing w:after="0"/>
      </w:pPr>
    </w:p>
    <w:p w:rsidR="00230111" w:rsidRDefault="00230111" w:rsidP="00230111">
      <w:pPr>
        <w:spacing w:after="0"/>
      </w:pPr>
      <w:r w:rsidRPr="00230111">
        <w:t>In March 2000 she wrote to the local authority again asking to see C’s files. Her letter was</w:t>
      </w:r>
      <w:r>
        <w:t xml:space="preserve"> </w:t>
      </w:r>
      <w:r w:rsidRPr="00230111">
        <w:t>countersigned by C himself. On 10th April 2000 the complaints officer replied that they did not</w:t>
      </w:r>
      <w:r>
        <w:t xml:space="preserve"> </w:t>
      </w:r>
      <w:r w:rsidRPr="00230111">
        <w:t>regard C’s consent as valid as he did not have the mental capacity to understand the implications</w:t>
      </w:r>
      <w:r>
        <w:t xml:space="preserve"> </w:t>
      </w:r>
      <w:r w:rsidRPr="00230111">
        <w:t>of what was being asked. Since C could not consent to disclosure, ‘I am afraid it is not legally</w:t>
      </w:r>
      <w:r>
        <w:t xml:space="preserve"> </w:t>
      </w:r>
      <w:r w:rsidRPr="00230111">
        <w:t>possible for you to see them.’</w:t>
      </w:r>
    </w:p>
    <w:p w:rsidR="00230111" w:rsidRPr="00230111" w:rsidRDefault="00230111" w:rsidP="00230111">
      <w:pPr>
        <w:spacing w:after="0"/>
      </w:pPr>
    </w:p>
    <w:p w:rsidR="00230111" w:rsidRDefault="00230111" w:rsidP="00230111">
      <w:pPr>
        <w:spacing w:after="0"/>
      </w:pPr>
      <w:r w:rsidRPr="00230111">
        <w:t>Mrs S’s solicitors wrote in July 2000, asking for access to the recommendations and reports leading</w:t>
      </w:r>
      <w:r>
        <w:t xml:space="preserve"> </w:t>
      </w:r>
      <w:r w:rsidRPr="00230111">
        <w:t>to the guardianship and its renewal, and to C’s social services files. The local authority solicitor</w:t>
      </w:r>
      <w:r>
        <w:t xml:space="preserve"> </w:t>
      </w:r>
      <w:r w:rsidRPr="00230111">
        <w:t>replied: ‘I can find no authority for me to disclose this information to Mrs S or to you as her</w:t>
      </w:r>
      <w:r>
        <w:t xml:space="preserve"> </w:t>
      </w:r>
      <w:r w:rsidRPr="00230111">
        <w:t>solicitors. I find it illogical, if not ludicrous, that the nearest relative should not be entitled</w:t>
      </w:r>
      <w:r>
        <w:t xml:space="preserve"> </w:t>
      </w:r>
      <w:r w:rsidRPr="00230111">
        <w:t>automatically to this information but without authority I do not see how it can be disclosed.’ She</w:t>
      </w:r>
      <w:r>
        <w:t xml:space="preserve"> </w:t>
      </w:r>
      <w:r w:rsidRPr="00230111">
        <w:t>agreed that the common law rules on confidentiality would apply but that she would have to seek</w:t>
      </w:r>
      <w:r>
        <w:t xml:space="preserve"> </w:t>
      </w:r>
      <w:r w:rsidRPr="00230111">
        <w:t>further instructions on whether disclosure was in C’s best interests.</w:t>
      </w:r>
    </w:p>
    <w:p w:rsidR="007C303F" w:rsidRDefault="007C303F" w:rsidP="00230111">
      <w:pPr>
        <w:spacing w:after="0"/>
      </w:pPr>
    </w:p>
    <w:p w:rsidR="007C303F" w:rsidRDefault="007C303F" w:rsidP="007C303F">
      <w:pPr>
        <w:spacing w:after="0"/>
      </w:pPr>
      <w:r w:rsidRPr="007C303F">
        <w:t>Mrs S’s solicitors renewed their request in August 2000. They pointed out that much emphasis had</w:t>
      </w:r>
      <w:r>
        <w:t xml:space="preserve"> </w:t>
      </w:r>
      <w:r w:rsidRPr="007C303F">
        <w:t>been put on C’s wishes as to where he should live while denying his capacity to consent to</w:t>
      </w:r>
      <w:r>
        <w:t xml:space="preserve"> </w:t>
      </w:r>
      <w:r w:rsidRPr="007C303F">
        <w:t>disclosure. The local authority solicitor replied in October 2000 that C’s doctor had confirmed</w:t>
      </w:r>
      <w:r>
        <w:t xml:space="preserve"> </w:t>
      </w:r>
      <w:r w:rsidRPr="007C303F">
        <w:t>that he did not have capacity to give informed consent to disclosure of his files. (The doctor</w:t>
      </w:r>
      <w:r>
        <w:t xml:space="preserve"> </w:t>
      </w:r>
      <w:r w:rsidRPr="007C303F">
        <w:t>confirmed this opinion in April 2001.) The solicitor agreed that the duty of confidentiality was not</w:t>
      </w:r>
      <w:r>
        <w:t xml:space="preserve"> </w:t>
      </w:r>
      <w:r w:rsidRPr="007C303F">
        <w:t>absolute and that the public interest in preserving confidences could be outweighed by some other</w:t>
      </w:r>
      <w:r>
        <w:t xml:space="preserve"> </w:t>
      </w:r>
      <w:r w:rsidRPr="007C303F">
        <w:t>public interest in disclosure. However, she did not think that sufficient reasons for disclosure</w:t>
      </w:r>
      <w:r>
        <w:t xml:space="preserve"> </w:t>
      </w:r>
      <w:r w:rsidRPr="007C303F">
        <w:t>existed in this case. ‘Mrs S has been fully involved in the care planning process for C and is aware</w:t>
      </w:r>
      <w:r>
        <w:t xml:space="preserve"> </w:t>
      </w:r>
      <w:r w:rsidRPr="007C303F">
        <w:t>of a</w:t>
      </w:r>
      <w:r>
        <w:t>l</w:t>
      </w:r>
      <w:r w:rsidRPr="007C303F">
        <w:t>l the professional opinions, the reasons for them and the reasons for all the decisions which</w:t>
      </w:r>
      <w:r>
        <w:t xml:space="preserve"> </w:t>
      </w:r>
      <w:r w:rsidRPr="007C303F">
        <w:t>have been made. The fact that Mrs S does not like those reasons is not, in my opinion, sufficient</w:t>
      </w:r>
      <w:r>
        <w:t xml:space="preserve"> </w:t>
      </w:r>
      <w:r w:rsidRPr="007C303F">
        <w:t>to outweigh this Authority’s common law obligation not to disclose confidential information.’</w:t>
      </w:r>
      <w:r>
        <w:t xml:space="preserve"> </w:t>
      </w:r>
      <w:r w:rsidRPr="007C303F">
        <w:t>The mother’s solicitors wrote again in October 2000, raising further arguments based on C’s best</w:t>
      </w:r>
      <w:r>
        <w:t xml:space="preserve"> </w:t>
      </w:r>
      <w:r w:rsidRPr="007C303F">
        <w:t>interests and his right to family life, but the response was the same.</w:t>
      </w:r>
    </w:p>
    <w:p w:rsidR="007C303F" w:rsidRPr="007C303F" w:rsidRDefault="007C303F" w:rsidP="007C303F">
      <w:pPr>
        <w:spacing w:after="0"/>
      </w:pPr>
    </w:p>
    <w:p w:rsidR="007C303F" w:rsidRPr="007C303F" w:rsidRDefault="007C303F" w:rsidP="007C303F">
      <w:pPr>
        <w:spacing w:after="0"/>
      </w:pPr>
      <w:r w:rsidRPr="007C303F">
        <w:t>Mrs S’s application for judicial review was lodged on 5th December 2000. The Official Solicitor</w:t>
      </w:r>
      <w:r>
        <w:t xml:space="preserve"> </w:t>
      </w:r>
      <w:r w:rsidRPr="007C303F">
        <w:t>was invited to act for C. An independent psychiatrist confirmed in July 2001 that C lacked capacity</w:t>
      </w:r>
      <w:r>
        <w:t xml:space="preserve"> </w:t>
      </w:r>
      <w:r w:rsidRPr="007C303F">
        <w:t>to consent to disclosure or to apply to a Mental Health Review Tribunal on his own behalf, so the</w:t>
      </w:r>
    </w:p>
    <w:p w:rsidR="007C303F" w:rsidRDefault="007C303F" w:rsidP="007C303F">
      <w:pPr>
        <w:spacing w:after="0"/>
      </w:pPr>
      <w:r w:rsidRPr="007C303F">
        <w:t>Official Solicitor had not visited C or investigated his wishes and feelings about the present</w:t>
      </w:r>
      <w:r>
        <w:t xml:space="preserve"> </w:t>
      </w:r>
      <w:r w:rsidRPr="007C303F">
        <w:t>application. Shortly before the hearing the mother’s solicitors wrote to clarify that their request</w:t>
      </w:r>
      <w:r>
        <w:t xml:space="preserve"> </w:t>
      </w:r>
      <w:r w:rsidRPr="007C303F">
        <w:t>was specifically aimed at finding out about the key decisions made by the authority which led to</w:t>
      </w:r>
      <w:r>
        <w:t xml:space="preserve"> </w:t>
      </w:r>
      <w:r w:rsidRPr="007C303F">
        <w:t>the guardianship and its renewal, and the evidence upon which these were based. The hearing took</w:t>
      </w:r>
      <w:r>
        <w:t xml:space="preserve"> </w:t>
      </w:r>
      <w:r w:rsidRPr="007C303F">
        <w:lastRenderedPageBreak/>
        <w:t>place in July 2001 before Maurice Kay J, with judgment reserved until September 2001. The judge</w:t>
      </w:r>
      <w:r>
        <w:t xml:space="preserve"> </w:t>
      </w:r>
      <w:r w:rsidRPr="007C303F">
        <w:t>dismissed Mrs. S’s application. Permission to appeal was granted in October 2001.</w:t>
      </w:r>
    </w:p>
    <w:p w:rsidR="007C303F" w:rsidRPr="007C303F" w:rsidRDefault="007C303F" w:rsidP="007C303F">
      <w:pPr>
        <w:spacing w:after="0"/>
      </w:pPr>
    </w:p>
    <w:p w:rsidR="007C303F" w:rsidRDefault="007C303F" w:rsidP="007C303F">
      <w:pPr>
        <w:spacing w:after="0"/>
      </w:pPr>
      <w:r w:rsidRPr="007C303F">
        <w:t>The mother’s solicitors identified two experts, a consultant psychiatrist and an independent social</w:t>
      </w:r>
      <w:r>
        <w:t xml:space="preserve"> </w:t>
      </w:r>
      <w:r w:rsidRPr="007C303F">
        <w:t>worker, to advise her on whether to exercise her power as nearest relative to discharge C from</w:t>
      </w:r>
      <w:r>
        <w:t xml:space="preserve"> </w:t>
      </w:r>
      <w:r w:rsidRPr="007C303F">
        <w:t>guardianship. They identified the records they would need to see: their lists were very similar but</w:t>
      </w:r>
      <w:r>
        <w:t xml:space="preserve"> </w:t>
      </w:r>
      <w:r w:rsidRPr="007C303F">
        <w:t>fell short of requiring access to the complete file.</w:t>
      </w:r>
    </w:p>
    <w:p w:rsidR="00386D42" w:rsidRDefault="00386D42" w:rsidP="007C303F">
      <w:pPr>
        <w:spacing w:after="0"/>
      </w:pPr>
    </w:p>
    <w:p w:rsidR="00386D42" w:rsidRDefault="00386D42" w:rsidP="00386D42">
      <w:pPr>
        <w:spacing w:after="0"/>
      </w:pPr>
      <w:r w:rsidRPr="00386D42">
        <w:t>By the time of the Court of Appeal hearing, the local authority had indicated their willingness to</w:t>
      </w:r>
      <w:r>
        <w:t xml:space="preserve"> </w:t>
      </w:r>
      <w:r w:rsidRPr="00386D42">
        <w:t>grant the experts such access as they might require. They would also allow the experts to decide</w:t>
      </w:r>
      <w:r>
        <w:t xml:space="preserve"> </w:t>
      </w:r>
      <w:r w:rsidRPr="00386D42">
        <w:t>what information to disclose to the mother in the course of giving their advice. However, they</w:t>
      </w:r>
      <w:r>
        <w:t xml:space="preserve"> </w:t>
      </w:r>
      <w:r w:rsidRPr="00386D42">
        <w:t>remained unwilling to disclose the information directly to the mother or her solicitors. This</w:t>
      </w:r>
      <w:r>
        <w:t xml:space="preserve"> </w:t>
      </w:r>
      <w:r w:rsidRPr="00386D42">
        <w:t>movement meant that the decision of the judge at first instance was not of great relevance to the</w:t>
      </w:r>
      <w:r>
        <w:t xml:space="preserve"> </w:t>
      </w:r>
      <w:r w:rsidRPr="00386D42">
        <w:t>issue now before the court.</w:t>
      </w:r>
    </w:p>
    <w:p w:rsidR="00386D42" w:rsidRDefault="00386D42" w:rsidP="00386D42">
      <w:pPr>
        <w:spacing w:after="0"/>
      </w:pPr>
    </w:p>
    <w:p w:rsidR="00386D42" w:rsidRPr="00386D42" w:rsidRDefault="00386D42" w:rsidP="00386D42">
      <w:pPr>
        <w:spacing w:after="0"/>
      </w:pPr>
    </w:p>
    <w:p w:rsidR="00386D42" w:rsidRPr="00386D42" w:rsidRDefault="00386D42" w:rsidP="00386D42">
      <w:pPr>
        <w:spacing w:after="0"/>
        <w:rPr>
          <w:b/>
          <w:bCs/>
          <w:sz w:val="24"/>
        </w:rPr>
      </w:pPr>
      <w:r w:rsidRPr="00386D42">
        <w:rPr>
          <w:b/>
          <w:bCs/>
          <w:sz w:val="24"/>
        </w:rPr>
        <w:t>The Law</w:t>
      </w:r>
    </w:p>
    <w:p w:rsidR="00386D42" w:rsidRPr="00386D42" w:rsidRDefault="00386D42" w:rsidP="00386D42">
      <w:pPr>
        <w:spacing w:after="0"/>
        <w:rPr>
          <w:b/>
          <w:i/>
          <w:iCs/>
        </w:rPr>
      </w:pPr>
      <w:r w:rsidRPr="00386D42">
        <w:rPr>
          <w:b/>
          <w:i/>
          <w:iCs/>
        </w:rPr>
        <w:t>Guardianship and displacement applications</w:t>
      </w:r>
    </w:p>
    <w:p w:rsidR="00386D42" w:rsidRDefault="00386D42" w:rsidP="00386D42">
      <w:pPr>
        <w:spacing w:after="0"/>
      </w:pPr>
      <w:r w:rsidRPr="00386D42">
        <w:t>The court reviewed the provisions of the Mental Health Act 1983 relating to guardianship, in</w:t>
      </w:r>
      <w:r>
        <w:t xml:space="preserve"> </w:t>
      </w:r>
      <w:r w:rsidRPr="00386D42">
        <w:t>particular the role of the nearest relative in relation to admission (</w:t>
      </w:r>
      <w:proofErr w:type="gramStart"/>
      <w:r w:rsidRPr="00386D42">
        <w:t>s.11(</w:t>
      </w:r>
      <w:proofErr w:type="gramEnd"/>
      <w:r w:rsidRPr="00386D42">
        <w:t>1) &amp; (4)) and discharge</w:t>
      </w:r>
      <w:r>
        <w:t xml:space="preserve"> </w:t>
      </w:r>
      <w:r w:rsidRPr="00386D42">
        <w:t>(s.23(2)). The court noted that guardianship under the 1959 Act had conferred ‘all such powers as</w:t>
      </w:r>
      <w:r>
        <w:t xml:space="preserve"> </w:t>
      </w:r>
      <w:r w:rsidRPr="00386D42">
        <w:t>would be exercisable by them or him in relation to the patient if they or he were the father of the</w:t>
      </w:r>
      <w:r>
        <w:t xml:space="preserve"> </w:t>
      </w:r>
      <w:r w:rsidRPr="00386D42">
        <w:t>patient and the patient were under the age of fourteen years’ (s.34(1)). By contrast, the 1983 Act</w:t>
      </w:r>
      <w:r>
        <w:t xml:space="preserve"> </w:t>
      </w:r>
      <w:r w:rsidRPr="00386D42">
        <w:t>restricted the guardian’s powers to those which were essential to achieving its purpose. Giving or</w:t>
      </w:r>
      <w:r>
        <w:t xml:space="preserve"> </w:t>
      </w:r>
      <w:r w:rsidRPr="00386D42">
        <w:t>refusing consent to the disclosure of information was not among them.</w:t>
      </w:r>
    </w:p>
    <w:p w:rsidR="00386D42" w:rsidRPr="00386D42" w:rsidRDefault="00386D42" w:rsidP="00386D42">
      <w:pPr>
        <w:spacing w:after="0"/>
      </w:pPr>
    </w:p>
    <w:p w:rsidR="00386D42" w:rsidRPr="00386D42" w:rsidRDefault="00386D42" w:rsidP="00386D42">
      <w:pPr>
        <w:spacing w:after="0"/>
      </w:pPr>
      <w:r w:rsidRPr="00386D42">
        <w:t>Section 24 provides:</w:t>
      </w:r>
    </w:p>
    <w:p w:rsidR="00736520" w:rsidRDefault="00736520" w:rsidP="00386D42">
      <w:pPr>
        <w:pStyle w:val="ListParagraph"/>
        <w:numPr>
          <w:ilvl w:val="0"/>
          <w:numId w:val="1"/>
        </w:numPr>
        <w:spacing w:after="0"/>
      </w:pPr>
      <w:proofErr w:type="gramStart"/>
      <w:r>
        <w:t>‘</w:t>
      </w:r>
      <w:r w:rsidR="00386D42" w:rsidRPr="00386D42">
        <w:t xml:space="preserve"> For</w:t>
      </w:r>
      <w:proofErr w:type="gramEnd"/>
      <w:r w:rsidR="00386D42" w:rsidRPr="00386D42">
        <w:t xml:space="preserve"> the purpose of advising as to the exercise by the nearest relative of a patient who is…subject to guardianship under this Part of this Act of any power to order his discharge,</w:t>
      </w:r>
      <w:r>
        <w:t xml:space="preserve"> </w:t>
      </w:r>
      <w:r w:rsidR="00386D42" w:rsidRPr="00386D42">
        <w:t>any registered medical practitioner authorised by or on behalf of the nearest relative of</w:t>
      </w:r>
      <w:r>
        <w:t xml:space="preserve"> </w:t>
      </w:r>
      <w:r w:rsidR="00386D42" w:rsidRPr="00386D42">
        <w:t>the patient may, at any reasonable time, visit the patient and examine him in private.</w:t>
      </w:r>
    </w:p>
    <w:p w:rsidR="00386D42" w:rsidRDefault="00386D42" w:rsidP="00386D42">
      <w:pPr>
        <w:pStyle w:val="ListParagraph"/>
        <w:numPr>
          <w:ilvl w:val="0"/>
          <w:numId w:val="1"/>
        </w:numPr>
        <w:spacing w:after="0"/>
      </w:pPr>
      <w:r w:rsidRPr="00386D42">
        <w:t>Any registered medical practitioner authorised for the purposes of subsection (1) to visit</w:t>
      </w:r>
      <w:r w:rsidR="00736520">
        <w:t xml:space="preserve"> </w:t>
      </w:r>
      <w:r w:rsidRPr="00386D42">
        <w:t>and examine a patient may require the production of and inspect any records relating to</w:t>
      </w:r>
      <w:r w:rsidR="00736520">
        <w:t xml:space="preserve"> </w:t>
      </w:r>
      <w:r w:rsidRPr="00386D42">
        <w:t>the detention or treatment of the patient in any hospital [or to any after-care services</w:t>
      </w:r>
      <w:r w:rsidR="00736520">
        <w:t xml:space="preserve"> </w:t>
      </w:r>
      <w:r w:rsidRPr="00386D42">
        <w:t>provided for the patient under section 117 below].’</w:t>
      </w:r>
    </w:p>
    <w:p w:rsidR="00736520" w:rsidRDefault="00736520" w:rsidP="00736520">
      <w:pPr>
        <w:spacing w:after="0"/>
      </w:pPr>
    </w:p>
    <w:p w:rsidR="00736520" w:rsidRDefault="00736520" w:rsidP="00736520">
      <w:pPr>
        <w:spacing w:after="0"/>
      </w:pPr>
      <w:r w:rsidRPr="00736520">
        <w:t>Any sensible nearest relative who was unhappy about the decisions made by the professionals</w:t>
      </w:r>
      <w:r>
        <w:t xml:space="preserve"> </w:t>
      </w:r>
      <w:r w:rsidRPr="00736520">
        <w:t>would seek such advice rather than rush to discharge the patient. However, funding for such</w:t>
      </w:r>
      <w:r>
        <w:t xml:space="preserve"> </w:t>
      </w:r>
      <w:r w:rsidRPr="00736520">
        <w:t>independent advice might be difficult to secure. Moreover, section 24 only provides for a doctor</w:t>
      </w:r>
      <w:r>
        <w:t xml:space="preserve"> </w:t>
      </w:r>
      <w:r w:rsidRPr="00736520">
        <w:t>to visit and examine the records, whereas social work judgements about guardianship might be as</w:t>
      </w:r>
      <w:r>
        <w:t xml:space="preserve"> </w:t>
      </w:r>
      <w:r w:rsidRPr="00736520">
        <w:t>important if not more so; and it provides only for hospital and statutory after-care records to be</w:t>
      </w:r>
      <w:r>
        <w:t xml:space="preserve"> </w:t>
      </w:r>
      <w:r w:rsidRPr="00736520">
        <w:t>seen. C was admitted briefly to hospital but under section 2 rather than section 3 so his care did</w:t>
      </w:r>
      <w:r>
        <w:t xml:space="preserve"> </w:t>
      </w:r>
      <w:r w:rsidRPr="00736520">
        <w:t>not fall under section 117.</w:t>
      </w:r>
    </w:p>
    <w:p w:rsidR="00736520" w:rsidRPr="00736520" w:rsidRDefault="00736520" w:rsidP="00736520">
      <w:pPr>
        <w:spacing w:after="0"/>
      </w:pPr>
    </w:p>
    <w:p w:rsidR="00736520" w:rsidRPr="00736520" w:rsidRDefault="00736520" w:rsidP="00736520">
      <w:pPr>
        <w:spacing w:after="0"/>
      </w:pPr>
      <w:r w:rsidRPr="00736520">
        <w:lastRenderedPageBreak/>
        <w:t>The county court has power to displace the nearest relative on the application of, among others, an</w:t>
      </w:r>
      <w:r>
        <w:t xml:space="preserve"> </w:t>
      </w:r>
      <w:r w:rsidRPr="00736520">
        <w:t>approved social worker (</w:t>
      </w:r>
      <w:proofErr w:type="gramStart"/>
      <w:r w:rsidRPr="00736520">
        <w:t>s.29(</w:t>
      </w:r>
      <w:proofErr w:type="gramEnd"/>
      <w:r w:rsidRPr="00736520">
        <w:t>1)) on four grounds (s.29(3)), of which the two most relevant are:</w:t>
      </w:r>
    </w:p>
    <w:p w:rsidR="000E5E99" w:rsidRDefault="000E5E99" w:rsidP="00736520">
      <w:pPr>
        <w:pStyle w:val="ListParagraph"/>
        <w:numPr>
          <w:ilvl w:val="0"/>
          <w:numId w:val="1"/>
        </w:numPr>
        <w:spacing w:after="0"/>
      </w:pPr>
      <w:r>
        <w:t>‘</w:t>
      </w:r>
      <w:r w:rsidR="00736520" w:rsidRPr="00736520">
        <w:t xml:space="preserve"> that the nearest relative of the patient unreasonably objects to the making of… a</w:t>
      </w:r>
      <w:r w:rsidR="00736520">
        <w:t xml:space="preserve"> </w:t>
      </w:r>
      <w:r w:rsidR="00736520" w:rsidRPr="00736520">
        <w:t>guardianship application in respect of the patient; or</w:t>
      </w:r>
    </w:p>
    <w:p w:rsidR="00736520" w:rsidRDefault="00736520" w:rsidP="00736520">
      <w:pPr>
        <w:pStyle w:val="ListParagraph"/>
        <w:numPr>
          <w:ilvl w:val="0"/>
          <w:numId w:val="1"/>
        </w:numPr>
        <w:spacing w:after="0"/>
      </w:pPr>
      <w:r w:rsidRPr="00736520">
        <w:t>that the nearest relative of the patient has exercised without due regard to the welfare of</w:t>
      </w:r>
      <w:r>
        <w:t xml:space="preserve"> </w:t>
      </w:r>
      <w:r w:rsidRPr="00736520">
        <w:t>the patient or the interests of the public his power to discharge the patient from…guardianship under this Part of this Act, or is likely to do so.’</w:t>
      </w:r>
    </w:p>
    <w:p w:rsidR="000E5E99" w:rsidRDefault="000E5E99" w:rsidP="000E5E99">
      <w:pPr>
        <w:spacing w:after="0"/>
      </w:pPr>
    </w:p>
    <w:p w:rsidR="00990412" w:rsidRPr="00990412" w:rsidRDefault="00990412" w:rsidP="00990412">
      <w:pPr>
        <w:spacing w:after="0"/>
      </w:pPr>
      <w:r w:rsidRPr="00990412">
        <w:t xml:space="preserve">The procedure for a displacement application is governed by County Court Rules, Order 49, </w:t>
      </w:r>
      <w:proofErr w:type="gramStart"/>
      <w:r w:rsidRPr="00990412">
        <w:t>rule</w:t>
      </w:r>
      <w:proofErr w:type="gramEnd"/>
      <w:r>
        <w:t xml:space="preserve"> </w:t>
      </w:r>
      <w:r w:rsidRPr="00990412">
        <w:t>12. Rule 12(4) states:</w:t>
      </w:r>
    </w:p>
    <w:p w:rsidR="00990412" w:rsidRPr="00990412" w:rsidRDefault="00990412" w:rsidP="00990412">
      <w:pPr>
        <w:spacing w:after="0"/>
        <w:ind w:left="567" w:right="521"/>
      </w:pPr>
      <w:r w:rsidRPr="00990412">
        <w:t>‘On the hearing of the application the court may accept as evidence of the facts stated therein</w:t>
      </w:r>
      <w:r>
        <w:t xml:space="preserve"> </w:t>
      </w:r>
      <w:r w:rsidRPr="00990412">
        <w:t>any report made by a medical practitioner and any report made in the course of his official</w:t>
      </w:r>
      <w:r>
        <w:t xml:space="preserve"> </w:t>
      </w:r>
      <w:r w:rsidRPr="00990412">
        <w:t>duties by–</w:t>
      </w:r>
    </w:p>
    <w:p w:rsidR="00990412" w:rsidRDefault="00990412" w:rsidP="00990412">
      <w:pPr>
        <w:pStyle w:val="ListParagraph"/>
        <w:numPr>
          <w:ilvl w:val="0"/>
          <w:numId w:val="3"/>
        </w:numPr>
        <w:spacing w:after="0"/>
        <w:ind w:left="1134"/>
      </w:pPr>
      <w:r w:rsidRPr="00990412">
        <w:t>a probation officer; or</w:t>
      </w:r>
    </w:p>
    <w:p w:rsidR="00990412" w:rsidRDefault="00990412" w:rsidP="00990412">
      <w:pPr>
        <w:pStyle w:val="ListParagraph"/>
        <w:numPr>
          <w:ilvl w:val="0"/>
          <w:numId w:val="3"/>
        </w:numPr>
        <w:spacing w:after="0"/>
        <w:ind w:left="1134"/>
      </w:pPr>
      <w:r w:rsidRPr="00990412">
        <w:t>an officer of a local authority or of a voluntary organisation exercising statutory</w:t>
      </w:r>
      <w:r>
        <w:t xml:space="preserve"> </w:t>
      </w:r>
      <w:r w:rsidRPr="00990412">
        <w:t>functions on behalf of a local authority; or</w:t>
      </w:r>
    </w:p>
    <w:p w:rsidR="00990412" w:rsidRPr="00990412" w:rsidRDefault="00990412" w:rsidP="00990412">
      <w:pPr>
        <w:pStyle w:val="ListParagraph"/>
        <w:numPr>
          <w:ilvl w:val="0"/>
          <w:numId w:val="3"/>
        </w:numPr>
        <w:spacing w:after="0"/>
        <w:ind w:left="1134"/>
      </w:pPr>
      <w:r w:rsidRPr="00990412">
        <w:t>an officer of a hospital authority,</w:t>
      </w:r>
      <w:r>
        <w:t xml:space="preserve"> </w:t>
      </w:r>
    </w:p>
    <w:p w:rsidR="00990412" w:rsidRDefault="00990412" w:rsidP="00990412">
      <w:pPr>
        <w:spacing w:after="0"/>
        <w:ind w:left="567" w:right="521"/>
      </w:pPr>
      <w:proofErr w:type="gramStart"/>
      <w:r w:rsidRPr="00990412">
        <w:t>provided</w:t>
      </w:r>
      <w:proofErr w:type="gramEnd"/>
      <w:r w:rsidRPr="00990412">
        <w:t xml:space="preserve"> that the respondent shall be told the substance of any part of the report bearing on</w:t>
      </w:r>
      <w:r>
        <w:t xml:space="preserve"> </w:t>
      </w:r>
      <w:r w:rsidRPr="00990412">
        <w:t>his fitness or conduct which the judge considers to be material for the fair determination of the</w:t>
      </w:r>
      <w:r>
        <w:t xml:space="preserve"> </w:t>
      </w:r>
      <w:r w:rsidRPr="00990412">
        <w:t>application.’</w:t>
      </w:r>
    </w:p>
    <w:p w:rsidR="00990412" w:rsidRPr="00990412" w:rsidRDefault="00990412" w:rsidP="00990412">
      <w:pPr>
        <w:spacing w:after="0"/>
        <w:ind w:left="567" w:right="521"/>
      </w:pPr>
    </w:p>
    <w:p w:rsidR="00990412" w:rsidRPr="00990412" w:rsidRDefault="00990412" w:rsidP="00990412">
      <w:pPr>
        <w:spacing w:after="0"/>
      </w:pPr>
      <w:r w:rsidRPr="00990412">
        <w:t>By contrast, section 78(2) of the Mental Health Act 1983 (vires for mental health review tribunals)</w:t>
      </w:r>
      <w:r>
        <w:t xml:space="preserve"> </w:t>
      </w:r>
      <w:r w:rsidRPr="00990412">
        <w:t>specifically allows provision to be made:</w:t>
      </w:r>
    </w:p>
    <w:p w:rsidR="000E5E99" w:rsidRDefault="00990412" w:rsidP="00990412">
      <w:pPr>
        <w:pStyle w:val="ListParagraph"/>
        <w:numPr>
          <w:ilvl w:val="0"/>
          <w:numId w:val="5"/>
        </w:numPr>
        <w:spacing w:after="0"/>
      </w:pPr>
      <w:proofErr w:type="gramStart"/>
      <w:r>
        <w:t>‘</w:t>
      </w:r>
      <w:r w:rsidRPr="00990412">
        <w:t xml:space="preserve"> for</w:t>
      </w:r>
      <w:proofErr w:type="gramEnd"/>
      <w:r w:rsidRPr="00990412">
        <w:t xml:space="preserve"> making available to any applicant, and to any patient in respect of whom an</w:t>
      </w:r>
      <w:r>
        <w:t xml:space="preserve"> </w:t>
      </w:r>
      <w:r w:rsidRPr="00990412">
        <w:t>application is made to a tribunal, copies of any documents obtained by or furnished to</w:t>
      </w:r>
      <w:r>
        <w:t xml:space="preserve"> </w:t>
      </w:r>
      <w:r w:rsidRPr="00990412">
        <w:t>the tribunal in connection with the application, and a statement of the substance of any</w:t>
      </w:r>
      <w:r>
        <w:t xml:space="preserve"> </w:t>
      </w:r>
      <w:r w:rsidRPr="00990412">
        <w:t>oral information so obtained or furnished except where the tribunal considers it</w:t>
      </w:r>
      <w:r>
        <w:t xml:space="preserve"> </w:t>
      </w:r>
      <w:r w:rsidRPr="00990412">
        <w:t>undesirable in the interests of the patient or for other special reasons.’</w:t>
      </w:r>
    </w:p>
    <w:p w:rsidR="00990412" w:rsidRDefault="00990412" w:rsidP="00990412">
      <w:pPr>
        <w:spacing w:after="0"/>
      </w:pPr>
    </w:p>
    <w:p w:rsidR="00990412" w:rsidRPr="00990412" w:rsidRDefault="00990412" w:rsidP="00990412">
      <w:pPr>
        <w:spacing w:after="0"/>
        <w:rPr>
          <w:b/>
          <w:i/>
          <w:iCs/>
        </w:rPr>
      </w:pPr>
      <w:r w:rsidRPr="00990412">
        <w:rPr>
          <w:b/>
          <w:i/>
          <w:iCs/>
        </w:rPr>
        <w:t>The Data Protection Act 1998</w:t>
      </w:r>
    </w:p>
    <w:p w:rsidR="00990412" w:rsidRDefault="00990412" w:rsidP="00990412">
      <w:pPr>
        <w:spacing w:after="0"/>
      </w:pPr>
      <w:r w:rsidRPr="00990412">
        <w:t>The Data Protection Act did not offer much assistance in this case. All the material requested was</w:t>
      </w:r>
      <w:r>
        <w:t xml:space="preserve"> </w:t>
      </w:r>
      <w:r w:rsidRPr="00990412">
        <w:t>‘personal data’, and so much of it as related to C’s ‘physical or mental health or condition’ was</w:t>
      </w:r>
      <w:r>
        <w:t xml:space="preserve"> </w:t>
      </w:r>
      <w:r w:rsidRPr="00990412">
        <w:t>‘sensitive personal data’ within the meaning of section 2(e). The processing of sensitive personal</w:t>
      </w:r>
      <w:r>
        <w:t xml:space="preserve"> </w:t>
      </w:r>
      <w:r w:rsidRPr="00990412">
        <w:t>data is permitted where it is necessary in order to protect the vital interests of the data subject or</w:t>
      </w:r>
      <w:r>
        <w:t xml:space="preserve"> </w:t>
      </w:r>
      <w:r w:rsidRPr="00990412">
        <w:t>another person in a case where consent cannot be given by, or on behalf of, the data subject (Sch.3,</w:t>
      </w:r>
      <w:r>
        <w:t xml:space="preserve"> </w:t>
      </w:r>
      <w:r w:rsidRPr="00990412">
        <w:t>para 3); or for the purpose of, or in connection with, any legal proceedings (including prospective</w:t>
      </w:r>
      <w:r>
        <w:t xml:space="preserve"> </w:t>
      </w:r>
      <w:r w:rsidRPr="00990412">
        <w:t>legal proceedings) or for the purpose of obtaining legal advice, or where it is otherwise necessary</w:t>
      </w:r>
      <w:r>
        <w:t xml:space="preserve"> </w:t>
      </w:r>
      <w:r w:rsidRPr="00990412">
        <w:t>for the purposes of establishing, exercising or defending legal rights (para 6); or where it is</w:t>
      </w:r>
      <w:r>
        <w:t xml:space="preserve"> </w:t>
      </w:r>
      <w:r w:rsidRPr="00990412">
        <w:t>necessary for the administration of justice, or for the exercise of any functions conferred on any</w:t>
      </w:r>
      <w:r>
        <w:t xml:space="preserve"> </w:t>
      </w:r>
      <w:r w:rsidRPr="00990412">
        <w:t>person by or under an enactment (para 7). It was common ground that the Data Protection Act did</w:t>
      </w:r>
      <w:r>
        <w:t xml:space="preserve"> </w:t>
      </w:r>
      <w:r w:rsidRPr="00990412">
        <w:t>not prevent the local authority from disclosing the information, but that it did not require the</w:t>
      </w:r>
      <w:r>
        <w:t xml:space="preserve"> </w:t>
      </w:r>
      <w:r w:rsidRPr="00990412">
        <w:t>authority to do so.</w:t>
      </w:r>
    </w:p>
    <w:p w:rsidR="00990412" w:rsidRDefault="00990412" w:rsidP="00990412">
      <w:pPr>
        <w:spacing w:after="0"/>
      </w:pPr>
    </w:p>
    <w:p w:rsidR="00990412" w:rsidRPr="00990412" w:rsidRDefault="00990412" w:rsidP="00990412">
      <w:pPr>
        <w:spacing w:after="0"/>
      </w:pPr>
    </w:p>
    <w:p w:rsidR="00990412" w:rsidRPr="00990412" w:rsidRDefault="00990412" w:rsidP="00990412">
      <w:pPr>
        <w:spacing w:after="0"/>
        <w:rPr>
          <w:b/>
          <w:i/>
          <w:iCs/>
        </w:rPr>
      </w:pPr>
      <w:r w:rsidRPr="00990412">
        <w:rPr>
          <w:b/>
          <w:i/>
          <w:iCs/>
        </w:rPr>
        <w:t>The common law and the European Convention on Human Rights</w:t>
      </w:r>
    </w:p>
    <w:p w:rsidR="00990412" w:rsidRDefault="00990412" w:rsidP="00990412">
      <w:pPr>
        <w:spacing w:after="0"/>
      </w:pPr>
      <w:r w:rsidRPr="00990412">
        <w:lastRenderedPageBreak/>
        <w:t>The answer to the dilemma in this case must therefore turn upon the principles of the common</w:t>
      </w:r>
      <w:r>
        <w:t xml:space="preserve"> </w:t>
      </w:r>
      <w:r w:rsidRPr="00990412">
        <w:t>law and the obligations of the local authority and the court under the Human Rights Act 1998.</w:t>
      </w:r>
      <w:r>
        <w:t xml:space="preserve"> </w:t>
      </w:r>
      <w:r w:rsidRPr="00990412">
        <w:t>The position of the parties could be simply stated.</w:t>
      </w:r>
    </w:p>
    <w:p w:rsidR="00990412" w:rsidRPr="00990412" w:rsidRDefault="00990412" w:rsidP="00990412">
      <w:pPr>
        <w:spacing w:after="0"/>
      </w:pPr>
    </w:p>
    <w:p w:rsidR="00990412" w:rsidRDefault="00990412" w:rsidP="00990412">
      <w:pPr>
        <w:spacing w:after="0"/>
      </w:pPr>
      <w:r w:rsidRPr="00990412">
        <w:t>Mr Alan Maclean, on behalf of the authority, started from the proposition that this was</w:t>
      </w:r>
      <w:r>
        <w:t xml:space="preserve"> </w:t>
      </w:r>
      <w:r w:rsidRPr="00990412">
        <w:t>confidential information which should not be disclosed without a very good reason. However, the</w:t>
      </w:r>
      <w:r>
        <w:t xml:space="preserve"> </w:t>
      </w:r>
      <w:proofErr w:type="gramStart"/>
      <w:r w:rsidRPr="00990412">
        <w:t>authority were</w:t>
      </w:r>
      <w:proofErr w:type="gramEnd"/>
      <w:r w:rsidRPr="00990412">
        <w:t xml:space="preserve"> now content for the mother to see anything which her experts considered she should</w:t>
      </w:r>
      <w:r>
        <w:t xml:space="preserve"> </w:t>
      </w:r>
      <w:r w:rsidRPr="00990412">
        <w:t>see. They justified this by extension of the purpose underlying sections 24(1) &amp; (2) of the 1983 Act.</w:t>
      </w:r>
    </w:p>
    <w:p w:rsidR="003360AE" w:rsidRDefault="003360AE" w:rsidP="00990412">
      <w:pPr>
        <w:spacing w:after="0"/>
      </w:pPr>
    </w:p>
    <w:p w:rsidR="003360AE" w:rsidRDefault="003360AE" w:rsidP="003360AE">
      <w:pPr>
        <w:spacing w:after="0"/>
      </w:pPr>
      <w:r w:rsidRPr="003360AE">
        <w:t>Mr Murray Hunt, on behalf of the mother, started from the proposition that the relevant interests</w:t>
      </w:r>
      <w:r>
        <w:t xml:space="preserve"> </w:t>
      </w:r>
      <w:r w:rsidRPr="003360AE">
        <w:t>should be balanced against each other. However, while C’s interest in preserving confidentiality was</w:t>
      </w:r>
      <w:r>
        <w:t xml:space="preserve"> </w:t>
      </w:r>
      <w:r w:rsidRPr="003360AE">
        <w:t>purely theoretical given his lack of capacity, the mother was entitled to the information she</w:t>
      </w:r>
      <w:r>
        <w:t xml:space="preserve"> </w:t>
      </w:r>
      <w:r w:rsidRPr="003360AE">
        <w:t>required in order to seek legal and professional advice upon the exercise of her functions as nearest</w:t>
      </w:r>
      <w:r>
        <w:t xml:space="preserve"> </w:t>
      </w:r>
      <w:r w:rsidRPr="003360AE">
        <w:t>relative. This was part and parcel of her right of access to a court both at common law and under</w:t>
      </w:r>
      <w:r>
        <w:t xml:space="preserve"> </w:t>
      </w:r>
      <w:r w:rsidRPr="003360AE">
        <w:t xml:space="preserve">Article 6 of the European </w:t>
      </w:r>
      <w:proofErr w:type="gramStart"/>
      <w:r w:rsidRPr="003360AE">
        <w:t>Convention,</w:t>
      </w:r>
      <w:proofErr w:type="gramEnd"/>
      <w:r w:rsidRPr="003360AE">
        <w:t xml:space="preserve"> because the local authority had made it clear that they</w:t>
      </w:r>
      <w:r>
        <w:t xml:space="preserve"> </w:t>
      </w:r>
      <w:r w:rsidRPr="003360AE">
        <w:t>would apply to a county court should she seek to discharge her son from guardianship against their</w:t>
      </w:r>
      <w:r>
        <w:t xml:space="preserve"> </w:t>
      </w:r>
      <w:r w:rsidRPr="003360AE">
        <w:t>wishes. Mr Hunt acknowledged that this right must be qualified where there was a risk that</w:t>
      </w:r>
      <w:r>
        <w:t xml:space="preserve"> </w:t>
      </w:r>
      <w:r w:rsidRPr="003360AE">
        <w:t>disclosure would be harmful or damaging to C’s health or welfare. There was no such suggestion</w:t>
      </w:r>
      <w:r>
        <w:t xml:space="preserve"> </w:t>
      </w:r>
      <w:r w:rsidRPr="003360AE">
        <w:t>in this case.</w:t>
      </w:r>
    </w:p>
    <w:p w:rsidR="003360AE" w:rsidRPr="003360AE" w:rsidRDefault="003360AE" w:rsidP="003360AE">
      <w:pPr>
        <w:spacing w:after="0"/>
      </w:pPr>
    </w:p>
    <w:p w:rsidR="003360AE" w:rsidRDefault="003360AE" w:rsidP="003360AE">
      <w:pPr>
        <w:spacing w:after="0"/>
      </w:pPr>
      <w:r w:rsidRPr="003360AE">
        <w:t xml:space="preserve">Miss </w:t>
      </w:r>
      <w:proofErr w:type="spellStart"/>
      <w:r w:rsidRPr="003360AE">
        <w:t>Weereratne</w:t>
      </w:r>
      <w:proofErr w:type="spellEnd"/>
      <w:r w:rsidRPr="003360AE">
        <w:t>, on behalf of the Official Solicitor acting for C, was mainly concerned that the</w:t>
      </w:r>
      <w:r>
        <w:t xml:space="preserve"> </w:t>
      </w:r>
      <w:r w:rsidRPr="003360AE">
        <w:t>court should not endorse an absolute right of any nearest relative to the disclosure of any</w:t>
      </w:r>
      <w:r>
        <w:t xml:space="preserve"> </w:t>
      </w:r>
      <w:r w:rsidRPr="003360AE">
        <w:t>information about a patient for which she asked. She drew a distinction between the</w:t>
      </w:r>
      <w:r>
        <w:t xml:space="preserve"> </w:t>
      </w:r>
      <w:r w:rsidRPr="003360AE">
        <w:t>documentation necessary to support the guardianship application and its renewal and the wider</w:t>
      </w:r>
      <w:r>
        <w:t xml:space="preserve"> </w:t>
      </w:r>
      <w:r w:rsidRPr="003360AE">
        <w:t>disclosure of social services files. She was however content with the disclosure to experts offered</w:t>
      </w:r>
      <w:r>
        <w:t xml:space="preserve"> </w:t>
      </w:r>
      <w:r w:rsidRPr="003360AE">
        <w:t>by the authority and content for the experts to disclose this material to the mother and her legal</w:t>
      </w:r>
      <w:r>
        <w:t xml:space="preserve"> </w:t>
      </w:r>
      <w:r w:rsidRPr="003360AE">
        <w:t>advisers.</w:t>
      </w:r>
    </w:p>
    <w:p w:rsidR="003360AE" w:rsidRPr="003360AE" w:rsidRDefault="003360AE" w:rsidP="003360AE">
      <w:pPr>
        <w:spacing w:after="0"/>
      </w:pPr>
    </w:p>
    <w:p w:rsidR="003360AE" w:rsidRDefault="003360AE" w:rsidP="003360AE">
      <w:pPr>
        <w:spacing w:after="0"/>
      </w:pPr>
      <w:r w:rsidRPr="003360AE">
        <w:t>The simple answer was that, both at common law and under the Human Rights Act, a balance had</w:t>
      </w:r>
      <w:r>
        <w:t xml:space="preserve"> </w:t>
      </w:r>
      <w:r w:rsidRPr="003360AE">
        <w:t>to be struck between the public and private interests in maintaining the confidentiality of this</w:t>
      </w:r>
      <w:r>
        <w:t xml:space="preserve"> </w:t>
      </w:r>
      <w:r w:rsidRPr="003360AE">
        <w:t>information, and the public and private interests in permitting, indeed requiring, its disclosure for</w:t>
      </w:r>
      <w:r>
        <w:t xml:space="preserve"> </w:t>
      </w:r>
      <w:r w:rsidRPr="003360AE">
        <w:t>certain purposes. There was no evidence from correspondence leading up to the first instance</w:t>
      </w:r>
      <w:r>
        <w:t xml:space="preserve"> </w:t>
      </w:r>
      <w:r w:rsidRPr="003360AE">
        <w:t>hearing that the local authority had made any attempt to strike that balance. They began from the</w:t>
      </w:r>
      <w:r>
        <w:t xml:space="preserve"> </w:t>
      </w:r>
      <w:r w:rsidRPr="003360AE">
        <w:t>proposition that they had no power to disclose the information at all. They no longer sought to</w:t>
      </w:r>
      <w:r>
        <w:t xml:space="preserve"> </w:t>
      </w:r>
      <w:r w:rsidRPr="003360AE">
        <w:t>justify that stance. The more difficult question was how that balance was now to be struck.</w:t>
      </w:r>
    </w:p>
    <w:p w:rsidR="008268CC" w:rsidRDefault="008268CC" w:rsidP="003360AE">
      <w:pPr>
        <w:spacing w:after="0"/>
      </w:pPr>
    </w:p>
    <w:p w:rsidR="008268CC" w:rsidRDefault="008268CC" w:rsidP="003360AE">
      <w:pPr>
        <w:spacing w:after="0"/>
      </w:pPr>
    </w:p>
    <w:p w:rsidR="008268CC" w:rsidRDefault="008268CC" w:rsidP="008268CC">
      <w:pPr>
        <w:spacing w:after="0"/>
        <w:rPr>
          <w:b/>
          <w:bCs/>
          <w:sz w:val="24"/>
        </w:rPr>
      </w:pPr>
      <w:r w:rsidRPr="008268CC">
        <w:rPr>
          <w:b/>
          <w:bCs/>
          <w:sz w:val="24"/>
        </w:rPr>
        <w:t>The judgment</w:t>
      </w:r>
    </w:p>
    <w:p w:rsidR="008268CC" w:rsidRPr="008268CC" w:rsidRDefault="008268CC" w:rsidP="008268CC">
      <w:pPr>
        <w:spacing w:after="0"/>
        <w:rPr>
          <w:b/>
          <w:bCs/>
          <w:sz w:val="24"/>
        </w:rPr>
      </w:pPr>
    </w:p>
    <w:p w:rsidR="008268CC" w:rsidRDefault="008268CC" w:rsidP="008268CC">
      <w:pPr>
        <w:spacing w:after="0"/>
      </w:pPr>
      <w:r w:rsidRPr="008268CC">
        <w:rPr>
          <w:i/>
          <w:iCs/>
        </w:rPr>
        <w:t xml:space="preserve">Hale LJ </w:t>
      </w:r>
      <w:r w:rsidRPr="008268CC">
        <w:t>gave the majority judgment of the court.</w:t>
      </w:r>
    </w:p>
    <w:p w:rsidR="008268CC" w:rsidRPr="008268CC" w:rsidRDefault="008268CC" w:rsidP="008268CC">
      <w:pPr>
        <w:spacing w:after="0"/>
      </w:pPr>
    </w:p>
    <w:p w:rsidR="008268CC" w:rsidRDefault="008268CC" w:rsidP="008268CC">
      <w:pPr>
        <w:spacing w:after="0"/>
      </w:pPr>
      <w:r w:rsidRPr="008268CC">
        <w:t>The common law obligation to keep a confidence was conceptually quite different from the</w:t>
      </w:r>
      <w:r>
        <w:t xml:space="preserve"> </w:t>
      </w:r>
      <w:r w:rsidRPr="008268CC">
        <w:t>statutory obligation to process data in accordance with the data protection principles and from the</w:t>
      </w:r>
      <w:r>
        <w:t xml:space="preserve"> </w:t>
      </w:r>
      <w:r w:rsidRPr="008268CC">
        <w:t>right to respect for private life enshrined in Article 8(1) of the European Convention on Human</w:t>
      </w:r>
      <w:r>
        <w:t xml:space="preserve"> </w:t>
      </w:r>
      <w:r w:rsidRPr="008268CC">
        <w:t>Rights, although there were overlaps. The local authority had assumed that all the material was</w:t>
      </w:r>
      <w:r>
        <w:t xml:space="preserve"> </w:t>
      </w:r>
      <w:r w:rsidRPr="008268CC">
        <w:t>covered by a common law obligation of confidence. They had not sought to claim any form of</w:t>
      </w:r>
      <w:r>
        <w:t xml:space="preserve"> </w:t>
      </w:r>
      <w:r w:rsidRPr="008268CC">
        <w:t>public interest immunity for it. Some of the material would indeed be confidential to C, for</w:t>
      </w:r>
      <w:r>
        <w:t xml:space="preserve"> </w:t>
      </w:r>
      <w:r w:rsidRPr="008268CC">
        <w:t xml:space="preserve">example </w:t>
      </w:r>
      <w:r w:rsidRPr="008268CC">
        <w:lastRenderedPageBreak/>
        <w:t>medical reports and recommendations. Some might be confidential to other people, for</w:t>
      </w:r>
      <w:r>
        <w:t xml:space="preserve"> </w:t>
      </w:r>
      <w:r w:rsidRPr="008268CC">
        <w:t>example opinions shared at professionals’ meetings. Some might not be confidential at all, such as</w:t>
      </w:r>
      <w:r>
        <w:t xml:space="preserve"> </w:t>
      </w:r>
      <w:r w:rsidRPr="008268CC">
        <w:t>straightforward descriptions of everyday life. For the sake of argument the court had assumed that</w:t>
      </w:r>
      <w:r>
        <w:t xml:space="preserve"> </w:t>
      </w:r>
      <w:r w:rsidRPr="008268CC">
        <w:t>most if not all of the information sought was covered by a common law obligation of confidence.</w:t>
      </w:r>
    </w:p>
    <w:p w:rsidR="008268CC" w:rsidRPr="008268CC" w:rsidRDefault="008268CC" w:rsidP="008268CC">
      <w:pPr>
        <w:spacing w:after="0"/>
      </w:pPr>
    </w:p>
    <w:p w:rsidR="008268CC" w:rsidRDefault="008268CC" w:rsidP="008268CC">
      <w:pPr>
        <w:spacing w:after="0"/>
      </w:pPr>
      <w:r w:rsidRPr="008268CC">
        <w:t>Even where information was covered by an obligation of confidence, the breadth of that obligation</w:t>
      </w:r>
      <w:r>
        <w:t xml:space="preserve"> </w:t>
      </w:r>
      <w:r w:rsidRPr="008268CC">
        <w:t xml:space="preserve">depended upon the circumstances: see </w:t>
      </w:r>
      <w:r w:rsidRPr="008268CC">
        <w:rPr>
          <w:i/>
          <w:iCs/>
        </w:rPr>
        <w:t xml:space="preserve">W v </w:t>
      </w:r>
      <w:proofErr w:type="spellStart"/>
      <w:r w:rsidRPr="008268CC">
        <w:rPr>
          <w:i/>
          <w:iCs/>
        </w:rPr>
        <w:t>Egdell</w:t>
      </w:r>
      <w:proofErr w:type="spellEnd"/>
      <w:r w:rsidRPr="008268CC">
        <w:rPr>
          <w:i/>
          <w:iCs/>
        </w:rPr>
        <w:t xml:space="preserve"> </w:t>
      </w:r>
      <w:r w:rsidRPr="008268CC">
        <w:t xml:space="preserve">(1990) </w:t>
      </w:r>
      <w:proofErr w:type="spellStart"/>
      <w:r w:rsidRPr="008268CC">
        <w:t>Ch</w:t>
      </w:r>
      <w:proofErr w:type="spellEnd"/>
      <w:r w:rsidRPr="008268CC">
        <w:t xml:space="preserve"> 359, per Bingham LJ at 419c. If the</w:t>
      </w:r>
      <w:r>
        <w:t xml:space="preserve"> </w:t>
      </w:r>
      <w:r w:rsidRPr="008268CC">
        <w:t>information had been brought into existence for certain authorised purposes, it could be disclosed</w:t>
      </w:r>
      <w:r>
        <w:t xml:space="preserve"> </w:t>
      </w:r>
      <w:r w:rsidRPr="008268CC">
        <w:t>for those purposes. For example, the medical reports and recommendations had to be disclosed to</w:t>
      </w:r>
      <w:r>
        <w:t xml:space="preserve"> </w:t>
      </w:r>
      <w:r w:rsidRPr="008268CC">
        <w:t>the applicant approved social worker and to the local authority in order for them to fulfil their</w:t>
      </w:r>
      <w:r>
        <w:t xml:space="preserve"> </w:t>
      </w:r>
      <w:r w:rsidRPr="008268CC">
        <w:t>statutory functions. It was scarcely a large step to include the nearest relative within that loop.</w:t>
      </w:r>
    </w:p>
    <w:p w:rsidR="007B0FB1" w:rsidRDefault="007B0FB1" w:rsidP="008268CC">
      <w:pPr>
        <w:spacing w:after="0"/>
      </w:pPr>
    </w:p>
    <w:p w:rsidR="007B0FB1" w:rsidRDefault="007B0FB1" w:rsidP="007B0FB1">
      <w:pPr>
        <w:spacing w:after="0"/>
      </w:pPr>
      <w:r w:rsidRPr="007B0FB1">
        <w:t>Furthermore, as Bingham LJ observed, the decided cases very clearly established that duties of</w:t>
      </w:r>
      <w:r>
        <w:t xml:space="preserve"> </w:t>
      </w:r>
      <w:r w:rsidRPr="007B0FB1">
        <w:t>confidence were not absolute but liable to be overridden where there was held to be a stronger</w:t>
      </w:r>
      <w:r>
        <w:t xml:space="preserve"> </w:t>
      </w:r>
      <w:r w:rsidRPr="007B0FB1">
        <w:t>public interest in disclosure. The first example he gave was the public interest in the administration</w:t>
      </w:r>
      <w:r>
        <w:t xml:space="preserve"> </w:t>
      </w:r>
      <w:r w:rsidRPr="007B0FB1">
        <w:t>of justice. Professional confidence had frequently to be breached in the course of litigation. Hence</w:t>
      </w:r>
      <w:r>
        <w:t xml:space="preserve"> </w:t>
      </w:r>
      <w:r w:rsidRPr="007B0FB1">
        <w:t>the basic documents upon which the guardianship was founded, the application, the medical</w:t>
      </w:r>
      <w:r>
        <w:t xml:space="preserve"> </w:t>
      </w:r>
      <w:r w:rsidRPr="007B0FB1">
        <w:t>recommendations and the renewal reports, should be placed before a court hearing an application</w:t>
      </w:r>
      <w:r>
        <w:t xml:space="preserve"> </w:t>
      </w:r>
      <w:r w:rsidRPr="007B0FB1">
        <w:t>to displace the nearest relative. They would also have to be disclosed to a mental health review</w:t>
      </w:r>
      <w:r>
        <w:t xml:space="preserve"> </w:t>
      </w:r>
      <w:r w:rsidRPr="007B0FB1">
        <w:t>tribunal hearing an application made either by C or by his mother, should she be displaced as</w:t>
      </w:r>
      <w:r>
        <w:t xml:space="preserve"> </w:t>
      </w:r>
      <w:r w:rsidRPr="007B0FB1">
        <w:t>nearest relative.</w:t>
      </w:r>
    </w:p>
    <w:p w:rsidR="007B0FB1" w:rsidRPr="007B0FB1" w:rsidRDefault="007B0FB1" w:rsidP="007B0FB1">
      <w:pPr>
        <w:spacing w:after="0"/>
      </w:pPr>
    </w:p>
    <w:p w:rsidR="007B0FB1" w:rsidRDefault="007B0FB1" w:rsidP="007B0FB1">
      <w:pPr>
        <w:spacing w:after="0"/>
      </w:pPr>
      <w:r w:rsidRPr="007B0FB1">
        <w:t xml:space="preserve">In </w:t>
      </w:r>
      <w:r w:rsidRPr="007B0FB1">
        <w:rPr>
          <w:i/>
          <w:iCs/>
        </w:rPr>
        <w:t xml:space="preserve">B (A) v B (L) (Mental Health Patient) </w:t>
      </w:r>
      <w:r w:rsidRPr="007B0FB1">
        <w:t>(1980) 1 WLR 116, this court had held it sufficient to</w:t>
      </w:r>
      <w:r>
        <w:t xml:space="preserve"> </w:t>
      </w:r>
      <w:r w:rsidRPr="007B0FB1">
        <w:t>comply with CCR Order 49 rule 12(4) if medical reports were shown to the solicitor acting for the</w:t>
      </w:r>
      <w:r>
        <w:t xml:space="preserve"> </w:t>
      </w:r>
      <w:r w:rsidRPr="007B0FB1">
        <w:t>nearest relative. However, rule 12(4) clearly imposed a minimum obligation. It might imply that the</w:t>
      </w:r>
      <w:r>
        <w:t xml:space="preserve"> </w:t>
      </w:r>
      <w:r w:rsidRPr="007B0FB1">
        <w:t>court had power to withhold other relevant information from a party to the proceedings, but it</w:t>
      </w:r>
      <w:r>
        <w:t xml:space="preserve"> </w:t>
      </w:r>
      <w:r w:rsidRPr="007B0FB1">
        <w:t>certainly did not require the court to do so. The court had to comply with the rules of natural</w:t>
      </w:r>
      <w:r>
        <w:t xml:space="preserve"> </w:t>
      </w:r>
      <w:r w:rsidRPr="007B0FB1">
        <w:t>justice, which normally required that anything relevant to the court’s decision be seen by both</w:t>
      </w:r>
      <w:r>
        <w:t xml:space="preserve"> </w:t>
      </w:r>
      <w:r w:rsidRPr="007B0FB1">
        <w:t xml:space="preserve">sides to the dispute: see </w:t>
      </w:r>
      <w:r w:rsidRPr="007B0FB1">
        <w:rPr>
          <w:i/>
          <w:iCs/>
        </w:rPr>
        <w:t xml:space="preserve">Re D (Adoption Reports: Confidentiality) </w:t>
      </w:r>
      <w:r w:rsidRPr="007B0FB1">
        <w:t xml:space="preserve">(1996) AC 593, per Lord </w:t>
      </w:r>
      <w:proofErr w:type="spellStart"/>
      <w:r w:rsidRPr="007B0FB1">
        <w:t>Mustill</w:t>
      </w:r>
      <w:proofErr w:type="spellEnd"/>
      <w:r>
        <w:t xml:space="preserve"> </w:t>
      </w:r>
      <w:r w:rsidRPr="007B0FB1">
        <w:t>at 615. The principle might be qualified if there were competing interests sufficient to outweigh it.</w:t>
      </w:r>
      <w:r>
        <w:t xml:space="preserve"> </w:t>
      </w:r>
      <w:r w:rsidRPr="007B0FB1">
        <w:t>In particular, where the proceedings concerned the welfare of a child or a patient, it might have to</w:t>
      </w:r>
      <w:r>
        <w:t xml:space="preserve"> </w:t>
      </w:r>
      <w:r w:rsidRPr="007B0FB1">
        <w:t>yield to the need to protect that person from harm or the risk of harm. However, that person also</w:t>
      </w:r>
      <w:r>
        <w:t xml:space="preserve"> </w:t>
      </w:r>
      <w:r w:rsidRPr="007B0FB1">
        <w:t>had an interest in the fairness of the trial and in having the material properly tested in court.</w:t>
      </w:r>
    </w:p>
    <w:p w:rsidR="007B0FB1" w:rsidRPr="007B0FB1" w:rsidRDefault="007B0FB1" w:rsidP="007B0FB1">
      <w:pPr>
        <w:spacing w:after="0"/>
      </w:pPr>
    </w:p>
    <w:p w:rsidR="007B0FB1" w:rsidRPr="007B0FB1" w:rsidRDefault="007B0FB1" w:rsidP="007B0FB1">
      <w:pPr>
        <w:spacing w:after="0"/>
      </w:pPr>
      <w:r w:rsidRPr="007B0FB1">
        <w:t>Those basic principles were reinforced by Article 6 and 8 of the European Convention on Human</w:t>
      </w:r>
      <w:r>
        <w:t xml:space="preserve"> </w:t>
      </w:r>
      <w:r w:rsidRPr="007B0FB1">
        <w:t>Rights. Although the right to a fair trial in Article 6 was absolute, the content of that right was not.</w:t>
      </w:r>
    </w:p>
    <w:p w:rsidR="007B0FB1" w:rsidRDefault="007B0FB1" w:rsidP="007B0FB1">
      <w:pPr>
        <w:spacing w:after="0"/>
      </w:pPr>
      <w:r w:rsidRPr="007B0FB1">
        <w:t>Hence the right to see all the documents in a case might be outweighed by other considerations,</w:t>
      </w:r>
      <w:r>
        <w:t xml:space="preserve"> </w:t>
      </w:r>
      <w:r w:rsidRPr="007B0FB1">
        <w:t>but there must be a clear and proper public objective and the limitation must be proportionate to</w:t>
      </w:r>
      <w:r>
        <w:t xml:space="preserve"> </w:t>
      </w:r>
      <w:r w:rsidRPr="007B0FB1">
        <w:t>that objective. There were proper public objectives other than the protection of a child or patient</w:t>
      </w:r>
      <w:r>
        <w:t xml:space="preserve"> </w:t>
      </w:r>
      <w:r w:rsidRPr="007B0FB1">
        <w:t>from harm, but no such objective had been put forward in this case. In general, therefore, one</w:t>
      </w:r>
      <w:r>
        <w:t xml:space="preserve"> </w:t>
      </w:r>
      <w:r w:rsidRPr="007B0FB1">
        <w:t>would expect the disclosure of all the information put before the court in proceedings under</w:t>
      </w:r>
      <w:r>
        <w:t xml:space="preserve"> </w:t>
      </w:r>
      <w:r w:rsidRPr="007B0FB1">
        <w:t>section 29 unless there was a demonstrable risk of harm to the patient or others in so doing.</w:t>
      </w:r>
    </w:p>
    <w:p w:rsidR="003423A4" w:rsidRDefault="003423A4" w:rsidP="007B0FB1">
      <w:pPr>
        <w:spacing w:after="0"/>
      </w:pPr>
    </w:p>
    <w:p w:rsidR="003423A4" w:rsidRDefault="003423A4" w:rsidP="003423A4">
      <w:pPr>
        <w:spacing w:after="0"/>
      </w:pPr>
      <w:r w:rsidRPr="003423A4">
        <w:t>In principle, the approach of a court in a section 29 application should be no less open than that</w:t>
      </w:r>
      <w:r>
        <w:t xml:space="preserve"> </w:t>
      </w:r>
      <w:r w:rsidRPr="003423A4">
        <w:t>of a mental health review tribunal. The Mental Health Revie</w:t>
      </w:r>
      <w:r>
        <w:t xml:space="preserve">w Tribunal Rules 1983 permitted </w:t>
      </w:r>
      <w:r>
        <w:lastRenderedPageBreak/>
        <w:t>n</w:t>
      </w:r>
      <w:r w:rsidRPr="003423A4">
        <w:t>ondisclosure</w:t>
      </w:r>
      <w:r>
        <w:t xml:space="preserve"> </w:t>
      </w:r>
      <w:r w:rsidRPr="003423A4">
        <w:t>of documents to the applicant or patient, but only ‘on the ground that its disclosure</w:t>
      </w:r>
      <w:r>
        <w:t xml:space="preserve"> </w:t>
      </w:r>
      <w:r w:rsidRPr="003423A4">
        <w:t>would adversely affect the health or welfare of the patient or others’ (rules 6(4) and 12(2)). If the</w:t>
      </w:r>
      <w:r>
        <w:t xml:space="preserve"> </w:t>
      </w:r>
      <w:r w:rsidRPr="003423A4">
        <w:t>applicant was represented by a barrister, solicitor, doctor or other suitable person the document</w:t>
      </w:r>
      <w:r>
        <w:t xml:space="preserve"> </w:t>
      </w:r>
      <w:r w:rsidRPr="003423A4">
        <w:t>must be disclosed to him (rule 12(3)). It would be strange indeed if the practice governing</w:t>
      </w:r>
      <w:r>
        <w:t xml:space="preserve"> </w:t>
      </w:r>
      <w:r w:rsidRPr="003423A4">
        <w:t>disclosure in the county court were more restrictive than that in mental health review tribunals.</w:t>
      </w:r>
    </w:p>
    <w:p w:rsidR="003423A4" w:rsidRPr="003423A4" w:rsidRDefault="003423A4" w:rsidP="003423A4">
      <w:pPr>
        <w:spacing w:after="0"/>
      </w:pPr>
    </w:p>
    <w:p w:rsidR="003423A4" w:rsidRDefault="003423A4" w:rsidP="003423A4">
      <w:pPr>
        <w:spacing w:after="0"/>
      </w:pPr>
      <w:r w:rsidRPr="003423A4">
        <w:t>It was, of course, normally for the parties to decide what evidence or information to put before the</w:t>
      </w:r>
      <w:r>
        <w:t xml:space="preserve"> </w:t>
      </w:r>
      <w:r w:rsidRPr="003423A4">
        <w:t>court or tribunal. Applications under section 29 have to be dealt with quickly; resort to the normal</w:t>
      </w:r>
      <w:r>
        <w:t xml:space="preserve"> </w:t>
      </w:r>
      <w:r w:rsidRPr="003423A4">
        <w:t>process of disclosure would be impracticable. But where the interests of children or patients were</w:t>
      </w:r>
      <w:r>
        <w:t xml:space="preserve"> </w:t>
      </w:r>
      <w:r w:rsidRPr="003423A4">
        <w:t>concerned the courts had traditionally taken a more inquisitorial approach. The information</w:t>
      </w:r>
      <w:r>
        <w:t xml:space="preserve"> </w:t>
      </w:r>
      <w:r w:rsidRPr="003423A4">
        <w:t>sought by the experts instructed by the mother was exactly the sort of information which a court</w:t>
      </w:r>
      <w:r>
        <w:t xml:space="preserve"> </w:t>
      </w:r>
      <w:r w:rsidRPr="003423A4">
        <w:t>might properly expect to be put before it for the purpose of determining this dispute.</w:t>
      </w:r>
    </w:p>
    <w:p w:rsidR="003423A4" w:rsidRPr="003423A4" w:rsidRDefault="003423A4" w:rsidP="003423A4">
      <w:pPr>
        <w:spacing w:after="0"/>
      </w:pPr>
    </w:p>
    <w:p w:rsidR="003423A4" w:rsidRPr="003423A4" w:rsidRDefault="003423A4" w:rsidP="003423A4">
      <w:pPr>
        <w:spacing w:after="0"/>
      </w:pPr>
      <w:r w:rsidRPr="003423A4">
        <w:t>What, then, should be the authority’s approach at this stage, before the matter had got to court?</w:t>
      </w:r>
    </w:p>
    <w:p w:rsidR="003423A4" w:rsidRDefault="003423A4" w:rsidP="003423A4">
      <w:pPr>
        <w:spacing w:after="0"/>
      </w:pPr>
      <w:r w:rsidRPr="003423A4">
        <w:t>Clearly they were right to have gone as far as they had now gone. There was an obvious public and</w:t>
      </w:r>
      <w:r>
        <w:t xml:space="preserve"> </w:t>
      </w:r>
      <w:r w:rsidRPr="003423A4">
        <w:t>private interest in the mother having access to the best possible expert advice before she decided</w:t>
      </w:r>
      <w:r>
        <w:t xml:space="preserve"> </w:t>
      </w:r>
      <w:r w:rsidRPr="003423A4">
        <w:t>whether or not to exercise her power of discharge. The professionals would be subject to the same</w:t>
      </w:r>
      <w:r>
        <w:t xml:space="preserve"> </w:t>
      </w:r>
      <w:r w:rsidRPr="003423A4">
        <w:t>duties of confidence as everyone else. Their advice would assist the mother in carrying out her</w:t>
      </w:r>
      <w:r>
        <w:t xml:space="preserve"> </w:t>
      </w:r>
      <w:r w:rsidRPr="003423A4">
        <w:t>statutory functions, but would also assist C in enabling decisions he could not make for himself to</w:t>
      </w:r>
      <w:r>
        <w:t xml:space="preserve"> </w:t>
      </w:r>
      <w:r w:rsidRPr="003423A4">
        <w:t>be properly scrutinised.</w:t>
      </w:r>
    </w:p>
    <w:p w:rsidR="003423A4" w:rsidRPr="003423A4" w:rsidRDefault="003423A4" w:rsidP="003423A4">
      <w:pPr>
        <w:spacing w:after="0"/>
      </w:pPr>
    </w:p>
    <w:p w:rsidR="003423A4" w:rsidRDefault="003423A4" w:rsidP="003423A4">
      <w:pPr>
        <w:spacing w:after="0"/>
      </w:pPr>
      <w:r w:rsidRPr="003423A4">
        <w:t>But should the mother and her lawyers also have access to the information sought by her experts?</w:t>
      </w:r>
      <w:r>
        <w:t xml:space="preserve"> </w:t>
      </w:r>
      <w:r w:rsidRPr="003423A4">
        <w:t>Mr Hunt relied on her right of access to a court, and the right of access to legal advice in order to</w:t>
      </w:r>
      <w:r>
        <w:t xml:space="preserve"> </w:t>
      </w:r>
      <w:r w:rsidRPr="003423A4">
        <w:t>exercise that right, contained in Article 6 of the European Convention on Human Rights and the</w:t>
      </w:r>
      <w:r>
        <w:t xml:space="preserve"> </w:t>
      </w:r>
      <w:r w:rsidRPr="003423A4">
        <w:t xml:space="preserve">jurisprudence of the European Court of Human Rights, particularly </w:t>
      </w:r>
      <w:proofErr w:type="spellStart"/>
      <w:r w:rsidRPr="003423A4">
        <w:rPr>
          <w:i/>
          <w:iCs/>
        </w:rPr>
        <w:t>Golder</w:t>
      </w:r>
      <w:proofErr w:type="spellEnd"/>
      <w:r w:rsidRPr="003423A4">
        <w:rPr>
          <w:i/>
          <w:iCs/>
        </w:rPr>
        <w:t xml:space="preserve"> v United Kingdom</w:t>
      </w:r>
      <w:r>
        <w:rPr>
          <w:i/>
          <w:iCs/>
        </w:rPr>
        <w:t xml:space="preserve"> </w:t>
      </w:r>
      <w:r w:rsidRPr="003423A4">
        <w:rPr>
          <w:i/>
          <w:iCs/>
        </w:rPr>
        <w:t xml:space="preserve">(1975) </w:t>
      </w:r>
      <w:r w:rsidRPr="003423A4">
        <w:t>1 EHRR 524. The mother had been told that if she exercised her right to discharge C an</w:t>
      </w:r>
      <w:r>
        <w:t xml:space="preserve"> </w:t>
      </w:r>
      <w:r w:rsidRPr="003423A4">
        <w:t>application would be made to displace her. The two were part of the same process and it was</w:t>
      </w:r>
      <w:r>
        <w:t xml:space="preserve"> </w:t>
      </w:r>
      <w:r w:rsidRPr="003423A4">
        <w:t>unrealistic to regard them separately. In effect the mother was placed in a position where she was</w:t>
      </w:r>
      <w:r>
        <w:t xml:space="preserve"> </w:t>
      </w:r>
      <w:r w:rsidRPr="003423A4">
        <w:t>likely to have to justify her decision before a court.</w:t>
      </w:r>
    </w:p>
    <w:p w:rsidR="003423A4" w:rsidRPr="003423A4" w:rsidRDefault="003423A4" w:rsidP="003423A4">
      <w:pPr>
        <w:spacing w:after="0"/>
      </w:pPr>
    </w:p>
    <w:p w:rsidR="003423A4" w:rsidRDefault="003423A4" w:rsidP="003423A4">
      <w:pPr>
        <w:spacing w:after="0"/>
      </w:pPr>
      <w:r w:rsidRPr="003423A4">
        <w:t>Against this the local authority argued, first, that the proceedings before the county court were not</w:t>
      </w:r>
      <w:r>
        <w:t xml:space="preserve"> </w:t>
      </w:r>
      <w:r w:rsidRPr="003423A4">
        <w:t>‘the determination of her civil rights and obligations’ (Article 6(1). Her status as nearest relative</w:t>
      </w:r>
      <w:r>
        <w:t xml:space="preserve"> </w:t>
      </w:r>
      <w:r w:rsidRPr="003423A4">
        <w:t>was given her by statute and not by virtue of her actual relationship with the patient. Second, there</w:t>
      </w:r>
      <w:r>
        <w:t xml:space="preserve"> </w:t>
      </w:r>
      <w:r w:rsidRPr="003423A4">
        <w:t>was not yet, and might never be, any question of court proceedings. They would only arise if and</w:t>
      </w:r>
      <w:r>
        <w:t xml:space="preserve"> </w:t>
      </w:r>
      <w:r w:rsidRPr="003423A4">
        <w:t>when she decided to discharge C from guardianship, and even then it would depend on the</w:t>
      </w:r>
      <w:r>
        <w:t xml:space="preserve"> </w:t>
      </w:r>
      <w:r w:rsidRPr="003423A4">
        <w:t>professional judgements available to her and to the local authority at the time.</w:t>
      </w:r>
    </w:p>
    <w:p w:rsidR="003423A4" w:rsidRPr="003423A4" w:rsidRDefault="003423A4" w:rsidP="003423A4">
      <w:pPr>
        <w:spacing w:after="0"/>
      </w:pPr>
    </w:p>
    <w:p w:rsidR="003423A4" w:rsidRDefault="003423A4" w:rsidP="003423A4">
      <w:pPr>
        <w:spacing w:after="0"/>
      </w:pPr>
      <w:r w:rsidRPr="003423A4">
        <w:t>As to the first, it was plain that the common law also recognised a right of access to a court and access</w:t>
      </w:r>
      <w:r>
        <w:t xml:space="preserve"> </w:t>
      </w:r>
      <w:r w:rsidRPr="003423A4">
        <w:t xml:space="preserve">to legal advice for the purpose of exercising that right: see e.g. </w:t>
      </w:r>
      <w:r w:rsidRPr="003423A4">
        <w:rPr>
          <w:i/>
          <w:iCs/>
        </w:rPr>
        <w:t xml:space="preserve">Raymond v Honey </w:t>
      </w:r>
      <w:r w:rsidRPr="003423A4">
        <w:t>(1983) 1AC 1.</w:t>
      </w:r>
      <w:r>
        <w:t xml:space="preserve"> </w:t>
      </w:r>
      <w:r w:rsidRPr="003423A4">
        <w:t>The common law would protect the exercise of those rights irrespective of whether or not they</w:t>
      </w:r>
      <w:r>
        <w:t xml:space="preserve"> </w:t>
      </w:r>
      <w:r w:rsidRPr="003423A4">
        <w:t xml:space="preserve">would be classed as civil rights for the purpose of Article 6 (see </w:t>
      </w:r>
      <w:r w:rsidRPr="003423A4">
        <w:rPr>
          <w:i/>
          <w:iCs/>
        </w:rPr>
        <w:t>R v Secretary of State for the Home</w:t>
      </w:r>
      <w:r>
        <w:rPr>
          <w:i/>
          <w:iCs/>
        </w:rPr>
        <w:t xml:space="preserve"> </w:t>
      </w:r>
      <w:r w:rsidRPr="003423A4">
        <w:rPr>
          <w:i/>
          <w:iCs/>
        </w:rPr>
        <w:t xml:space="preserve">Department ex parte </w:t>
      </w:r>
      <w:proofErr w:type="spellStart"/>
      <w:r w:rsidRPr="003423A4">
        <w:rPr>
          <w:i/>
          <w:iCs/>
        </w:rPr>
        <w:t>Saleem</w:t>
      </w:r>
      <w:proofErr w:type="spellEnd"/>
      <w:r w:rsidRPr="003423A4">
        <w:rPr>
          <w:i/>
          <w:iCs/>
        </w:rPr>
        <w:t xml:space="preserve"> </w:t>
      </w:r>
      <w:r w:rsidRPr="003423A4">
        <w:t>(2001) 1 WLR 443). In any event, Article 6 did not prescribe or presume</w:t>
      </w:r>
      <w:r>
        <w:t xml:space="preserve"> </w:t>
      </w:r>
      <w:r w:rsidRPr="003423A4">
        <w:t>any particular content for civil rights, which was a matter for domestic law. Disputes between the</w:t>
      </w:r>
      <w:r>
        <w:t xml:space="preserve"> </w:t>
      </w:r>
      <w:r w:rsidRPr="003423A4">
        <w:t>state and the family about family relationships had long been regarded as falling within the ambit</w:t>
      </w:r>
      <w:r>
        <w:t xml:space="preserve"> </w:t>
      </w:r>
      <w:r w:rsidRPr="003423A4">
        <w:t xml:space="preserve">of Article 6 as well as Article 8: see e.g. </w:t>
      </w:r>
      <w:r w:rsidRPr="003423A4">
        <w:rPr>
          <w:i/>
          <w:iCs/>
        </w:rPr>
        <w:t xml:space="preserve">W v United Kingdom </w:t>
      </w:r>
      <w:r w:rsidRPr="003423A4">
        <w:t>(1977) 10 EHRR 29. Furthermore the</w:t>
      </w:r>
      <w:r>
        <w:t xml:space="preserve"> </w:t>
      </w:r>
      <w:r w:rsidRPr="003423A4">
        <w:lastRenderedPageBreak/>
        <w:t>dispute between the mother and the local authority about where C was to live might well have been</w:t>
      </w:r>
      <w:r>
        <w:t xml:space="preserve"> </w:t>
      </w:r>
      <w:r w:rsidRPr="003423A4">
        <w:t>resolved by way of a claim for a declaration in the Family Division as to what was in C’s best</w:t>
      </w:r>
      <w:r>
        <w:t xml:space="preserve"> </w:t>
      </w:r>
      <w:r w:rsidRPr="003423A4">
        <w:t xml:space="preserve">interests (see e.g. </w:t>
      </w:r>
      <w:r w:rsidRPr="003423A4">
        <w:rPr>
          <w:i/>
          <w:iCs/>
        </w:rPr>
        <w:t xml:space="preserve">Re S (Hospital Patient: Court’s Jurisdiction) </w:t>
      </w:r>
      <w:r w:rsidRPr="003423A4">
        <w:t xml:space="preserve">(1995) </w:t>
      </w:r>
      <w:proofErr w:type="spellStart"/>
      <w:r w:rsidRPr="003423A4">
        <w:t>Fam</w:t>
      </w:r>
      <w:proofErr w:type="spellEnd"/>
      <w:r w:rsidRPr="003423A4">
        <w:t xml:space="preserve"> 27). That would</w:t>
      </w:r>
      <w:r>
        <w:t xml:space="preserve"> </w:t>
      </w:r>
      <w:r w:rsidRPr="003423A4">
        <w:t>undoubtedly have fallen within Article 6. It was artificial to draw a distinction here.</w:t>
      </w:r>
    </w:p>
    <w:p w:rsidR="00BB670F" w:rsidRDefault="00BB670F" w:rsidP="003423A4">
      <w:pPr>
        <w:spacing w:after="0"/>
      </w:pPr>
    </w:p>
    <w:p w:rsidR="00BB670F" w:rsidRDefault="00BB670F" w:rsidP="00BB670F">
      <w:pPr>
        <w:spacing w:after="0"/>
      </w:pPr>
      <w:r w:rsidRPr="00BB670F">
        <w:t>In the same way it was artificial to draw a distinction between access to legal advice upon discharge</w:t>
      </w:r>
      <w:r>
        <w:t xml:space="preserve"> </w:t>
      </w:r>
      <w:r w:rsidRPr="00BB670F">
        <w:t>and access to legal advice upon a displacement application</w:t>
      </w:r>
      <w:proofErr w:type="gramStart"/>
      <w:r w:rsidRPr="00BB670F">
        <w:t>,.</w:t>
      </w:r>
      <w:proofErr w:type="gramEnd"/>
      <w:r w:rsidRPr="00BB670F">
        <w:t xml:space="preserve"> The two went hand in hand.</w:t>
      </w:r>
      <w:r>
        <w:t xml:space="preserve"> </w:t>
      </w:r>
      <w:r w:rsidRPr="00BB670F">
        <w:t>The mother could not lose her dispute with the local authority about whether or not to discharge</w:t>
      </w:r>
      <w:r>
        <w:t xml:space="preserve"> </w:t>
      </w:r>
      <w:r w:rsidRPr="00BB670F">
        <w:t>C without also losing her status as nearest relative, and the statute gave her no power to seek</w:t>
      </w:r>
      <w:r>
        <w:t xml:space="preserve"> </w:t>
      </w:r>
      <w:r w:rsidRPr="00BB670F">
        <w:t>reinstatement. It was also very much in C’s interests for her to have that advice at the earlier stage.</w:t>
      </w:r>
      <w:r>
        <w:t xml:space="preserve"> </w:t>
      </w:r>
      <w:r w:rsidRPr="00BB670F">
        <w:t>If she was advised not to discharge him, the litigation might be avoided altogether. If she was</w:t>
      </w:r>
      <w:r>
        <w:t xml:space="preserve"> </w:t>
      </w:r>
      <w:r w:rsidRPr="00BB670F">
        <w:t>advised to do so, then there must at least be a case which was worth putting before a court.</w:t>
      </w:r>
    </w:p>
    <w:p w:rsidR="00BB670F" w:rsidRPr="00BB670F" w:rsidRDefault="00BB670F" w:rsidP="00BB670F">
      <w:pPr>
        <w:spacing w:after="0"/>
      </w:pPr>
    </w:p>
    <w:p w:rsidR="00366AD2" w:rsidRDefault="00BB670F" w:rsidP="00366AD2">
      <w:pPr>
        <w:spacing w:after="0"/>
      </w:pPr>
      <w:r w:rsidRPr="00BB670F">
        <w:t>The Human Rights Act 1998 introduced a further dimension in Article 8. Both the mother and C</w:t>
      </w:r>
      <w:r>
        <w:t xml:space="preserve"> </w:t>
      </w:r>
      <w:r w:rsidRPr="00BB670F">
        <w:t>had a right to respect for their family life. Not only was the mother C’s closest relative in fact as</w:t>
      </w:r>
      <w:r>
        <w:t xml:space="preserve"> </w:t>
      </w:r>
      <w:r w:rsidRPr="00BB670F">
        <w:t>well as in law, they had lived together all his life until shortly before he was placed under</w:t>
      </w:r>
      <w:r>
        <w:t xml:space="preserve"> </w:t>
      </w:r>
      <w:r w:rsidRPr="00BB670F">
        <w:t>guardianship. It was of course true that replacing the mother as nearest relative would not change</w:t>
      </w:r>
      <w:r>
        <w:t xml:space="preserve"> </w:t>
      </w:r>
      <w:r w:rsidRPr="00BB670F">
        <w:t>their actual relationship. But the right to respect for family life went deeper than that: the state was</w:t>
      </w:r>
      <w:r>
        <w:t xml:space="preserve"> </w:t>
      </w:r>
      <w:r w:rsidRPr="00BB670F">
        <w:t>not permitted to interfere with that right unless it was (1) in accordance with the law, (2) in pursuit</w:t>
      </w:r>
      <w:r>
        <w:t xml:space="preserve"> </w:t>
      </w:r>
      <w:r w:rsidRPr="00BB670F">
        <w:t>of a legitimate aim, and (3) proportionate to that aim. The protection of the health and welfare of</w:t>
      </w:r>
      <w:r w:rsidR="00366AD2">
        <w:t xml:space="preserve"> </w:t>
      </w:r>
      <w:r w:rsidR="00366AD2" w:rsidRPr="00366AD2">
        <w:t>a young man who was unable to make decisions for himself must be a legitimate aim for this</w:t>
      </w:r>
      <w:r w:rsidR="00366AD2">
        <w:t xml:space="preserve"> </w:t>
      </w:r>
      <w:r w:rsidR="00366AD2" w:rsidRPr="00366AD2">
        <w:t>purpose. But irrespective of Article 6, the parent also had a right under Article 8 to be involved in</w:t>
      </w:r>
      <w:r w:rsidR="00366AD2">
        <w:t xml:space="preserve"> </w:t>
      </w:r>
      <w:r w:rsidR="00366AD2" w:rsidRPr="00366AD2">
        <w:t xml:space="preserve">the decision making process: see </w:t>
      </w:r>
      <w:r w:rsidR="00366AD2" w:rsidRPr="00366AD2">
        <w:rPr>
          <w:i/>
          <w:iCs/>
        </w:rPr>
        <w:t>W v United Kingdom</w:t>
      </w:r>
      <w:r w:rsidR="00366AD2" w:rsidRPr="00366AD2">
        <w:t xml:space="preserve">, above; </w:t>
      </w:r>
      <w:r w:rsidR="00366AD2" w:rsidRPr="00366AD2">
        <w:rPr>
          <w:i/>
          <w:iCs/>
        </w:rPr>
        <w:t xml:space="preserve">McMichael v United Kingdom </w:t>
      </w:r>
      <w:r w:rsidR="00366AD2" w:rsidRPr="00366AD2">
        <w:t>(1995)</w:t>
      </w:r>
      <w:r w:rsidR="00366AD2">
        <w:t xml:space="preserve"> </w:t>
      </w:r>
      <w:r w:rsidR="00366AD2" w:rsidRPr="00366AD2">
        <w:t xml:space="preserve">20 EHRR 205; and most recently </w:t>
      </w:r>
      <w:r w:rsidR="00366AD2" w:rsidRPr="00366AD2">
        <w:rPr>
          <w:i/>
          <w:iCs/>
        </w:rPr>
        <w:t xml:space="preserve">TP and KM v United Kingdom </w:t>
      </w:r>
      <w:r w:rsidR="00366AD2" w:rsidRPr="00366AD2">
        <w:t>(2001) 2 FCR 289, para 72:</w:t>
      </w:r>
    </w:p>
    <w:p w:rsidR="00366AD2" w:rsidRPr="00366AD2" w:rsidRDefault="00366AD2" w:rsidP="00366AD2">
      <w:pPr>
        <w:spacing w:after="0"/>
      </w:pPr>
    </w:p>
    <w:p w:rsidR="00366AD2" w:rsidRDefault="00366AD2" w:rsidP="00366AD2">
      <w:pPr>
        <w:spacing w:after="0"/>
        <w:ind w:left="567" w:right="521"/>
      </w:pPr>
      <w:r w:rsidRPr="00366AD2">
        <w:t>‘The court further recalls that whilst Article 8 contains no explicit procedural requirements, the</w:t>
      </w:r>
      <w:r>
        <w:t xml:space="preserve"> </w:t>
      </w:r>
      <w:r w:rsidRPr="00366AD2">
        <w:t>decision-making process involved in measures of interference must be fair and such as to afford</w:t>
      </w:r>
      <w:r>
        <w:t xml:space="preserve"> </w:t>
      </w:r>
      <w:r w:rsidRPr="00366AD2">
        <w:t>due respect to the interests safeguarded by Article 8.’</w:t>
      </w:r>
    </w:p>
    <w:p w:rsidR="00366AD2" w:rsidRPr="00366AD2" w:rsidRDefault="00366AD2" w:rsidP="00366AD2">
      <w:pPr>
        <w:spacing w:after="0"/>
      </w:pPr>
    </w:p>
    <w:p w:rsidR="00366AD2" w:rsidRDefault="00366AD2" w:rsidP="00366AD2">
      <w:pPr>
        <w:spacing w:after="0"/>
      </w:pPr>
      <w:r w:rsidRPr="00366AD2">
        <w:t>Article 8 also conferred a right to respect for private life. Adults such as C had that right as much</w:t>
      </w:r>
      <w:r>
        <w:t xml:space="preserve"> </w:t>
      </w:r>
      <w:r w:rsidRPr="00366AD2">
        <w:t>as anyone else. Indeed, many would think it more at risk, and therefore more worthy of respect by</w:t>
      </w:r>
      <w:r>
        <w:t xml:space="preserve"> </w:t>
      </w:r>
      <w:r w:rsidRPr="00366AD2">
        <w:t>the authorities, if, because of their mental disabilities, they were unable to protect it for themselves.</w:t>
      </w:r>
      <w:r>
        <w:t xml:space="preserve"> </w:t>
      </w:r>
      <w:r w:rsidRPr="00366AD2">
        <w:t>But both his and his mother’s right to respect for their family life under Article 8, and the mother’s</w:t>
      </w:r>
      <w:r>
        <w:t xml:space="preserve"> </w:t>
      </w:r>
      <w:r w:rsidRPr="00366AD2">
        <w:t>right to a fair trial under Article 6, would constitute legitimate aims of interference with C’s right</w:t>
      </w:r>
      <w:r>
        <w:t xml:space="preserve"> </w:t>
      </w:r>
      <w:r w:rsidRPr="00366AD2">
        <w:t>to respect for his private life, provided as always that the interference was proportionate.</w:t>
      </w:r>
    </w:p>
    <w:p w:rsidR="00366AD2" w:rsidRPr="00366AD2" w:rsidRDefault="00366AD2" w:rsidP="00366AD2">
      <w:pPr>
        <w:spacing w:after="0"/>
      </w:pPr>
    </w:p>
    <w:p w:rsidR="00BB670F" w:rsidRDefault="00366AD2" w:rsidP="00366AD2">
      <w:pPr>
        <w:spacing w:after="0"/>
      </w:pPr>
      <w:r w:rsidRPr="00366AD2">
        <w:t>Hence both the common law and the Convention required that a balance be struck between the</w:t>
      </w:r>
      <w:r>
        <w:t xml:space="preserve"> </w:t>
      </w:r>
      <w:r w:rsidRPr="00366AD2">
        <w:t>various interests involved. C’s interests in protecting the confidentiality of personal information</w:t>
      </w:r>
      <w:r>
        <w:t xml:space="preserve"> </w:t>
      </w:r>
      <w:r w:rsidRPr="00366AD2">
        <w:t xml:space="preserve">about </w:t>
      </w:r>
      <w:proofErr w:type="gramStart"/>
      <w:r w:rsidRPr="00366AD2">
        <w:t>himself</w:t>
      </w:r>
      <w:proofErr w:type="gramEnd"/>
      <w:r w:rsidRPr="00366AD2">
        <w:t xml:space="preserve"> must not be underestimated. It was all too easy for professionals and parents to</w:t>
      </w:r>
      <w:r>
        <w:t xml:space="preserve"> </w:t>
      </w:r>
      <w:r w:rsidRPr="00366AD2">
        <w:t>regard children and incapacitated adults as having no independent interests of their own: objects</w:t>
      </w:r>
      <w:r>
        <w:t xml:space="preserve"> </w:t>
      </w:r>
      <w:r w:rsidRPr="00366AD2">
        <w:t>rather than subjects. But the court was not concerned with the publication of information to the</w:t>
      </w:r>
      <w:r>
        <w:t xml:space="preserve"> </w:t>
      </w:r>
      <w:r w:rsidRPr="00366AD2">
        <w:t>whole wide world. There was a clear distinction between disclosure to the media with a view to</w:t>
      </w:r>
      <w:r>
        <w:t xml:space="preserve"> </w:t>
      </w:r>
      <w:r w:rsidRPr="00366AD2">
        <w:t>publication to all and sundry and disclosure in confidence to those with a proper interest in having</w:t>
      </w:r>
      <w:r>
        <w:t xml:space="preserve"> </w:t>
      </w:r>
      <w:r w:rsidRPr="00366AD2">
        <w:t>the information in question. The court was concerned only with the latter. It would be different if</w:t>
      </w:r>
      <w:r>
        <w:t xml:space="preserve"> </w:t>
      </w:r>
      <w:r w:rsidRPr="00366AD2">
        <w:t>C had the capacity to give or withhold consent to the disclosure: any objection from him would</w:t>
      </w:r>
      <w:r>
        <w:t xml:space="preserve"> </w:t>
      </w:r>
      <w:r w:rsidRPr="00366AD2">
        <w:t xml:space="preserve">have </w:t>
      </w:r>
      <w:r w:rsidRPr="00366AD2">
        <w:lastRenderedPageBreak/>
        <w:t xml:space="preserve">to be weighed in the balance against the other interests, though as </w:t>
      </w:r>
      <w:r w:rsidRPr="00366AD2">
        <w:rPr>
          <w:i/>
          <w:iCs/>
        </w:rPr>
        <w:t xml:space="preserve">W v </w:t>
      </w:r>
      <w:proofErr w:type="spellStart"/>
      <w:r w:rsidRPr="00366AD2">
        <w:rPr>
          <w:i/>
          <w:iCs/>
        </w:rPr>
        <w:t>Egdell</w:t>
      </w:r>
      <w:proofErr w:type="spellEnd"/>
      <w:r w:rsidRPr="00366AD2">
        <w:rPr>
          <w:i/>
          <w:iCs/>
        </w:rPr>
        <w:t xml:space="preserve"> </w:t>
      </w:r>
      <w:r w:rsidRPr="00366AD2">
        <w:t>showed it would</w:t>
      </w:r>
      <w:r>
        <w:t xml:space="preserve"> </w:t>
      </w:r>
      <w:r w:rsidRPr="00366AD2">
        <w:t>not be decisive. C also had an interest in being protected from a risk of harm to his health or</w:t>
      </w:r>
      <w:r>
        <w:t xml:space="preserve"> </w:t>
      </w:r>
      <w:r w:rsidRPr="00366AD2">
        <w:t>welfare which would stem from disclosure; but it was important not to confuse a possible risk of</w:t>
      </w:r>
      <w:r>
        <w:t xml:space="preserve"> </w:t>
      </w:r>
      <w:r w:rsidRPr="00366AD2">
        <w:t>harm to his health or welfare from being discharged from guardianship with a possible risk of</w:t>
      </w:r>
      <w:r>
        <w:t xml:space="preserve"> </w:t>
      </w:r>
      <w:r w:rsidRPr="00366AD2">
        <w:t xml:space="preserve">harm from disclosing the information sought. As </w:t>
      </w:r>
      <w:r w:rsidRPr="00366AD2">
        <w:rPr>
          <w:i/>
          <w:iCs/>
        </w:rPr>
        <w:t xml:space="preserve">Re D </w:t>
      </w:r>
      <w:r w:rsidRPr="00366AD2">
        <w:t>showed, he also had an interest in decisions</w:t>
      </w:r>
      <w:r>
        <w:t xml:space="preserve"> </w:t>
      </w:r>
      <w:r w:rsidRPr="00366AD2">
        <w:t>about his future being properly informed.</w:t>
      </w:r>
    </w:p>
    <w:p w:rsidR="00373ACB" w:rsidRDefault="00373ACB" w:rsidP="00366AD2">
      <w:pPr>
        <w:spacing w:after="0"/>
      </w:pPr>
    </w:p>
    <w:p w:rsidR="00373ACB" w:rsidRDefault="00373ACB" w:rsidP="00373ACB">
      <w:pPr>
        <w:spacing w:after="0"/>
      </w:pPr>
      <w:r w:rsidRPr="00373ACB">
        <w:t>The balance would not lead in every case to the disclosure of all the information a relative might</w:t>
      </w:r>
      <w:r>
        <w:t xml:space="preserve"> </w:t>
      </w:r>
      <w:r w:rsidRPr="00373ACB">
        <w:t>possibly want, still less to a fishing exercise amongst the local authority’s files. But in most cases it</w:t>
      </w:r>
      <w:r>
        <w:t xml:space="preserve"> </w:t>
      </w:r>
      <w:r w:rsidRPr="00373ACB">
        <w:t>would lead to the disclosure of the basic statutory guardianship information. In this case it must</w:t>
      </w:r>
      <w:r>
        <w:t xml:space="preserve"> </w:t>
      </w:r>
      <w:r w:rsidRPr="00373ACB">
        <w:t>also lead to the particular disclosure sought.</w:t>
      </w:r>
    </w:p>
    <w:p w:rsidR="00373ACB" w:rsidRPr="00373ACB" w:rsidRDefault="00373ACB" w:rsidP="00373ACB">
      <w:pPr>
        <w:spacing w:after="0"/>
      </w:pPr>
    </w:p>
    <w:p w:rsidR="00373ACB" w:rsidRDefault="00373ACB" w:rsidP="00373ACB">
      <w:pPr>
        <w:spacing w:after="0"/>
      </w:pPr>
      <w:r w:rsidRPr="00373ACB">
        <w:t>Her Ladyship therefore granted disclosure of the information required by the experts instructed</w:t>
      </w:r>
      <w:r>
        <w:t xml:space="preserve"> </w:t>
      </w:r>
      <w:r w:rsidRPr="00373ACB">
        <w:t>by the mother to those experts and to the mother and her legal advisers.</w:t>
      </w:r>
    </w:p>
    <w:p w:rsidR="00373ACB" w:rsidRPr="00373ACB" w:rsidRDefault="00373ACB" w:rsidP="00373ACB">
      <w:pPr>
        <w:spacing w:after="0"/>
      </w:pPr>
    </w:p>
    <w:p w:rsidR="00373ACB" w:rsidRDefault="00373ACB" w:rsidP="00373ACB">
      <w:pPr>
        <w:spacing w:after="0"/>
      </w:pPr>
      <w:r w:rsidRPr="00373ACB">
        <w:rPr>
          <w:i/>
          <w:iCs/>
        </w:rPr>
        <w:t xml:space="preserve">Clarke LJ </w:t>
      </w:r>
      <w:r w:rsidRPr="00373ACB">
        <w:t>concurred.</w:t>
      </w:r>
    </w:p>
    <w:p w:rsidR="00373ACB" w:rsidRPr="00373ACB" w:rsidRDefault="00373ACB" w:rsidP="00373ACB">
      <w:pPr>
        <w:spacing w:after="0"/>
      </w:pPr>
    </w:p>
    <w:p w:rsidR="00373ACB" w:rsidRDefault="00373ACB" w:rsidP="00373ACB">
      <w:pPr>
        <w:spacing w:after="0"/>
      </w:pPr>
      <w:r w:rsidRPr="00373ACB">
        <w:rPr>
          <w:i/>
          <w:iCs/>
        </w:rPr>
        <w:t xml:space="preserve">Kennedy LJ </w:t>
      </w:r>
      <w:r w:rsidRPr="00373ACB">
        <w:t>delivered a minority judgment. Mr Hunt, for the mother, had said that if she exercised</w:t>
      </w:r>
      <w:r>
        <w:t xml:space="preserve"> </w:t>
      </w:r>
      <w:r w:rsidRPr="00373ACB">
        <w:t>her right to discharge C an application would be made to displace her, the two were linked, and she</w:t>
      </w:r>
      <w:r>
        <w:t xml:space="preserve"> </w:t>
      </w:r>
      <w:r w:rsidRPr="00373ACB">
        <w:t>needed to have proper access to legal advice before she set the process in action. It needed to be</w:t>
      </w:r>
      <w:r>
        <w:t xml:space="preserve"> </w:t>
      </w:r>
      <w:r w:rsidRPr="00373ACB">
        <w:t>recognised that in reality any application to displace the mother could only succeed if it could be</w:t>
      </w:r>
      <w:r>
        <w:t xml:space="preserve"> </w:t>
      </w:r>
      <w:r w:rsidRPr="00373ACB">
        <w:t>shown that she had acted irresponsibly; in other words that she had sought his discharge against</w:t>
      </w:r>
      <w:r>
        <w:t xml:space="preserve"> </w:t>
      </w:r>
      <w:r w:rsidRPr="00373ACB">
        <w:t>the advice of her own expert advisers, who were being given access to all of the material they</w:t>
      </w:r>
      <w:r>
        <w:t xml:space="preserve"> </w:t>
      </w:r>
      <w:r w:rsidRPr="00373ACB">
        <w:t>considered to be relevant, which was in fact all of the material she now wanted to see. He did not</w:t>
      </w:r>
      <w:r>
        <w:t xml:space="preserve"> </w:t>
      </w:r>
      <w:r w:rsidRPr="00373ACB">
        <w:t>accept that the mother could not lose her dispute with the local authority without losing her status</w:t>
      </w:r>
      <w:r>
        <w:t xml:space="preserve"> </w:t>
      </w:r>
      <w:r w:rsidRPr="00373ACB">
        <w:t>as nearest relative. It all depended on whether, in the opinion of the court, she had acted</w:t>
      </w:r>
      <w:r>
        <w:t xml:space="preserve"> </w:t>
      </w:r>
      <w:r w:rsidRPr="00373ACB">
        <w:t>irresponsibly in seeking his discharge.</w:t>
      </w:r>
    </w:p>
    <w:p w:rsidR="00373ACB" w:rsidRPr="00373ACB" w:rsidRDefault="00373ACB" w:rsidP="00373ACB">
      <w:pPr>
        <w:spacing w:after="0"/>
      </w:pPr>
    </w:p>
    <w:p w:rsidR="00373ACB" w:rsidRDefault="00373ACB" w:rsidP="00373ACB">
      <w:pPr>
        <w:spacing w:after="0"/>
      </w:pPr>
      <w:r w:rsidRPr="00373ACB">
        <w:t>His Lordship accepted and endorsed what Hale LJ had said as to Article 8, respect for family life,</w:t>
      </w:r>
      <w:r>
        <w:t xml:space="preserve"> </w:t>
      </w:r>
      <w:r w:rsidRPr="00373ACB">
        <w:t>and about the need to find legitimate reasons for interfering with the right of a disadvantaged adult</w:t>
      </w:r>
      <w:r>
        <w:t xml:space="preserve"> </w:t>
      </w:r>
      <w:r w:rsidRPr="00373ACB">
        <w:t>to have respect for his family life. It was precisely because he wished to safeguard that right so far</w:t>
      </w:r>
      <w:r>
        <w:t xml:space="preserve"> </w:t>
      </w:r>
      <w:r w:rsidRPr="00373ACB">
        <w:t>as possible and for as long as possible without doing injustice to the mother that he would not at</w:t>
      </w:r>
      <w:r>
        <w:t xml:space="preserve"> </w:t>
      </w:r>
      <w:r w:rsidRPr="00373ACB">
        <w:t>this stage be prepared to order disclosure of the material to anyone other than her expert advisers.</w:t>
      </w:r>
    </w:p>
    <w:p w:rsidR="00373ACB" w:rsidRPr="00373ACB" w:rsidRDefault="00373ACB" w:rsidP="00373ACB">
      <w:pPr>
        <w:spacing w:after="0"/>
      </w:pPr>
    </w:p>
    <w:p w:rsidR="00373ACB" w:rsidRDefault="00373ACB" w:rsidP="00373ACB">
      <w:pPr>
        <w:spacing w:after="0"/>
        <w:rPr>
          <w:i/>
          <w:iCs/>
        </w:rPr>
      </w:pPr>
      <w:r w:rsidRPr="00373ACB">
        <w:rPr>
          <w:i/>
          <w:iCs/>
        </w:rPr>
        <w:t>Appeal allowed with costs.</w:t>
      </w:r>
    </w:p>
    <w:p w:rsidR="00373ACB" w:rsidRDefault="00373ACB" w:rsidP="00373ACB">
      <w:pPr>
        <w:spacing w:after="0"/>
        <w:rPr>
          <w:i/>
          <w:iCs/>
        </w:rPr>
      </w:pPr>
    </w:p>
    <w:p w:rsidR="00373ACB" w:rsidRPr="00373ACB" w:rsidRDefault="00373ACB" w:rsidP="00373ACB">
      <w:pPr>
        <w:spacing w:after="0"/>
        <w:rPr>
          <w:i/>
          <w:iCs/>
        </w:rPr>
      </w:pPr>
    </w:p>
    <w:p w:rsidR="00373ACB" w:rsidRDefault="00373ACB" w:rsidP="00373ACB">
      <w:pPr>
        <w:spacing w:after="0"/>
        <w:rPr>
          <w:b/>
          <w:bCs/>
          <w:sz w:val="24"/>
        </w:rPr>
      </w:pPr>
      <w:r w:rsidRPr="00373ACB">
        <w:rPr>
          <w:b/>
          <w:bCs/>
          <w:sz w:val="24"/>
        </w:rPr>
        <w:t>Comment:</w:t>
      </w:r>
    </w:p>
    <w:p w:rsidR="00373ACB" w:rsidRPr="00373ACB" w:rsidRDefault="00373ACB" w:rsidP="00373ACB">
      <w:pPr>
        <w:spacing w:after="0"/>
        <w:rPr>
          <w:b/>
          <w:bCs/>
          <w:sz w:val="24"/>
        </w:rPr>
      </w:pPr>
    </w:p>
    <w:p w:rsidR="00373ACB" w:rsidRDefault="00373ACB" w:rsidP="00373ACB">
      <w:pPr>
        <w:spacing w:after="0"/>
      </w:pPr>
      <w:r w:rsidRPr="00373ACB">
        <w:t>This lengthy judgment usefully reviews the common law in relation to disclosure. To some extent</w:t>
      </w:r>
      <w:r>
        <w:t xml:space="preserve"> </w:t>
      </w:r>
      <w:r w:rsidRPr="00373ACB">
        <w:t xml:space="preserve">it repeats and summarises the analysis in </w:t>
      </w:r>
      <w:r w:rsidRPr="00373ACB">
        <w:rPr>
          <w:i/>
          <w:iCs/>
        </w:rPr>
        <w:t xml:space="preserve">W v </w:t>
      </w:r>
      <w:proofErr w:type="spellStart"/>
      <w:r w:rsidRPr="00373ACB">
        <w:rPr>
          <w:i/>
          <w:iCs/>
        </w:rPr>
        <w:t>Egdell</w:t>
      </w:r>
      <w:proofErr w:type="spellEnd"/>
      <w:r w:rsidRPr="00373ACB">
        <w:t xml:space="preserve">. However, it goes beyond </w:t>
      </w:r>
      <w:proofErr w:type="spellStart"/>
      <w:r w:rsidRPr="00373ACB">
        <w:rPr>
          <w:i/>
          <w:iCs/>
        </w:rPr>
        <w:t>Egdell</w:t>
      </w:r>
      <w:proofErr w:type="spellEnd"/>
      <w:r w:rsidRPr="00373ACB">
        <w:rPr>
          <w:i/>
          <w:iCs/>
        </w:rPr>
        <w:t xml:space="preserve"> </w:t>
      </w:r>
      <w:r w:rsidRPr="00373ACB">
        <w:t>in two</w:t>
      </w:r>
      <w:r>
        <w:t xml:space="preserve"> </w:t>
      </w:r>
      <w:r w:rsidRPr="00373ACB">
        <w:t>respects. First, it explores the interrelationship between the common law and the European</w:t>
      </w:r>
      <w:r>
        <w:t xml:space="preserve"> </w:t>
      </w:r>
      <w:r w:rsidRPr="00373ACB">
        <w:t>Convention. (Those who prepare court submissions should note that, once again, the Court of</w:t>
      </w:r>
      <w:r>
        <w:t xml:space="preserve"> </w:t>
      </w:r>
      <w:r w:rsidRPr="00373ACB">
        <w:t>Appeal makes plain its preference to base its decision upon common law principles, using the</w:t>
      </w:r>
      <w:r>
        <w:t xml:space="preserve"> </w:t>
      </w:r>
      <w:r w:rsidRPr="00373ACB">
        <w:t>Convention in support rather than as the lead.)</w:t>
      </w:r>
    </w:p>
    <w:p w:rsidR="00373ACB" w:rsidRPr="00373ACB" w:rsidRDefault="00373ACB" w:rsidP="00373ACB">
      <w:pPr>
        <w:spacing w:after="0"/>
      </w:pPr>
    </w:p>
    <w:p w:rsidR="00373ACB" w:rsidRDefault="00373ACB" w:rsidP="00373ACB">
      <w:pPr>
        <w:spacing w:after="0"/>
      </w:pPr>
      <w:r w:rsidRPr="00373ACB">
        <w:t>Second, the court seems to attach far higher importance to the subject’s interest in preserving</w:t>
      </w:r>
      <w:r>
        <w:t xml:space="preserve"> </w:t>
      </w:r>
      <w:r w:rsidRPr="00373ACB">
        <w:t xml:space="preserve">confidentiality than was apparent in </w:t>
      </w:r>
      <w:proofErr w:type="spellStart"/>
      <w:r w:rsidRPr="00373ACB">
        <w:rPr>
          <w:i/>
          <w:iCs/>
        </w:rPr>
        <w:t>Egdell</w:t>
      </w:r>
      <w:proofErr w:type="spellEnd"/>
      <w:r w:rsidRPr="00373ACB">
        <w:t>. Hale LJ makes it plain that there must be very strong</w:t>
      </w:r>
      <w:r>
        <w:t xml:space="preserve"> </w:t>
      </w:r>
      <w:r w:rsidRPr="00373ACB">
        <w:t>reasons for disclosure without informed consent, and even then it is to be limited to reports which</w:t>
      </w:r>
      <w:r>
        <w:t xml:space="preserve"> </w:t>
      </w:r>
      <w:r w:rsidRPr="00373ACB">
        <w:t>would have been placed before a court; Social Services files are expressly not made available.</w:t>
      </w:r>
      <w:r>
        <w:t xml:space="preserve"> </w:t>
      </w:r>
      <w:r w:rsidRPr="00373ACB">
        <w:t>Moreover, disclosure is expressly for the purpose of seeking legal advice prior to accessing a court,</w:t>
      </w:r>
      <w:r>
        <w:t xml:space="preserve"> </w:t>
      </w:r>
      <w:r w:rsidRPr="00373ACB">
        <w:t>and not for wider circulation: such limited disclosure follows the principles applied in the</w:t>
      </w:r>
      <w:r>
        <w:t xml:space="preserve"> </w:t>
      </w:r>
      <w:r w:rsidRPr="00373ACB">
        <w:t xml:space="preserve">European Court of Human Rights (see for example </w:t>
      </w:r>
      <w:r w:rsidRPr="00373ACB">
        <w:rPr>
          <w:i/>
          <w:iCs/>
        </w:rPr>
        <w:t xml:space="preserve">Z v Finland </w:t>
      </w:r>
      <w:r w:rsidRPr="00373ACB">
        <w:t>(1997) 25 EHRR 371).</w:t>
      </w:r>
    </w:p>
    <w:p w:rsidR="00373ACB" w:rsidRPr="00373ACB" w:rsidRDefault="00373ACB" w:rsidP="00373ACB">
      <w:pPr>
        <w:spacing w:after="0"/>
      </w:pPr>
    </w:p>
    <w:p w:rsidR="00373ACB" w:rsidRDefault="00373ACB" w:rsidP="00373ACB">
      <w:pPr>
        <w:spacing w:after="0"/>
      </w:pPr>
      <w:r w:rsidRPr="00373ACB">
        <w:t>Kennedy LJ goes further: he would not allow any disclosure to the mother at this stage, nor to her</w:t>
      </w:r>
      <w:r>
        <w:t xml:space="preserve"> </w:t>
      </w:r>
      <w:r w:rsidRPr="00373ACB">
        <w:t>legal team, but only to her medical and social work advisers. It may be said that this implies a</w:t>
      </w:r>
      <w:r>
        <w:t xml:space="preserve"> </w:t>
      </w:r>
      <w:r w:rsidRPr="00373ACB">
        <w:t>mistrust of the mother; on the face of it, however, it is reinforcing the high duty of confidence</w:t>
      </w:r>
      <w:r>
        <w:t xml:space="preserve"> </w:t>
      </w:r>
      <w:r w:rsidRPr="00373ACB">
        <w:t>required on behalf of C himself.</w:t>
      </w:r>
    </w:p>
    <w:p w:rsidR="00373ACB" w:rsidRDefault="00373ACB" w:rsidP="00373ACB">
      <w:pPr>
        <w:spacing w:after="0"/>
      </w:pPr>
    </w:p>
    <w:p w:rsidR="00306719" w:rsidRDefault="00306719" w:rsidP="00306719">
      <w:pPr>
        <w:spacing w:after="0"/>
      </w:pPr>
      <w:r w:rsidRPr="00306719">
        <w:t>This approach, while no doubt deriving in part from Hale LJ’s personal interest in learning</w:t>
      </w:r>
      <w:r>
        <w:t xml:space="preserve"> </w:t>
      </w:r>
      <w:r w:rsidRPr="00306719">
        <w:t>disability issues, also demonstrates a shift in attitude over the last ten years towards greater</w:t>
      </w:r>
      <w:r>
        <w:t xml:space="preserve"> </w:t>
      </w:r>
      <w:r w:rsidRPr="00306719">
        <w:t>autonomy and self-determination of those with learning disabilities. It is a welcome</w:t>
      </w:r>
      <w:r>
        <w:t xml:space="preserve"> </w:t>
      </w:r>
      <w:r w:rsidRPr="00306719">
        <w:t>counterbalance to the Government’s deplorable drive towards requiring information-sharing</w:t>
      </w:r>
      <w:r>
        <w:t xml:space="preserve"> </w:t>
      </w:r>
      <w:r w:rsidRPr="00306719">
        <w:t>without consent (see for example section 60 of the Health and Social Care Act 2001 and the</w:t>
      </w:r>
      <w:r>
        <w:t xml:space="preserve"> </w:t>
      </w:r>
      <w:r w:rsidRPr="00306719">
        <w:t>consultation section of the draft Mental Health Bill). This is ostensibly for the benefit of the</w:t>
      </w:r>
      <w:r>
        <w:t xml:space="preserve"> </w:t>
      </w:r>
      <w:r w:rsidRPr="00306719">
        <w:t>subject or the public, but (to this author at least) shows a lack of the respect for vulnerable adults</w:t>
      </w:r>
      <w:r>
        <w:t xml:space="preserve"> </w:t>
      </w:r>
      <w:r w:rsidRPr="00306719">
        <w:t>which the court is so determined to uphold in the present case.</w:t>
      </w:r>
    </w:p>
    <w:p w:rsidR="00306719" w:rsidRPr="00306719" w:rsidRDefault="00306719" w:rsidP="00306719">
      <w:pPr>
        <w:spacing w:after="0"/>
      </w:pPr>
    </w:p>
    <w:p w:rsidR="00306719" w:rsidRDefault="00306719" w:rsidP="00306719">
      <w:pPr>
        <w:spacing w:after="0"/>
      </w:pPr>
      <w:r w:rsidRPr="00306719">
        <w:t xml:space="preserve">It should be remembered, however, that unlike C, the subject in </w:t>
      </w:r>
      <w:proofErr w:type="spellStart"/>
      <w:r w:rsidRPr="00306719">
        <w:rPr>
          <w:i/>
          <w:iCs/>
        </w:rPr>
        <w:t>Egdell</w:t>
      </w:r>
      <w:proofErr w:type="spellEnd"/>
      <w:r w:rsidRPr="00306719">
        <w:rPr>
          <w:i/>
          <w:iCs/>
        </w:rPr>
        <w:t xml:space="preserve"> </w:t>
      </w:r>
      <w:r w:rsidRPr="00306719">
        <w:t>was believed to be</w:t>
      </w:r>
      <w:r>
        <w:t xml:space="preserve"> </w:t>
      </w:r>
      <w:r w:rsidRPr="00306719">
        <w:t>dangerous. While we may hope that judicial attitudes have generally become more enlightened</w:t>
      </w:r>
      <w:r>
        <w:t xml:space="preserve"> </w:t>
      </w:r>
      <w:r w:rsidRPr="00306719">
        <w:t>since that case, it remains to be seen whether the court will be so keen to preserve confidentiality</w:t>
      </w:r>
      <w:r>
        <w:t xml:space="preserve"> </w:t>
      </w:r>
      <w:r w:rsidRPr="00306719">
        <w:t>in a case where the individual lacking capacity is believed to be a risk to others.</w:t>
      </w:r>
    </w:p>
    <w:p w:rsidR="00306719" w:rsidRPr="00306719" w:rsidRDefault="00306719" w:rsidP="00306719">
      <w:pPr>
        <w:spacing w:after="0"/>
      </w:pPr>
    </w:p>
    <w:p w:rsidR="00306719" w:rsidRDefault="00306719" w:rsidP="00306719">
      <w:pPr>
        <w:spacing w:after="0"/>
      </w:pPr>
      <w:r w:rsidRPr="00306719">
        <w:t>Finally, it is interesting that in a judgment 19 pages long, the Data Protection Act 1998 merits a</w:t>
      </w:r>
      <w:r>
        <w:t xml:space="preserve"> </w:t>
      </w:r>
      <w:r w:rsidRPr="00306719">
        <w:t>single paragraph. This is because, as Hale LJ explains, the Act added nothing to the argument. It is</w:t>
      </w:r>
      <w:r>
        <w:t xml:space="preserve"> </w:t>
      </w:r>
      <w:r w:rsidRPr="00306719">
        <w:t>often assumed that the Data Protection Act has superseded the common law, so that its provisions</w:t>
      </w:r>
      <w:r>
        <w:t xml:space="preserve"> </w:t>
      </w:r>
      <w:r w:rsidRPr="00306719">
        <w:t>are all that count. However, as is apparent throughout the guidance issued by the Information</w:t>
      </w:r>
      <w:r>
        <w:t xml:space="preserve"> </w:t>
      </w:r>
      <w:r w:rsidRPr="00306719">
        <w:t>Commissioner</w:t>
      </w:r>
      <w:r>
        <w:rPr>
          <w:rStyle w:val="FootnoteReference"/>
        </w:rPr>
        <w:footnoteReference w:id="2"/>
      </w:r>
      <w:r w:rsidRPr="00306719">
        <w:t>, the Act simply regulates how disclosure should take place, not when. In particular,</w:t>
      </w:r>
      <w:r>
        <w:t xml:space="preserve"> </w:t>
      </w:r>
      <w:r w:rsidRPr="00306719">
        <w:t xml:space="preserve">processing of data must be ‘lawful’ under common law and </w:t>
      </w:r>
      <w:proofErr w:type="gramStart"/>
      <w:r w:rsidRPr="00306719">
        <w:t>statutory principles before the Act is</w:t>
      </w:r>
      <w:proofErr w:type="gramEnd"/>
      <w:r>
        <w:t xml:space="preserve"> </w:t>
      </w:r>
      <w:r w:rsidRPr="00306719">
        <w:t>engaged. Moreover, it provides a power to disclose, not a duty.</w:t>
      </w:r>
    </w:p>
    <w:p w:rsidR="00306719" w:rsidRPr="00306719" w:rsidRDefault="00306719" w:rsidP="00306719">
      <w:pPr>
        <w:spacing w:after="0"/>
      </w:pPr>
    </w:p>
    <w:p w:rsidR="00373ACB" w:rsidRDefault="00306719" w:rsidP="00306719">
      <w:pPr>
        <w:spacing w:after="0"/>
      </w:pPr>
      <w:r w:rsidRPr="00306719">
        <w:t>One point in the judgment may need slight correction. Hale LJ refers to the provision permitting</w:t>
      </w:r>
      <w:r>
        <w:t xml:space="preserve"> </w:t>
      </w:r>
      <w:r w:rsidRPr="00306719">
        <w:t xml:space="preserve">disclosure of sensitive personal data ‘in order to protect the </w:t>
      </w:r>
      <w:r w:rsidRPr="00306719">
        <w:rPr>
          <w:i/>
          <w:iCs/>
        </w:rPr>
        <w:t xml:space="preserve">vital interests </w:t>
      </w:r>
      <w:r w:rsidRPr="00306719">
        <w:t>of the data subject or</w:t>
      </w:r>
      <w:r>
        <w:t xml:space="preserve"> </w:t>
      </w:r>
      <w:r w:rsidRPr="00306719">
        <w:t>another person, in a case where consent cannot be given by or on behalf of the data subject…’</w:t>
      </w:r>
      <w:r>
        <w:t xml:space="preserve"> </w:t>
      </w:r>
      <w:proofErr w:type="gramStart"/>
      <w:r w:rsidRPr="00306719">
        <w:t>(Schedule 3 of the Act).</w:t>
      </w:r>
      <w:proofErr w:type="gramEnd"/>
      <w:r w:rsidRPr="00306719">
        <w:t xml:space="preserve"> However, this is misleading. The Information Commissioner ‘considers</w:t>
      </w:r>
      <w:r>
        <w:t xml:space="preserve"> </w:t>
      </w:r>
      <w:r w:rsidRPr="00306719">
        <w:t>that reliance on this condition may only be claimed where the processing is necessary for matters</w:t>
      </w:r>
      <w:r>
        <w:t xml:space="preserve"> </w:t>
      </w:r>
      <w:r w:rsidRPr="00306719">
        <w:t>of life and death, for example the disclosure of a data subject’s medical history … after a serious</w:t>
      </w:r>
      <w:r>
        <w:t xml:space="preserve"> </w:t>
      </w:r>
      <w:r w:rsidRPr="00306719">
        <w:t>road accident’</w:t>
      </w:r>
      <w:r>
        <w:rPr>
          <w:rStyle w:val="FootnoteReference"/>
        </w:rPr>
        <w:footnoteReference w:id="3"/>
      </w:r>
      <w:r w:rsidRPr="00306719">
        <w:t>. In other words, it does not permit the routine disclosure of confidential</w:t>
      </w:r>
      <w:r>
        <w:t xml:space="preserve"> </w:t>
      </w:r>
      <w:r w:rsidRPr="00306719">
        <w:t xml:space="preserve">information to </w:t>
      </w:r>
      <w:r w:rsidRPr="00306719">
        <w:lastRenderedPageBreak/>
        <w:t>family members simply because the patient lacks capacity to consent to it – still less</w:t>
      </w:r>
      <w:r>
        <w:t xml:space="preserve"> </w:t>
      </w:r>
      <w:r w:rsidRPr="00306719">
        <w:t>where she or he has capacity but refuses consent, unless there is a risk to others. On the other hand,</w:t>
      </w:r>
      <w:r>
        <w:t xml:space="preserve"> </w:t>
      </w:r>
      <w:r w:rsidRPr="00306719">
        <w:t>the Information Commissioner does not make the law; and in the instant case disclosure can still</w:t>
      </w:r>
      <w:r>
        <w:t xml:space="preserve"> </w:t>
      </w:r>
      <w:r w:rsidRPr="00306719">
        <w:t xml:space="preserve">be justified </w:t>
      </w:r>
      <w:proofErr w:type="gramStart"/>
      <w:r w:rsidRPr="00306719">
        <w:t>under</w:t>
      </w:r>
      <w:proofErr w:type="gramEnd"/>
      <w:r w:rsidRPr="00306719">
        <w:t xml:space="preserve"> one of the other grounds in Schedule 3 to the Act.</w:t>
      </w:r>
      <w:bookmarkStart w:id="0" w:name="_GoBack"/>
      <w:bookmarkEnd w:id="0"/>
    </w:p>
    <w:sectPr w:rsidR="00373A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12F" w:rsidRDefault="007B212F" w:rsidP="007B212F">
      <w:pPr>
        <w:spacing w:after="0" w:line="240" w:lineRule="auto"/>
      </w:pPr>
      <w:r>
        <w:separator/>
      </w:r>
    </w:p>
  </w:endnote>
  <w:endnote w:type="continuationSeparator" w:id="0">
    <w:p w:rsidR="007B212F" w:rsidRDefault="007B212F" w:rsidP="007B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12F" w:rsidRDefault="007B212F" w:rsidP="007B212F">
      <w:pPr>
        <w:spacing w:after="0" w:line="240" w:lineRule="auto"/>
      </w:pPr>
      <w:r>
        <w:separator/>
      </w:r>
    </w:p>
  </w:footnote>
  <w:footnote w:type="continuationSeparator" w:id="0">
    <w:p w:rsidR="007B212F" w:rsidRDefault="007B212F" w:rsidP="007B212F">
      <w:pPr>
        <w:spacing w:after="0" w:line="240" w:lineRule="auto"/>
      </w:pPr>
      <w:r>
        <w:continuationSeparator/>
      </w:r>
    </w:p>
  </w:footnote>
  <w:footnote w:id="1">
    <w:p w:rsidR="007B212F" w:rsidRPr="007B212F" w:rsidRDefault="007B212F" w:rsidP="007B212F">
      <w:pPr>
        <w:pStyle w:val="FootnoteText"/>
        <w:rPr>
          <w:iCs/>
          <w:sz w:val="16"/>
        </w:rPr>
      </w:pPr>
      <w:r w:rsidRPr="007B212F">
        <w:rPr>
          <w:rStyle w:val="FootnoteReference"/>
          <w:sz w:val="16"/>
        </w:rPr>
        <w:t>*</w:t>
      </w:r>
      <w:r w:rsidRPr="007B212F">
        <w:rPr>
          <w:sz w:val="16"/>
        </w:rPr>
        <w:t xml:space="preserve"> </w:t>
      </w:r>
      <w:r w:rsidRPr="007B212F">
        <w:rPr>
          <w:iCs/>
          <w:sz w:val="16"/>
        </w:rPr>
        <w:t>Principal Solicitor, Mind, London. A shorter review of this case by the author appears in the June 2002 Mind Legal Network Newsletter.</w:t>
      </w:r>
    </w:p>
  </w:footnote>
  <w:footnote w:id="2">
    <w:p w:rsidR="00306719" w:rsidRPr="00306719" w:rsidRDefault="00306719" w:rsidP="00306719">
      <w:pPr>
        <w:pStyle w:val="FootnoteText"/>
        <w:rPr>
          <w:sz w:val="16"/>
        </w:rPr>
      </w:pPr>
      <w:r w:rsidRPr="00306719">
        <w:rPr>
          <w:rStyle w:val="FootnoteReference"/>
          <w:sz w:val="16"/>
        </w:rPr>
        <w:footnoteRef/>
      </w:r>
      <w:r w:rsidRPr="00306719">
        <w:rPr>
          <w:sz w:val="16"/>
        </w:rPr>
        <w:t xml:space="preserve"> </w:t>
      </w:r>
      <w:r w:rsidRPr="00306719">
        <w:rPr>
          <w:iCs/>
          <w:sz w:val="16"/>
        </w:rPr>
        <w:t>See ‘The Data Protection Act 1998- legal guidance’ (Information Commissioner, December 2001)</w:t>
      </w:r>
    </w:p>
  </w:footnote>
  <w:footnote w:id="3">
    <w:p w:rsidR="00306719" w:rsidRPr="00306719" w:rsidRDefault="00306719">
      <w:pPr>
        <w:pStyle w:val="FootnoteText"/>
        <w:rPr>
          <w:sz w:val="16"/>
        </w:rPr>
      </w:pPr>
      <w:r w:rsidRPr="00306719">
        <w:rPr>
          <w:rStyle w:val="FootnoteReference"/>
          <w:sz w:val="16"/>
        </w:rPr>
        <w:footnoteRef/>
      </w:r>
      <w:r w:rsidRPr="00306719">
        <w:rPr>
          <w:sz w:val="16"/>
        </w:rPr>
        <w:t xml:space="preserve"> Op </w:t>
      </w:r>
      <w:proofErr w:type="spellStart"/>
      <w:r w:rsidRPr="00306719">
        <w:rPr>
          <w:sz w:val="16"/>
        </w:rPr>
        <w:t>cit</w:t>
      </w:r>
      <w:proofErr w:type="spellEnd"/>
      <w:r w:rsidRPr="00306719">
        <w:rPr>
          <w:sz w:val="16"/>
        </w:rPr>
        <w:t>, page 13, paragraph 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1BC"/>
    <w:multiLevelType w:val="hybridMultilevel"/>
    <w:tmpl w:val="A77CC4EE"/>
    <w:lvl w:ilvl="0" w:tplc="8878F788">
      <w:start w:val="1"/>
      <w:numFmt w:val="lowerLetter"/>
      <w:lvlText w:val="(%1)"/>
      <w:lvlJc w:val="left"/>
      <w:pPr>
        <w:ind w:left="7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>
    <w:nsid w:val="0ED64FD7"/>
    <w:multiLevelType w:val="hybridMultilevel"/>
    <w:tmpl w:val="50123344"/>
    <w:lvl w:ilvl="0" w:tplc="595C6FD8">
      <w:start w:val="8"/>
      <w:numFmt w:val="lowerLetter"/>
      <w:lvlText w:val="(%1)"/>
      <w:lvlJc w:val="left"/>
      <w:pPr>
        <w:ind w:left="7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2416F"/>
    <w:multiLevelType w:val="hybridMultilevel"/>
    <w:tmpl w:val="1B84FCF6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67D89"/>
    <w:multiLevelType w:val="hybridMultilevel"/>
    <w:tmpl w:val="3F3070BA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01F58"/>
    <w:multiLevelType w:val="hybridMultilevel"/>
    <w:tmpl w:val="64C07680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ADB"/>
    <w:rsid w:val="000E5E99"/>
    <w:rsid w:val="00230111"/>
    <w:rsid w:val="00306719"/>
    <w:rsid w:val="003360AE"/>
    <w:rsid w:val="003423A4"/>
    <w:rsid w:val="00366AD2"/>
    <w:rsid w:val="00373ACB"/>
    <w:rsid w:val="00386D42"/>
    <w:rsid w:val="00595FC7"/>
    <w:rsid w:val="00736520"/>
    <w:rsid w:val="007B0FB1"/>
    <w:rsid w:val="007B212F"/>
    <w:rsid w:val="007C303F"/>
    <w:rsid w:val="008268CC"/>
    <w:rsid w:val="008B75B1"/>
    <w:rsid w:val="00990412"/>
    <w:rsid w:val="009B4C18"/>
    <w:rsid w:val="00B91ADB"/>
    <w:rsid w:val="00BB670F"/>
    <w:rsid w:val="00F5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B21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21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212F"/>
    <w:rPr>
      <w:vertAlign w:val="superscript"/>
    </w:rPr>
  </w:style>
  <w:style w:type="paragraph" w:styleId="ListParagraph">
    <w:name w:val="List Paragraph"/>
    <w:basedOn w:val="Normal"/>
    <w:uiPriority w:val="34"/>
    <w:qFormat/>
    <w:rsid w:val="00736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B21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21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212F"/>
    <w:rPr>
      <w:vertAlign w:val="superscript"/>
    </w:rPr>
  </w:style>
  <w:style w:type="paragraph" w:styleId="ListParagraph">
    <w:name w:val="List Paragraph"/>
    <w:basedOn w:val="Normal"/>
    <w:uiPriority w:val="34"/>
    <w:qFormat/>
    <w:rsid w:val="00736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E41AB-D97F-4728-AD58-F36B3952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5055</Words>
  <Characters>28818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33806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18</cp:revision>
  <dcterms:created xsi:type="dcterms:W3CDTF">2014-10-13T13:45:00Z</dcterms:created>
  <dcterms:modified xsi:type="dcterms:W3CDTF">2014-10-13T15:17:00Z</dcterms:modified>
</cp:coreProperties>
</file>