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spacing w:before="218"/>
        <w:ind w:left="4112" w:right="4112" w:firstLine="0"/>
        <w:jc w:val="center"/>
        <w:rPr>
          <w:rFonts w:ascii="Arial"/>
          <w:b/>
          <w:sz w:val="22"/>
        </w:rPr>
      </w:pPr>
      <w:bookmarkStart w:name="01 Editorial" w:id="1"/>
      <w:bookmarkEnd w:id="1"/>
      <w:r>
        <w:rPr/>
      </w:r>
      <w:r>
        <w:rPr>
          <w:rFonts w:ascii="Arial"/>
          <w:b/>
          <w:sz w:val="28"/>
        </w:rPr>
        <w:t>E</w:t>
      </w:r>
      <w:r>
        <w:rPr>
          <w:rFonts w:ascii="Arial"/>
          <w:b/>
          <w:sz w:val="22"/>
        </w:rPr>
        <w:t>DITORIAL</w:t>
      </w:r>
    </w:p>
    <w:p>
      <w:pPr>
        <w:pStyle w:val="BodyText"/>
        <w:spacing w:before="253"/>
        <w:ind w:left="120" w:right="229"/>
        <w:jc w:val="both"/>
      </w:pPr>
      <w:r>
        <w:rPr/>
        <w:t>We are delighted to present the fourth issue of the International Journal of Mental Health and Capacity Law. The journal is now regularly receiving excellent submissions on</w:t>
      </w:r>
      <w:r>
        <w:rPr>
          <w:spacing w:val="-10"/>
        </w:rPr>
        <w:t> </w:t>
      </w:r>
      <w:r>
        <w:rPr/>
        <w:t>mental</w:t>
      </w:r>
      <w:r>
        <w:rPr>
          <w:spacing w:val="-11"/>
        </w:rPr>
        <w:t> </w:t>
      </w:r>
      <w:r>
        <w:rPr/>
        <w:t>health</w:t>
      </w:r>
      <w:r>
        <w:rPr>
          <w:spacing w:val="-10"/>
        </w:rPr>
        <w:t> </w:t>
      </w:r>
      <w:r>
        <w:rPr/>
        <w:t>and</w:t>
      </w:r>
      <w:r>
        <w:rPr>
          <w:spacing w:val="-11"/>
        </w:rPr>
        <w:t> </w:t>
      </w:r>
      <w:r>
        <w:rPr/>
        <w:t>capacity</w:t>
      </w:r>
      <w:r>
        <w:rPr>
          <w:spacing w:val="-10"/>
        </w:rPr>
        <w:t> </w:t>
      </w:r>
      <w:r>
        <w:rPr/>
        <w:t>law</w:t>
      </w:r>
      <w:r>
        <w:rPr>
          <w:spacing w:val="-10"/>
        </w:rPr>
        <w:t> </w:t>
      </w:r>
      <w:r>
        <w:rPr/>
        <w:t>and</w:t>
      </w:r>
      <w:r>
        <w:rPr>
          <w:spacing w:val="-10"/>
        </w:rPr>
        <w:t> </w:t>
      </w:r>
      <w:r>
        <w:rPr/>
        <w:t>practice</w:t>
      </w:r>
      <w:r>
        <w:rPr>
          <w:spacing w:val="-9"/>
        </w:rPr>
        <w:t> </w:t>
      </w:r>
      <w:r>
        <w:rPr/>
        <w:t>from</w:t>
      </w:r>
      <w:r>
        <w:rPr>
          <w:spacing w:val="-10"/>
        </w:rPr>
        <w:t> </w:t>
      </w:r>
      <w:r>
        <w:rPr/>
        <w:t>across</w:t>
      </w:r>
      <w:r>
        <w:rPr>
          <w:spacing w:val="-9"/>
        </w:rPr>
        <w:t> </w:t>
      </w:r>
      <w:r>
        <w:rPr/>
        <w:t>the</w:t>
      </w:r>
      <w:r>
        <w:rPr>
          <w:spacing w:val="-10"/>
        </w:rPr>
        <w:t> </w:t>
      </w:r>
      <w:r>
        <w:rPr/>
        <w:t>globe,</w:t>
      </w:r>
      <w:r>
        <w:rPr>
          <w:spacing w:val="-10"/>
        </w:rPr>
        <w:t> </w:t>
      </w:r>
      <w:r>
        <w:rPr/>
        <w:t>several</w:t>
      </w:r>
      <w:r>
        <w:rPr>
          <w:spacing w:val="-9"/>
        </w:rPr>
        <w:t> </w:t>
      </w:r>
      <w:r>
        <w:rPr/>
        <w:t>of</w:t>
      </w:r>
      <w:r>
        <w:rPr>
          <w:spacing w:val="-10"/>
        </w:rPr>
        <w:t> </w:t>
      </w:r>
      <w:r>
        <w:rPr/>
        <w:t>which are published in this issue, and clearly demonstrates the cross-sectorial demand for such a</w:t>
      </w:r>
      <w:r>
        <w:rPr>
          <w:spacing w:val="-7"/>
        </w:rPr>
        <w:t> </w:t>
      </w:r>
      <w:r>
        <w:rPr/>
        <w:t>periodical.</w:t>
      </w:r>
    </w:p>
    <w:p>
      <w:pPr>
        <w:pStyle w:val="BodyText"/>
        <w:spacing w:before="11"/>
        <w:rPr>
          <w:sz w:val="23"/>
        </w:rPr>
      </w:pPr>
    </w:p>
    <w:p>
      <w:pPr>
        <w:pStyle w:val="BodyText"/>
        <w:ind w:left="120" w:right="228"/>
        <w:jc w:val="both"/>
      </w:pPr>
      <w:r>
        <w:rPr/>
        <w:t>Largely</w:t>
      </w:r>
      <w:r>
        <w:rPr>
          <w:spacing w:val="-9"/>
        </w:rPr>
        <w:t> </w:t>
      </w:r>
      <w:r>
        <w:rPr/>
        <w:t>driven</w:t>
      </w:r>
      <w:r>
        <w:rPr>
          <w:spacing w:val="-7"/>
        </w:rPr>
        <w:t> </w:t>
      </w:r>
      <w:r>
        <w:rPr/>
        <w:t>by</w:t>
      </w:r>
      <w:r>
        <w:rPr>
          <w:spacing w:val="-7"/>
        </w:rPr>
        <w:t> </w:t>
      </w:r>
      <w:r>
        <w:rPr/>
        <w:t>the</w:t>
      </w:r>
      <w:r>
        <w:rPr>
          <w:spacing w:val="-8"/>
        </w:rPr>
        <w:t> </w:t>
      </w:r>
      <w:r>
        <w:rPr/>
        <w:t>UN</w:t>
      </w:r>
      <w:r>
        <w:rPr>
          <w:spacing w:val="-8"/>
        </w:rPr>
        <w:t> </w:t>
      </w:r>
      <w:r>
        <w:rPr/>
        <w:t>Convention</w:t>
      </w:r>
      <w:r>
        <w:rPr>
          <w:spacing w:val="-8"/>
        </w:rPr>
        <w:t> </w:t>
      </w:r>
      <w:r>
        <w:rPr/>
        <w:t>on</w:t>
      </w:r>
      <w:r>
        <w:rPr>
          <w:spacing w:val="-9"/>
        </w:rPr>
        <w:t> </w:t>
      </w:r>
      <w:r>
        <w:rPr/>
        <w:t>the</w:t>
      </w:r>
      <w:r>
        <w:rPr>
          <w:spacing w:val="-8"/>
        </w:rPr>
        <w:t> </w:t>
      </w:r>
      <w:r>
        <w:rPr/>
        <w:t>Rights</w:t>
      </w:r>
      <w:r>
        <w:rPr>
          <w:spacing w:val="-9"/>
        </w:rPr>
        <w:t> </w:t>
      </w:r>
      <w:r>
        <w:rPr/>
        <w:t>of</w:t>
      </w:r>
      <w:r>
        <w:rPr>
          <w:spacing w:val="-9"/>
        </w:rPr>
        <w:t> </w:t>
      </w:r>
      <w:r>
        <w:rPr/>
        <w:t>Persons</w:t>
      </w:r>
      <w:r>
        <w:rPr>
          <w:spacing w:val="-8"/>
        </w:rPr>
        <w:t> </w:t>
      </w:r>
      <w:r>
        <w:rPr/>
        <w:t>with</w:t>
      </w:r>
      <w:r>
        <w:rPr>
          <w:spacing w:val="-8"/>
        </w:rPr>
        <w:t> </w:t>
      </w:r>
      <w:r>
        <w:rPr/>
        <w:t>Disabilities</w:t>
      </w:r>
      <w:r>
        <w:rPr>
          <w:spacing w:val="-8"/>
        </w:rPr>
        <w:t> </w:t>
      </w:r>
      <w:r>
        <w:rPr/>
        <w:t>(CRPD)</w:t>
      </w:r>
      <w:hyperlink w:history="true" w:anchor="_bookmark0">
        <w:r>
          <w:rPr>
            <w:position w:val="8"/>
            <w:sz w:val="16"/>
          </w:rPr>
          <w:t>1</w:t>
        </w:r>
      </w:hyperlink>
      <w:r>
        <w:rPr>
          <w:position w:val="8"/>
          <w:sz w:val="16"/>
        </w:rPr>
        <w:t> </w:t>
      </w:r>
      <w:r>
        <w:rPr/>
        <w:t>and</w:t>
      </w:r>
      <w:r>
        <w:rPr>
          <w:spacing w:val="-12"/>
        </w:rPr>
        <w:t> </w:t>
      </w:r>
      <w:r>
        <w:rPr/>
        <w:t>Committee</w:t>
      </w:r>
      <w:r>
        <w:rPr>
          <w:spacing w:val="-13"/>
        </w:rPr>
        <w:t> </w:t>
      </w:r>
      <w:r>
        <w:rPr/>
        <w:t>on</w:t>
      </w:r>
      <w:r>
        <w:rPr>
          <w:spacing w:val="-12"/>
        </w:rPr>
        <w:t> </w:t>
      </w:r>
      <w:r>
        <w:rPr/>
        <w:t>the</w:t>
      </w:r>
      <w:r>
        <w:rPr>
          <w:spacing w:val="-13"/>
        </w:rPr>
        <w:t> </w:t>
      </w:r>
      <w:r>
        <w:rPr/>
        <w:t>Rights</w:t>
      </w:r>
      <w:r>
        <w:rPr>
          <w:spacing w:val="-13"/>
        </w:rPr>
        <w:t> </w:t>
      </w:r>
      <w:r>
        <w:rPr/>
        <w:t>of</w:t>
      </w:r>
      <w:r>
        <w:rPr>
          <w:spacing w:val="-12"/>
        </w:rPr>
        <w:t> </w:t>
      </w:r>
      <w:r>
        <w:rPr/>
        <w:t>Persons</w:t>
      </w:r>
      <w:r>
        <w:rPr>
          <w:spacing w:val="-13"/>
        </w:rPr>
        <w:t> </w:t>
      </w:r>
      <w:r>
        <w:rPr/>
        <w:t>with</w:t>
      </w:r>
      <w:r>
        <w:rPr>
          <w:spacing w:val="-13"/>
        </w:rPr>
        <w:t> </w:t>
      </w:r>
      <w:r>
        <w:rPr/>
        <w:t>Disabilities,</w:t>
      </w:r>
      <w:r>
        <w:rPr>
          <w:spacing w:val="-12"/>
        </w:rPr>
        <w:t> </w:t>
      </w:r>
      <w:r>
        <w:rPr/>
        <w:t>but</w:t>
      </w:r>
      <w:r>
        <w:rPr>
          <w:spacing w:val="-12"/>
        </w:rPr>
        <w:t> </w:t>
      </w:r>
      <w:r>
        <w:rPr/>
        <w:t>also</w:t>
      </w:r>
      <w:r>
        <w:rPr>
          <w:spacing w:val="-13"/>
        </w:rPr>
        <w:t> </w:t>
      </w:r>
      <w:r>
        <w:rPr/>
        <w:t>increasingly</w:t>
      </w:r>
      <w:r>
        <w:rPr>
          <w:spacing w:val="-13"/>
        </w:rPr>
        <w:t> </w:t>
      </w:r>
      <w:r>
        <w:rPr/>
        <w:t>by</w:t>
      </w:r>
      <w:r>
        <w:rPr>
          <w:spacing w:val="-12"/>
        </w:rPr>
        <w:t> </w:t>
      </w:r>
      <w:r>
        <w:rPr/>
        <w:t>other international human rights commentators such as the current Special Rapporteur on the right of everyone to the enjoyment of the highest attainable standard of health</w:t>
      </w:r>
      <w:hyperlink w:history="true" w:anchor="_bookmark1">
        <w:r>
          <w:rPr>
            <w:position w:val="8"/>
            <w:sz w:val="16"/>
          </w:rPr>
          <w:t>2</w:t>
        </w:r>
      </w:hyperlink>
      <w:r>
        <w:rPr/>
        <w:t>, all jurisdictions are being challenged to consider what equality and non-discrimination in the enjoyment of human rights actually means for persons with lived experience of cognitive, intellectual and psychosocial disabilities. What this should, and must, look like in terms of assessments of mental capacity, respecting and supporting individual autonomy and inclusion continues to be an important source of discussion amongst and</w:t>
      </w:r>
      <w:r>
        <w:rPr>
          <w:spacing w:val="-19"/>
        </w:rPr>
        <w:t> </w:t>
      </w:r>
      <w:r>
        <w:rPr/>
        <w:t>between</w:t>
      </w:r>
      <w:r>
        <w:rPr>
          <w:spacing w:val="-18"/>
        </w:rPr>
        <w:t> </w:t>
      </w:r>
      <w:r>
        <w:rPr/>
        <w:t>academics,</w:t>
      </w:r>
      <w:r>
        <w:rPr>
          <w:spacing w:val="-18"/>
        </w:rPr>
        <w:t> </w:t>
      </w:r>
      <w:r>
        <w:rPr/>
        <w:t>practitioners,</w:t>
      </w:r>
      <w:r>
        <w:rPr>
          <w:spacing w:val="-18"/>
        </w:rPr>
        <w:t> </w:t>
      </w:r>
      <w:r>
        <w:rPr/>
        <w:t>policy-makers,</w:t>
      </w:r>
      <w:r>
        <w:rPr>
          <w:spacing w:val="-18"/>
        </w:rPr>
        <w:t> </w:t>
      </w:r>
      <w:r>
        <w:rPr/>
        <w:t>legislators</w:t>
      </w:r>
      <w:r>
        <w:rPr>
          <w:spacing w:val="-18"/>
        </w:rPr>
        <w:t> </w:t>
      </w:r>
      <w:r>
        <w:rPr/>
        <w:t>and</w:t>
      </w:r>
      <w:r>
        <w:rPr>
          <w:spacing w:val="-18"/>
        </w:rPr>
        <w:t> </w:t>
      </w:r>
      <w:r>
        <w:rPr/>
        <w:t>persons</w:t>
      </w:r>
      <w:r>
        <w:rPr>
          <w:spacing w:val="-20"/>
        </w:rPr>
        <w:t> </w:t>
      </w:r>
      <w:r>
        <w:rPr/>
        <w:t>with</w:t>
      </w:r>
      <w:r>
        <w:rPr>
          <w:spacing w:val="-18"/>
        </w:rPr>
        <w:t> </w:t>
      </w:r>
      <w:r>
        <w:rPr/>
        <w:t>lived experience of cognitive, intellectual and psychosocial disabilities. In Scotland, my own jurisdiction, important questions have been asked in recent years about whether, and how, our capacity and mental health legislation does or can be made to respect CRPD standards</w:t>
      </w:r>
      <w:hyperlink w:history="true" w:anchor="_bookmark2">
        <w:r>
          <w:rPr>
            <w:position w:val="8"/>
            <w:sz w:val="16"/>
          </w:rPr>
          <w:t>3</w:t>
        </w:r>
      </w:hyperlink>
      <w:r>
        <w:rPr/>
        <w:t>. This is also currently being considered by the Scottish Government in its plans</w:t>
      </w:r>
      <w:r>
        <w:rPr>
          <w:spacing w:val="-16"/>
        </w:rPr>
        <w:t> </w:t>
      </w:r>
      <w:r>
        <w:rPr/>
        <w:t>to</w:t>
      </w:r>
      <w:r>
        <w:rPr>
          <w:spacing w:val="-16"/>
        </w:rPr>
        <w:t> </w:t>
      </w:r>
      <w:r>
        <w:rPr/>
        <w:t>reform</w:t>
      </w:r>
      <w:r>
        <w:rPr>
          <w:spacing w:val="-16"/>
        </w:rPr>
        <w:t> </w:t>
      </w:r>
      <w:r>
        <w:rPr/>
        <w:t>the</w:t>
      </w:r>
      <w:r>
        <w:rPr>
          <w:spacing w:val="-16"/>
        </w:rPr>
        <w:t> </w:t>
      </w:r>
      <w:r>
        <w:rPr/>
        <w:t>Adults</w:t>
      </w:r>
      <w:r>
        <w:rPr>
          <w:spacing w:val="-16"/>
        </w:rPr>
        <w:t> </w:t>
      </w:r>
      <w:r>
        <w:rPr/>
        <w:t>with</w:t>
      </w:r>
      <w:r>
        <w:rPr>
          <w:spacing w:val="-17"/>
        </w:rPr>
        <w:t> </w:t>
      </w:r>
      <w:r>
        <w:rPr/>
        <w:t>Incapacity</w:t>
      </w:r>
      <w:r>
        <w:rPr>
          <w:spacing w:val="-16"/>
        </w:rPr>
        <w:t> </w:t>
      </w:r>
      <w:r>
        <w:rPr/>
        <w:t>(Scotland)</w:t>
      </w:r>
      <w:r>
        <w:rPr>
          <w:spacing w:val="-16"/>
        </w:rPr>
        <w:t> </w:t>
      </w:r>
      <w:r>
        <w:rPr/>
        <w:t>Act</w:t>
      </w:r>
      <w:r>
        <w:rPr>
          <w:spacing w:val="-16"/>
        </w:rPr>
        <w:t> </w:t>
      </w:r>
      <w:r>
        <w:rPr/>
        <w:t>2000</w:t>
      </w:r>
      <w:hyperlink w:history="true" w:anchor="_bookmark3">
        <w:r>
          <w:rPr>
            <w:position w:val="8"/>
            <w:sz w:val="16"/>
          </w:rPr>
          <w:t>4</w:t>
        </w:r>
      </w:hyperlink>
      <w:r>
        <w:rPr/>
        <w:t>.</w:t>
      </w:r>
      <w:r>
        <w:rPr>
          <w:spacing w:val="-16"/>
        </w:rPr>
        <w:t> </w:t>
      </w:r>
      <w:r>
        <w:rPr/>
        <w:t>The</w:t>
      </w:r>
      <w:r>
        <w:rPr>
          <w:spacing w:val="-18"/>
        </w:rPr>
        <w:t> </w:t>
      </w:r>
      <w:r>
        <w:rPr/>
        <w:t>articles</w:t>
      </w:r>
      <w:r>
        <w:rPr>
          <w:spacing w:val="-16"/>
        </w:rPr>
        <w:t> </w:t>
      </w:r>
      <w:r>
        <w:rPr/>
        <w:t>and</w:t>
      </w:r>
      <w:r>
        <w:rPr>
          <w:spacing w:val="-16"/>
        </w:rPr>
        <w:t> </w:t>
      </w:r>
      <w:r>
        <w:rPr/>
        <w:t>review in this issue cover important aspects of the ongoing CRPD</w:t>
      </w:r>
      <w:r>
        <w:rPr>
          <w:spacing w:val="-26"/>
        </w:rPr>
        <w:t> </w:t>
      </w:r>
      <w:r>
        <w:rPr/>
        <w:t>discussion.</w:t>
      </w:r>
    </w:p>
    <w:p>
      <w:pPr>
        <w:pStyle w:val="BodyText"/>
        <w:spacing w:before="11"/>
        <w:rPr>
          <w:sz w:val="23"/>
        </w:rPr>
      </w:pPr>
    </w:p>
    <w:p>
      <w:pPr>
        <w:pStyle w:val="BodyText"/>
        <w:ind w:left="120" w:right="229"/>
        <w:jc w:val="both"/>
      </w:pPr>
      <w:r>
        <w:rPr/>
        <w:t>With</w:t>
      </w:r>
      <w:r>
        <w:rPr>
          <w:spacing w:val="-6"/>
        </w:rPr>
        <w:t> </w:t>
      </w:r>
      <w:r>
        <w:rPr/>
        <w:t>Article</w:t>
      </w:r>
      <w:r>
        <w:rPr>
          <w:spacing w:val="-7"/>
        </w:rPr>
        <w:t> </w:t>
      </w:r>
      <w:r>
        <w:rPr/>
        <w:t>12</w:t>
      </w:r>
      <w:r>
        <w:rPr>
          <w:spacing w:val="-7"/>
        </w:rPr>
        <w:t> </w:t>
      </w:r>
      <w:r>
        <w:rPr/>
        <w:t>CRPD</w:t>
      </w:r>
      <w:r>
        <w:rPr>
          <w:spacing w:val="-6"/>
        </w:rPr>
        <w:t> </w:t>
      </w:r>
      <w:r>
        <w:rPr/>
        <w:t>in</w:t>
      </w:r>
      <w:r>
        <w:rPr>
          <w:spacing w:val="-6"/>
        </w:rPr>
        <w:t> </w:t>
      </w:r>
      <w:r>
        <w:rPr/>
        <w:t>mind,</w:t>
      </w:r>
      <w:r>
        <w:rPr>
          <w:spacing w:val="-6"/>
        </w:rPr>
        <w:t> </w:t>
      </w:r>
      <w:r>
        <w:rPr/>
        <w:t>Chris</w:t>
      </w:r>
      <w:r>
        <w:rPr>
          <w:spacing w:val="-5"/>
        </w:rPr>
        <w:t> </w:t>
      </w:r>
      <w:r>
        <w:rPr/>
        <w:t>Maylea</w:t>
      </w:r>
      <w:r>
        <w:rPr>
          <w:spacing w:val="-6"/>
        </w:rPr>
        <w:t> </w:t>
      </w:r>
      <w:r>
        <w:rPr/>
        <w:t>and</w:t>
      </w:r>
      <w:r>
        <w:rPr>
          <w:spacing w:val="-6"/>
        </w:rPr>
        <w:t> </w:t>
      </w:r>
      <w:r>
        <w:rPr/>
        <w:t>Chris</w:t>
      </w:r>
      <w:r>
        <w:rPr>
          <w:spacing w:val="-5"/>
        </w:rPr>
        <w:t> </w:t>
      </w:r>
      <w:r>
        <w:rPr/>
        <w:t>Ryan</w:t>
      </w:r>
      <w:r>
        <w:rPr>
          <w:spacing w:val="-6"/>
        </w:rPr>
        <w:t> </w:t>
      </w:r>
      <w:r>
        <w:rPr/>
        <w:t>discuss</w:t>
      </w:r>
      <w:r>
        <w:rPr>
          <w:spacing w:val="-5"/>
        </w:rPr>
        <w:t> </w:t>
      </w:r>
      <w:r>
        <w:rPr/>
        <w:t>in</w:t>
      </w:r>
      <w:r>
        <w:rPr>
          <w:spacing w:val="-6"/>
        </w:rPr>
        <w:t> </w:t>
      </w:r>
      <w:r>
        <w:rPr/>
        <w:t>‘Decision-Making Capacity and the Victorian Mental Health Tribunal’ their research into the extent to which</w:t>
      </w:r>
      <w:r>
        <w:rPr>
          <w:spacing w:val="-9"/>
        </w:rPr>
        <w:t> </w:t>
      </w:r>
      <w:r>
        <w:rPr/>
        <w:t>the</w:t>
      </w:r>
      <w:r>
        <w:rPr>
          <w:spacing w:val="-11"/>
        </w:rPr>
        <w:t> </w:t>
      </w:r>
      <w:r>
        <w:rPr/>
        <w:t>Victorian</w:t>
      </w:r>
      <w:r>
        <w:rPr>
          <w:spacing w:val="-11"/>
        </w:rPr>
        <w:t> </w:t>
      </w:r>
      <w:r>
        <w:rPr/>
        <w:t>Mental</w:t>
      </w:r>
      <w:r>
        <w:rPr>
          <w:spacing w:val="-10"/>
        </w:rPr>
        <w:t> </w:t>
      </w:r>
      <w:r>
        <w:rPr/>
        <w:t>Health</w:t>
      </w:r>
      <w:r>
        <w:rPr>
          <w:spacing w:val="-9"/>
        </w:rPr>
        <w:t> </w:t>
      </w:r>
      <w:r>
        <w:rPr/>
        <w:t>Tribunal</w:t>
      </w:r>
      <w:r>
        <w:rPr>
          <w:spacing w:val="-11"/>
        </w:rPr>
        <w:t> </w:t>
      </w:r>
      <w:r>
        <w:rPr/>
        <w:t>in</w:t>
      </w:r>
      <w:r>
        <w:rPr>
          <w:spacing w:val="-9"/>
        </w:rPr>
        <w:t> </w:t>
      </w:r>
      <w:r>
        <w:rPr/>
        <w:t>Australia</w:t>
      </w:r>
      <w:r>
        <w:rPr>
          <w:spacing w:val="-12"/>
        </w:rPr>
        <w:t> </w:t>
      </w:r>
      <w:r>
        <w:rPr/>
        <w:t>actually</w:t>
      </w:r>
      <w:r>
        <w:rPr>
          <w:spacing w:val="-11"/>
        </w:rPr>
        <w:t> </w:t>
      </w:r>
      <w:r>
        <w:rPr/>
        <w:t>gives</w:t>
      </w:r>
      <w:r>
        <w:rPr>
          <w:spacing w:val="-10"/>
        </w:rPr>
        <w:t> </w:t>
      </w:r>
      <w:r>
        <w:rPr/>
        <w:t>effect</w:t>
      </w:r>
      <w:r>
        <w:rPr>
          <w:spacing w:val="-10"/>
        </w:rPr>
        <w:t> </w:t>
      </w:r>
      <w:r>
        <w:rPr/>
        <w:t>to</w:t>
      </w:r>
      <w:r>
        <w:rPr>
          <w:spacing w:val="-11"/>
        </w:rPr>
        <w:t> </w:t>
      </w:r>
      <w:r>
        <w:rPr/>
        <w:t>Victoria’s Mental Health Act 2014 requirement that it must consider a person’s decision-making capacity</w:t>
      </w:r>
      <w:r>
        <w:rPr>
          <w:spacing w:val="-12"/>
        </w:rPr>
        <w:t> </w:t>
      </w:r>
      <w:r>
        <w:rPr/>
        <w:t>when</w:t>
      </w:r>
      <w:r>
        <w:rPr>
          <w:spacing w:val="-12"/>
        </w:rPr>
        <w:t> </w:t>
      </w:r>
      <w:r>
        <w:rPr/>
        <w:t>determining</w:t>
      </w:r>
      <w:r>
        <w:rPr>
          <w:spacing w:val="-12"/>
        </w:rPr>
        <w:t> </w:t>
      </w:r>
      <w:r>
        <w:rPr/>
        <w:t>least</w:t>
      </w:r>
      <w:r>
        <w:rPr>
          <w:spacing w:val="-12"/>
        </w:rPr>
        <w:t> </w:t>
      </w:r>
      <w:r>
        <w:rPr/>
        <w:t>restrictive</w:t>
      </w:r>
      <w:r>
        <w:rPr>
          <w:spacing w:val="-11"/>
        </w:rPr>
        <w:t> </w:t>
      </w:r>
      <w:r>
        <w:rPr/>
        <w:t>treatment</w:t>
      </w:r>
      <w:r>
        <w:rPr>
          <w:spacing w:val="-11"/>
        </w:rPr>
        <w:t> </w:t>
      </w:r>
      <w:r>
        <w:rPr/>
        <w:t>options</w:t>
      </w:r>
      <w:r>
        <w:rPr>
          <w:spacing w:val="-13"/>
        </w:rPr>
        <w:t> </w:t>
      </w:r>
      <w:r>
        <w:rPr/>
        <w:t>and</w:t>
      </w:r>
      <w:r>
        <w:rPr>
          <w:spacing w:val="-12"/>
        </w:rPr>
        <w:t> </w:t>
      </w:r>
      <w:r>
        <w:rPr/>
        <w:t>to</w:t>
      </w:r>
      <w:r>
        <w:rPr>
          <w:spacing w:val="-11"/>
        </w:rPr>
        <w:t> </w:t>
      </w:r>
      <w:r>
        <w:rPr/>
        <w:t>respect</w:t>
      </w:r>
      <w:r>
        <w:rPr>
          <w:spacing w:val="-11"/>
        </w:rPr>
        <w:t> </w:t>
      </w:r>
      <w:r>
        <w:rPr/>
        <w:t>a</w:t>
      </w:r>
      <w:r>
        <w:rPr>
          <w:spacing w:val="-14"/>
        </w:rPr>
        <w:t> </w:t>
      </w:r>
      <w:r>
        <w:rPr/>
        <w:t>person’s competent refusal of treatment in all but very limited</w:t>
      </w:r>
      <w:r>
        <w:rPr>
          <w:spacing w:val="-25"/>
        </w:rPr>
        <w:t> </w:t>
      </w:r>
      <w:r>
        <w:rPr/>
        <w:t>circumstances.</w:t>
      </w:r>
    </w:p>
    <w:p>
      <w:pPr>
        <w:pStyle w:val="BodyText"/>
        <w:spacing w:before="11"/>
        <w:rPr>
          <w:sz w:val="23"/>
        </w:rPr>
      </w:pPr>
    </w:p>
    <w:p>
      <w:pPr>
        <w:pStyle w:val="BodyText"/>
        <w:ind w:left="120" w:right="227"/>
        <w:jc w:val="both"/>
      </w:pPr>
      <w:r>
        <w:rPr/>
        <w:t>Inclusivity, equality, non-discrimination and the removal of obstacles to rights enjoyment in the context of academic conference attendance and organisation are considered</w:t>
      </w:r>
      <w:r>
        <w:rPr>
          <w:spacing w:val="-7"/>
        </w:rPr>
        <w:t> </w:t>
      </w:r>
      <w:r>
        <w:rPr/>
        <w:t>by</w:t>
      </w:r>
      <w:r>
        <w:rPr>
          <w:spacing w:val="-6"/>
        </w:rPr>
        <w:t> </w:t>
      </w:r>
      <w:r>
        <w:rPr/>
        <w:t>Sarah</w:t>
      </w:r>
      <w:r>
        <w:rPr>
          <w:spacing w:val="-5"/>
        </w:rPr>
        <w:t> </w:t>
      </w:r>
      <w:r>
        <w:rPr/>
        <w:t>Gordon</w:t>
      </w:r>
      <w:r>
        <w:rPr>
          <w:spacing w:val="-6"/>
        </w:rPr>
        <w:t> </w:t>
      </w:r>
      <w:r>
        <w:rPr/>
        <w:t>and</w:t>
      </w:r>
      <w:r>
        <w:rPr>
          <w:spacing w:val="-7"/>
        </w:rPr>
        <w:t> </w:t>
      </w:r>
      <w:r>
        <w:rPr/>
        <w:t>Kris</w:t>
      </w:r>
      <w:r>
        <w:rPr>
          <w:spacing w:val="-6"/>
        </w:rPr>
        <w:t> </w:t>
      </w:r>
      <w:r>
        <w:rPr/>
        <w:t>Gledhill</w:t>
      </w:r>
      <w:r>
        <w:rPr>
          <w:spacing w:val="-5"/>
        </w:rPr>
        <w:t> </w:t>
      </w:r>
      <w:r>
        <w:rPr/>
        <w:t>in</w:t>
      </w:r>
      <w:r>
        <w:rPr>
          <w:spacing w:val="-6"/>
        </w:rPr>
        <w:t> </w:t>
      </w:r>
      <w:r>
        <w:rPr/>
        <w:t>‘What</w:t>
      </w:r>
      <w:r>
        <w:rPr>
          <w:spacing w:val="-6"/>
        </w:rPr>
        <w:t> </w:t>
      </w:r>
      <w:r>
        <w:rPr/>
        <w:t>makes</w:t>
      </w:r>
      <w:r>
        <w:rPr>
          <w:spacing w:val="-6"/>
        </w:rPr>
        <w:t> </w:t>
      </w:r>
      <w:r>
        <w:rPr/>
        <w:t>a</w:t>
      </w:r>
      <w:r>
        <w:rPr>
          <w:spacing w:val="-7"/>
        </w:rPr>
        <w:t> </w:t>
      </w:r>
      <w:r>
        <w:rPr/>
        <w:t>‘good’</w:t>
      </w:r>
      <w:r>
        <w:rPr>
          <w:spacing w:val="-7"/>
        </w:rPr>
        <w:t> </w:t>
      </w:r>
      <w:r>
        <w:rPr/>
        <w:t>conference</w:t>
      </w:r>
      <w:r>
        <w:rPr>
          <w:spacing w:val="-6"/>
        </w:rPr>
        <w:t> </w:t>
      </w:r>
      <w:r>
        <w:rPr/>
        <w:t>from a</w:t>
      </w:r>
      <w:r>
        <w:rPr>
          <w:spacing w:val="-21"/>
        </w:rPr>
        <w:t> </w:t>
      </w:r>
      <w:r>
        <w:rPr/>
        <w:t>service</w:t>
      </w:r>
      <w:r>
        <w:rPr>
          <w:spacing w:val="-21"/>
        </w:rPr>
        <w:t> </w:t>
      </w:r>
      <w:r>
        <w:rPr/>
        <w:t>user</w:t>
      </w:r>
      <w:r>
        <w:rPr>
          <w:spacing w:val="-21"/>
        </w:rPr>
        <w:t> </w:t>
      </w:r>
      <w:r>
        <w:rPr/>
        <w:t>perspective?’</w:t>
      </w:r>
      <w:r>
        <w:rPr>
          <w:spacing w:val="-21"/>
        </w:rPr>
        <w:t> </w:t>
      </w:r>
      <w:r>
        <w:rPr/>
        <w:t>They</w:t>
      </w:r>
      <w:r>
        <w:rPr>
          <w:spacing w:val="-22"/>
        </w:rPr>
        <w:t> </w:t>
      </w:r>
      <w:r>
        <w:rPr/>
        <w:t>examine</w:t>
      </w:r>
      <w:r>
        <w:rPr>
          <w:spacing w:val="-21"/>
        </w:rPr>
        <w:t> </w:t>
      </w:r>
      <w:r>
        <w:rPr/>
        <w:t>relevant</w:t>
      </w:r>
      <w:r>
        <w:rPr>
          <w:spacing w:val="-21"/>
        </w:rPr>
        <w:t> </w:t>
      </w:r>
      <w:r>
        <w:rPr/>
        <w:t>CRPD</w:t>
      </w:r>
      <w:r>
        <w:rPr>
          <w:spacing w:val="-23"/>
        </w:rPr>
        <w:t> </w:t>
      </w:r>
      <w:r>
        <w:rPr/>
        <w:t>standards</w:t>
      </w:r>
      <w:r>
        <w:rPr>
          <w:spacing w:val="-21"/>
        </w:rPr>
        <w:t> </w:t>
      </w:r>
      <w:r>
        <w:rPr/>
        <w:t>and</w:t>
      </w:r>
      <w:r>
        <w:rPr>
          <w:spacing w:val="-21"/>
        </w:rPr>
        <w:t> </w:t>
      </w:r>
      <w:r>
        <w:rPr/>
        <w:t>identify</w:t>
      </w:r>
      <w:r>
        <w:rPr>
          <w:spacing w:val="-23"/>
        </w:rPr>
        <w:t> </w:t>
      </w:r>
      <w:r>
        <w:rPr/>
        <w:t>a</w:t>
      </w:r>
      <w:r>
        <w:rPr>
          <w:spacing w:val="-21"/>
        </w:rPr>
        <w:t> </w:t>
      </w:r>
      <w:r>
        <w:rPr/>
        <w:t>rights framework for those who experience psychosocial/mental impairment and who attend</w:t>
      </w:r>
    </w:p>
    <w:p>
      <w:pPr>
        <w:pStyle w:val="BodyText"/>
        <w:spacing w:before="2"/>
        <w:rPr>
          <w:sz w:val="9"/>
        </w:rPr>
      </w:pPr>
      <w:r>
        <w:rPr/>
        <w:pict>
          <v:line style="position:absolute;mso-position-horizontal-relative:page;mso-position-vertical-relative:paragraph;z-index:0;mso-wrap-distance-left:0;mso-wrap-distance-right:0" from="67.019997pt,7.779988pt" to="211.019997pt,7.779988pt" stroked="true" strokeweight=".54pt" strokecolor="#000000">
            <v:stroke dashstyle="solid"/>
            <w10:wrap type="topAndBottom"/>
          </v:line>
        </w:pict>
      </w:r>
    </w:p>
    <w:p>
      <w:pPr>
        <w:spacing w:before="65"/>
        <w:ind w:left="289" w:right="118" w:hanging="170"/>
        <w:jc w:val="both"/>
        <w:rPr>
          <w:sz w:val="20"/>
        </w:rPr>
      </w:pPr>
      <w:bookmarkStart w:name="_bookmark0" w:id="2"/>
      <w:bookmarkEnd w:id="2"/>
      <w:r>
        <w:rPr/>
      </w:r>
      <w:r>
        <w:rPr>
          <w:position w:val="7"/>
          <w:sz w:val="13"/>
        </w:rPr>
        <w:t>1 </w:t>
      </w:r>
      <w:r>
        <w:rPr>
          <w:sz w:val="20"/>
        </w:rPr>
        <w:t>(United Nations [UN]) 2515 UNTS 3, UN Doc A/RES/61/106, Annex, GAOR 61st Session Supp 49, 65. (Adopted) 13th Dec 2006, (Opened For Signature) 30th Mar 2007, [Entered into Force] 3rd May 2008.</w:t>
      </w:r>
    </w:p>
    <w:p>
      <w:pPr>
        <w:spacing w:before="1"/>
        <w:ind w:left="231" w:right="116" w:hanging="112"/>
        <w:jc w:val="both"/>
        <w:rPr>
          <w:sz w:val="20"/>
        </w:rPr>
      </w:pPr>
      <w:bookmarkStart w:name="_bookmark1" w:id="3"/>
      <w:bookmarkEnd w:id="3"/>
      <w:r>
        <w:rPr/>
      </w:r>
      <w:r>
        <w:rPr>
          <w:position w:val="7"/>
          <w:sz w:val="13"/>
        </w:rPr>
        <w:t>2 </w:t>
      </w:r>
      <w:r>
        <w:rPr>
          <w:sz w:val="20"/>
        </w:rPr>
        <w:t>United Nations Human Rights Council, Report of the Special Rapporteur on the right of everyone to the enjoyment of the highest attainable standard of health, 35</w:t>
      </w:r>
      <w:r>
        <w:rPr>
          <w:position w:val="7"/>
          <w:sz w:val="13"/>
        </w:rPr>
        <w:t>th </w:t>
      </w:r>
      <w:r>
        <w:rPr>
          <w:sz w:val="20"/>
        </w:rPr>
        <w:t>Session, 6-23 June 2017, UN Doc A/HRC/35/21.</w:t>
      </w:r>
    </w:p>
    <w:p>
      <w:pPr>
        <w:spacing w:line="232" w:lineRule="auto" w:before="7"/>
        <w:ind w:left="232" w:right="117" w:hanging="113"/>
        <w:jc w:val="both"/>
        <w:rPr>
          <w:sz w:val="20"/>
        </w:rPr>
      </w:pPr>
      <w:bookmarkStart w:name="_bookmark2" w:id="4"/>
      <w:bookmarkEnd w:id="4"/>
      <w:r>
        <w:rPr/>
      </w:r>
      <w:r>
        <w:rPr>
          <w:position w:val="7"/>
          <w:sz w:val="13"/>
        </w:rPr>
        <w:t>3 </w:t>
      </w:r>
      <w:r>
        <w:rPr>
          <w:sz w:val="20"/>
        </w:rPr>
        <w:t>Martin W, Michalowski S, Stavert J, Ward A, Ruck Keene A, Caughey C, Hempsey A and McGregor R, </w:t>
      </w:r>
      <w:r>
        <w:rPr>
          <w:i/>
          <w:sz w:val="21"/>
        </w:rPr>
        <w:t>The Essex Autonomy Project Three Jurisdictions Report: towards compliance with CRPD Art. 12 in capacity/incapacity legislation across the UK, </w:t>
      </w:r>
      <w:r>
        <w:rPr>
          <w:sz w:val="20"/>
        </w:rPr>
        <w:t>(June 2016); McKay C (Mental Welfare Commission for Scotland) and Stavert J (Centre for Mental Health and Capacity Law, Edinburgh Napier University), </w:t>
      </w:r>
      <w:r>
        <w:rPr>
          <w:i/>
          <w:sz w:val="21"/>
        </w:rPr>
        <w:t>Scotland’s Mental Health and Capacity Law: the Case for Reform</w:t>
      </w:r>
      <w:r>
        <w:rPr>
          <w:sz w:val="20"/>
        </w:rPr>
        <w:t>, (May 2017).</w:t>
      </w:r>
    </w:p>
    <w:p>
      <w:pPr>
        <w:spacing w:line="242" w:lineRule="exact" w:before="4"/>
        <w:ind w:left="290" w:right="116" w:hanging="171"/>
        <w:jc w:val="both"/>
        <w:rPr>
          <w:sz w:val="20"/>
        </w:rPr>
      </w:pPr>
      <w:bookmarkStart w:name="_bookmark3" w:id="5"/>
      <w:bookmarkEnd w:id="5"/>
      <w:r>
        <w:rPr/>
      </w:r>
      <w:r>
        <w:rPr>
          <w:position w:val="7"/>
          <w:sz w:val="13"/>
        </w:rPr>
        <w:t>4</w:t>
      </w:r>
      <w:r>
        <w:rPr>
          <w:spacing w:val="-5"/>
          <w:position w:val="7"/>
          <w:sz w:val="13"/>
        </w:rPr>
        <w:t> </w:t>
      </w:r>
      <w:r>
        <w:rPr>
          <w:sz w:val="20"/>
        </w:rPr>
        <w:t>Scottish</w:t>
      </w:r>
      <w:r>
        <w:rPr>
          <w:spacing w:val="-8"/>
          <w:sz w:val="20"/>
        </w:rPr>
        <w:t> </w:t>
      </w:r>
      <w:r>
        <w:rPr>
          <w:sz w:val="20"/>
        </w:rPr>
        <w:t>Government,</w:t>
      </w:r>
      <w:r>
        <w:rPr>
          <w:spacing w:val="-7"/>
          <w:sz w:val="20"/>
        </w:rPr>
        <w:t> </w:t>
      </w:r>
      <w:r>
        <w:rPr>
          <w:i/>
          <w:sz w:val="21"/>
        </w:rPr>
        <w:t>Adults</w:t>
      </w:r>
      <w:r>
        <w:rPr>
          <w:i/>
          <w:spacing w:val="-10"/>
          <w:sz w:val="21"/>
        </w:rPr>
        <w:t> </w:t>
      </w:r>
      <w:r>
        <w:rPr>
          <w:i/>
          <w:sz w:val="21"/>
        </w:rPr>
        <w:t>with</w:t>
      </w:r>
      <w:r>
        <w:rPr>
          <w:i/>
          <w:spacing w:val="-11"/>
          <w:sz w:val="21"/>
        </w:rPr>
        <w:t> </w:t>
      </w:r>
      <w:r>
        <w:rPr>
          <w:i/>
          <w:sz w:val="21"/>
        </w:rPr>
        <w:t>Incapacity</w:t>
      </w:r>
      <w:r>
        <w:rPr>
          <w:i/>
          <w:spacing w:val="-11"/>
          <w:sz w:val="21"/>
        </w:rPr>
        <w:t> </w:t>
      </w:r>
      <w:r>
        <w:rPr>
          <w:i/>
          <w:sz w:val="21"/>
        </w:rPr>
        <w:t>(Scotland)</w:t>
      </w:r>
      <w:r>
        <w:rPr>
          <w:i/>
          <w:spacing w:val="-11"/>
          <w:sz w:val="21"/>
        </w:rPr>
        <w:t> </w:t>
      </w:r>
      <w:r>
        <w:rPr>
          <w:i/>
          <w:sz w:val="21"/>
        </w:rPr>
        <w:t>Act</w:t>
      </w:r>
      <w:r>
        <w:rPr>
          <w:i/>
          <w:spacing w:val="-11"/>
          <w:sz w:val="21"/>
        </w:rPr>
        <w:t> </w:t>
      </w:r>
      <w:r>
        <w:rPr>
          <w:i/>
          <w:sz w:val="21"/>
        </w:rPr>
        <w:t>2000:</w:t>
      </w:r>
      <w:r>
        <w:rPr>
          <w:i/>
          <w:spacing w:val="-11"/>
          <w:sz w:val="21"/>
        </w:rPr>
        <w:t> </w:t>
      </w:r>
      <w:r>
        <w:rPr>
          <w:i/>
          <w:sz w:val="21"/>
        </w:rPr>
        <w:t>Proposals</w:t>
      </w:r>
      <w:r>
        <w:rPr>
          <w:i/>
          <w:spacing w:val="-10"/>
          <w:sz w:val="21"/>
        </w:rPr>
        <w:t> </w:t>
      </w:r>
      <w:r>
        <w:rPr>
          <w:i/>
          <w:sz w:val="21"/>
        </w:rPr>
        <w:t>for</w:t>
      </w:r>
      <w:r>
        <w:rPr>
          <w:i/>
          <w:spacing w:val="-12"/>
          <w:sz w:val="21"/>
        </w:rPr>
        <w:t> </w:t>
      </w:r>
      <w:r>
        <w:rPr>
          <w:i/>
          <w:sz w:val="21"/>
        </w:rPr>
        <w:t>Reform</w:t>
      </w:r>
      <w:r>
        <w:rPr>
          <w:sz w:val="20"/>
        </w:rPr>
        <w:t>,</w:t>
      </w:r>
      <w:r>
        <w:rPr>
          <w:spacing w:val="-7"/>
          <w:sz w:val="20"/>
        </w:rPr>
        <w:t> </w:t>
      </w:r>
      <w:r>
        <w:rPr>
          <w:sz w:val="20"/>
        </w:rPr>
        <w:t>Consultation Paper, (January</w:t>
      </w:r>
      <w:r>
        <w:rPr>
          <w:spacing w:val="-12"/>
          <w:sz w:val="20"/>
        </w:rPr>
        <w:t> </w:t>
      </w:r>
      <w:r>
        <w:rPr>
          <w:sz w:val="20"/>
        </w:rPr>
        <w:t>2018).</w:t>
      </w:r>
    </w:p>
    <w:p>
      <w:pPr>
        <w:spacing w:after="0" w:line="242" w:lineRule="exact"/>
        <w:jc w:val="both"/>
        <w:rPr>
          <w:sz w:val="20"/>
        </w:rPr>
        <w:sectPr>
          <w:headerReference w:type="default" r:id="rId5"/>
          <w:footerReference w:type="default" r:id="rId6"/>
          <w:type w:val="continuous"/>
          <w:pgSz w:w="11910" w:h="16840"/>
          <w:pgMar w:header="763" w:footer="1025" w:top="980" w:bottom="1220" w:left="1220" w:right="1200"/>
          <w:pgNumType w:start="85"/>
        </w:sectPr>
      </w:pPr>
    </w:p>
    <w:p>
      <w:pPr>
        <w:pStyle w:val="BodyText"/>
        <w:spacing w:before="4"/>
        <w:rPr>
          <w:sz w:val="21"/>
        </w:rPr>
      </w:pPr>
    </w:p>
    <w:p>
      <w:pPr>
        <w:pStyle w:val="BodyText"/>
        <w:spacing w:before="100"/>
        <w:ind w:left="100" w:right="109"/>
        <w:jc w:val="both"/>
      </w:pPr>
      <w:r>
        <w:rPr/>
        <w:t>academic conferences with corresponding obligations on those who organise conferences and/or those with responsibility for regulating conference attendance environments.</w:t>
      </w:r>
    </w:p>
    <w:p>
      <w:pPr>
        <w:pStyle w:val="BodyText"/>
        <w:spacing w:before="11"/>
        <w:rPr>
          <w:sz w:val="23"/>
        </w:rPr>
      </w:pPr>
    </w:p>
    <w:p>
      <w:pPr>
        <w:pStyle w:val="BodyText"/>
        <w:spacing w:before="1"/>
        <w:ind w:left="100" w:right="109"/>
        <w:jc w:val="both"/>
      </w:pPr>
      <w:r>
        <w:rPr/>
        <w:t>Difficult</w:t>
      </w:r>
      <w:r>
        <w:rPr>
          <w:spacing w:val="-7"/>
        </w:rPr>
        <w:t> </w:t>
      </w:r>
      <w:r>
        <w:rPr/>
        <w:t>ethical,</w:t>
      </w:r>
      <w:r>
        <w:rPr>
          <w:spacing w:val="-7"/>
        </w:rPr>
        <w:t> </w:t>
      </w:r>
      <w:r>
        <w:rPr/>
        <w:t>policy</w:t>
      </w:r>
      <w:r>
        <w:rPr>
          <w:spacing w:val="-7"/>
        </w:rPr>
        <w:t> </w:t>
      </w:r>
      <w:r>
        <w:rPr/>
        <w:t>and</w:t>
      </w:r>
      <w:r>
        <w:rPr>
          <w:spacing w:val="-7"/>
        </w:rPr>
        <w:t> </w:t>
      </w:r>
      <w:r>
        <w:rPr/>
        <w:t>practice</w:t>
      </w:r>
      <w:r>
        <w:rPr>
          <w:spacing w:val="-7"/>
        </w:rPr>
        <w:t> </w:t>
      </w:r>
      <w:r>
        <w:rPr/>
        <w:t>issues</w:t>
      </w:r>
      <w:r>
        <w:rPr>
          <w:spacing w:val="-7"/>
        </w:rPr>
        <w:t> </w:t>
      </w:r>
      <w:r>
        <w:rPr/>
        <w:t>that</w:t>
      </w:r>
      <w:r>
        <w:rPr>
          <w:spacing w:val="-6"/>
        </w:rPr>
        <w:t> </w:t>
      </w:r>
      <w:r>
        <w:rPr/>
        <w:t>arise</w:t>
      </w:r>
      <w:r>
        <w:rPr>
          <w:spacing w:val="-7"/>
        </w:rPr>
        <w:t> </w:t>
      </w:r>
      <w:r>
        <w:rPr/>
        <w:t>in</w:t>
      </w:r>
      <w:r>
        <w:rPr>
          <w:spacing w:val="-7"/>
        </w:rPr>
        <w:t> </w:t>
      </w:r>
      <w:r>
        <w:rPr/>
        <w:t>relation</w:t>
      </w:r>
      <w:r>
        <w:rPr>
          <w:spacing w:val="-7"/>
        </w:rPr>
        <w:t> </w:t>
      </w:r>
      <w:r>
        <w:rPr/>
        <w:t>to</w:t>
      </w:r>
      <w:r>
        <w:rPr>
          <w:spacing w:val="-7"/>
        </w:rPr>
        <w:t> </w:t>
      </w:r>
      <w:r>
        <w:rPr/>
        <w:t>continuing</w:t>
      </w:r>
      <w:r>
        <w:rPr>
          <w:spacing w:val="-7"/>
        </w:rPr>
        <w:t> </w:t>
      </w:r>
      <w:r>
        <w:rPr/>
        <w:t>treatment for patients with disorders of consciousness over an extended period of time are considered by Jenny Kitzinger and Celia Kitzinger in ‘Why Futile and Unwanted Life- Prolonging Treatment Continues for Some Patients in Permanent Vegetative States (and What to do About it): Case Study, Context and Policy Recommendations. This discussion is contextualised by referring to the case of a patient named ‘G’ for the purpose of the article and their wider research concerning the treatment of severely brain</w:t>
      </w:r>
      <w:r>
        <w:rPr>
          <w:spacing w:val="-13"/>
        </w:rPr>
        <w:t> </w:t>
      </w:r>
      <w:r>
        <w:rPr/>
        <w:t>injured</w:t>
      </w:r>
      <w:r>
        <w:rPr>
          <w:spacing w:val="-13"/>
        </w:rPr>
        <w:t> </w:t>
      </w:r>
      <w:r>
        <w:rPr/>
        <w:t>patients.</w:t>
      </w:r>
      <w:r>
        <w:rPr>
          <w:spacing w:val="-14"/>
        </w:rPr>
        <w:t> </w:t>
      </w:r>
      <w:r>
        <w:rPr/>
        <w:t>They</w:t>
      </w:r>
      <w:r>
        <w:rPr>
          <w:spacing w:val="-13"/>
        </w:rPr>
        <w:t> </w:t>
      </w:r>
      <w:r>
        <w:rPr/>
        <w:t>ask</w:t>
      </w:r>
      <w:r>
        <w:rPr>
          <w:spacing w:val="-13"/>
        </w:rPr>
        <w:t> </w:t>
      </w:r>
      <w:r>
        <w:rPr/>
        <w:t>whether</w:t>
      </w:r>
      <w:r>
        <w:rPr>
          <w:spacing w:val="-12"/>
        </w:rPr>
        <w:t> </w:t>
      </w:r>
      <w:r>
        <w:rPr/>
        <w:t>such</w:t>
      </w:r>
      <w:r>
        <w:rPr>
          <w:spacing w:val="-13"/>
        </w:rPr>
        <w:t> </w:t>
      </w:r>
      <w:r>
        <w:rPr/>
        <w:t>prolonged</w:t>
      </w:r>
      <w:r>
        <w:rPr>
          <w:spacing w:val="-12"/>
        </w:rPr>
        <w:t> </w:t>
      </w:r>
      <w:r>
        <w:rPr/>
        <w:t>treatment</w:t>
      </w:r>
      <w:r>
        <w:rPr>
          <w:spacing w:val="-12"/>
        </w:rPr>
        <w:t> </w:t>
      </w:r>
      <w:r>
        <w:rPr/>
        <w:t>actually</w:t>
      </w:r>
      <w:r>
        <w:rPr>
          <w:spacing w:val="-13"/>
        </w:rPr>
        <w:t> </w:t>
      </w:r>
      <w:r>
        <w:rPr/>
        <w:t>reflects</w:t>
      </w:r>
      <w:r>
        <w:rPr>
          <w:spacing w:val="-13"/>
        </w:rPr>
        <w:t> </w:t>
      </w:r>
      <w:r>
        <w:rPr/>
        <w:t>the patient’s wishes and best interests and make recommendations as to how such situations may be</w:t>
      </w:r>
      <w:r>
        <w:rPr>
          <w:spacing w:val="-9"/>
        </w:rPr>
        <w:t> </w:t>
      </w:r>
      <w:r>
        <w:rPr/>
        <w:t>addressed.</w:t>
      </w:r>
    </w:p>
    <w:p>
      <w:pPr>
        <w:pStyle w:val="BodyText"/>
      </w:pPr>
    </w:p>
    <w:p>
      <w:pPr>
        <w:pStyle w:val="BodyText"/>
        <w:ind w:left="100" w:right="108"/>
        <w:jc w:val="both"/>
      </w:pPr>
      <w:r>
        <w:rPr/>
        <w:t>Finally, discussion of CRPD requirements in the context of criminal justice and</w:t>
      </w:r>
      <w:r>
        <w:rPr>
          <w:spacing w:val="-37"/>
        </w:rPr>
        <w:t> </w:t>
      </w:r>
      <w:r>
        <w:rPr/>
        <w:t>criminal responsibility has tended to lag slightly behind CRPD discussion in relation to civil matters. However, this is starting to change and is reflected in Kris Gledhill’s review of the Melbourne Social Equity Institute report, ‘Unfitness to Plead and Indefinite Detention of Persons with Cognitive Disabilities’ (published Melbourne, 2017) and the Justice Report ‘Mental Health and Fair Trial’ (published London, 2017). In this</w:t>
      </w:r>
      <w:r>
        <w:rPr>
          <w:spacing w:val="-48"/>
        </w:rPr>
        <w:t> </w:t>
      </w:r>
      <w:r>
        <w:rPr/>
        <w:t>context, he notes and discusses the relevance of the right to equal access to justice in Article 13 CRPD, which requires procedural and age-appropriate accommodations, and the right to liberty in Article 14 CRPD, which requires equal protection against arbitrary detention and that a deprivation of liberty should not be justified on the basis of the existence of a</w:t>
      </w:r>
      <w:r>
        <w:rPr>
          <w:spacing w:val="-8"/>
        </w:rPr>
        <w:t> </w:t>
      </w:r>
      <w:r>
        <w:rPr/>
        <w:t>disability.</w:t>
      </w:r>
    </w:p>
    <w:p>
      <w:pPr>
        <w:pStyle w:val="BodyText"/>
        <w:spacing w:before="12"/>
        <w:rPr>
          <w:sz w:val="23"/>
        </w:rPr>
      </w:pPr>
    </w:p>
    <w:p>
      <w:pPr>
        <w:pStyle w:val="BodyText"/>
        <w:ind w:left="100" w:right="108"/>
        <w:jc w:val="both"/>
      </w:pPr>
      <w:r>
        <w:rPr/>
        <w:t>In closing I would like to thank and acknowledge the support and input provided by the rest of our international and multi-disciplinary editorial team for this final issue of 2017 - Simon Burrows, Dr Piers Gooding and Dr Giles Newton Howes - as well as the overall guidance provided by Kris Gledhill as Editor-in-Chief. Our considerable thanks and appreciation must also go to our reviewers and to Hal (Zhan) Brinton (University of Leeds) for providing the proof-reading and formatting of this issue.</w:t>
      </w:r>
    </w:p>
    <w:p>
      <w:pPr>
        <w:pStyle w:val="BodyText"/>
        <w:spacing w:before="11"/>
        <w:rPr>
          <w:sz w:val="23"/>
        </w:rPr>
      </w:pPr>
    </w:p>
    <w:p>
      <w:pPr>
        <w:pStyle w:val="BodyText"/>
        <w:ind w:left="100"/>
        <w:jc w:val="both"/>
      </w:pPr>
      <w:r>
        <w:rPr/>
        <w:t>Professor Jill Stavert</w:t>
      </w:r>
    </w:p>
    <w:p>
      <w:pPr>
        <w:pStyle w:val="BodyText"/>
        <w:ind w:left="100" w:right="4689"/>
      </w:pPr>
      <w:r>
        <w:rPr/>
        <w:t>Centre for Mental Health and Capacity Law Edinburgh Napier University</w:t>
      </w:r>
    </w:p>
    <w:p>
      <w:pPr>
        <w:pStyle w:val="BodyText"/>
        <w:ind w:left="100"/>
        <w:jc w:val="both"/>
      </w:pPr>
      <w:r>
        <w:rPr/>
        <w:t>Lead Editor</w:t>
      </w:r>
    </w:p>
    <w:sectPr>
      <w:pgSz w:w="11910" w:h="16840"/>
      <w:pgMar w:header="763" w:footer="1025" w:top="980" w:bottom="1220" w:left="12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220001pt;margin-top:779.705994pt;width:14.1pt;height:12.2pt;mso-position-horizontal-relative:page;mso-position-vertical-relative:page;z-index:-2872"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85</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55pt;margin-top:37.144981pt;width:284.95pt;height:13pt;mso-position-horizontal-relative:page;mso-position-vertical-relative:page;z-index:-2896" type="#_x0000_t202" filled="false" stroked="false">
          <v:textbox inset="0,0,0,0">
            <w:txbxContent>
              <w:p>
                <w:pPr>
                  <w:spacing w:line="244" w:lineRule="exact" w:before="0"/>
                  <w:ind w:left="20" w:right="0" w:firstLine="0"/>
                  <w:jc w:val="left"/>
                  <w:rPr>
                    <w:rFonts w:ascii="Calibri"/>
                    <w:sz w:val="22"/>
                  </w:rPr>
                </w:pPr>
                <w:r>
                  <w:rPr>
                    <w:rFonts w:ascii="Calibri"/>
                    <w:sz w:val="22"/>
                  </w:rPr>
                  <w:t>[2017] International Journal of Mental Health and Capacity Law</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Adamson</dc:creator>
  <dcterms:created xsi:type="dcterms:W3CDTF">2018-03-13T10:12:19Z</dcterms:created>
  <dcterms:modified xsi:type="dcterms:W3CDTF">2018-03-13T10:12:19Z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Acrobat PDFMaker 17 for Word</vt:lpwstr>
  </property>
  <property fmtid="{D5CDD505-2E9C-101B-9397-08002B2CF9AE}" pid="4" name="LastSaved">
    <vt:filetime>2018-03-13T00:00:00Z</vt:filetime>
  </property>
</Properties>
</file>