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62"/>
        <w:ind w:left="4168" w:right="4161" w:firstLine="0"/>
        <w:jc w:val="center"/>
        <w:rPr>
          <w:rFonts w:ascii="Arial"/>
          <w:b/>
          <w:sz w:val="25"/>
        </w:rPr>
      </w:pPr>
      <w:bookmarkStart w:name="01 Editorial" w:id="1"/>
      <w:bookmarkEnd w:id="1"/>
      <w:r>
        <w:rPr/>
      </w:r>
      <w:r>
        <w:rPr>
          <w:rFonts w:ascii="Arial"/>
          <w:b/>
          <w:sz w:val="25"/>
        </w:rPr>
        <w:t>Editorial</w:t>
      </w:r>
    </w:p>
    <w:p>
      <w:pPr>
        <w:pStyle w:val="BodyText"/>
        <w:spacing w:before="9"/>
        <w:jc w:val="left"/>
        <w:rPr>
          <w:rFonts w:ascii="Arial"/>
          <w:b/>
        </w:rPr>
      </w:pPr>
    </w:p>
    <w:p>
      <w:pPr>
        <w:pStyle w:val="BodyText"/>
        <w:spacing w:line="237" w:lineRule="auto"/>
        <w:ind w:left="117" w:right="106"/>
      </w:pPr>
      <w:r>
        <w:rPr/>
        <w:t>There</w:t>
      </w:r>
      <w:r>
        <w:rPr>
          <w:spacing w:val="-5"/>
        </w:rPr>
        <w:t> </w:t>
      </w:r>
      <w:r>
        <w:rPr/>
        <w:t>is</w:t>
      </w:r>
      <w:r>
        <w:rPr>
          <w:spacing w:val="-6"/>
        </w:rPr>
        <w:t> </w:t>
      </w:r>
      <w:r>
        <w:rPr/>
        <w:t>an</w:t>
      </w:r>
      <w:r>
        <w:rPr>
          <w:spacing w:val="-5"/>
        </w:rPr>
        <w:t> </w:t>
      </w:r>
      <w:r>
        <w:rPr/>
        <w:t>Antipodean</w:t>
      </w:r>
      <w:r>
        <w:rPr>
          <w:spacing w:val="-4"/>
        </w:rPr>
        <w:t> </w:t>
      </w:r>
      <w:r>
        <w:rPr/>
        <w:t>theme</w:t>
      </w:r>
      <w:r>
        <w:rPr>
          <w:spacing w:val="-5"/>
        </w:rPr>
        <w:t> </w:t>
      </w:r>
      <w:r>
        <w:rPr/>
        <w:t>to</w:t>
      </w:r>
      <w:r>
        <w:rPr>
          <w:spacing w:val="-5"/>
        </w:rPr>
        <w:t> </w:t>
      </w:r>
      <w:r>
        <w:rPr/>
        <w:t>this,</w:t>
      </w:r>
      <w:r>
        <w:rPr>
          <w:spacing w:val="-5"/>
        </w:rPr>
        <w:t> </w:t>
      </w:r>
      <w:r>
        <w:rPr/>
        <w:t>the</w:t>
      </w:r>
      <w:r>
        <w:rPr>
          <w:spacing w:val="-6"/>
        </w:rPr>
        <w:t> </w:t>
      </w:r>
      <w:r>
        <w:rPr/>
        <w:t>fifth</w:t>
      </w:r>
      <w:r>
        <w:rPr>
          <w:spacing w:val="-5"/>
        </w:rPr>
        <w:t> </w:t>
      </w:r>
      <w:r>
        <w:rPr/>
        <w:t>issue</w:t>
      </w:r>
      <w:r>
        <w:rPr>
          <w:spacing w:val="-4"/>
        </w:rPr>
        <w:t> </w:t>
      </w:r>
      <w:r>
        <w:rPr/>
        <w:t>of</w:t>
      </w:r>
      <w:r>
        <w:rPr>
          <w:spacing w:val="-5"/>
        </w:rPr>
        <w:t> </w:t>
      </w:r>
      <w:r>
        <w:rPr/>
        <w:t>the</w:t>
      </w:r>
      <w:r>
        <w:rPr>
          <w:spacing w:val="-4"/>
        </w:rPr>
        <w:t> </w:t>
      </w:r>
      <w:r>
        <w:rPr/>
        <w:t>Journal</w:t>
      </w:r>
      <w:r>
        <w:rPr>
          <w:spacing w:val="-5"/>
        </w:rPr>
        <w:t> </w:t>
      </w:r>
      <w:r>
        <w:rPr/>
        <w:t>in</w:t>
      </w:r>
      <w:r>
        <w:rPr>
          <w:spacing w:val="-5"/>
        </w:rPr>
        <w:t> </w:t>
      </w:r>
      <w:r>
        <w:rPr/>
        <w:t>its</w:t>
      </w:r>
      <w:r>
        <w:rPr>
          <w:spacing w:val="-5"/>
        </w:rPr>
        <w:t> </w:t>
      </w:r>
      <w:r>
        <w:rPr/>
        <w:t>new</w:t>
      </w:r>
      <w:r>
        <w:rPr>
          <w:spacing w:val="-6"/>
        </w:rPr>
        <w:t> </w:t>
      </w:r>
      <w:r>
        <w:rPr/>
        <w:t>guise.</w:t>
      </w:r>
      <w:r>
        <w:rPr>
          <w:spacing w:val="-5"/>
        </w:rPr>
        <w:t> </w:t>
      </w:r>
      <w:r>
        <w:rPr/>
        <w:t>As editors, we were delighted that a paper published in the fourth issue provoked a reaction</w:t>
      </w:r>
      <w:r>
        <w:rPr>
          <w:spacing w:val="-17"/>
        </w:rPr>
        <w:t> </w:t>
      </w:r>
      <w:r>
        <w:rPr/>
        <w:t>from</w:t>
      </w:r>
      <w:r>
        <w:rPr>
          <w:spacing w:val="-16"/>
        </w:rPr>
        <w:t> </w:t>
      </w:r>
      <w:r>
        <w:rPr/>
        <w:t>the</w:t>
      </w:r>
      <w:r>
        <w:rPr>
          <w:spacing w:val="-16"/>
        </w:rPr>
        <w:t> </w:t>
      </w:r>
      <w:r>
        <w:rPr/>
        <w:t>President</w:t>
      </w:r>
      <w:r>
        <w:rPr>
          <w:spacing w:val="-17"/>
        </w:rPr>
        <w:t> </w:t>
      </w:r>
      <w:r>
        <w:rPr/>
        <w:t>of</w:t>
      </w:r>
      <w:r>
        <w:rPr>
          <w:spacing w:val="-18"/>
        </w:rPr>
        <w:t> </w:t>
      </w:r>
      <w:r>
        <w:rPr/>
        <w:t>the</w:t>
      </w:r>
      <w:r>
        <w:rPr>
          <w:spacing w:val="-19"/>
        </w:rPr>
        <w:t> </w:t>
      </w:r>
      <w:r>
        <w:rPr/>
        <w:t>Tribunal</w:t>
      </w:r>
      <w:r>
        <w:rPr>
          <w:spacing w:val="-17"/>
        </w:rPr>
        <w:t> </w:t>
      </w:r>
      <w:r>
        <w:rPr/>
        <w:t>whose</w:t>
      </w:r>
      <w:r>
        <w:rPr>
          <w:spacing w:val="-16"/>
        </w:rPr>
        <w:t> </w:t>
      </w:r>
      <w:r>
        <w:rPr/>
        <w:t>work</w:t>
      </w:r>
      <w:r>
        <w:rPr>
          <w:spacing w:val="-18"/>
        </w:rPr>
        <w:t> </w:t>
      </w:r>
      <w:r>
        <w:rPr/>
        <w:t>was</w:t>
      </w:r>
      <w:r>
        <w:rPr>
          <w:spacing w:val="-16"/>
        </w:rPr>
        <w:t> </w:t>
      </w:r>
      <w:r>
        <w:rPr/>
        <w:t>under</w:t>
      </w:r>
      <w:r>
        <w:rPr>
          <w:spacing w:val="-17"/>
        </w:rPr>
        <w:t> </w:t>
      </w:r>
      <w:r>
        <w:rPr/>
        <w:t>scrutiny.</w:t>
      </w:r>
      <w:r>
        <w:rPr>
          <w:spacing w:val="-16"/>
        </w:rPr>
        <w:t> </w:t>
      </w:r>
      <w:r>
        <w:rPr/>
        <w:t>Christopher Maylea and Christopher James Ryan’s article ‘Decision-Making Capacity and the Victorian Mental Health Tribunal’ ([2017] </w:t>
      </w:r>
      <w:r>
        <w:rPr>
          <w:i/>
          <w:sz w:val="25"/>
        </w:rPr>
        <w:t>International Journal of Mental Health and Capacity Law </w:t>
      </w:r>
      <w:r>
        <w:rPr/>
        <w:t>87) had proposed an interpretation of how the </w:t>
      </w:r>
      <w:r>
        <w:rPr>
          <w:i/>
          <w:color w:val="090909"/>
          <w:sz w:val="25"/>
        </w:rPr>
        <w:t>Mental Health Act 2014 </w:t>
      </w:r>
      <w:r>
        <w:rPr>
          <w:color w:val="090909"/>
        </w:rPr>
        <w:t>in Victoria, Australia, should work, before turning to two empirical studies which analysed the decisions of the Statements of Reasons of the Victoria Mental Health Tribunal to gain some appreciation of how the Act was working. Maylea and Ryan argued</w:t>
      </w:r>
      <w:r>
        <w:rPr>
          <w:color w:val="090909"/>
          <w:spacing w:val="-10"/>
        </w:rPr>
        <w:t> </w:t>
      </w:r>
      <w:r>
        <w:rPr>
          <w:color w:val="090909"/>
        </w:rPr>
        <w:t>that</w:t>
      </w:r>
      <w:r>
        <w:rPr>
          <w:color w:val="090909"/>
          <w:spacing w:val="-10"/>
        </w:rPr>
        <w:t> </w:t>
      </w:r>
      <w:r>
        <w:rPr>
          <w:color w:val="090909"/>
        </w:rPr>
        <w:t>the</w:t>
      </w:r>
      <w:r>
        <w:rPr>
          <w:color w:val="090909"/>
          <w:spacing w:val="-9"/>
        </w:rPr>
        <w:t> </w:t>
      </w:r>
      <w:r>
        <w:rPr>
          <w:color w:val="090909"/>
        </w:rPr>
        <w:t>Tribunal</w:t>
      </w:r>
      <w:r>
        <w:rPr>
          <w:color w:val="090909"/>
          <w:spacing w:val="-9"/>
        </w:rPr>
        <w:t> </w:t>
      </w:r>
      <w:r>
        <w:rPr>
          <w:color w:val="090909"/>
        </w:rPr>
        <w:t>had</w:t>
      </w:r>
      <w:r>
        <w:rPr>
          <w:color w:val="090909"/>
          <w:spacing w:val="-8"/>
        </w:rPr>
        <w:t> </w:t>
      </w:r>
      <w:r>
        <w:rPr>
          <w:color w:val="090909"/>
        </w:rPr>
        <w:t>an</w:t>
      </w:r>
      <w:r>
        <w:rPr>
          <w:color w:val="090909"/>
          <w:spacing w:val="-8"/>
        </w:rPr>
        <w:t> </w:t>
      </w:r>
      <w:r>
        <w:rPr>
          <w:color w:val="090909"/>
        </w:rPr>
        <w:t>obligation</w:t>
      </w:r>
      <w:r>
        <w:rPr>
          <w:color w:val="090909"/>
          <w:spacing w:val="-8"/>
        </w:rPr>
        <w:t> </w:t>
      </w:r>
      <w:r>
        <w:rPr/>
        <w:t>to</w:t>
      </w:r>
      <w:r>
        <w:rPr>
          <w:spacing w:val="-10"/>
        </w:rPr>
        <w:t> </w:t>
      </w:r>
      <w:r>
        <w:rPr/>
        <w:t>consider</w:t>
      </w:r>
      <w:r>
        <w:rPr>
          <w:spacing w:val="-9"/>
        </w:rPr>
        <w:t> </w:t>
      </w:r>
      <w:r>
        <w:rPr/>
        <w:t>the</w:t>
      </w:r>
      <w:r>
        <w:rPr>
          <w:spacing w:val="-9"/>
        </w:rPr>
        <w:t> </w:t>
      </w:r>
      <w:r>
        <w:rPr/>
        <w:t>assessment</w:t>
      </w:r>
      <w:r>
        <w:rPr>
          <w:spacing w:val="-9"/>
        </w:rPr>
        <w:t> </w:t>
      </w:r>
      <w:r>
        <w:rPr/>
        <w:t>of</w:t>
      </w:r>
      <w:r>
        <w:rPr>
          <w:spacing w:val="-10"/>
        </w:rPr>
        <w:t> </w:t>
      </w:r>
      <w:r>
        <w:rPr/>
        <w:t>a</w:t>
      </w:r>
      <w:r>
        <w:rPr>
          <w:spacing w:val="-9"/>
        </w:rPr>
        <w:t> </w:t>
      </w:r>
      <w:r>
        <w:rPr/>
        <w:t>compulsory patient’s decision-making capacity when determining whether or not to make a compulsory Treatment Order, and that the Tribunal was falling into error by not meeting this positive obligation to take this matter into</w:t>
      </w:r>
      <w:r>
        <w:rPr>
          <w:spacing w:val="-8"/>
        </w:rPr>
        <w:t> </w:t>
      </w:r>
      <w:r>
        <w:rPr/>
        <w:t>consideration.</w:t>
      </w:r>
    </w:p>
    <w:p>
      <w:pPr>
        <w:pStyle w:val="BodyText"/>
        <w:spacing w:before="11"/>
        <w:jc w:val="left"/>
      </w:pPr>
    </w:p>
    <w:p>
      <w:pPr>
        <w:pStyle w:val="BodyText"/>
        <w:spacing w:before="1"/>
        <w:ind w:left="118" w:right="105"/>
      </w:pPr>
      <w:r>
        <w:rPr>
          <w:color w:val="090909"/>
        </w:rPr>
        <w:t>The President of the Tribunal, Matthew Carroll, in a rejoinder published in this issue, suggests that </w:t>
      </w:r>
      <w:r>
        <w:rPr/>
        <w:t>this criticism was based on: a fundamental misinterpretation of relevant law, a misunderstanding of the processes of the Tribunal, and a lack of sufficient recognition of the distinctive features of the legislation that establishes the Tribunal and its processes. Carroll further suggests that Maylea and Ryan generated a misconception</w:t>
      </w:r>
      <w:r>
        <w:rPr>
          <w:spacing w:val="-9"/>
        </w:rPr>
        <w:t> </w:t>
      </w:r>
      <w:r>
        <w:rPr/>
        <w:t>that</w:t>
      </w:r>
      <w:r>
        <w:rPr>
          <w:spacing w:val="-10"/>
        </w:rPr>
        <w:t> </w:t>
      </w:r>
      <w:r>
        <w:rPr/>
        <w:t>by</w:t>
      </w:r>
      <w:r>
        <w:rPr>
          <w:spacing w:val="-11"/>
        </w:rPr>
        <w:t> </w:t>
      </w:r>
      <w:r>
        <w:rPr/>
        <w:t>not</w:t>
      </w:r>
      <w:r>
        <w:rPr>
          <w:spacing w:val="-10"/>
        </w:rPr>
        <w:t> </w:t>
      </w:r>
      <w:r>
        <w:rPr/>
        <w:t>focusing</w:t>
      </w:r>
      <w:r>
        <w:rPr>
          <w:spacing w:val="-9"/>
        </w:rPr>
        <w:t> </w:t>
      </w:r>
      <w:r>
        <w:rPr/>
        <w:t>on</w:t>
      </w:r>
      <w:r>
        <w:rPr>
          <w:spacing w:val="-9"/>
        </w:rPr>
        <w:t> </w:t>
      </w:r>
      <w:r>
        <w:rPr/>
        <w:t>their</w:t>
      </w:r>
      <w:r>
        <w:rPr>
          <w:spacing w:val="-10"/>
        </w:rPr>
        <w:t> </w:t>
      </w:r>
      <w:r>
        <w:rPr/>
        <w:t>decision-making</w:t>
      </w:r>
      <w:r>
        <w:rPr>
          <w:spacing w:val="-8"/>
        </w:rPr>
        <w:t> </w:t>
      </w:r>
      <w:r>
        <w:rPr/>
        <w:t>capacity,</w:t>
      </w:r>
      <w:r>
        <w:rPr>
          <w:spacing w:val="-9"/>
        </w:rPr>
        <w:t> </w:t>
      </w:r>
      <w:r>
        <w:rPr/>
        <w:t>the</w:t>
      </w:r>
      <w:r>
        <w:rPr>
          <w:spacing w:val="-10"/>
        </w:rPr>
        <w:t> </w:t>
      </w:r>
      <w:r>
        <w:rPr/>
        <w:t>perspectives of mental health consumers are not being considered as part of Tribunal hearings in Victoria.</w:t>
      </w:r>
    </w:p>
    <w:p>
      <w:pPr>
        <w:pStyle w:val="BodyText"/>
        <w:jc w:val="left"/>
      </w:pPr>
    </w:p>
    <w:p>
      <w:pPr>
        <w:pStyle w:val="BodyText"/>
        <w:ind w:left="118" w:right="106"/>
      </w:pPr>
      <w:r>
        <w:rPr/>
        <w:t>So as not to leave readers in suspense, this issue also contains a response by Maylea and</w:t>
      </w:r>
      <w:r>
        <w:rPr>
          <w:spacing w:val="-12"/>
        </w:rPr>
        <w:t> </w:t>
      </w:r>
      <w:r>
        <w:rPr/>
        <w:t>Ryan,</w:t>
      </w:r>
      <w:r>
        <w:rPr>
          <w:spacing w:val="-12"/>
        </w:rPr>
        <w:t> </w:t>
      </w:r>
      <w:r>
        <w:rPr/>
        <w:t>to</w:t>
      </w:r>
      <w:r>
        <w:rPr>
          <w:spacing w:val="-11"/>
        </w:rPr>
        <w:t> </w:t>
      </w:r>
      <w:r>
        <w:rPr/>
        <w:t>the</w:t>
      </w:r>
      <w:r>
        <w:rPr>
          <w:spacing w:val="-13"/>
        </w:rPr>
        <w:t> </w:t>
      </w:r>
      <w:r>
        <w:rPr/>
        <w:t>effect,</w:t>
      </w:r>
      <w:r>
        <w:rPr>
          <w:spacing w:val="-12"/>
        </w:rPr>
        <w:t> </w:t>
      </w:r>
      <w:r>
        <w:rPr/>
        <w:t>broadly,</w:t>
      </w:r>
      <w:r>
        <w:rPr>
          <w:spacing w:val="-12"/>
        </w:rPr>
        <w:t> </w:t>
      </w:r>
      <w:r>
        <w:rPr/>
        <w:t>that</w:t>
      </w:r>
      <w:r>
        <w:rPr>
          <w:spacing w:val="-12"/>
        </w:rPr>
        <w:t> </w:t>
      </w:r>
      <w:r>
        <w:rPr/>
        <w:t>the</w:t>
      </w:r>
      <w:r>
        <w:rPr>
          <w:spacing w:val="-13"/>
        </w:rPr>
        <w:t> </w:t>
      </w:r>
      <w:r>
        <w:rPr/>
        <w:t>President’s</w:t>
      </w:r>
      <w:r>
        <w:rPr>
          <w:spacing w:val="-13"/>
        </w:rPr>
        <w:t> </w:t>
      </w:r>
      <w:r>
        <w:rPr/>
        <w:t>understanding</w:t>
      </w:r>
      <w:r>
        <w:rPr>
          <w:spacing w:val="-12"/>
        </w:rPr>
        <w:t> </w:t>
      </w:r>
      <w:r>
        <w:rPr/>
        <w:t>of</w:t>
      </w:r>
      <w:r>
        <w:rPr>
          <w:spacing w:val="-12"/>
        </w:rPr>
        <w:t> </w:t>
      </w:r>
      <w:r>
        <w:rPr/>
        <w:t>the</w:t>
      </w:r>
      <w:r>
        <w:rPr>
          <w:spacing w:val="-11"/>
        </w:rPr>
        <w:t> </w:t>
      </w:r>
      <w:r>
        <w:rPr/>
        <w:t>way</w:t>
      </w:r>
      <w:r>
        <w:rPr>
          <w:spacing w:val="-11"/>
        </w:rPr>
        <w:t> </w:t>
      </w:r>
      <w:r>
        <w:rPr/>
        <w:t>that</w:t>
      </w:r>
      <w:r>
        <w:rPr>
          <w:spacing w:val="-12"/>
        </w:rPr>
        <w:t> </w:t>
      </w:r>
      <w:r>
        <w:rPr/>
        <w:t>the Tribunal should operate is understandable, but does not, in their view, reflect the best reading</w:t>
      </w:r>
      <w:r>
        <w:rPr>
          <w:spacing w:val="-6"/>
        </w:rPr>
        <w:t> </w:t>
      </w:r>
      <w:r>
        <w:rPr/>
        <w:t>of</w:t>
      </w:r>
      <w:r>
        <w:rPr>
          <w:spacing w:val="-6"/>
        </w:rPr>
        <w:t> </w:t>
      </w:r>
      <w:r>
        <w:rPr/>
        <w:t>the</w:t>
      </w:r>
      <w:r>
        <w:rPr>
          <w:spacing w:val="-6"/>
        </w:rPr>
        <w:t> </w:t>
      </w:r>
      <w:r>
        <w:rPr/>
        <w:t>legislation.</w:t>
      </w:r>
      <w:r>
        <w:rPr>
          <w:spacing w:val="-6"/>
        </w:rPr>
        <w:t> </w:t>
      </w:r>
      <w:r>
        <w:rPr/>
        <w:t>Many</w:t>
      </w:r>
      <w:r>
        <w:rPr>
          <w:spacing w:val="-7"/>
        </w:rPr>
        <w:t> </w:t>
      </w:r>
      <w:r>
        <w:rPr/>
        <w:t>may</w:t>
      </w:r>
      <w:r>
        <w:rPr>
          <w:spacing w:val="-5"/>
        </w:rPr>
        <w:t> </w:t>
      </w:r>
      <w:r>
        <w:rPr/>
        <w:t>wish</w:t>
      </w:r>
      <w:r>
        <w:rPr>
          <w:spacing w:val="-5"/>
        </w:rPr>
        <w:t> </w:t>
      </w:r>
      <w:r>
        <w:rPr/>
        <w:t>to</w:t>
      </w:r>
      <w:r>
        <w:rPr>
          <w:spacing w:val="-5"/>
        </w:rPr>
        <w:t> </w:t>
      </w:r>
      <w:r>
        <w:rPr/>
        <w:t>follow</w:t>
      </w:r>
      <w:r>
        <w:rPr>
          <w:spacing w:val="-6"/>
        </w:rPr>
        <w:t> </w:t>
      </w:r>
      <w:r>
        <w:rPr/>
        <w:t>their</w:t>
      </w:r>
      <w:r>
        <w:rPr>
          <w:spacing w:val="-5"/>
        </w:rPr>
        <w:t> </w:t>
      </w:r>
      <w:r>
        <w:rPr/>
        <w:t>suggestion</w:t>
      </w:r>
      <w:r>
        <w:rPr>
          <w:spacing w:val="-6"/>
        </w:rPr>
        <w:t> </w:t>
      </w:r>
      <w:r>
        <w:rPr/>
        <w:t>of</w:t>
      </w:r>
      <w:r>
        <w:rPr>
          <w:spacing w:val="-5"/>
        </w:rPr>
        <w:t> </w:t>
      </w:r>
      <w:r>
        <w:rPr/>
        <w:t>returning</w:t>
      </w:r>
      <w:r>
        <w:rPr>
          <w:spacing w:val="-5"/>
        </w:rPr>
        <w:t> </w:t>
      </w:r>
      <w:r>
        <w:rPr/>
        <w:t>to</w:t>
      </w:r>
      <w:r>
        <w:rPr>
          <w:spacing w:val="-5"/>
        </w:rPr>
        <w:t> </w:t>
      </w:r>
      <w:r>
        <w:rPr/>
        <w:t>the analysis presented in their original paper and review it in light of Carroll’s criticism. Should the President wish to continue the debate, the pages of the Journal are firmly open, and the editors would be delighted to facilitate further debate on what is undeniably a very important, yet perhaps, penumbrous topic within the Tribunal jurisdiction.</w:t>
      </w:r>
    </w:p>
    <w:p>
      <w:pPr>
        <w:pStyle w:val="BodyText"/>
        <w:jc w:val="left"/>
      </w:pPr>
    </w:p>
    <w:p>
      <w:pPr>
        <w:pStyle w:val="BodyText"/>
        <w:ind w:left="118" w:right="107"/>
      </w:pPr>
      <w:r>
        <w:rPr/>
        <w:t>Next is a stimulating article by Bennetts, Maylea, McKenna and Makregiorgos on the ‘tricky dance’ of advocacy, a study of non-legal mental health advocacy in Victoria, Australia. The article serves the useful purpose both of reviewing some of the underpinning drivers and models of advocacy in the context of the Convention on the Rights</w:t>
      </w:r>
      <w:r>
        <w:rPr>
          <w:spacing w:val="-12"/>
        </w:rPr>
        <w:t> </w:t>
      </w:r>
      <w:r>
        <w:rPr/>
        <w:t>of</w:t>
      </w:r>
      <w:r>
        <w:rPr>
          <w:spacing w:val="-11"/>
        </w:rPr>
        <w:t> </w:t>
      </w:r>
      <w:r>
        <w:rPr/>
        <w:t>Persons</w:t>
      </w:r>
      <w:r>
        <w:rPr>
          <w:spacing w:val="-10"/>
        </w:rPr>
        <w:t> </w:t>
      </w:r>
      <w:r>
        <w:rPr/>
        <w:t>with</w:t>
      </w:r>
      <w:r>
        <w:rPr>
          <w:spacing w:val="-11"/>
        </w:rPr>
        <w:t> </w:t>
      </w:r>
      <w:r>
        <w:rPr/>
        <w:t>Disabilities</w:t>
      </w:r>
      <w:r>
        <w:rPr>
          <w:spacing w:val="-12"/>
        </w:rPr>
        <w:t> </w:t>
      </w:r>
      <w:r>
        <w:rPr/>
        <w:t>(‘CRPD’),</w:t>
      </w:r>
      <w:r>
        <w:rPr>
          <w:spacing w:val="-11"/>
        </w:rPr>
        <w:t> </w:t>
      </w:r>
      <w:r>
        <w:rPr/>
        <w:t>and</w:t>
      </w:r>
      <w:r>
        <w:rPr>
          <w:spacing w:val="-11"/>
        </w:rPr>
        <w:t> </w:t>
      </w:r>
      <w:r>
        <w:rPr/>
        <w:t>describing</w:t>
      </w:r>
      <w:r>
        <w:rPr>
          <w:spacing w:val="-11"/>
        </w:rPr>
        <w:t> </w:t>
      </w:r>
      <w:r>
        <w:rPr/>
        <w:t>the</w:t>
      </w:r>
      <w:r>
        <w:rPr>
          <w:spacing w:val="-11"/>
        </w:rPr>
        <w:t> </w:t>
      </w:r>
      <w:r>
        <w:rPr/>
        <w:t>application</w:t>
      </w:r>
      <w:r>
        <w:rPr>
          <w:spacing w:val="-12"/>
        </w:rPr>
        <w:t> </w:t>
      </w:r>
      <w:r>
        <w:rPr/>
        <w:t>of</w:t>
      </w:r>
      <w:r>
        <w:rPr>
          <w:spacing w:val="-11"/>
        </w:rPr>
        <w:t> </w:t>
      </w:r>
      <w:r>
        <w:rPr/>
        <w:t>the</w:t>
      </w:r>
      <w:r>
        <w:rPr>
          <w:spacing w:val="-10"/>
        </w:rPr>
        <w:t> </w:t>
      </w:r>
      <w:r>
        <w:rPr/>
        <w:t>model of non-legal representational advocacy within the Victorian context, drawing on in- depth qualitative interviews with advocates and other key stakeholders. The authors state that this is not an evaluation of this model or its impact, but rather a descriptive illustration of its intent and approach. This is exactly the sort of illustration which is required to flesh out what can otherwise become sterile exchanges of</w:t>
      </w:r>
      <w:r>
        <w:rPr>
          <w:spacing w:val="-19"/>
        </w:rPr>
        <w:t> </w:t>
      </w:r>
      <w:r>
        <w:rPr/>
        <w:t>slogans.</w:t>
      </w:r>
    </w:p>
    <w:p>
      <w:pPr>
        <w:pStyle w:val="BodyText"/>
        <w:spacing w:before="11"/>
        <w:jc w:val="left"/>
        <w:rPr>
          <w:sz w:val="23"/>
        </w:rPr>
      </w:pPr>
    </w:p>
    <w:p>
      <w:pPr>
        <w:pStyle w:val="BodyText"/>
        <w:spacing w:before="1"/>
        <w:ind w:left="118" w:right="106"/>
      </w:pPr>
      <w:r>
        <w:rPr/>
        <w:t>We then have a review paper by Piers Gooding on recent United Nations activity concerning Article 19 CRPD. As Gooding highlights, Article 19 produces an unusual</w:t>
      </w:r>
    </w:p>
    <w:p>
      <w:pPr>
        <w:spacing w:after="0"/>
        <w:sectPr>
          <w:footerReference w:type="default" r:id="rId5"/>
          <w:type w:val="continuous"/>
          <w:pgSz w:w="11910" w:h="16840"/>
          <w:pgMar w:footer="523" w:top="1340" w:bottom="720" w:left="1220" w:right="1320"/>
          <w:pgNumType w:start="2"/>
        </w:sectPr>
      </w:pPr>
    </w:p>
    <w:p>
      <w:pPr>
        <w:spacing w:line="230" w:lineRule="auto" w:before="102"/>
        <w:ind w:left="118" w:right="105" w:hanging="1"/>
        <w:jc w:val="both"/>
        <w:rPr>
          <w:i/>
          <w:sz w:val="25"/>
        </w:rPr>
      </w:pPr>
      <w:r>
        <w:rPr>
          <w:sz w:val="24"/>
        </w:rPr>
        <w:t>consensus: “</w:t>
      </w:r>
      <w:r>
        <w:rPr>
          <w:i/>
          <w:sz w:val="25"/>
        </w:rPr>
        <w:t>commentators across the spectrum – from those who see a role for coercion</w:t>
      </w:r>
      <w:r>
        <w:rPr>
          <w:i/>
          <w:spacing w:val="-51"/>
          <w:sz w:val="25"/>
        </w:rPr>
        <w:t> </w:t>
      </w:r>
      <w:r>
        <w:rPr>
          <w:i/>
          <w:sz w:val="25"/>
        </w:rPr>
        <w:t>and</w:t>
      </w:r>
      <w:r>
        <w:rPr>
          <w:i/>
          <w:spacing w:val="-51"/>
          <w:sz w:val="25"/>
        </w:rPr>
        <w:t> </w:t>
      </w:r>
      <w:r>
        <w:rPr>
          <w:i/>
          <w:sz w:val="25"/>
        </w:rPr>
        <w:t>substituted</w:t>
      </w:r>
      <w:r>
        <w:rPr>
          <w:i/>
          <w:spacing w:val="-51"/>
          <w:sz w:val="25"/>
        </w:rPr>
        <w:t> </w:t>
      </w:r>
      <w:r>
        <w:rPr>
          <w:i/>
          <w:sz w:val="25"/>
        </w:rPr>
        <w:t>decision-making,</w:t>
      </w:r>
      <w:r>
        <w:rPr>
          <w:i/>
          <w:spacing w:val="-52"/>
          <w:sz w:val="25"/>
        </w:rPr>
        <w:t> </w:t>
      </w:r>
      <w:r>
        <w:rPr>
          <w:i/>
          <w:sz w:val="25"/>
        </w:rPr>
        <w:t>to</w:t>
      </w:r>
      <w:r>
        <w:rPr>
          <w:i/>
          <w:spacing w:val="-52"/>
          <w:sz w:val="25"/>
        </w:rPr>
        <w:t> </w:t>
      </w:r>
      <w:r>
        <w:rPr>
          <w:i/>
          <w:sz w:val="25"/>
        </w:rPr>
        <w:t>those</w:t>
      </w:r>
      <w:r>
        <w:rPr>
          <w:i/>
          <w:spacing w:val="-52"/>
          <w:sz w:val="25"/>
        </w:rPr>
        <w:t> </w:t>
      </w:r>
      <w:r>
        <w:rPr>
          <w:i/>
          <w:sz w:val="25"/>
        </w:rPr>
        <w:t>who</w:t>
      </w:r>
      <w:r>
        <w:rPr>
          <w:i/>
          <w:spacing w:val="-52"/>
          <w:sz w:val="25"/>
        </w:rPr>
        <w:t> </w:t>
      </w:r>
      <w:r>
        <w:rPr>
          <w:i/>
          <w:sz w:val="25"/>
        </w:rPr>
        <w:t>think</w:t>
      </w:r>
      <w:r>
        <w:rPr>
          <w:i/>
          <w:spacing w:val="-51"/>
          <w:sz w:val="25"/>
        </w:rPr>
        <w:t> </w:t>
      </w:r>
      <w:r>
        <w:rPr>
          <w:i/>
          <w:sz w:val="25"/>
        </w:rPr>
        <w:t>they</w:t>
      </w:r>
      <w:r>
        <w:rPr>
          <w:i/>
          <w:spacing w:val="-51"/>
          <w:sz w:val="25"/>
        </w:rPr>
        <w:t> </w:t>
      </w:r>
      <w:r>
        <w:rPr>
          <w:i/>
          <w:sz w:val="25"/>
        </w:rPr>
        <w:t>should</w:t>
      </w:r>
      <w:r>
        <w:rPr>
          <w:i/>
          <w:spacing w:val="-52"/>
          <w:sz w:val="25"/>
        </w:rPr>
        <w:t> </w:t>
      </w:r>
      <w:r>
        <w:rPr>
          <w:i/>
          <w:sz w:val="25"/>
        </w:rPr>
        <w:t>be</w:t>
      </w:r>
      <w:r>
        <w:rPr>
          <w:i/>
          <w:spacing w:val="-52"/>
          <w:sz w:val="25"/>
        </w:rPr>
        <w:t> </w:t>
      </w:r>
      <w:r>
        <w:rPr>
          <w:i/>
          <w:sz w:val="25"/>
        </w:rPr>
        <w:t>eliminated</w:t>
      </w:r>
    </w:p>
    <w:p>
      <w:pPr>
        <w:spacing w:line="237" w:lineRule="auto" w:before="0"/>
        <w:ind w:left="117" w:right="107" w:firstLine="0"/>
        <w:jc w:val="both"/>
        <w:rPr>
          <w:sz w:val="24"/>
        </w:rPr>
      </w:pPr>
      <w:r>
        <w:rPr>
          <w:i/>
          <w:sz w:val="25"/>
        </w:rPr>
        <w:t>–</w:t>
      </w:r>
      <w:r>
        <w:rPr>
          <w:i/>
          <w:spacing w:val="-40"/>
          <w:sz w:val="25"/>
        </w:rPr>
        <w:t> </w:t>
      </w:r>
      <w:r>
        <w:rPr>
          <w:i/>
          <w:sz w:val="25"/>
        </w:rPr>
        <w:t>appear</w:t>
      </w:r>
      <w:r>
        <w:rPr>
          <w:i/>
          <w:spacing w:val="-41"/>
          <w:sz w:val="25"/>
        </w:rPr>
        <w:t> </w:t>
      </w:r>
      <w:r>
        <w:rPr>
          <w:i/>
          <w:sz w:val="25"/>
        </w:rPr>
        <w:t>to</w:t>
      </w:r>
      <w:r>
        <w:rPr>
          <w:i/>
          <w:spacing w:val="-41"/>
          <w:sz w:val="25"/>
        </w:rPr>
        <w:t> </w:t>
      </w:r>
      <w:r>
        <w:rPr>
          <w:i/>
          <w:sz w:val="25"/>
        </w:rPr>
        <w:t>agree</w:t>
      </w:r>
      <w:r>
        <w:rPr>
          <w:i/>
          <w:spacing w:val="-41"/>
          <w:sz w:val="25"/>
        </w:rPr>
        <w:t> </w:t>
      </w:r>
      <w:r>
        <w:rPr>
          <w:i/>
          <w:sz w:val="25"/>
        </w:rPr>
        <w:t>on</w:t>
      </w:r>
      <w:r>
        <w:rPr>
          <w:i/>
          <w:spacing w:val="-41"/>
          <w:sz w:val="25"/>
        </w:rPr>
        <w:t> </w:t>
      </w:r>
      <w:r>
        <w:rPr>
          <w:i/>
          <w:sz w:val="25"/>
        </w:rPr>
        <w:t>the</w:t>
      </w:r>
      <w:r>
        <w:rPr>
          <w:i/>
          <w:spacing w:val="-40"/>
          <w:sz w:val="25"/>
        </w:rPr>
        <w:t> </w:t>
      </w:r>
      <w:r>
        <w:rPr>
          <w:i/>
          <w:sz w:val="25"/>
        </w:rPr>
        <w:t>need</w:t>
      </w:r>
      <w:r>
        <w:rPr>
          <w:i/>
          <w:spacing w:val="-41"/>
          <w:sz w:val="25"/>
        </w:rPr>
        <w:t> </w:t>
      </w:r>
      <w:r>
        <w:rPr>
          <w:i/>
          <w:sz w:val="25"/>
        </w:rPr>
        <w:t>for</w:t>
      </w:r>
      <w:r>
        <w:rPr>
          <w:i/>
          <w:spacing w:val="-41"/>
          <w:sz w:val="25"/>
        </w:rPr>
        <w:t> </w:t>
      </w:r>
      <w:r>
        <w:rPr>
          <w:i/>
          <w:sz w:val="25"/>
        </w:rPr>
        <w:t>more</w:t>
      </w:r>
      <w:r>
        <w:rPr>
          <w:i/>
          <w:spacing w:val="-40"/>
          <w:sz w:val="25"/>
        </w:rPr>
        <w:t> </w:t>
      </w:r>
      <w:r>
        <w:rPr>
          <w:i/>
          <w:sz w:val="25"/>
        </w:rPr>
        <w:t>resources</w:t>
      </w:r>
      <w:r>
        <w:rPr>
          <w:i/>
          <w:spacing w:val="-40"/>
          <w:sz w:val="25"/>
        </w:rPr>
        <w:t> </w:t>
      </w:r>
      <w:r>
        <w:rPr>
          <w:i/>
          <w:sz w:val="25"/>
        </w:rPr>
        <w:t>for</w:t>
      </w:r>
      <w:r>
        <w:rPr>
          <w:i/>
          <w:spacing w:val="-41"/>
          <w:sz w:val="25"/>
        </w:rPr>
        <w:t> </w:t>
      </w:r>
      <w:r>
        <w:rPr>
          <w:i/>
          <w:sz w:val="25"/>
        </w:rPr>
        <w:t>people</w:t>
      </w:r>
      <w:r>
        <w:rPr>
          <w:i/>
          <w:spacing w:val="-40"/>
          <w:sz w:val="25"/>
        </w:rPr>
        <w:t> </w:t>
      </w:r>
      <w:r>
        <w:rPr>
          <w:i/>
          <w:sz w:val="25"/>
        </w:rPr>
        <w:t>with</w:t>
      </w:r>
      <w:r>
        <w:rPr>
          <w:i/>
          <w:spacing w:val="-40"/>
          <w:sz w:val="25"/>
        </w:rPr>
        <w:t> </w:t>
      </w:r>
      <w:r>
        <w:rPr>
          <w:i/>
          <w:sz w:val="25"/>
        </w:rPr>
        <w:t>intellectual,</w:t>
      </w:r>
      <w:r>
        <w:rPr>
          <w:i/>
          <w:spacing w:val="-40"/>
          <w:sz w:val="25"/>
        </w:rPr>
        <w:t> </w:t>
      </w:r>
      <w:r>
        <w:rPr>
          <w:i/>
          <w:sz w:val="25"/>
        </w:rPr>
        <w:t>cognitive and</w:t>
      </w:r>
      <w:r>
        <w:rPr>
          <w:i/>
          <w:spacing w:val="-44"/>
          <w:sz w:val="25"/>
        </w:rPr>
        <w:t> </w:t>
      </w:r>
      <w:r>
        <w:rPr>
          <w:i/>
          <w:sz w:val="25"/>
        </w:rPr>
        <w:t>psychosocial</w:t>
      </w:r>
      <w:r>
        <w:rPr>
          <w:i/>
          <w:spacing w:val="-44"/>
          <w:sz w:val="25"/>
        </w:rPr>
        <w:t> </w:t>
      </w:r>
      <w:r>
        <w:rPr>
          <w:i/>
          <w:sz w:val="25"/>
        </w:rPr>
        <w:t>disabilities</w:t>
      </w:r>
      <w:r>
        <w:rPr>
          <w:i/>
          <w:spacing w:val="-44"/>
          <w:sz w:val="25"/>
        </w:rPr>
        <w:t> </w:t>
      </w:r>
      <w:r>
        <w:rPr>
          <w:i/>
          <w:sz w:val="25"/>
        </w:rPr>
        <w:t>to</w:t>
      </w:r>
      <w:r>
        <w:rPr>
          <w:i/>
          <w:spacing w:val="-44"/>
          <w:sz w:val="25"/>
        </w:rPr>
        <w:t> </w:t>
      </w:r>
      <w:r>
        <w:rPr>
          <w:i/>
          <w:sz w:val="25"/>
        </w:rPr>
        <w:t>exercise</w:t>
      </w:r>
      <w:r>
        <w:rPr>
          <w:i/>
          <w:spacing w:val="-44"/>
          <w:sz w:val="25"/>
        </w:rPr>
        <w:t> </w:t>
      </w:r>
      <w:r>
        <w:rPr>
          <w:i/>
          <w:sz w:val="25"/>
        </w:rPr>
        <w:t>their</w:t>
      </w:r>
      <w:r>
        <w:rPr>
          <w:i/>
          <w:spacing w:val="-44"/>
          <w:sz w:val="25"/>
        </w:rPr>
        <w:t> </w:t>
      </w:r>
      <w:r>
        <w:rPr>
          <w:i/>
          <w:sz w:val="25"/>
        </w:rPr>
        <w:t>right</w:t>
      </w:r>
      <w:r>
        <w:rPr>
          <w:i/>
          <w:spacing w:val="-44"/>
          <w:sz w:val="25"/>
        </w:rPr>
        <w:t> </w:t>
      </w:r>
      <w:r>
        <w:rPr>
          <w:i/>
          <w:sz w:val="25"/>
        </w:rPr>
        <w:t>to</w:t>
      </w:r>
      <w:r>
        <w:rPr>
          <w:i/>
          <w:spacing w:val="-44"/>
          <w:sz w:val="25"/>
        </w:rPr>
        <w:t> </w:t>
      </w:r>
      <w:r>
        <w:rPr>
          <w:i/>
          <w:sz w:val="25"/>
        </w:rPr>
        <w:t>live</w:t>
      </w:r>
      <w:r>
        <w:rPr>
          <w:i/>
          <w:spacing w:val="-44"/>
          <w:sz w:val="25"/>
        </w:rPr>
        <w:t> </w:t>
      </w:r>
      <w:r>
        <w:rPr>
          <w:i/>
          <w:sz w:val="25"/>
        </w:rPr>
        <w:t>independently</w:t>
      </w:r>
      <w:r>
        <w:rPr>
          <w:i/>
          <w:spacing w:val="-44"/>
          <w:sz w:val="25"/>
        </w:rPr>
        <w:t> </w:t>
      </w:r>
      <w:r>
        <w:rPr>
          <w:i/>
          <w:sz w:val="25"/>
        </w:rPr>
        <w:t>and</w:t>
      </w:r>
      <w:r>
        <w:rPr>
          <w:i/>
          <w:spacing w:val="-44"/>
          <w:sz w:val="25"/>
        </w:rPr>
        <w:t> </w:t>
      </w:r>
      <w:r>
        <w:rPr>
          <w:i/>
          <w:sz w:val="25"/>
        </w:rPr>
        <w:t>participate in the community</w:t>
      </w:r>
      <w:r>
        <w:rPr>
          <w:sz w:val="24"/>
        </w:rPr>
        <w:t>.” In the personal experience of one of the editors (Ruck Keene) on the</w:t>
      </w:r>
      <w:r>
        <w:rPr>
          <w:spacing w:val="-13"/>
          <w:sz w:val="24"/>
        </w:rPr>
        <w:t> </w:t>
      </w:r>
      <w:r>
        <w:rPr>
          <w:sz w:val="24"/>
        </w:rPr>
        <w:t>independent</w:t>
      </w:r>
      <w:r>
        <w:rPr>
          <w:spacing w:val="-14"/>
          <w:sz w:val="24"/>
        </w:rPr>
        <w:t> </w:t>
      </w:r>
      <w:r>
        <w:rPr>
          <w:sz w:val="24"/>
        </w:rPr>
        <w:t>review</w:t>
      </w:r>
      <w:r>
        <w:rPr>
          <w:spacing w:val="-13"/>
          <w:sz w:val="24"/>
        </w:rPr>
        <w:t> </w:t>
      </w:r>
      <w:r>
        <w:rPr>
          <w:sz w:val="24"/>
        </w:rPr>
        <w:t>of</w:t>
      </w:r>
      <w:r>
        <w:rPr>
          <w:spacing w:val="-12"/>
          <w:sz w:val="24"/>
        </w:rPr>
        <w:t> </w:t>
      </w:r>
      <w:r>
        <w:rPr>
          <w:sz w:val="24"/>
        </w:rPr>
        <w:t>the</w:t>
      </w:r>
      <w:r>
        <w:rPr>
          <w:spacing w:val="-13"/>
          <w:sz w:val="24"/>
        </w:rPr>
        <w:t> </w:t>
      </w:r>
      <w:r>
        <w:rPr>
          <w:sz w:val="24"/>
        </w:rPr>
        <w:t>Mental</w:t>
      </w:r>
      <w:r>
        <w:rPr>
          <w:spacing w:val="-12"/>
          <w:sz w:val="24"/>
        </w:rPr>
        <w:t> </w:t>
      </w:r>
      <w:r>
        <w:rPr>
          <w:sz w:val="24"/>
        </w:rPr>
        <w:t>Health</w:t>
      </w:r>
      <w:r>
        <w:rPr>
          <w:spacing w:val="-12"/>
          <w:sz w:val="24"/>
        </w:rPr>
        <w:t> </w:t>
      </w:r>
      <w:r>
        <w:rPr>
          <w:sz w:val="24"/>
        </w:rPr>
        <w:t>Act</w:t>
      </w:r>
      <w:r>
        <w:rPr>
          <w:spacing w:val="-12"/>
          <w:sz w:val="24"/>
        </w:rPr>
        <w:t> </w:t>
      </w:r>
      <w:r>
        <w:rPr>
          <w:sz w:val="24"/>
        </w:rPr>
        <w:t>1983</w:t>
      </w:r>
      <w:r>
        <w:rPr>
          <w:spacing w:val="-14"/>
          <w:sz w:val="24"/>
        </w:rPr>
        <w:t> </w:t>
      </w:r>
      <w:r>
        <w:rPr>
          <w:sz w:val="24"/>
        </w:rPr>
        <w:t>in</w:t>
      </w:r>
      <w:r>
        <w:rPr>
          <w:spacing w:val="-12"/>
          <w:sz w:val="24"/>
        </w:rPr>
        <w:t> </w:t>
      </w:r>
      <w:r>
        <w:rPr>
          <w:sz w:val="24"/>
        </w:rPr>
        <w:t>England</w:t>
      </w:r>
      <w:r>
        <w:rPr>
          <w:spacing w:val="-15"/>
          <w:sz w:val="24"/>
        </w:rPr>
        <w:t> </w:t>
      </w:r>
      <w:r>
        <w:rPr>
          <w:sz w:val="24"/>
        </w:rPr>
        <w:t>and</w:t>
      </w:r>
      <w:r>
        <w:rPr>
          <w:spacing w:val="-12"/>
          <w:sz w:val="24"/>
        </w:rPr>
        <w:t> </w:t>
      </w:r>
      <w:r>
        <w:rPr>
          <w:sz w:val="24"/>
        </w:rPr>
        <w:t>Wales</w:t>
      </w:r>
      <w:r>
        <w:rPr>
          <w:spacing w:val="-14"/>
          <w:sz w:val="24"/>
        </w:rPr>
        <w:t> </w:t>
      </w:r>
      <w:r>
        <w:rPr>
          <w:sz w:val="24"/>
        </w:rPr>
        <w:t>under</w:t>
      </w:r>
      <w:r>
        <w:rPr>
          <w:spacing w:val="-13"/>
          <w:sz w:val="24"/>
        </w:rPr>
        <w:t> </w:t>
      </w:r>
      <w:r>
        <w:rPr>
          <w:sz w:val="24"/>
        </w:rPr>
        <w:t>way at the time of writing, this consensus is not merely shared by commentators, but also by those seeking to take forward law reforms in this area. Gooding’s article,</w:t>
      </w:r>
      <w:r>
        <w:rPr>
          <w:spacing w:val="-43"/>
          <w:sz w:val="24"/>
        </w:rPr>
        <w:t> </w:t>
      </w:r>
      <w:r>
        <w:rPr>
          <w:sz w:val="24"/>
        </w:rPr>
        <w:t>therefore, serves the invaluable purpose of placing the recent ‘General Comment’ No. 5 (August 2017) on Article 19 in its context, summarising its content, and critically analysing its key provisions.</w:t>
      </w:r>
    </w:p>
    <w:p>
      <w:pPr>
        <w:pStyle w:val="BodyText"/>
        <w:spacing w:before="2"/>
        <w:jc w:val="left"/>
        <w:rPr>
          <w:sz w:val="23"/>
        </w:rPr>
      </w:pPr>
    </w:p>
    <w:p>
      <w:pPr>
        <w:pStyle w:val="BodyText"/>
        <w:ind w:left="117" w:right="106"/>
      </w:pPr>
      <w:r>
        <w:rPr/>
        <w:t>Remaining focused on the CRPD, the final paper relates to an entirely different part of the world and is a valuable spotlight on a jurisdiction based on a mixture of civil law and Shari’a law. Patricia Cuenca Gómez, María del Carmen Barranco Avilés and Pablo Rodríguez</w:t>
      </w:r>
      <w:r>
        <w:rPr>
          <w:spacing w:val="-6"/>
        </w:rPr>
        <w:t> </w:t>
      </w:r>
      <w:r>
        <w:rPr/>
        <w:t>del</w:t>
      </w:r>
      <w:r>
        <w:rPr>
          <w:spacing w:val="-5"/>
        </w:rPr>
        <w:t> </w:t>
      </w:r>
      <w:r>
        <w:rPr/>
        <w:t>Pozo</w:t>
      </w:r>
      <w:r>
        <w:rPr>
          <w:spacing w:val="-5"/>
        </w:rPr>
        <w:t> </w:t>
      </w:r>
      <w:r>
        <w:rPr/>
        <w:t>review</w:t>
      </w:r>
      <w:r>
        <w:rPr>
          <w:spacing w:val="-6"/>
        </w:rPr>
        <w:t> </w:t>
      </w:r>
      <w:r>
        <w:rPr/>
        <w:t>the</w:t>
      </w:r>
      <w:r>
        <w:rPr>
          <w:spacing w:val="-7"/>
        </w:rPr>
        <w:t> </w:t>
      </w:r>
      <w:r>
        <w:rPr/>
        <w:t>provisions</w:t>
      </w:r>
      <w:r>
        <w:rPr>
          <w:spacing w:val="-7"/>
        </w:rPr>
        <w:t> </w:t>
      </w:r>
      <w:r>
        <w:rPr/>
        <w:t>of</w:t>
      </w:r>
      <w:r>
        <w:rPr>
          <w:spacing w:val="-6"/>
        </w:rPr>
        <w:t> </w:t>
      </w:r>
      <w:r>
        <w:rPr/>
        <w:t>Qatari</w:t>
      </w:r>
      <w:r>
        <w:rPr>
          <w:spacing w:val="-6"/>
        </w:rPr>
        <w:t> </w:t>
      </w:r>
      <w:r>
        <w:rPr/>
        <w:t>law</w:t>
      </w:r>
      <w:r>
        <w:rPr>
          <w:spacing w:val="-7"/>
        </w:rPr>
        <w:t> </w:t>
      </w:r>
      <w:r>
        <w:rPr/>
        <w:t>relating</w:t>
      </w:r>
      <w:r>
        <w:rPr>
          <w:spacing w:val="-6"/>
        </w:rPr>
        <w:t> </w:t>
      </w:r>
      <w:r>
        <w:rPr/>
        <w:t>to</w:t>
      </w:r>
      <w:r>
        <w:rPr>
          <w:spacing w:val="-6"/>
        </w:rPr>
        <w:t> </w:t>
      </w:r>
      <w:r>
        <w:rPr/>
        <w:t>deprivation</w:t>
      </w:r>
      <w:r>
        <w:rPr>
          <w:spacing w:val="-6"/>
        </w:rPr>
        <w:t> </w:t>
      </w:r>
      <w:r>
        <w:rPr/>
        <w:t>of</w:t>
      </w:r>
      <w:r>
        <w:rPr>
          <w:spacing w:val="-6"/>
        </w:rPr>
        <w:t> </w:t>
      </w:r>
      <w:r>
        <w:rPr/>
        <w:t>liberty in</w:t>
      </w:r>
      <w:r>
        <w:rPr>
          <w:spacing w:val="-18"/>
        </w:rPr>
        <w:t> </w:t>
      </w:r>
      <w:r>
        <w:rPr/>
        <w:t>the</w:t>
      </w:r>
      <w:r>
        <w:rPr>
          <w:spacing w:val="-19"/>
        </w:rPr>
        <w:t> </w:t>
      </w:r>
      <w:r>
        <w:rPr/>
        <w:t>context</w:t>
      </w:r>
      <w:r>
        <w:rPr>
          <w:spacing w:val="-18"/>
        </w:rPr>
        <w:t> </w:t>
      </w:r>
      <w:r>
        <w:rPr/>
        <w:t>of</w:t>
      </w:r>
      <w:r>
        <w:rPr>
          <w:spacing w:val="-19"/>
        </w:rPr>
        <w:t> </w:t>
      </w:r>
      <w:r>
        <w:rPr/>
        <w:t>psychosocial</w:t>
      </w:r>
      <w:r>
        <w:rPr>
          <w:spacing w:val="-20"/>
        </w:rPr>
        <w:t> </w:t>
      </w:r>
      <w:r>
        <w:rPr/>
        <w:t>disability</w:t>
      </w:r>
      <w:r>
        <w:rPr>
          <w:spacing w:val="-18"/>
        </w:rPr>
        <w:t> </w:t>
      </w:r>
      <w:r>
        <w:rPr/>
        <w:t>in</w:t>
      </w:r>
      <w:r>
        <w:rPr>
          <w:spacing w:val="-18"/>
        </w:rPr>
        <w:t> </w:t>
      </w:r>
      <w:r>
        <w:rPr/>
        <w:t>the</w:t>
      </w:r>
      <w:r>
        <w:rPr>
          <w:spacing w:val="-20"/>
        </w:rPr>
        <w:t> </w:t>
      </w:r>
      <w:r>
        <w:rPr/>
        <w:t>light</w:t>
      </w:r>
      <w:r>
        <w:rPr>
          <w:spacing w:val="-18"/>
        </w:rPr>
        <w:t> </w:t>
      </w:r>
      <w:r>
        <w:rPr/>
        <w:t>of</w:t>
      </w:r>
      <w:r>
        <w:rPr>
          <w:spacing w:val="-18"/>
        </w:rPr>
        <w:t> </w:t>
      </w:r>
      <w:r>
        <w:rPr/>
        <w:t>the</w:t>
      </w:r>
      <w:r>
        <w:rPr>
          <w:spacing w:val="-20"/>
        </w:rPr>
        <w:t> </w:t>
      </w:r>
      <w:r>
        <w:rPr/>
        <w:t>CRPD.</w:t>
      </w:r>
      <w:r>
        <w:rPr>
          <w:spacing w:val="-18"/>
        </w:rPr>
        <w:t> </w:t>
      </w:r>
      <w:r>
        <w:rPr/>
        <w:t>They</w:t>
      </w:r>
      <w:r>
        <w:rPr>
          <w:spacing w:val="-18"/>
        </w:rPr>
        <w:t> </w:t>
      </w:r>
      <w:r>
        <w:rPr/>
        <w:t>find</w:t>
      </w:r>
      <w:r>
        <w:rPr>
          <w:spacing w:val="-18"/>
        </w:rPr>
        <w:t> </w:t>
      </w:r>
      <w:r>
        <w:rPr/>
        <w:t>the</w:t>
      </w:r>
      <w:r>
        <w:rPr>
          <w:spacing w:val="-19"/>
        </w:rPr>
        <w:t> </w:t>
      </w:r>
      <w:r>
        <w:rPr/>
        <w:t>provisions substantially lacking, and propose reforms to ensure that persons with psychosocial disabilities enjoy the right to liberty on equal terms with</w:t>
      </w:r>
      <w:r>
        <w:rPr>
          <w:spacing w:val="-7"/>
        </w:rPr>
        <w:t> </w:t>
      </w:r>
      <w:r>
        <w:rPr/>
        <w:t>others.</w:t>
      </w:r>
    </w:p>
    <w:p>
      <w:pPr>
        <w:pStyle w:val="BodyText"/>
        <w:spacing w:before="10"/>
        <w:jc w:val="left"/>
        <w:rPr>
          <w:sz w:val="22"/>
        </w:rPr>
      </w:pPr>
    </w:p>
    <w:p>
      <w:pPr>
        <w:pStyle w:val="BodyText"/>
        <w:ind w:left="117" w:right="107"/>
      </w:pPr>
      <w:r>
        <w:rPr/>
        <w:t>We are grateful to the peer reviewers for their  prompt  and  thorough  comments, the proofreading assistance provided by Hal (Zhan) Brinton of the University of Leeds, the ongoing support of the library staff of Northumbria University, and the overall guidance provided by Kris Gledhill as the IJMHCL</w:t>
      </w:r>
      <w:r>
        <w:rPr>
          <w:spacing w:val="-8"/>
        </w:rPr>
        <w:t> </w:t>
      </w:r>
      <w:r>
        <w:rPr/>
        <w:t>Editor-in-Chief.</w:t>
      </w:r>
    </w:p>
    <w:p>
      <w:pPr>
        <w:pStyle w:val="BodyText"/>
        <w:spacing w:before="1"/>
        <w:jc w:val="left"/>
      </w:pPr>
    </w:p>
    <w:p>
      <w:pPr>
        <w:pStyle w:val="BodyText"/>
        <w:spacing w:line="289" w:lineRule="exact"/>
        <w:ind w:left="118"/>
      </w:pPr>
      <w:r>
        <w:rPr/>
        <w:t>Daniel W. Liang Wang</w:t>
      </w:r>
    </w:p>
    <w:p>
      <w:pPr>
        <w:pStyle w:val="BodyText"/>
        <w:spacing w:line="289" w:lineRule="exact"/>
        <w:ind w:left="117"/>
      </w:pPr>
      <w:r>
        <w:rPr/>
        <w:t>Queen Mary University of London</w:t>
      </w:r>
    </w:p>
    <w:p>
      <w:pPr>
        <w:pStyle w:val="BodyText"/>
        <w:jc w:val="left"/>
      </w:pPr>
    </w:p>
    <w:p>
      <w:pPr>
        <w:pStyle w:val="BodyText"/>
        <w:spacing w:line="289" w:lineRule="exact"/>
        <w:ind w:left="118"/>
      </w:pPr>
      <w:r>
        <w:rPr/>
        <w:t>Alex Ruck Keene</w:t>
      </w:r>
    </w:p>
    <w:p>
      <w:pPr>
        <w:pStyle w:val="BodyText"/>
        <w:spacing w:line="289" w:lineRule="exact"/>
        <w:ind w:left="117"/>
      </w:pPr>
      <w:r>
        <w:rPr/>
        <w:t>39 Essex Chambers and King’s College London</w:t>
      </w:r>
    </w:p>
    <w:p>
      <w:pPr>
        <w:pStyle w:val="BodyText"/>
        <w:jc w:val="left"/>
      </w:pPr>
    </w:p>
    <w:p>
      <w:pPr>
        <w:pStyle w:val="BodyText"/>
        <w:spacing w:line="289" w:lineRule="exact"/>
        <w:ind w:left="118"/>
      </w:pPr>
      <w:r>
        <w:rPr/>
        <w:t>Ruth Fletcher</w:t>
      </w:r>
    </w:p>
    <w:p>
      <w:pPr>
        <w:pStyle w:val="BodyText"/>
        <w:spacing w:line="289" w:lineRule="exact"/>
        <w:ind w:left="117"/>
      </w:pPr>
      <w:r>
        <w:rPr/>
        <w:t>Queen Mary University of London</w:t>
      </w:r>
    </w:p>
    <w:p>
      <w:pPr>
        <w:pStyle w:val="BodyText"/>
        <w:spacing w:before="1"/>
        <w:jc w:val="left"/>
      </w:pPr>
    </w:p>
    <w:p>
      <w:pPr>
        <w:pStyle w:val="BodyText"/>
        <w:ind w:left="118"/>
      </w:pPr>
      <w:r>
        <w:rPr/>
        <w:t>Catherine Penny</w:t>
      </w:r>
    </w:p>
    <w:p>
      <w:pPr>
        <w:pStyle w:val="BodyText"/>
        <w:ind w:left="117"/>
      </w:pPr>
      <w:r>
        <w:rPr/>
        <w:t>West London Mental Health NHS Trust and King’s College London</w:t>
      </w:r>
    </w:p>
    <w:p>
      <w:pPr>
        <w:pStyle w:val="BodyText"/>
        <w:spacing w:before="11"/>
        <w:jc w:val="left"/>
        <w:rPr>
          <w:sz w:val="23"/>
        </w:rPr>
      </w:pPr>
    </w:p>
    <w:p>
      <w:pPr>
        <w:pStyle w:val="BodyText"/>
        <w:spacing w:before="1"/>
        <w:ind w:left="118"/>
      </w:pPr>
      <w:r>
        <w:rPr/>
        <w:t>Richard Ashcroft</w:t>
      </w:r>
    </w:p>
    <w:p>
      <w:pPr>
        <w:pStyle w:val="BodyText"/>
        <w:ind w:left="117"/>
      </w:pPr>
      <w:r>
        <w:rPr/>
        <w:t>Queen Mary University of London</w:t>
      </w:r>
    </w:p>
    <w:sectPr>
      <w:pgSz w:w="11910" w:h="16840"/>
      <w:pgMar w:header="0" w:footer="523" w:top="1300" w:bottom="720" w:left="1220" w:right="13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Tahoma">
    <w:altName w:val="Tahoma"/>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jc w:val="left"/>
      <w:rPr>
        <w:sz w:val="20"/>
      </w:rPr>
    </w:pPr>
    <w:r>
      <w:rPr/>
      <w:pict>
        <v:shapetype id="_x0000_t202" o:spt="202" coordsize="21600,21600" path="m,l,21600r21600,l21600,xe">
          <v:stroke joinstyle="miter"/>
          <v:path gradientshapeok="t" o:connecttype="rect"/>
        </v:shapetype>
        <v:shape style="position:absolute;margin-left:293.434998pt;margin-top:804.793823pt;width:8.450pt;height:10.95pt;mso-position-horizontal-relative:page;mso-position-vertical-relative:page;z-index:-2656" type="#_x0000_t202" filled="false" stroked="false">
          <v:textbox inset="0,0,0,0">
            <w:txbxContent>
              <w:p>
                <w:pPr>
                  <w:spacing w:before="14"/>
                  <w:ind w:left="40" w:right="0" w:firstLine="0"/>
                  <w:jc w:val="left"/>
                  <w:rPr>
                    <w:rFonts w:ascii="Arial"/>
                    <w:sz w:val="16"/>
                  </w:rPr>
                </w:pPr>
                <w:r>
                  <w:rPr/>
                  <w:fldChar w:fldCharType="begin"/>
                </w:r>
                <w:r>
                  <w:rPr>
                    <w:rFonts w:ascii="Arial"/>
                    <w:sz w:val="16"/>
                  </w:rPr>
                  <w:instrText> PAGE </w:instrText>
                </w:r>
                <w:r>
                  <w:rPr/>
                  <w:fldChar w:fldCharType="separate"/>
                </w:r>
                <w:r>
                  <w:rPr/>
                  <w:t>2</w:t>
                </w:r>
                <w:r>
                  <w:rPr/>
                  <w:fldChar w:fldCharType="end"/>
                </w:r>
              </w:p>
            </w:txbxContent>
          </v:textbox>
          <w10:wrap type="none"/>
        </v:shape>
      </w:pic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ahoma" w:hAnsi="Tahoma" w:eastAsia="Tahoma" w:cs="Tahoma"/>
    </w:rPr>
  </w:style>
  <w:style w:styleId="BodyText" w:type="paragraph">
    <w:name w:val="Body Text"/>
    <w:basedOn w:val="Normal"/>
    <w:uiPriority w:val="1"/>
    <w:qFormat/>
    <w:pPr>
      <w:jc w:val="both"/>
    </w:pPr>
    <w:rPr>
      <w:rFonts w:ascii="Tahoma" w:hAnsi="Tahoma" w:eastAsia="Tahoma" w:cs="Tahoma"/>
      <w:sz w:val="24"/>
      <w:szCs w:val="24"/>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 Brinton [lw13hb]</dc:creator>
  <dcterms:created xsi:type="dcterms:W3CDTF">2018-10-24T11:07:05Z</dcterms:created>
  <dcterms:modified xsi:type="dcterms:W3CDTF">2018-10-24T11:07:05Z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2018-10-23T00:00:00Z</vt:filetime>
  </property>
  <property fmtid="{D5CDD505-2E9C-101B-9397-08002B2CF9AE}" pid="3" name="Creator">
    <vt:lpwstr>Acrobat PDFMaker 18 for Word</vt:lpwstr>
  </property>
  <property fmtid="{D5CDD505-2E9C-101B-9397-08002B2CF9AE}" pid="4" name="LastSaved">
    <vt:filetime>2018-10-24T00:00:00Z</vt:filetime>
  </property>
</Properties>
</file>