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spacing w:before="82"/>
        <w:ind w:left="330" w:right="201" w:firstLine="0"/>
        <w:jc w:val="center"/>
        <w:rPr>
          <w:b/>
          <w:sz w:val="24"/>
        </w:rPr>
      </w:pPr>
      <w:bookmarkStart w:name="03 Response - Maylea, Ryan" w:id="1"/>
      <w:bookmarkEnd w:id="1"/>
      <w:r>
        <w:rPr/>
      </w:r>
      <w:r>
        <w:rPr>
          <w:b/>
          <w:sz w:val="24"/>
        </w:rPr>
        <w:t>RESPONSE TO CAROLL – PRESIDENT OF THE VICTORIAN MENTAL HEALTH TRIBUNAL</w:t>
      </w:r>
    </w:p>
    <w:p>
      <w:pPr>
        <w:pStyle w:val="BodyText"/>
        <w:rPr>
          <w:b/>
        </w:rPr>
      </w:pPr>
    </w:p>
    <w:p>
      <w:pPr>
        <w:pStyle w:val="BodyText"/>
        <w:ind w:left="1694"/>
        <w:rPr>
          <w:sz w:val="16"/>
        </w:rPr>
      </w:pPr>
      <w:r>
        <w:rPr/>
        <w:t>CHRISTOPHER MAYLEA AND CHRISTOPHER JAMES RYAN</w:t>
      </w:r>
      <w:hyperlink w:history="true" w:anchor="_bookmark0">
        <w:r>
          <w:rPr>
            <w:position w:val="8"/>
            <w:sz w:val="16"/>
          </w:rPr>
          <w:t>*</w:t>
        </w:r>
      </w:hyperlink>
    </w:p>
    <w:p>
      <w:pPr>
        <w:pStyle w:val="BodyText"/>
        <w:spacing w:before="4"/>
        <w:rPr>
          <w:sz w:val="23"/>
        </w:rPr>
      </w:pPr>
    </w:p>
    <w:p>
      <w:pPr>
        <w:pStyle w:val="BodyText"/>
        <w:spacing w:line="237" w:lineRule="auto" w:before="1"/>
        <w:ind w:left="237" w:right="104"/>
        <w:jc w:val="both"/>
        <w:rPr>
          <w:sz w:val="16"/>
        </w:rPr>
      </w:pPr>
      <w:r>
        <w:rPr/>
        <w:t>In</w:t>
      </w:r>
      <w:r>
        <w:rPr>
          <w:spacing w:val="-18"/>
        </w:rPr>
        <w:t> </w:t>
      </w:r>
      <w:r>
        <w:rPr/>
        <w:t>his</w:t>
      </w:r>
      <w:r>
        <w:rPr>
          <w:spacing w:val="-19"/>
        </w:rPr>
        <w:t> </w:t>
      </w:r>
      <w:r>
        <w:rPr/>
        <w:t>rejoinder</w:t>
      </w:r>
      <w:r>
        <w:rPr>
          <w:spacing w:val="-18"/>
        </w:rPr>
        <w:t> </w:t>
      </w:r>
      <w:r>
        <w:rPr/>
        <w:t>to</w:t>
      </w:r>
      <w:r>
        <w:rPr>
          <w:spacing w:val="-19"/>
        </w:rPr>
        <w:t> </w:t>
      </w:r>
      <w:r>
        <w:rPr/>
        <w:t>our</w:t>
      </w:r>
      <w:r>
        <w:rPr>
          <w:spacing w:val="-20"/>
        </w:rPr>
        <w:t> </w:t>
      </w:r>
      <w:r>
        <w:rPr/>
        <w:t>recent</w:t>
      </w:r>
      <w:r>
        <w:rPr>
          <w:spacing w:val="-18"/>
        </w:rPr>
        <w:t> </w:t>
      </w:r>
      <w:r>
        <w:rPr/>
        <w:t>contribution</w:t>
      </w:r>
      <w:r>
        <w:rPr>
          <w:spacing w:val="-18"/>
        </w:rPr>
        <w:t> </w:t>
      </w:r>
      <w:r>
        <w:rPr/>
        <w:t>to</w:t>
      </w:r>
      <w:r>
        <w:rPr>
          <w:spacing w:val="-19"/>
        </w:rPr>
        <w:t> </w:t>
      </w:r>
      <w:r>
        <w:rPr/>
        <w:t>the</w:t>
      </w:r>
      <w:r>
        <w:rPr>
          <w:spacing w:val="-19"/>
        </w:rPr>
        <w:t> </w:t>
      </w:r>
      <w:r>
        <w:rPr>
          <w:i/>
          <w:sz w:val="25"/>
        </w:rPr>
        <w:t>International</w:t>
      </w:r>
      <w:r>
        <w:rPr>
          <w:i/>
          <w:spacing w:val="-22"/>
          <w:sz w:val="25"/>
        </w:rPr>
        <w:t> </w:t>
      </w:r>
      <w:r>
        <w:rPr>
          <w:i/>
          <w:sz w:val="25"/>
        </w:rPr>
        <w:t>Journal</w:t>
      </w:r>
      <w:r>
        <w:rPr>
          <w:i/>
          <w:spacing w:val="-21"/>
          <w:sz w:val="25"/>
        </w:rPr>
        <w:t> </w:t>
      </w:r>
      <w:r>
        <w:rPr>
          <w:i/>
          <w:sz w:val="25"/>
        </w:rPr>
        <w:t>of</w:t>
      </w:r>
      <w:r>
        <w:rPr>
          <w:i/>
          <w:spacing w:val="-21"/>
          <w:sz w:val="25"/>
        </w:rPr>
        <w:t> </w:t>
      </w:r>
      <w:r>
        <w:rPr>
          <w:i/>
          <w:sz w:val="25"/>
        </w:rPr>
        <w:t>Mental</w:t>
      </w:r>
      <w:r>
        <w:rPr>
          <w:i/>
          <w:spacing w:val="-22"/>
          <w:sz w:val="25"/>
        </w:rPr>
        <w:t> </w:t>
      </w:r>
      <w:r>
        <w:rPr>
          <w:i/>
          <w:sz w:val="25"/>
        </w:rPr>
        <w:t>Health and Capacity Law</w:t>
      </w:r>
      <w:r>
        <w:rPr/>
        <w:t>,</w:t>
      </w:r>
      <w:hyperlink w:history="true" w:anchor="_bookmark1">
        <w:r>
          <w:rPr>
            <w:position w:val="8"/>
            <w:sz w:val="16"/>
          </w:rPr>
          <w:t>1 </w:t>
        </w:r>
      </w:hyperlink>
      <w:r>
        <w:rPr/>
        <w:t>Carroll suggests that our criticism of the day-to-day operation of the Victorian Mental Health Tribunal (which we based on review of its statement of reasons) is invalid because, in his words, it is premised on a “fundamental misinterpretation” of the </w:t>
      </w:r>
      <w:r>
        <w:rPr>
          <w:i/>
          <w:sz w:val="25"/>
        </w:rPr>
        <w:t>Mental Health Act 2014 </w:t>
      </w:r>
      <w:r>
        <w:rPr/>
        <w:t>(Vic) (the Act).</w:t>
      </w:r>
      <w:hyperlink w:history="true" w:anchor="_bookmark2">
        <w:r>
          <w:rPr>
            <w:position w:val="8"/>
            <w:sz w:val="16"/>
          </w:rPr>
          <w:t>2 </w:t>
        </w:r>
      </w:hyperlink>
      <w:r>
        <w:rPr/>
        <w:t>Specifically, Carroll rejects our view “that in order to ensure treatment is provided in this least restrictive way, the Tribunal must have careful regard to the decision-making capacity of people brought before it and only authorise the involuntary treatment of a person over their competent objection in very limited</w:t>
      </w:r>
      <w:r>
        <w:rPr>
          <w:spacing w:val="-2"/>
        </w:rPr>
        <w:t> </w:t>
      </w:r>
      <w:r>
        <w:rPr/>
        <w:t>circumstances”.</w:t>
      </w:r>
      <w:hyperlink w:history="true" w:anchor="_bookmark3">
        <w:r>
          <w:rPr>
            <w:position w:val="8"/>
            <w:sz w:val="16"/>
          </w:rPr>
          <w:t>3</w:t>
        </w:r>
      </w:hyperlink>
    </w:p>
    <w:p>
      <w:pPr>
        <w:pStyle w:val="BodyText"/>
        <w:spacing w:before="9"/>
        <w:rPr>
          <w:sz w:val="23"/>
        </w:rPr>
      </w:pPr>
    </w:p>
    <w:p>
      <w:pPr>
        <w:pStyle w:val="BodyText"/>
        <w:ind w:left="237" w:right="106"/>
        <w:jc w:val="both"/>
      </w:pPr>
      <w:r>
        <w:rPr/>
        <w:t>Carroll’s objection to our interpretation seems to be based on a belief that our view depends on reading (or importing) words into the Act’s statutory provisions. As a consequence,</w:t>
      </w:r>
      <w:r>
        <w:rPr>
          <w:spacing w:val="-19"/>
        </w:rPr>
        <w:t> </w:t>
      </w:r>
      <w:r>
        <w:rPr/>
        <w:t>the</w:t>
      </w:r>
      <w:r>
        <w:rPr>
          <w:spacing w:val="-20"/>
        </w:rPr>
        <w:t> </w:t>
      </w:r>
      <w:r>
        <w:rPr/>
        <w:t>bulk</w:t>
      </w:r>
      <w:r>
        <w:rPr>
          <w:spacing w:val="-20"/>
        </w:rPr>
        <w:t> </w:t>
      </w:r>
      <w:r>
        <w:rPr/>
        <w:t>of</w:t>
      </w:r>
      <w:r>
        <w:rPr>
          <w:spacing w:val="-20"/>
        </w:rPr>
        <w:t> </w:t>
      </w:r>
      <w:r>
        <w:rPr/>
        <w:t>his</w:t>
      </w:r>
      <w:r>
        <w:rPr>
          <w:spacing w:val="-20"/>
        </w:rPr>
        <w:t> </w:t>
      </w:r>
      <w:r>
        <w:rPr/>
        <w:t>rejoinder</w:t>
      </w:r>
      <w:r>
        <w:rPr>
          <w:spacing w:val="-20"/>
        </w:rPr>
        <w:t> </w:t>
      </w:r>
      <w:r>
        <w:rPr/>
        <w:t>is</w:t>
      </w:r>
      <w:r>
        <w:rPr>
          <w:spacing w:val="-20"/>
        </w:rPr>
        <w:t> </w:t>
      </w:r>
      <w:r>
        <w:rPr/>
        <w:t>concerned</w:t>
      </w:r>
      <w:r>
        <w:rPr>
          <w:spacing w:val="-19"/>
        </w:rPr>
        <w:t> </w:t>
      </w:r>
      <w:r>
        <w:rPr/>
        <w:t>with</w:t>
      </w:r>
      <w:r>
        <w:rPr>
          <w:spacing w:val="-20"/>
        </w:rPr>
        <w:t> </w:t>
      </w:r>
      <w:r>
        <w:rPr/>
        <w:t>why</w:t>
      </w:r>
      <w:r>
        <w:rPr>
          <w:spacing w:val="-19"/>
        </w:rPr>
        <w:t> </w:t>
      </w:r>
      <w:r>
        <w:rPr/>
        <w:t>this</w:t>
      </w:r>
      <w:r>
        <w:rPr>
          <w:spacing w:val="-20"/>
        </w:rPr>
        <w:t> </w:t>
      </w:r>
      <w:r>
        <w:rPr/>
        <w:t>would</w:t>
      </w:r>
      <w:r>
        <w:rPr>
          <w:spacing w:val="-19"/>
        </w:rPr>
        <w:t> </w:t>
      </w:r>
      <w:r>
        <w:rPr/>
        <w:t>not</w:t>
      </w:r>
      <w:r>
        <w:rPr>
          <w:spacing w:val="-21"/>
        </w:rPr>
        <w:t> </w:t>
      </w:r>
      <w:r>
        <w:rPr/>
        <w:t>be</w:t>
      </w:r>
      <w:r>
        <w:rPr>
          <w:spacing w:val="-20"/>
        </w:rPr>
        <w:t> </w:t>
      </w:r>
      <w:r>
        <w:rPr/>
        <w:t>justified. Unfortunately,</w:t>
      </w:r>
      <w:r>
        <w:rPr>
          <w:spacing w:val="-16"/>
        </w:rPr>
        <w:t> </w:t>
      </w:r>
      <w:r>
        <w:rPr/>
        <w:t>Carroll</w:t>
      </w:r>
      <w:r>
        <w:rPr>
          <w:spacing w:val="-17"/>
        </w:rPr>
        <w:t> </w:t>
      </w:r>
      <w:r>
        <w:rPr/>
        <w:t>has</w:t>
      </w:r>
      <w:r>
        <w:rPr>
          <w:spacing w:val="-17"/>
        </w:rPr>
        <w:t> </w:t>
      </w:r>
      <w:r>
        <w:rPr/>
        <w:t>not</w:t>
      </w:r>
      <w:r>
        <w:rPr>
          <w:spacing w:val="-16"/>
        </w:rPr>
        <w:t> </w:t>
      </w:r>
      <w:r>
        <w:rPr/>
        <w:t>grasped</w:t>
      </w:r>
      <w:r>
        <w:rPr>
          <w:spacing w:val="-16"/>
        </w:rPr>
        <w:t> </w:t>
      </w:r>
      <w:r>
        <w:rPr/>
        <w:t>that</w:t>
      </w:r>
      <w:r>
        <w:rPr>
          <w:spacing w:val="-17"/>
        </w:rPr>
        <w:t> </w:t>
      </w:r>
      <w:r>
        <w:rPr/>
        <w:t>our</w:t>
      </w:r>
      <w:r>
        <w:rPr>
          <w:spacing w:val="-16"/>
        </w:rPr>
        <w:t> </w:t>
      </w:r>
      <w:r>
        <w:rPr/>
        <w:t>view</w:t>
      </w:r>
      <w:r>
        <w:rPr>
          <w:spacing w:val="-17"/>
        </w:rPr>
        <w:t> </w:t>
      </w:r>
      <w:r>
        <w:rPr/>
        <w:t>of</w:t>
      </w:r>
      <w:r>
        <w:rPr>
          <w:spacing w:val="-16"/>
        </w:rPr>
        <w:t> </w:t>
      </w:r>
      <w:r>
        <w:rPr/>
        <w:t>the</w:t>
      </w:r>
      <w:r>
        <w:rPr>
          <w:spacing w:val="-16"/>
        </w:rPr>
        <w:t> </w:t>
      </w:r>
      <w:r>
        <w:rPr/>
        <w:t>way</w:t>
      </w:r>
      <w:r>
        <w:rPr>
          <w:spacing w:val="-16"/>
        </w:rPr>
        <w:t> </w:t>
      </w:r>
      <w:r>
        <w:rPr/>
        <w:t>that</w:t>
      </w:r>
      <w:r>
        <w:rPr>
          <w:spacing w:val="-17"/>
        </w:rPr>
        <w:t> </w:t>
      </w:r>
      <w:r>
        <w:rPr/>
        <w:t>the</w:t>
      </w:r>
      <w:r>
        <w:rPr>
          <w:spacing w:val="-16"/>
        </w:rPr>
        <w:t> </w:t>
      </w:r>
      <w:r>
        <w:rPr/>
        <w:t>Tribunal</w:t>
      </w:r>
      <w:r>
        <w:rPr>
          <w:spacing w:val="-16"/>
        </w:rPr>
        <w:t> </w:t>
      </w:r>
      <w:r>
        <w:rPr/>
        <w:t>should perform</w:t>
      </w:r>
      <w:r>
        <w:rPr>
          <w:spacing w:val="-10"/>
        </w:rPr>
        <w:t> </w:t>
      </w:r>
      <w:r>
        <w:rPr/>
        <w:t>its</w:t>
      </w:r>
      <w:r>
        <w:rPr>
          <w:spacing w:val="-10"/>
        </w:rPr>
        <w:t> </w:t>
      </w:r>
      <w:r>
        <w:rPr/>
        <w:t>functions</w:t>
      </w:r>
      <w:r>
        <w:rPr>
          <w:spacing w:val="-10"/>
        </w:rPr>
        <w:t> </w:t>
      </w:r>
      <w:r>
        <w:rPr/>
        <w:t>in</w:t>
      </w:r>
      <w:r>
        <w:rPr>
          <w:spacing w:val="-10"/>
        </w:rPr>
        <w:t> </w:t>
      </w:r>
      <w:r>
        <w:rPr/>
        <w:t>the</w:t>
      </w:r>
      <w:r>
        <w:rPr>
          <w:spacing w:val="-9"/>
        </w:rPr>
        <w:t> </w:t>
      </w:r>
      <w:r>
        <w:rPr/>
        <w:t>relevant</w:t>
      </w:r>
      <w:r>
        <w:rPr>
          <w:spacing w:val="-9"/>
        </w:rPr>
        <w:t> </w:t>
      </w:r>
      <w:r>
        <w:rPr/>
        <w:t>regard</w:t>
      </w:r>
      <w:r>
        <w:rPr>
          <w:spacing w:val="-10"/>
        </w:rPr>
        <w:t> </w:t>
      </w:r>
      <w:r>
        <w:rPr/>
        <w:t>does</w:t>
      </w:r>
      <w:r>
        <w:rPr>
          <w:spacing w:val="-9"/>
        </w:rPr>
        <w:t> </w:t>
      </w:r>
      <w:r>
        <w:rPr>
          <w:i/>
          <w:sz w:val="25"/>
        </w:rPr>
        <w:t>not</w:t>
      </w:r>
      <w:r>
        <w:rPr>
          <w:i/>
          <w:spacing w:val="-13"/>
          <w:sz w:val="25"/>
        </w:rPr>
        <w:t> </w:t>
      </w:r>
      <w:r>
        <w:rPr/>
        <w:t>depend</w:t>
      </w:r>
      <w:r>
        <w:rPr>
          <w:spacing w:val="-10"/>
        </w:rPr>
        <w:t> </w:t>
      </w:r>
      <w:r>
        <w:rPr/>
        <w:t>on</w:t>
      </w:r>
      <w:r>
        <w:rPr>
          <w:spacing w:val="-8"/>
        </w:rPr>
        <w:t> </w:t>
      </w:r>
      <w:r>
        <w:rPr/>
        <w:t>reading</w:t>
      </w:r>
      <w:r>
        <w:rPr>
          <w:spacing w:val="-8"/>
        </w:rPr>
        <w:t> </w:t>
      </w:r>
      <w:r>
        <w:rPr/>
        <w:t>words</w:t>
      </w:r>
      <w:r>
        <w:rPr>
          <w:spacing w:val="-9"/>
        </w:rPr>
        <w:t> </w:t>
      </w:r>
      <w:r>
        <w:rPr/>
        <w:t>into</w:t>
      </w:r>
      <w:r>
        <w:rPr>
          <w:spacing w:val="-8"/>
        </w:rPr>
        <w:t> </w:t>
      </w:r>
      <w:r>
        <w:rPr/>
        <w:t>the Act, but rather is based upon a reasonable interpretation of the what the Tribunal should do based on the Act’s actual wording. We read the provisions and made judgements</w:t>
      </w:r>
      <w:r>
        <w:rPr>
          <w:spacing w:val="-14"/>
        </w:rPr>
        <w:t> </w:t>
      </w:r>
      <w:r>
        <w:rPr/>
        <w:t>as</w:t>
      </w:r>
      <w:r>
        <w:rPr>
          <w:spacing w:val="-14"/>
        </w:rPr>
        <w:t> </w:t>
      </w:r>
      <w:r>
        <w:rPr/>
        <w:t>to</w:t>
      </w:r>
      <w:r>
        <w:rPr>
          <w:spacing w:val="-13"/>
        </w:rPr>
        <w:t> </w:t>
      </w:r>
      <w:r>
        <w:rPr/>
        <w:t>what</w:t>
      </w:r>
      <w:r>
        <w:rPr>
          <w:spacing w:val="-14"/>
        </w:rPr>
        <w:t> </w:t>
      </w:r>
      <w:r>
        <w:rPr/>
        <w:t>ought</w:t>
      </w:r>
      <w:r>
        <w:rPr>
          <w:spacing w:val="-15"/>
        </w:rPr>
        <w:t> </w:t>
      </w:r>
      <w:r>
        <w:rPr/>
        <w:t>to</w:t>
      </w:r>
      <w:r>
        <w:rPr>
          <w:spacing w:val="-15"/>
        </w:rPr>
        <w:t> </w:t>
      </w:r>
      <w:r>
        <w:rPr/>
        <w:t>be</w:t>
      </w:r>
      <w:r>
        <w:rPr>
          <w:spacing w:val="-14"/>
        </w:rPr>
        <w:t> </w:t>
      </w:r>
      <w:r>
        <w:rPr/>
        <w:t>the</w:t>
      </w:r>
      <w:r>
        <w:rPr>
          <w:spacing w:val="-14"/>
        </w:rPr>
        <w:t> </w:t>
      </w:r>
      <w:r>
        <w:rPr/>
        <w:t>proper</w:t>
      </w:r>
      <w:r>
        <w:rPr>
          <w:spacing w:val="-14"/>
        </w:rPr>
        <w:t> </w:t>
      </w:r>
      <w:r>
        <w:rPr/>
        <w:t>approach</w:t>
      </w:r>
      <w:r>
        <w:rPr>
          <w:spacing w:val="-15"/>
        </w:rPr>
        <w:t> </w:t>
      </w:r>
      <w:r>
        <w:rPr/>
        <w:t>of</w:t>
      </w:r>
      <w:r>
        <w:rPr>
          <w:spacing w:val="-13"/>
        </w:rPr>
        <w:t> </w:t>
      </w:r>
      <w:r>
        <w:rPr/>
        <w:t>the</w:t>
      </w:r>
      <w:r>
        <w:rPr>
          <w:spacing w:val="-14"/>
        </w:rPr>
        <w:t> </w:t>
      </w:r>
      <w:r>
        <w:rPr/>
        <w:t>Tribunal,</w:t>
      </w:r>
      <w:r>
        <w:rPr>
          <w:spacing w:val="-15"/>
        </w:rPr>
        <w:t> </w:t>
      </w:r>
      <w:r>
        <w:rPr/>
        <w:t>taking</w:t>
      </w:r>
      <w:r>
        <w:rPr>
          <w:spacing w:val="-16"/>
        </w:rPr>
        <w:t> </w:t>
      </w:r>
      <w:r>
        <w:rPr/>
        <w:t>account the Act’s objects and principles, the intention of the Parliament, the impact of human rights legislation and the United Nations Convention on the Rights of Persons with Disabilities</w:t>
      </w:r>
      <w:hyperlink w:history="true" w:anchor="_bookmark4">
        <w:r>
          <w:rPr>
            <w:position w:val="8"/>
            <w:sz w:val="16"/>
          </w:rPr>
          <w:t>4</w:t>
        </w:r>
      </w:hyperlink>
      <w:r>
        <w:rPr/>
        <w:t>, and the approach taken by an appeal Tribunal which overturned one of the</w:t>
      </w:r>
      <w:r>
        <w:rPr>
          <w:spacing w:val="-13"/>
        </w:rPr>
        <w:t> </w:t>
      </w:r>
      <w:r>
        <w:rPr/>
        <w:t>Mental</w:t>
      </w:r>
      <w:r>
        <w:rPr>
          <w:spacing w:val="-13"/>
        </w:rPr>
        <w:t> </w:t>
      </w:r>
      <w:r>
        <w:rPr/>
        <w:t>Health</w:t>
      </w:r>
      <w:r>
        <w:rPr>
          <w:spacing w:val="-12"/>
        </w:rPr>
        <w:t> </w:t>
      </w:r>
      <w:r>
        <w:rPr/>
        <w:t>Tribunal’s</w:t>
      </w:r>
      <w:r>
        <w:rPr>
          <w:spacing w:val="-14"/>
        </w:rPr>
        <w:t> </w:t>
      </w:r>
      <w:r>
        <w:rPr/>
        <w:t>decisions.</w:t>
      </w:r>
      <w:r>
        <w:rPr>
          <w:spacing w:val="-13"/>
        </w:rPr>
        <w:t> </w:t>
      </w:r>
      <w:r>
        <w:rPr/>
        <w:t>Carroll’s</w:t>
      </w:r>
      <w:r>
        <w:rPr>
          <w:spacing w:val="-13"/>
        </w:rPr>
        <w:t> </w:t>
      </w:r>
      <w:r>
        <w:rPr/>
        <w:t>response</w:t>
      </w:r>
      <w:r>
        <w:rPr>
          <w:spacing w:val="-13"/>
        </w:rPr>
        <w:t> </w:t>
      </w:r>
      <w:r>
        <w:rPr/>
        <w:t>does</w:t>
      </w:r>
      <w:r>
        <w:rPr>
          <w:spacing w:val="-13"/>
        </w:rPr>
        <w:t> </w:t>
      </w:r>
      <w:r>
        <w:rPr/>
        <w:t>not</w:t>
      </w:r>
      <w:r>
        <w:rPr>
          <w:spacing w:val="-13"/>
        </w:rPr>
        <w:t> </w:t>
      </w:r>
      <w:r>
        <w:rPr/>
        <w:t>actually</w:t>
      </w:r>
      <w:r>
        <w:rPr>
          <w:spacing w:val="-13"/>
        </w:rPr>
        <w:t> </w:t>
      </w:r>
      <w:r>
        <w:rPr/>
        <w:t>address</w:t>
      </w:r>
      <w:r>
        <w:rPr>
          <w:spacing w:val="-13"/>
        </w:rPr>
        <w:t> </w:t>
      </w:r>
      <w:r>
        <w:rPr/>
        <w:t>any component of our</w:t>
      </w:r>
      <w:r>
        <w:rPr>
          <w:spacing w:val="-3"/>
        </w:rPr>
        <w:t> </w:t>
      </w:r>
      <w:r>
        <w:rPr/>
        <w:t>analysis.</w:t>
      </w:r>
    </w:p>
    <w:p>
      <w:pPr>
        <w:pStyle w:val="BodyText"/>
        <w:rPr>
          <w:sz w:val="23"/>
        </w:rPr>
      </w:pPr>
    </w:p>
    <w:p>
      <w:pPr>
        <w:pStyle w:val="BodyText"/>
        <w:spacing w:before="1"/>
        <w:ind w:left="238" w:right="106"/>
        <w:jc w:val="both"/>
      </w:pPr>
      <w:r>
        <w:rPr/>
        <w:t>Ultimately statutory interpretation is an area where reasonable minds can, and frequently do, differ. Carroll’s understanding of the way that the Tribunal should operate is understandable, but does not, in our view, reflect the best reading of the legislation. Interested readers may return the detailed analysis presented in our paper and review it in the light of Carroll’s criticism. Ultimately, though, the matter can only be decided by a Court.</w:t>
      </w:r>
    </w:p>
    <w:p>
      <w:pPr>
        <w:pStyle w:val="BodyText"/>
        <w:rPr>
          <w:sz w:val="28"/>
        </w:rPr>
      </w:pPr>
    </w:p>
    <w:p>
      <w:pPr>
        <w:pStyle w:val="BodyText"/>
        <w:spacing w:before="8"/>
        <w:rPr>
          <w:sz w:val="41"/>
        </w:rPr>
      </w:pPr>
    </w:p>
    <w:p>
      <w:pPr>
        <w:spacing w:before="0"/>
        <w:ind w:left="289" w:right="163" w:hanging="171"/>
        <w:jc w:val="both"/>
        <w:rPr>
          <w:sz w:val="20"/>
        </w:rPr>
      </w:pPr>
      <w:bookmarkStart w:name="_bookmark0" w:id="2"/>
      <w:bookmarkEnd w:id="2"/>
      <w:r>
        <w:rPr/>
      </w:r>
      <w:r>
        <w:rPr>
          <w:position w:val="7"/>
          <w:sz w:val="13"/>
        </w:rPr>
        <w:t>* </w:t>
      </w:r>
      <w:r>
        <w:rPr>
          <w:sz w:val="20"/>
        </w:rPr>
        <w:t>Dr Christopher Maylea, School of Global, Urban and Social Studies, RMIT University, Melbourne, Australia; Dr Christopher James Ryan, Dr Christopher James Ryan, Clinical Associate Professor and Psychiatrist, University of Sydney and Westmead Hospital, Sydney, Australia.</w:t>
      </w:r>
    </w:p>
    <w:p>
      <w:pPr>
        <w:spacing w:line="230" w:lineRule="auto" w:before="7"/>
        <w:ind w:left="289" w:right="162" w:hanging="171"/>
        <w:jc w:val="both"/>
        <w:rPr>
          <w:sz w:val="20"/>
        </w:rPr>
      </w:pPr>
      <w:bookmarkStart w:name="_bookmark1" w:id="3"/>
      <w:bookmarkEnd w:id="3"/>
      <w:r>
        <w:rPr/>
      </w:r>
      <w:r>
        <w:rPr>
          <w:position w:val="7"/>
          <w:sz w:val="13"/>
        </w:rPr>
        <w:t>1 </w:t>
      </w:r>
      <w:r>
        <w:rPr>
          <w:sz w:val="20"/>
        </w:rPr>
        <w:t>Christopher Maylea and Christopher James Ryan, 'Decision-Making Capacity and the Victorian Mental Health Tribunal' (2018) 24 </w:t>
      </w:r>
      <w:r>
        <w:rPr>
          <w:i/>
          <w:sz w:val="21"/>
        </w:rPr>
        <w:t>International Journal of Mental Health and Capacity Law </w:t>
      </w:r>
      <w:r>
        <w:rPr>
          <w:sz w:val="20"/>
        </w:rPr>
        <w:t>87.</w:t>
      </w:r>
    </w:p>
    <w:p>
      <w:pPr>
        <w:spacing w:line="230" w:lineRule="auto" w:before="8"/>
        <w:ind w:left="289" w:right="163" w:hanging="171"/>
        <w:jc w:val="both"/>
        <w:rPr>
          <w:sz w:val="20"/>
        </w:rPr>
      </w:pPr>
      <w:bookmarkStart w:name="_bookmark2" w:id="4"/>
      <w:bookmarkEnd w:id="4"/>
      <w:r>
        <w:rPr/>
      </w:r>
      <w:r>
        <w:rPr>
          <w:position w:val="7"/>
          <w:sz w:val="13"/>
        </w:rPr>
        <w:t>2 </w:t>
      </w:r>
      <w:r>
        <w:rPr>
          <w:sz w:val="20"/>
        </w:rPr>
        <w:t>Matthew Carroll, ‘Rejoinder (Response to Article by Christopher Maylea and Christopher Ryan)' (2018) 24 </w:t>
      </w:r>
      <w:r>
        <w:rPr>
          <w:i/>
          <w:sz w:val="21"/>
        </w:rPr>
        <w:t>International Journal of Mental Health and Capacity Law </w:t>
      </w:r>
      <w:r>
        <w:rPr>
          <w:sz w:val="20"/>
        </w:rPr>
        <w:t>(2018) [3-8].</w:t>
      </w:r>
    </w:p>
    <w:p>
      <w:pPr>
        <w:spacing w:line="230" w:lineRule="auto" w:before="8"/>
        <w:ind w:left="289" w:right="162" w:hanging="171"/>
        <w:jc w:val="both"/>
        <w:rPr>
          <w:sz w:val="20"/>
        </w:rPr>
      </w:pPr>
      <w:bookmarkStart w:name="_bookmark3" w:id="5"/>
      <w:bookmarkEnd w:id="5"/>
      <w:r>
        <w:rPr/>
      </w:r>
      <w:r>
        <w:rPr>
          <w:position w:val="7"/>
          <w:sz w:val="13"/>
        </w:rPr>
        <w:t>3 </w:t>
      </w:r>
      <w:r>
        <w:rPr>
          <w:sz w:val="20"/>
        </w:rPr>
        <w:t>Christopher Maylea and Christopher James Ryan, 'Decision-Making Capacity and the Victorian Mental Health Tribunal' (2018) 24 </w:t>
      </w:r>
      <w:r>
        <w:rPr>
          <w:i/>
          <w:sz w:val="21"/>
        </w:rPr>
        <w:t>International Journal of Mental Health and Capacity Law </w:t>
      </w:r>
      <w:r>
        <w:rPr>
          <w:sz w:val="20"/>
        </w:rPr>
        <w:t>87, [89].</w:t>
      </w:r>
    </w:p>
    <w:p>
      <w:pPr>
        <w:spacing w:before="0"/>
        <w:ind w:left="289" w:right="163" w:hanging="171"/>
        <w:jc w:val="both"/>
        <w:rPr>
          <w:sz w:val="20"/>
        </w:rPr>
      </w:pPr>
      <w:bookmarkStart w:name="_bookmark4" w:id="6"/>
      <w:bookmarkEnd w:id="6"/>
      <w:r>
        <w:rPr/>
      </w:r>
      <w:r>
        <w:rPr>
          <w:position w:val="7"/>
          <w:sz w:val="13"/>
        </w:rPr>
        <w:t>4 </w:t>
      </w:r>
      <w:r>
        <w:rPr>
          <w:sz w:val="20"/>
        </w:rPr>
        <w:t>United Nations [UN] 2515 UNTS 3, UN Doc A/Res/61/106, Annex, GAOR 61</w:t>
      </w:r>
      <w:r>
        <w:rPr>
          <w:position w:val="7"/>
          <w:sz w:val="13"/>
        </w:rPr>
        <w:t>st </w:t>
      </w:r>
      <w:r>
        <w:rPr>
          <w:sz w:val="20"/>
        </w:rPr>
        <w:t>Session Supp 49, 65. (Adopted) 13 Dec 2006, (Opened for Signature) 30 May 2007, (Entered Into Force) 3 May 2008.</w:t>
      </w:r>
    </w:p>
    <w:p>
      <w:pPr>
        <w:spacing w:after="0"/>
        <w:jc w:val="both"/>
        <w:rPr>
          <w:sz w:val="20"/>
        </w:rPr>
        <w:sectPr>
          <w:footerReference w:type="default" r:id="rId5"/>
          <w:type w:val="continuous"/>
          <w:pgSz w:w="11910" w:h="16840"/>
          <w:pgMar w:footer="523" w:top="1320" w:bottom="720" w:left="1100" w:right="1320"/>
          <w:pgNumType w:start="10"/>
        </w:sectPr>
      </w:pPr>
    </w:p>
    <w:p>
      <w:pPr>
        <w:pStyle w:val="BodyText"/>
        <w:spacing w:before="82"/>
        <w:ind w:left="237" w:right="106"/>
        <w:jc w:val="both"/>
      </w:pPr>
      <w:r>
        <w:rPr/>
        <w:t>The Act provides that questions of law arising from proceedings before the Tribunal may be referred to the Victorian Supreme Court, but only with the consent of the President.</w:t>
      </w:r>
      <w:hyperlink w:history="true" w:anchor="_bookmark5">
        <w:r>
          <w:rPr>
            <w:position w:val="8"/>
            <w:sz w:val="16"/>
          </w:rPr>
          <w:t>5 </w:t>
        </w:r>
      </w:hyperlink>
      <w:r>
        <w:rPr/>
        <w:t>Since many agree with the interpretation of the Act presented in our peer- reviewed</w:t>
      </w:r>
      <w:r>
        <w:rPr>
          <w:spacing w:val="-4"/>
        </w:rPr>
        <w:t> </w:t>
      </w:r>
      <w:r>
        <w:rPr/>
        <w:t>paper,</w:t>
      </w:r>
      <w:r>
        <w:rPr>
          <w:spacing w:val="-5"/>
        </w:rPr>
        <w:t> </w:t>
      </w:r>
      <w:r>
        <w:rPr/>
        <w:t>the</w:t>
      </w:r>
      <w:r>
        <w:rPr>
          <w:spacing w:val="-6"/>
        </w:rPr>
        <w:t> </w:t>
      </w:r>
      <w:r>
        <w:rPr/>
        <w:t>wisest</w:t>
      </w:r>
      <w:r>
        <w:rPr>
          <w:spacing w:val="-4"/>
        </w:rPr>
        <w:t> </w:t>
      </w:r>
      <w:r>
        <w:rPr/>
        <w:t>course</w:t>
      </w:r>
      <w:r>
        <w:rPr>
          <w:spacing w:val="-5"/>
        </w:rPr>
        <w:t> </w:t>
      </w:r>
      <w:r>
        <w:rPr/>
        <w:t>of</w:t>
      </w:r>
      <w:r>
        <w:rPr>
          <w:spacing w:val="-5"/>
        </w:rPr>
        <w:t> </w:t>
      </w:r>
      <w:r>
        <w:rPr/>
        <w:t>action</w:t>
      </w:r>
      <w:r>
        <w:rPr>
          <w:spacing w:val="-6"/>
        </w:rPr>
        <w:t> </w:t>
      </w:r>
      <w:r>
        <w:rPr/>
        <w:t>would</w:t>
      </w:r>
      <w:r>
        <w:rPr>
          <w:spacing w:val="-6"/>
        </w:rPr>
        <w:t> </w:t>
      </w:r>
      <w:r>
        <w:rPr/>
        <w:t>be</w:t>
      </w:r>
      <w:r>
        <w:rPr>
          <w:spacing w:val="-5"/>
        </w:rPr>
        <w:t> </w:t>
      </w:r>
      <w:r>
        <w:rPr/>
        <w:t>to</w:t>
      </w:r>
      <w:r>
        <w:rPr>
          <w:spacing w:val="-4"/>
        </w:rPr>
        <w:t> </w:t>
      </w:r>
      <w:r>
        <w:rPr/>
        <w:t>allow</w:t>
      </w:r>
      <w:r>
        <w:rPr>
          <w:spacing w:val="-6"/>
        </w:rPr>
        <w:t> </w:t>
      </w:r>
      <w:r>
        <w:rPr/>
        <w:t>a</w:t>
      </w:r>
      <w:r>
        <w:rPr>
          <w:spacing w:val="-5"/>
        </w:rPr>
        <w:t> </w:t>
      </w:r>
      <w:r>
        <w:rPr/>
        <w:t>referral</w:t>
      </w:r>
      <w:r>
        <w:rPr>
          <w:spacing w:val="-4"/>
        </w:rPr>
        <w:t> </w:t>
      </w:r>
      <w:r>
        <w:rPr/>
        <w:t>of</w:t>
      </w:r>
      <w:r>
        <w:rPr>
          <w:spacing w:val="-5"/>
        </w:rPr>
        <w:t> </w:t>
      </w:r>
      <w:r>
        <w:rPr/>
        <w:t>the</w:t>
      </w:r>
      <w:r>
        <w:rPr>
          <w:spacing w:val="-4"/>
        </w:rPr>
        <w:t> </w:t>
      </w:r>
      <w:r>
        <w:rPr/>
        <w:t>issue</w:t>
      </w:r>
      <w:r>
        <w:rPr>
          <w:spacing w:val="-6"/>
        </w:rPr>
        <w:t> </w:t>
      </w:r>
      <w:r>
        <w:rPr/>
        <w:t>to the</w:t>
      </w:r>
      <w:r>
        <w:rPr>
          <w:spacing w:val="-15"/>
        </w:rPr>
        <w:t> </w:t>
      </w:r>
      <w:r>
        <w:rPr/>
        <w:t>Court.</w:t>
      </w:r>
      <w:r>
        <w:rPr>
          <w:spacing w:val="-16"/>
        </w:rPr>
        <w:t> </w:t>
      </w:r>
      <w:r>
        <w:rPr/>
        <w:t>At</w:t>
      </w:r>
      <w:r>
        <w:rPr>
          <w:spacing w:val="-15"/>
        </w:rPr>
        <w:t> </w:t>
      </w:r>
      <w:r>
        <w:rPr/>
        <w:t>the</w:t>
      </w:r>
      <w:r>
        <w:rPr>
          <w:spacing w:val="-15"/>
        </w:rPr>
        <w:t> </w:t>
      </w:r>
      <w:r>
        <w:rPr/>
        <w:t>very</w:t>
      </w:r>
      <w:r>
        <w:rPr>
          <w:spacing w:val="-16"/>
        </w:rPr>
        <w:t> </w:t>
      </w:r>
      <w:r>
        <w:rPr/>
        <w:t>least,</w:t>
      </w:r>
      <w:r>
        <w:rPr>
          <w:spacing w:val="-15"/>
        </w:rPr>
        <w:t> </w:t>
      </w:r>
      <w:r>
        <w:rPr/>
        <w:t>this</w:t>
      </w:r>
      <w:r>
        <w:rPr>
          <w:spacing w:val="-17"/>
        </w:rPr>
        <w:t> </w:t>
      </w:r>
      <w:r>
        <w:rPr/>
        <w:t>would</w:t>
      </w:r>
      <w:r>
        <w:rPr>
          <w:spacing w:val="-16"/>
        </w:rPr>
        <w:t> </w:t>
      </w:r>
      <w:r>
        <w:rPr/>
        <w:t>provide</w:t>
      </w:r>
      <w:r>
        <w:rPr>
          <w:spacing w:val="-15"/>
        </w:rPr>
        <w:t> </w:t>
      </w:r>
      <w:r>
        <w:rPr/>
        <w:t>some</w:t>
      </w:r>
      <w:r>
        <w:rPr>
          <w:spacing w:val="-15"/>
        </w:rPr>
        <w:t> </w:t>
      </w:r>
      <w:r>
        <w:rPr/>
        <w:t>clarity</w:t>
      </w:r>
      <w:r>
        <w:rPr>
          <w:spacing w:val="-15"/>
        </w:rPr>
        <w:t> </w:t>
      </w:r>
      <w:r>
        <w:rPr/>
        <w:t>for</w:t>
      </w:r>
      <w:r>
        <w:rPr>
          <w:spacing w:val="-15"/>
        </w:rPr>
        <w:t> </w:t>
      </w:r>
      <w:r>
        <w:rPr/>
        <w:t>the</w:t>
      </w:r>
      <w:r>
        <w:rPr>
          <w:spacing w:val="-16"/>
        </w:rPr>
        <w:t> </w:t>
      </w:r>
      <w:r>
        <w:rPr/>
        <w:t>Tribunal’s</w:t>
      </w:r>
      <w:r>
        <w:rPr>
          <w:spacing w:val="-17"/>
        </w:rPr>
        <w:t> </w:t>
      </w:r>
      <w:r>
        <w:rPr/>
        <w:t>members, which,</w:t>
      </w:r>
      <w:r>
        <w:rPr>
          <w:spacing w:val="-21"/>
        </w:rPr>
        <w:t> </w:t>
      </w:r>
      <w:r>
        <w:rPr/>
        <w:t>as</w:t>
      </w:r>
      <w:r>
        <w:rPr>
          <w:spacing w:val="-21"/>
        </w:rPr>
        <w:t> </w:t>
      </w:r>
      <w:r>
        <w:rPr/>
        <w:t>we</w:t>
      </w:r>
      <w:r>
        <w:rPr>
          <w:spacing w:val="-21"/>
        </w:rPr>
        <w:t> </w:t>
      </w:r>
      <w:r>
        <w:rPr/>
        <w:t>reveal</w:t>
      </w:r>
      <w:r>
        <w:rPr>
          <w:spacing w:val="-21"/>
        </w:rPr>
        <w:t> </w:t>
      </w:r>
      <w:r>
        <w:rPr/>
        <w:t>in</w:t>
      </w:r>
      <w:r>
        <w:rPr>
          <w:spacing w:val="-21"/>
        </w:rPr>
        <w:t> </w:t>
      </w:r>
      <w:r>
        <w:rPr/>
        <w:t>the</w:t>
      </w:r>
      <w:r>
        <w:rPr>
          <w:spacing w:val="-21"/>
        </w:rPr>
        <w:t> </w:t>
      </w:r>
      <w:r>
        <w:rPr/>
        <w:t>second</w:t>
      </w:r>
      <w:r>
        <w:rPr>
          <w:spacing w:val="-21"/>
        </w:rPr>
        <w:t> </w:t>
      </w:r>
      <w:r>
        <w:rPr/>
        <w:t>part</w:t>
      </w:r>
      <w:r>
        <w:rPr>
          <w:spacing w:val="-21"/>
        </w:rPr>
        <w:t> </w:t>
      </w:r>
      <w:r>
        <w:rPr/>
        <w:t>of</w:t>
      </w:r>
      <w:r>
        <w:rPr>
          <w:spacing w:val="-21"/>
        </w:rPr>
        <w:t> </w:t>
      </w:r>
      <w:r>
        <w:rPr/>
        <w:t>our</w:t>
      </w:r>
      <w:r>
        <w:rPr>
          <w:spacing w:val="-22"/>
        </w:rPr>
        <w:t> </w:t>
      </w:r>
      <w:r>
        <w:rPr/>
        <w:t>paper,</w:t>
      </w:r>
      <w:r>
        <w:rPr>
          <w:spacing w:val="-21"/>
        </w:rPr>
        <w:t> </w:t>
      </w:r>
      <w:r>
        <w:rPr/>
        <w:t>approach</w:t>
      </w:r>
      <w:r>
        <w:rPr>
          <w:spacing w:val="-21"/>
        </w:rPr>
        <w:t> </w:t>
      </w:r>
      <w:r>
        <w:rPr/>
        <w:t>this</w:t>
      </w:r>
      <w:r>
        <w:rPr>
          <w:spacing w:val="-21"/>
        </w:rPr>
        <w:t> </w:t>
      </w:r>
      <w:r>
        <w:rPr/>
        <w:t>matter</w:t>
      </w:r>
      <w:r>
        <w:rPr>
          <w:spacing w:val="-21"/>
        </w:rPr>
        <w:t> </w:t>
      </w:r>
      <w:r>
        <w:rPr/>
        <w:t>inconsistently.</w:t>
      </w:r>
    </w:p>
    <w:p>
      <w:pPr>
        <w:pStyle w:val="BodyText"/>
      </w:pPr>
    </w:p>
    <w:p>
      <w:pPr>
        <w:pStyle w:val="BodyText"/>
        <w:ind w:left="238" w:right="106"/>
        <w:jc w:val="both"/>
      </w:pPr>
      <w:r>
        <w:rPr/>
        <w:t>Irrespective of the question of statutory interpretation, Carroll makes no effort to respond</w:t>
      </w:r>
      <w:r>
        <w:rPr>
          <w:spacing w:val="-7"/>
        </w:rPr>
        <w:t> </w:t>
      </w:r>
      <w:r>
        <w:rPr/>
        <w:t>to</w:t>
      </w:r>
      <w:r>
        <w:rPr>
          <w:spacing w:val="-8"/>
        </w:rPr>
        <w:t> </w:t>
      </w:r>
      <w:r>
        <w:rPr/>
        <w:t>this</w:t>
      </w:r>
      <w:r>
        <w:rPr>
          <w:spacing w:val="-8"/>
        </w:rPr>
        <w:t> </w:t>
      </w:r>
      <w:r>
        <w:rPr/>
        <w:t>issue</w:t>
      </w:r>
      <w:r>
        <w:rPr>
          <w:spacing w:val="-8"/>
        </w:rPr>
        <w:t> </w:t>
      </w:r>
      <w:r>
        <w:rPr/>
        <w:t>of</w:t>
      </w:r>
      <w:r>
        <w:rPr>
          <w:spacing w:val="-7"/>
        </w:rPr>
        <w:t> </w:t>
      </w:r>
      <w:r>
        <w:rPr/>
        <w:t>inconsistency</w:t>
      </w:r>
      <w:r>
        <w:rPr>
          <w:spacing w:val="-7"/>
        </w:rPr>
        <w:t> </w:t>
      </w:r>
      <w:r>
        <w:rPr/>
        <w:t>-</w:t>
      </w:r>
      <w:r>
        <w:rPr>
          <w:spacing w:val="-7"/>
        </w:rPr>
        <w:t> </w:t>
      </w:r>
      <w:r>
        <w:rPr/>
        <w:t>the</w:t>
      </w:r>
      <w:r>
        <w:rPr>
          <w:spacing w:val="-8"/>
        </w:rPr>
        <w:t> </w:t>
      </w:r>
      <w:r>
        <w:rPr/>
        <w:t>Tribunal</w:t>
      </w:r>
      <w:r>
        <w:rPr>
          <w:spacing w:val="-7"/>
        </w:rPr>
        <w:t> </w:t>
      </w:r>
      <w:r>
        <w:rPr/>
        <w:t>sometimes</w:t>
      </w:r>
      <w:r>
        <w:rPr>
          <w:spacing w:val="-7"/>
        </w:rPr>
        <w:t> </w:t>
      </w:r>
      <w:r>
        <w:rPr>
          <w:i/>
          <w:sz w:val="25"/>
        </w:rPr>
        <w:t>did</w:t>
      </w:r>
      <w:r>
        <w:rPr>
          <w:i/>
          <w:spacing w:val="-10"/>
          <w:sz w:val="25"/>
        </w:rPr>
        <w:t> </w:t>
      </w:r>
      <w:r>
        <w:rPr/>
        <w:t>consider</w:t>
      </w:r>
      <w:r>
        <w:rPr>
          <w:spacing w:val="-7"/>
        </w:rPr>
        <w:t> </w:t>
      </w:r>
      <w:r>
        <w:rPr/>
        <w:t>a</w:t>
      </w:r>
      <w:r>
        <w:rPr>
          <w:spacing w:val="-7"/>
        </w:rPr>
        <w:t> </w:t>
      </w:r>
      <w:r>
        <w:rPr/>
        <w:t>person’s capacity when making decisions. The rejoinder also makes no mention of the ways in which our research identified how the Tribunal is considering capacity as evidence of mental illness. Nor does it address the Tribunal’s practice of using assessments of capacity (often confused with ‘poor’ judgement or lack of ‘insight’) to determine if a person has a mental illness which itself risks maintaining the myth that all people with serious mental health problems lack capacity. This omission, pared with the admission that the Tribunal has so far operated without guidance from a consumer advisory group, reinforce the issues we raise in our article. People who are able to make their own decisions should be allowed to do so and must be supported in</w:t>
      </w:r>
      <w:r>
        <w:rPr>
          <w:spacing w:val="-12"/>
        </w:rPr>
        <w:t> </w:t>
      </w:r>
      <w:r>
        <w:rPr/>
        <w:t>this.</w:t>
      </w: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spacing w:before="1"/>
        <w:rPr>
          <w:sz w:val="26"/>
        </w:rPr>
      </w:pPr>
    </w:p>
    <w:p>
      <w:pPr>
        <w:spacing w:before="0"/>
        <w:ind w:left="119" w:right="0" w:firstLine="0"/>
        <w:jc w:val="left"/>
        <w:rPr>
          <w:sz w:val="20"/>
        </w:rPr>
      </w:pPr>
      <w:bookmarkStart w:name="_bookmark5" w:id="7"/>
      <w:bookmarkEnd w:id="7"/>
      <w:r>
        <w:rPr/>
      </w:r>
      <w:r>
        <w:rPr>
          <w:position w:val="7"/>
          <w:sz w:val="13"/>
        </w:rPr>
        <w:t>5 </w:t>
      </w:r>
      <w:r>
        <w:rPr>
          <w:i/>
          <w:sz w:val="21"/>
        </w:rPr>
        <w:t>Mental Health Act 2014 </w:t>
      </w:r>
      <w:r>
        <w:rPr>
          <w:sz w:val="20"/>
        </w:rPr>
        <w:t>(Vic) s 197.</w:t>
      </w:r>
    </w:p>
    <w:sectPr>
      <w:pgSz w:w="11910" w:h="16840"/>
      <w:pgMar w:header="0" w:footer="523" w:top="1320" w:bottom="720" w:left="1100" w:right="13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Tahoma">
    <w:altName w:val="Tahoma"/>
    <w:charset w:val="0"/>
    <w:family w:val="swiss"/>
    <w:pitch w:val="variable"/>
  </w:font>
  <w:font w:name="Arial">
    <w:altName w:val="Arial"/>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type id="_x0000_t202" o:spt="202" coordsize="21600,21600" path="m,l,21600r21600,l21600,xe">
          <v:stroke joinstyle="miter"/>
          <v:path gradientshapeok="t" o:connecttype="rect"/>
        </v:shapetype>
        <v:shape style="position:absolute;margin-left:291.21051pt;margin-top:804.793823pt;width:12.9pt;height:10.95pt;mso-position-horizontal-relative:page;mso-position-vertical-relative:page;z-index:-3232" type="#_x0000_t202" filled="false" stroked="false">
          <v:textbox inset="0,0,0,0">
            <w:txbxContent>
              <w:p>
                <w:pPr>
                  <w:spacing w:before="14"/>
                  <w:ind w:left="40" w:right="0" w:firstLine="0"/>
                  <w:jc w:val="left"/>
                  <w:rPr>
                    <w:rFonts w:ascii="Arial"/>
                    <w:sz w:val="16"/>
                  </w:rPr>
                </w:pPr>
                <w:r>
                  <w:rPr/>
                  <w:fldChar w:fldCharType="begin"/>
                </w:r>
                <w:r>
                  <w:rPr>
                    <w:rFonts w:ascii="Arial"/>
                    <w:sz w:val="16"/>
                  </w:rPr>
                  <w:instrText> PAGE </w:instrText>
                </w:r>
                <w:r>
                  <w:rPr/>
                  <w:fldChar w:fldCharType="separate"/>
                </w:r>
                <w:r>
                  <w:rPr/>
                  <w:t>10</w:t>
                </w:r>
                <w:r>
                  <w:rPr/>
                  <w:fldChar w:fldCharType="end"/>
                </w:r>
              </w:p>
            </w:txbxContent>
          </v:textbox>
          <w10:wrap type="none"/>
        </v:shape>
      </w:pic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ahoma" w:hAnsi="Tahoma" w:eastAsia="Tahoma" w:cs="Tahoma"/>
    </w:rPr>
  </w:style>
  <w:style w:styleId="BodyText" w:type="paragraph">
    <w:name w:val="Body Text"/>
    <w:basedOn w:val="Normal"/>
    <w:uiPriority w:val="1"/>
    <w:qFormat/>
    <w:pPr/>
    <w:rPr>
      <w:rFonts w:ascii="Tahoma" w:hAnsi="Tahoma" w:eastAsia="Tahoma" w:cs="Tahoma"/>
      <w:sz w:val="24"/>
      <w:szCs w:val="24"/>
    </w:rPr>
  </w:style>
  <w:style w:styleId="ListParagraph" w:type="paragraph">
    <w:name w:val="List Paragraph"/>
    <w:basedOn w:val="Normal"/>
    <w:uiPriority w:val="1"/>
    <w:qFormat/>
    <w:pPr/>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 Brinton [lw13hb]</dc:creator>
  <dcterms:created xsi:type="dcterms:W3CDTF">2018-10-24T11:07:45Z</dcterms:created>
  <dcterms:modified xsi:type="dcterms:W3CDTF">2018-10-24T11:07:45Z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2018-10-23T00:00:00Z</vt:filetime>
  </property>
  <property fmtid="{D5CDD505-2E9C-101B-9397-08002B2CF9AE}" pid="3" name="Creator">
    <vt:lpwstr>Acrobat PDFMaker 18 for Word</vt:lpwstr>
  </property>
  <property fmtid="{D5CDD505-2E9C-101B-9397-08002B2CF9AE}" pid="4" name="LastSaved">
    <vt:filetime>2018-10-24T00:00:00Z</vt:filetime>
  </property>
</Properties>
</file>