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6D" w:rsidRPr="00DB7444" w:rsidRDefault="00A62111" w:rsidP="00DB7444">
      <w:pPr>
        <w:spacing w:after="0" w:line="480" w:lineRule="auto"/>
        <w:rPr>
          <w:rFonts w:ascii="Palatino Linotype" w:hAnsi="Palatino Linotype"/>
          <w:sz w:val="24"/>
          <w:szCs w:val="24"/>
        </w:rPr>
      </w:pPr>
      <w:r w:rsidRPr="00DB7444">
        <w:rPr>
          <w:rFonts w:ascii="Palatino Linotype" w:hAnsi="Palatino Linotype"/>
          <w:sz w:val="24"/>
          <w:szCs w:val="24"/>
        </w:rPr>
        <w:t>“Knowledge is power.  Information is liberating.  Education is the premise of progress, in every society, in every family.”</w:t>
      </w:r>
      <w:r w:rsidRPr="00DB7444">
        <w:rPr>
          <w:rStyle w:val="FootnoteReference"/>
          <w:rFonts w:ascii="Palatino Linotype" w:hAnsi="Palatino Linotype"/>
          <w:sz w:val="24"/>
          <w:szCs w:val="24"/>
        </w:rPr>
        <w:footnoteReference w:id="1"/>
      </w:r>
    </w:p>
    <w:p w:rsidR="00A62111" w:rsidRPr="00DB7444" w:rsidRDefault="00A62111" w:rsidP="00DB7444">
      <w:pPr>
        <w:spacing w:after="0" w:line="480" w:lineRule="auto"/>
        <w:rPr>
          <w:rFonts w:ascii="Palatino Linotype" w:hAnsi="Palatino Linotype"/>
          <w:sz w:val="24"/>
          <w:szCs w:val="24"/>
        </w:rPr>
      </w:pPr>
      <w:r w:rsidRPr="00DB7444">
        <w:rPr>
          <w:rFonts w:ascii="Palatino Linotype" w:hAnsi="Palatino Linotype"/>
          <w:sz w:val="24"/>
          <w:szCs w:val="24"/>
        </w:rPr>
        <w:t>Sarah Morse</w:t>
      </w:r>
      <w:r w:rsidR="00DC24D6" w:rsidRPr="00DB7444">
        <w:rPr>
          <w:rStyle w:val="FootnoteReference"/>
          <w:rFonts w:ascii="Palatino Linotype" w:hAnsi="Palatino Linotype"/>
          <w:sz w:val="24"/>
          <w:szCs w:val="24"/>
        </w:rPr>
        <w:footnoteReference w:id="2"/>
      </w:r>
    </w:p>
    <w:p w:rsidR="00B73A32" w:rsidRPr="00DB7444" w:rsidRDefault="00DC24D6" w:rsidP="00DB7444">
      <w:pPr>
        <w:spacing w:after="0" w:line="480" w:lineRule="auto"/>
        <w:rPr>
          <w:rFonts w:ascii="Palatino Linotype" w:hAnsi="Palatino Linotype"/>
          <w:sz w:val="24"/>
          <w:szCs w:val="24"/>
        </w:rPr>
      </w:pPr>
      <w:r w:rsidRPr="00DB7444">
        <w:rPr>
          <w:rFonts w:ascii="Palatino Linotype" w:hAnsi="Palatino Linotype"/>
          <w:sz w:val="24"/>
          <w:szCs w:val="24"/>
        </w:rPr>
        <w:t>Northumbria University, UK</w:t>
      </w:r>
    </w:p>
    <w:p w:rsidR="00DB7444" w:rsidRDefault="00DB7444" w:rsidP="00DB7444">
      <w:pPr>
        <w:spacing w:after="0" w:line="480" w:lineRule="auto"/>
        <w:jc w:val="both"/>
        <w:rPr>
          <w:rFonts w:ascii="Palatino Linotype" w:hAnsi="Palatino Linotype"/>
          <w:sz w:val="24"/>
          <w:szCs w:val="24"/>
        </w:rPr>
      </w:pPr>
    </w:p>
    <w:p w:rsidR="003B64D5" w:rsidRPr="00DB7444" w:rsidRDefault="00964B5F" w:rsidP="00DB7444">
      <w:pPr>
        <w:spacing w:after="0" w:line="480" w:lineRule="auto"/>
        <w:jc w:val="both"/>
        <w:rPr>
          <w:rFonts w:ascii="Palatino Linotype" w:hAnsi="Palatino Linotype"/>
          <w:sz w:val="24"/>
          <w:szCs w:val="24"/>
        </w:rPr>
      </w:pPr>
      <w:r w:rsidRPr="00DB7444">
        <w:rPr>
          <w:rFonts w:ascii="Palatino Linotype" w:hAnsi="Palatino Linotype"/>
          <w:sz w:val="24"/>
          <w:szCs w:val="24"/>
        </w:rPr>
        <w:t xml:space="preserve">In </w:t>
      </w:r>
      <w:r w:rsidR="00B73A32" w:rsidRPr="00DB7444">
        <w:rPr>
          <w:rFonts w:ascii="Palatino Linotype" w:hAnsi="Palatino Linotype"/>
          <w:sz w:val="24"/>
          <w:szCs w:val="24"/>
        </w:rPr>
        <w:t xml:space="preserve">recent years, in </w:t>
      </w:r>
      <w:r w:rsidRPr="00DB7444">
        <w:rPr>
          <w:rFonts w:ascii="Palatino Linotype" w:hAnsi="Palatino Linotype"/>
          <w:sz w:val="24"/>
          <w:szCs w:val="24"/>
        </w:rPr>
        <w:t>England and Wales</w:t>
      </w:r>
      <w:r w:rsidR="00875BE5" w:rsidRPr="00DB7444">
        <w:rPr>
          <w:rFonts w:ascii="Palatino Linotype" w:hAnsi="Palatino Linotype"/>
          <w:sz w:val="24"/>
          <w:szCs w:val="24"/>
        </w:rPr>
        <w:t>, we have seen an increasing number</w:t>
      </w:r>
      <w:r w:rsidR="00C62843" w:rsidRPr="00DB7444">
        <w:rPr>
          <w:rFonts w:ascii="Palatino Linotype" w:hAnsi="Palatino Linotype"/>
          <w:sz w:val="24"/>
          <w:szCs w:val="24"/>
        </w:rPr>
        <w:t xml:space="preserve"> of challenges to access to justice.  </w:t>
      </w:r>
      <w:r w:rsidR="00A41ADF" w:rsidRPr="00DB7444">
        <w:rPr>
          <w:rFonts w:ascii="Palatino Linotype" w:hAnsi="Palatino Linotype"/>
          <w:sz w:val="24"/>
          <w:szCs w:val="24"/>
        </w:rPr>
        <w:t>M</w:t>
      </w:r>
      <w:r w:rsidR="00C62843" w:rsidRPr="00DB7444">
        <w:rPr>
          <w:rFonts w:ascii="Palatino Linotype" w:hAnsi="Palatino Linotype"/>
          <w:sz w:val="24"/>
          <w:szCs w:val="24"/>
        </w:rPr>
        <w:t>ost notably</w:t>
      </w:r>
      <w:r w:rsidR="00A41ADF" w:rsidRPr="00DB7444">
        <w:rPr>
          <w:rFonts w:ascii="Palatino Linotype" w:hAnsi="Palatino Linotype"/>
          <w:sz w:val="24"/>
          <w:szCs w:val="24"/>
        </w:rPr>
        <w:t xml:space="preserve">, was </w:t>
      </w:r>
      <w:r w:rsidR="00C62843" w:rsidRPr="00DB7444">
        <w:rPr>
          <w:rFonts w:ascii="Palatino Linotype" w:hAnsi="Palatino Linotype"/>
          <w:sz w:val="24"/>
          <w:szCs w:val="24"/>
        </w:rPr>
        <w:t xml:space="preserve">the passing of the </w:t>
      </w:r>
      <w:r w:rsidR="005679C6" w:rsidRPr="00DB7444">
        <w:rPr>
          <w:rFonts w:ascii="Palatino Linotype" w:hAnsi="Palatino Linotype"/>
          <w:sz w:val="24"/>
          <w:szCs w:val="24"/>
        </w:rPr>
        <w:t xml:space="preserve">Legal Aid, Sentencing and Punishment </w:t>
      </w:r>
      <w:r w:rsidR="00C62843" w:rsidRPr="00DB7444">
        <w:rPr>
          <w:rFonts w:ascii="Palatino Linotype" w:hAnsi="Palatino Linotype"/>
          <w:sz w:val="24"/>
          <w:szCs w:val="24"/>
        </w:rPr>
        <w:t>of Offe</w:t>
      </w:r>
      <w:r w:rsidR="005679C6" w:rsidRPr="00DB7444">
        <w:rPr>
          <w:rFonts w:ascii="Palatino Linotype" w:hAnsi="Palatino Linotype"/>
          <w:sz w:val="24"/>
          <w:szCs w:val="24"/>
        </w:rPr>
        <w:t xml:space="preserve">nders </w:t>
      </w:r>
      <w:r w:rsidR="00C62843" w:rsidRPr="00DB7444">
        <w:rPr>
          <w:rFonts w:ascii="Palatino Linotype" w:hAnsi="Palatino Linotype"/>
          <w:sz w:val="24"/>
          <w:szCs w:val="24"/>
        </w:rPr>
        <w:t xml:space="preserve">Act </w:t>
      </w:r>
      <w:r w:rsidR="005679C6" w:rsidRPr="00DB7444">
        <w:rPr>
          <w:rFonts w:ascii="Palatino Linotype" w:hAnsi="Palatino Linotype"/>
          <w:sz w:val="24"/>
          <w:szCs w:val="24"/>
        </w:rPr>
        <w:t xml:space="preserve">2012 </w:t>
      </w:r>
      <w:r w:rsidR="00C62843" w:rsidRPr="00DB7444">
        <w:rPr>
          <w:rFonts w:ascii="Palatino Linotype" w:hAnsi="Palatino Linotype"/>
          <w:sz w:val="24"/>
          <w:szCs w:val="24"/>
        </w:rPr>
        <w:t>which significantly restricted the availability of legal aid</w:t>
      </w:r>
      <w:r w:rsidR="00875BE5" w:rsidRPr="00DB7444">
        <w:rPr>
          <w:rFonts w:ascii="Palatino Linotype" w:hAnsi="Palatino Linotype"/>
          <w:sz w:val="24"/>
          <w:szCs w:val="24"/>
        </w:rPr>
        <w:t xml:space="preserve"> to individuals </w:t>
      </w:r>
      <w:r w:rsidR="00171C29" w:rsidRPr="00DB7444">
        <w:rPr>
          <w:rFonts w:ascii="Palatino Linotype" w:hAnsi="Palatino Linotype"/>
          <w:sz w:val="24"/>
          <w:szCs w:val="24"/>
        </w:rPr>
        <w:t>across all</w:t>
      </w:r>
      <w:r w:rsidR="00875BE5" w:rsidRPr="00DB7444">
        <w:rPr>
          <w:rFonts w:ascii="Palatino Linotype" w:hAnsi="Palatino Linotype"/>
          <w:sz w:val="24"/>
          <w:szCs w:val="24"/>
        </w:rPr>
        <w:t xml:space="preserve"> areas of law </w:t>
      </w:r>
      <w:r w:rsidR="00171C29" w:rsidRPr="00DB7444">
        <w:rPr>
          <w:rFonts w:ascii="Palatino Linotype" w:hAnsi="Palatino Linotype"/>
          <w:sz w:val="24"/>
          <w:szCs w:val="24"/>
        </w:rPr>
        <w:t xml:space="preserve">including </w:t>
      </w:r>
      <w:r w:rsidR="00875BE5" w:rsidRPr="00DB7444">
        <w:rPr>
          <w:rFonts w:ascii="Palatino Linotype" w:hAnsi="Palatino Linotype"/>
          <w:sz w:val="24"/>
          <w:szCs w:val="24"/>
        </w:rPr>
        <w:t>family, housing and employment as well as contributing to the closure of legal advice centres due to the resulting loss of income</w:t>
      </w:r>
      <w:r w:rsidR="00875BE5" w:rsidRPr="00DB7444">
        <w:rPr>
          <w:rStyle w:val="FootnoteReference"/>
          <w:rFonts w:ascii="Palatino Linotype" w:hAnsi="Palatino Linotype"/>
          <w:sz w:val="24"/>
          <w:szCs w:val="24"/>
        </w:rPr>
        <w:footnoteReference w:id="3"/>
      </w:r>
      <w:r w:rsidR="00875BE5" w:rsidRPr="00DB7444">
        <w:rPr>
          <w:rFonts w:ascii="Palatino Linotype" w:hAnsi="Palatino Linotype"/>
          <w:sz w:val="24"/>
          <w:szCs w:val="24"/>
        </w:rPr>
        <w:t xml:space="preserve">.  We have also </w:t>
      </w:r>
      <w:r w:rsidR="00250795" w:rsidRPr="00DB7444">
        <w:rPr>
          <w:rFonts w:ascii="Palatino Linotype" w:hAnsi="Palatino Linotype"/>
          <w:sz w:val="24"/>
          <w:szCs w:val="24"/>
        </w:rPr>
        <w:t>experienced</w:t>
      </w:r>
      <w:r w:rsidR="00875BE5" w:rsidRPr="00DB7444">
        <w:rPr>
          <w:rFonts w:ascii="Palatino Linotype" w:hAnsi="Palatino Linotype"/>
          <w:sz w:val="24"/>
          <w:szCs w:val="24"/>
        </w:rPr>
        <w:t xml:space="preserve"> </w:t>
      </w:r>
      <w:r w:rsidR="00C62843" w:rsidRPr="00DB7444">
        <w:rPr>
          <w:rFonts w:ascii="Palatino Linotype" w:hAnsi="Palatino Linotype"/>
          <w:sz w:val="24"/>
          <w:szCs w:val="24"/>
        </w:rPr>
        <w:t xml:space="preserve">a </w:t>
      </w:r>
      <w:r w:rsidR="00875BE5" w:rsidRPr="00DB7444">
        <w:rPr>
          <w:rFonts w:ascii="Palatino Linotype" w:hAnsi="Palatino Linotype"/>
          <w:sz w:val="24"/>
          <w:szCs w:val="24"/>
        </w:rPr>
        <w:t>large</w:t>
      </w:r>
      <w:r w:rsidR="00C62843" w:rsidRPr="00DB7444">
        <w:rPr>
          <w:rFonts w:ascii="Palatino Linotype" w:hAnsi="Palatino Linotype"/>
          <w:sz w:val="24"/>
          <w:szCs w:val="24"/>
        </w:rPr>
        <w:t xml:space="preserve"> number of court closures</w:t>
      </w:r>
      <w:r w:rsidR="005679C6" w:rsidRPr="00DB7444">
        <w:rPr>
          <w:rStyle w:val="FootnoteReference"/>
          <w:rFonts w:ascii="Palatino Linotype" w:hAnsi="Palatino Linotype"/>
          <w:sz w:val="24"/>
          <w:szCs w:val="24"/>
        </w:rPr>
        <w:footnoteReference w:id="4"/>
      </w:r>
      <w:r w:rsidR="00C62843" w:rsidRPr="00DB7444">
        <w:rPr>
          <w:rFonts w:ascii="Palatino Linotype" w:hAnsi="Palatino Linotype"/>
          <w:sz w:val="24"/>
          <w:szCs w:val="24"/>
        </w:rPr>
        <w:t xml:space="preserve"> and the introduction of fees </w:t>
      </w:r>
      <w:r w:rsidR="00546676" w:rsidRPr="00DB7444">
        <w:rPr>
          <w:rFonts w:ascii="Palatino Linotype" w:hAnsi="Palatino Linotype"/>
          <w:sz w:val="24"/>
          <w:szCs w:val="24"/>
        </w:rPr>
        <w:t xml:space="preserve">in </w:t>
      </w:r>
      <w:r w:rsidR="00B73A32" w:rsidRPr="00DB7444">
        <w:rPr>
          <w:rFonts w:ascii="Palatino Linotype" w:hAnsi="Palatino Linotype"/>
          <w:sz w:val="24"/>
          <w:szCs w:val="24"/>
        </w:rPr>
        <w:t>the Employment</w:t>
      </w:r>
      <w:r w:rsidR="00250795" w:rsidRPr="00DB7444">
        <w:rPr>
          <w:rFonts w:ascii="Palatino Linotype" w:hAnsi="Palatino Linotype"/>
          <w:sz w:val="24"/>
          <w:szCs w:val="24"/>
        </w:rPr>
        <w:t xml:space="preserve"> </w:t>
      </w:r>
      <w:r w:rsidR="00546676" w:rsidRPr="00DB7444">
        <w:rPr>
          <w:rFonts w:ascii="Palatino Linotype" w:hAnsi="Palatino Linotype"/>
          <w:sz w:val="24"/>
          <w:szCs w:val="24"/>
        </w:rPr>
        <w:t>Tribunal</w:t>
      </w:r>
      <w:r w:rsidR="00B73A32" w:rsidRPr="00DB7444">
        <w:rPr>
          <w:rFonts w:ascii="Palatino Linotype" w:hAnsi="Palatino Linotype"/>
          <w:sz w:val="24"/>
          <w:szCs w:val="24"/>
        </w:rPr>
        <w:t>- a forum</w:t>
      </w:r>
      <w:r w:rsidR="00546676" w:rsidRPr="00DB7444">
        <w:rPr>
          <w:rFonts w:ascii="Palatino Linotype" w:hAnsi="Palatino Linotype"/>
          <w:sz w:val="24"/>
          <w:szCs w:val="24"/>
        </w:rPr>
        <w:t xml:space="preserve"> </w:t>
      </w:r>
      <w:r w:rsidR="00B73A32" w:rsidRPr="00DB7444">
        <w:rPr>
          <w:rFonts w:ascii="Palatino Linotype" w:hAnsi="Palatino Linotype"/>
          <w:sz w:val="24"/>
          <w:szCs w:val="24"/>
        </w:rPr>
        <w:t>that</w:t>
      </w:r>
      <w:r w:rsidR="00546676" w:rsidRPr="00DB7444">
        <w:rPr>
          <w:rFonts w:ascii="Palatino Linotype" w:hAnsi="Palatino Linotype"/>
          <w:sz w:val="24"/>
          <w:szCs w:val="24"/>
        </w:rPr>
        <w:t xml:space="preserve"> </w:t>
      </w:r>
      <w:r w:rsidR="00250795" w:rsidRPr="00DB7444">
        <w:rPr>
          <w:rFonts w:ascii="Palatino Linotype" w:hAnsi="Palatino Linotype"/>
          <w:sz w:val="24"/>
          <w:szCs w:val="24"/>
        </w:rPr>
        <w:t>was</w:t>
      </w:r>
      <w:r w:rsidR="00C62843" w:rsidRPr="00DB7444">
        <w:rPr>
          <w:rFonts w:ascii="Palatino Linotype" w:hAnsi="Palatino Linotype"/>
          <w:sz w:val="24"/>
          <w:szCs w:val="24"/>
        </w:rPr>
        <w:t xml:space="preserve"> previously free</w:t>
      </w:r>
      <w:r w:rsidR="00250795" w:rsidRPr="00DB7444">
        <w:rPr>
          <w:rFonts w:ascii="Palatino Linotype" w:hAnsi="Palatino Linotype"/>
          <w:sz w:val="24"/>
          <w:szCs w:val="24"/>
        </w:rPr>
        <w:t xml:space="preserve"> for those wishing to pursue a claim based upon the infringement of their employment rights</w:t>
      </w:r>
      <w:r w:rsidR="00C62843" w:rsidRPr="00DB7444">
        <w:rPr>
          <w:rFonts w:ascii="Palatino Linotype" w:hAnsi="Palatino Linotype"/>
          <w:sz w:val="24"/>
          <w:szCs w:val="24"/>
        </w:rPr>
        <w:t>.</w:t>
      </w:r>
      <w:r w:rsidR="00C62843" w:rsidRPr="00DB7444">
        <w:rPr>
          <w:rStyle w:val="FootnoteReference"/>
          <w:rFonts w:ascii="Palatino Linotype" w:hAnsi="Palatino Linotype"/>
          <w:sz w:val="24"/>
          <w:szCs w:val="24"/>
        </w:rPr>
        <w:footnoteReference w:id="5"/>
      </w:r>
      <w:r w:rsidR="00C62843" w:rsidRPr="00DB7444">
        <w:rPr>
          <w:rFonts w:ascii="Palatino Linotype" w:hAnsi="Palatino Linotype"/>
          <w:sz w:val="24"/>
          <w:szCs w:val="24"/>
        </w:rPr>
        <w:t xml:space="preserve"> </w:t>
      </w:r>
      <w:r w:rsidR="00546676" w:rsidRPr="00DB7444">
        <w:rPr>
          <w:rFonts w:ascii="Palatino Linotype" w:hAnsi="Palatino Linotype"/>
          <w:sz w:val="24"/>
          <w:szCs w:val="24"/>
        </w:rPr>
        <w:t>All of these</w:t>
      </w:r>
      <w:r w:rsidR="00295A3E" w:rsidRPr="00DB7444">
        <w:rPr>
          <w:rFonts w:ascii="Palatino Linotype" w:hAnsi="Palatino Linotype"/>
          <w:sz w:val="24"/>
          <w:szCs w:val="24"/>
        </w:rPr>
        <w:t xml:space="preserve"> measures, to name </w:t>
      </w:r>
      <w:r w:rsidR="00F276E7" w:rsidRPr="00DB7444">
        <w:rPr>
          <w:rFonts w:ascii="Palatino Linotype" w:hAnsi="Palatino Linotype"/>
          <w:sz w:val="24"/>
          <w:szCs w:val="24"/>
        </w:rPr>
        <w:t>only</w:t>
      </w:r>
      <w:r w:rsidR="00295A3E" w:rsidRPr="00DB7444">
        <w:rPr>
          <w:rFonts w:ascii="Palatino Linotype" w:hAnsi="Palatino Linotype"/>
          <w:sz w:val="24"/>
          <w:szCs w:val="24"/>
        </w:rPr>
        <w:t xml:space="preserve"> a few,</w:t>
      </w:r>
      <w:r w:rsidR="00546676" w:rsidRPr="00DB7444">
        <w:rPr>
          <w:rFonts w:ascii="Palatino Linotype" w:hAnsi="Palatino Linotype"/>
          <w:sz w:val="24"/>
          <w:szCs w:val="24"/>
        </w:rPr>
        <w:t xml:space="preserve"> have impacted</w:t>
      </w:r>
      <w:r w:rsidR="003B64D5" w:rsidRPr="00DB7444">
        <w:rPr>
          <w:rFonts w:ascii="Palatino Linotype" w:hAnsi="Palatino Linotype"/>
          <w:sz w:val="24"/>
          <w:szCs w:val="24"/>
        </w:rPr>
        <w:t xml:space="preserve"> </w:t>
      </w:r>
      <w:r w:rsidR="003B64D5" w:rsidRPr="00DB7444">
        <w:rPr>
          <w:rFonts w:ascii="Palatino Linotype" w:hAnsi="Palatino Linotype"/>
          <w:sz w:val="24"/>
          <w:szCs w:val="24"/>
        </w:rPr>
        <w:lastRenderedPageBreak/>
        <w:t>upon the ability of</w:t>
      </w:r>
      <w:r w:rsidR="00546676" w:rsidRPr="00DB7444">
        <w:rPr>
          <w:rFonts w:ascii="Palatino Linotype" w:hAnsi="Palatino Linotype"/>
          <w:sz w:val="24"/>
          <w:szCs w:val="24"/>
        </w:rPr>
        <w:t xml:space="preserve"> individuals</w:t>
      </w:r>
      <w:r w:rsidR="003B64D5" w:rsidRPr="00DB7444">
        <w:rPr>
          <w:rFonts w:ascii="Palatino Linotype" w:hAnsi="Palatino Linotype"/>
          <w:sz w:val="24"/>
          <w:szCs w:val="24"/>
        </w:rPr>
        <w:t xml:space="preserve"> </w:t>
      </w:r>
      <w:r w:rsidR="00546676" w:rsidRPr="00DB7444">
        <w:rPr>
          <w:rFonts w:ascii="Palatino Linotype" w:hAnsi="Palatino Linotype"/>
          <w:sz w:val="24"/>
          <w:szCs w:val="24"/>
        </w:rPr>
        <w:t>to access legal advice and the court system</w:t>
      </w:r>
      <w:r w:rsidR="003420F4" w:rsidRPr="00DB7444">
        <w:rPr>
          <w:rFonts w:ascii="Palatino Linotype" w:hAnsi="Palatino Linotype"/>
          <w:sz w:val="24"/>
          <w:szCs w:val="24"/>
        </w:rPr>
        <w:t xml:space="preserve"> and </w:t>
      </w:r>
      <w:r w:rsidR="007B715F" w:rsidRPr="00DB7444">
        <w:rPr>
          <w:rFonts w:ascii="Palatino Linotype" w:hAnsi="Palatino Linotype"/>
          <w:sz w:val="24"/>
          <w:szCs w:val="24"/>
        </w:rPr>
        <w:t xml:space="preserve">has </w:t>
      </w:r>
      <w:r w:rsidR="00295A3E" w:rsidRPr="00DB7444">
        <w:rPr>
          <w:rFonts w:ascii="Palatino Linotype" w:hAnsi="Palatino Linotype"/>
          <w:sz w:val="24"/>
          <w:szCs w:val="24"/>
        </w:rPr>
        <w:t>result</w:t>
      </w:r>
      <w:r w:rsidR="007B715F" w:rsidRPr="00DB7444">
        <w:rPr>
          <w:rFonts w:ascii="Palatino Linotype" w:hAnsi="Palatino Linotype"/>
          <w:sz w:val="24"/>
          <w:szCs w:val="24"/>
        </w:rPr>
        <w:t>ed</w:t>
      </w:r>
      <w:r w:rsidR="00250795" w:rsidRPr="00DB7444">
        <w:rPr>
          <w:rFonts w:ascii="Palatino Linotype" w:hAnsi="Palatino Linotype"/>
          <w:sz w:val="24"/>
          <w:szCs w:val="24"/>
        </w:rPr>
        <w:t xml:space="preserve"> in</w:t>
      </w:r>
      <w:r w:rsidR="00546676" w:rsidRPr="00DB7444">
        <w:rPr>
          <w:rFonts w:ascii="Palatino Linotype" w:hAnsi="Palatino Linotype"/>
          <w:sz w:val="24"/>
          <w:szCs w:val="24"/>
        </w:rPr>
        <w:t xml:space="preserve"> </w:t>
      </w:r>
      <w:r w:rsidR="00250795" w:rsidRPr="00DB7444">
        <w:rPr>
          <w:rFonts w:ascii="Palatino Linotype" w:hAnsi="Palatino Linotype"/>
          <w:sz w:val="24"/>
          <w:szCs w:val="24"/>
        </w:rPr>
        <w:t>the creation of</w:t>
      </w:r>
      <w:r w:rsidR="00546676" w:rsidRPr="00DB7444">
        <w:rPr>
          <w:rFonts w:ascii="Palatino Linotype" w:hAnsi="Palatino Linotype"/>
          <w:sz w:val="24"/>
          <w:szCs w:val="24"/>
        </w:rPr>
        <w:t xml:space="preserve"> </w:t>
      </w:r>
      <w:r w:rsidR="00250795" w:rsidRPr="00DB7444">
        <w:rPr>
          <w:rFonts w:ascii="Palatino Linotype" w:hAnsi="Palatino Linotype"/>
          <w:sz w:val="24"/>
          <w:szCs w:val="24"/>
        </w:rPr>
        <w:t>“</w:t>
      </w:r>
      <w:r w:rsidR="00546676" w:rsidRPr="00DB7444">
        <w:rPr>
          <w:rFonts w:ascii="Palatino Linotype" w:hAnsi="Palatino Linotype"/>
          <w:sz w:val="24"/>
          <w:szCs w:val="24"/>
        </w:rPr>
        <w:t>advice deserts</w:t>
      </w:r>
      <w:r w:rsidR="00250795" w:rsidRPr="00DB7444">
        <w:rPr>
          <w:rFonts w:ascii="Palatino Linotype" w:hAnsi="Palatino Linotype"/>
          <w:sz w:val="24"/>
          <w:szCs w:val="24"/>
        </w:rPr>
        <w:t>”</w:t>
      </w:r>
      <w:r w:rsidR="005679C6" w:rsidRPr="00DB7444">
        <w:rPr>
          <w:rStyle w:val="FootnoteReference"/>
          <w:rFonts w:ascii="Palatino Linotype" w:hAnsi="Palatino Linotype"/>
          <w:sz w:val="24"/>
          <w:szCs w:val="24"/>
        </w:rPr>
        <w:footnoteReference w:id="6"/>
      </w:r>
      <w:r w:rsidR="003420F4" w:rsidRPr="00DB7444">
        <w:rPr>
          <w:rFonts w:ascii="Palatino Linotype" w:hAnsi="Palatino Linotype"/>
          <w:sz w:val="24"/>
          <w:szCs w:val="24"/>
        </w:rPr>
        <w:t>. For many</w:t>
      </w:r>
      <w:r w:rsidR="00414BDD" w:rsidRPr="00DB7444">
        <w:rPr>
          <w:rFonts w:ascii="Palatino Linotype" w:hAnsi="Palatino Linotype"/>
          <w:sz w:val="24"/>
          <w:szCs w:val="24"/>
        </w:rPr>
        <w:t>,</w:t>
      </w:r>
      <w:r w:rsidR="003420F4" w:rsidRPr="00DB7444">
        <w:rPr>
          <w:rFonts w:ascii="Palatino Linotype" w:hAnsi="Palatino Linotype"/>
          <w:sz w:val="24"/>
          <w:szCs w:val="24"/>
        </w:rPr>
        <w:t xml:space="preserve"> the process is increasingly unaffordable</w:t>
      </w:r>
      <w:r w:rsidR="007B715F" w:rsidRPr="00DB7444">
        <w:rPr>
          <w:rFonts w:ascii="Palatino Linotype" w:hAnsi="Palatino Linotype"/>
          <w:sz w:val="24"/>
          <w:szCs w:val="24"/>
        </w:rPr>
        <w:t xml:space="preserve"> and </w:t>
      </w:r>
      <w:r w:rsidR="003420F4" w:rsidRPr="00DB7444">
        <w:rPr>
          <w:rFonts w:ascii="Palatino Linotype" w:hAnsi="Palatino Linotype"/>
          <w:sz w:val="24"/>
          <w:szCs w:val="24"/>
        </w:rPr>
        <w:t>“there are knowledge, skills and confidence gaps in the population”</w:t>
      </w:r>
      <w:r w:rsidR="003420F4" w:rsidRPr="00DB7444">
        <w:rPr>
          <w:rStyle w:val="FootnoteReference"/>
          <w:rFonts w:ascii="Palatino Linotype" w:hAnsi="Palatino Linotype"/>
          <w:sz w:val="24"/>
          <w:szCs w:val="24"/>
        </w:rPr>
        <w:footnoteReference w:id="7"/>
      </w:r>
      <w:r w:rsidR="003420F4" w:rsidRPr="00DB7444">
        <w:rPr>
          <w:rFonts w:ascii="Palatino Linotype" w:hAnsi="Palatino Linotype"/>
          <w:sz w:val="24"/>
          <w:szCs w:val="24"/>
        </w:rPr>
        <w:t xml:space="preserve"> in relation to even the most basic legal information regarding rights and responsibilities “which are barriers to achieving legal capability”</w:t>
      </w:r>
      <w:r w:rsidR="003420F4" w:rsidRPr="00DB7444">
        <w:rPr>
          <w:rStyle w:val="FootnoteReference"/>
          <w:rFonts w:ascii="Palatino Linotype" w:hAnsi="Palatino Linotype"/>
          <w:sz w:val="24"/>
          <w:szCs w:val="24"/>
        </w:rPr>
        <w:footnoteReference w:id="8"/>
      </w:r>
      <w:r w:rsidR="007B715F" w:rsidRPr="00DB7444">
        <w:rPr>
          <w:rFonts w:ascii="Palatino Linotype" w:hAnsi="Palatino Linotype"/>
          <w:sz w:val="24"/>
          <w:szCs w:val="24"/>
        </w:rPr>
        <w:t xml:space="preserve">. </w:t>
      </w:r>
    </w:p>
    <w:p w:rsidR="007B715F" w:rsidRPr="00DB7444" w:rsidRDefault="007B715F" w:rsidP="00DB7444">
      <w:pPr>
        <w:spacing w:after="0" w:line="480" w:lineRule="auto"/>
        <w:jc w:val="both"/>
        <w:rPr>
          <w:rFonts w:ascii="Palatino Linotype" w:hAnsi="Palatino Linotype"/>
          <w:sz w:val="24"/>
          <w:szCs w:val="24"/>
        </w:rPr>
      </w:pPr>
      <w:r w:rsidRPr="00DB7444">
        <w:rPr>
          <w:rFonts w:ascii="Palatino Linotype" w:hAnsi="Palatino Linotype"/>
          <w:sz w:val="24"/>
          <w:szCs w:val="24"/>
        </w:rPr>
        <w:t>More and more t</w:t>
      </w:r>
      <w:r w:rsidR="00295A3E" w:rsidRPr="00DB7444">
        <w:rPr>
          <w:rFonts w:ascii="Palatino Linotype" w:hAnsi="Palatino Linotype"/>
          <w:sz w:val="24"/>
          <w:szCs w:val="24"/>
        </w:rPr>
        <w:t xml:space="preserve">here is a significant level of unmet need </w:t>
      </w:r>
      <w:r w:rsidR="00B73A32" w:rsidRPr="00DB7444">
        <w:rPr>
          <w:rFonts w:ascii="Palatino Linotype" w:hAnsi="Palatino Linotype"/>
          <w:sz w:val="24"/>
          <w:szCs w:val="24"/>
        </w:rPr>
        <w:t>in our society with no foreseeable prospect of improvement.</w:t>
      </w:r>
      <w:r w:rsidR="00295A3E" w:rsidRPr="00DB7444">
        <w:rPr>
          <w:rFonts w:ascii="Palatino Linotype" w:hAnsi="Palatino Linotype"/>
          <w:sz w:val="24"/>
          <w:szCs w:val="24"/>
        </w:rPr>
        <w:t xml:space="preserve"> </w:t>
      </w:r>
      <w:r w:rsidR="00B73A32" w:rsidRPr="00DB7444">
        <w:rPr>
          <w:rFonts w:ascii="Palatino Linotype" w:hAnsi="Palatino Linotype"/>
          <w:sz w:val="24"/>
          <w:szCs w:val="24"/>
        </w:rPr>
        <w:t xml:space="preserve">It would be </w:t>
      </w:r>
      <w:r w:rsidR="00295A3E" w:rsidRPr="00DB7444">
        <w:rPr>
          <w:rFonts w:ascii="Palatino Linotype" w:hAnsi="Palatino Linotype"/>
          <w:sz w:val="24"/>
          <w:szCs w:val="24"/>
        </w:rPr>
        <w:t xml:space="preserve">impossible for Universities </w:t>
      </w:r>
      <w:r w:rsidR="00B73A32" w:rsidRPr="00DB7444">
        <w:rPr>
          <w:rFonts w:ascii="Palatino Linotype" w:hAnsi="Palatino Linotype"/>
          <w:sz w:val="24"/>
          <w:szCs w:val="24"/>
        </w:rPr>
        <w:t xml:space="preserve">or other education providers </w:t>
      </w:r>
      <w:r w:rsidR="00295A3E" w:rsidRPr="00DB7444">
        <w:rPr>
          <w:rFonts w:ascii="Palatino Linotype" w:hAnsi="Palatino Linotype"/>
          <w:sz w:val="24"/>
          <w:szCs w:val="24"/>
        </w:rPr>
        <w:t xml:space="preserve">to fill this gap (and indeed </w:t>
      </w:r>
      <w:r w:rsidR="006A0559" w:rsidRPr="00DB7444">
        <w:rPr>
          <w:rFonts w:ascii="Palatino Linotype" w:hAnsi="Palatino Linotype"/>
          <w:sz w:val="24"/>
          <w:szCs w:val="24"/>
        </w:rPr>
        <w:t xml:space="preserve">many would agree that it is not </w:t>
      </w:r>
      <w:r w:rsidR="00295A3E" w:rsidRPr="00DB7444">
        <w:rPr>
          <w:rFonts w:ascii="Palatino Linotype" w:hAnsi="Palatino Linotype"/>
          <w:sz w:val="24"/>
          <w:szCs w:val="24"/>
        </w:rPr>
        <w:t xml:space="preserve">appropriate in </w:t>
      </w:r>
      <w:r w:rsidR="00815E46" w:rsidRPr="00DB7444">
        <w:rPr>
          <w:rFonts w:ascii="Palatino Linotype" w:hAnsi="Palatino Linotype"/>
          <w:sz w:val="24"/>
          <w:szCs w:val="24"/>
        </w:rPr>
        <w:t>a</w:t>
      </w:r>
      <w:r w:rsidR="00295A3E" w:rsidRPr="00DB7444">
        <w:rPr>
          <w:rFonts w:ascii="Palatino Linotype" w:hAnsi="Palatino Linotype"/>
          <w:sz w:val="24"/>
          <w:szCs w:val="24"/>
        </w:rPr>
        <w:t xml:space="preserve">ny event to </w:t>
      </w:r>
      <w:r w:rsidR="00815E46" w:rsidRPr="00DB7444">
        <w:rPr>
          <w:rFonts w:ascii="Palatino Linotype" w:hAnsi="Palatino Linotype"/>
          <w:sz w:val="24"/>
          <w:szCs w:val="24"/>
        </w:rPr>
        <w:t xml:space="preserve">try to </w:t>
      </w:r>
      <w:r w:rsidR="00295A3E" w:rsidRPr="00DB7444">
        <w:rPr>
          <w:rFonts w:ascii="Palatino Linotype" w:hAnsi="Palatino Linotype"/>
          <w:sz w:val="24"/>
          <w:szCs w:val="24"/>
        </w:rPr>
        <w:t xml:space="preserve">do so) </w:t>
      </w:r>
      <w:r w:rsidR="00B73A32" w:rsidRPr="00DB7444">
        <w:rPr>
          <w:rFonts w:ascii="Palatino Linotype" w:hAnsi="Palatino Linotype"/>
          <w:sz w:val="24"/>
          <w:szCs w:val="24"/>
        </w:rPr>
        <w:t xml:space="preserve">however </w:t>
      </w:r>
      <w:r w:rsidR="00295A3E" w:rsidRPr="00DB7444">
        <w:rPr>
          <w:rFonts w:ascii="Palatino Linotype" w:hAnsi="Palatino Linotype"/>
          <w:sz w:val="24"/>
          <w:szCs w:val="24"/>
        </w:rPr>
        <w:t>there is cert</w:t>
      </w:r>
      <w:r w:rsidR="00815E46" w:rsidRPr="00DB7444">
        <w:rPr>
          <w:rFonts w:ascii="Palatino Linotype" w:hAnsi="Palatino Linotype"/>
          <w:sz w:val="24"/>
          <w:szCs w:val="24"/>
        </w:rPr>
        <w:t>ainly an important role that they can play to the benefit of their students and community alike.</w:t>
      </w:r>
      <w:r w:rsidR="00295A3E" w:rsidRPr="00DB7444">
        <w:rPr>
          <w:rFonts w:ascii="Palatino Linotype" w:hAnsi="Palatino Linotype"/>
          <w:sz w:val="24"/>
          <w:szCs w:val="24"/>
        </w:rPr>
        <w:t xml:space="preserve"> </w:t>
      </w:r>
    </w:p>
    <w:p w:rsidR="00815E46" w:rsidRPr="00DB7444" w:rsidRDefault="008F0E34" w:rsidP="00DB7444">
      <w:pPr>
        <w:spacing w:after="0" w:line="480" w:lineRule="auto"/>
        <w:jc w:val="both"/>
        <w:rPr>
          <w:rFonts w:ascii="Palatino Linotype" w:hAnsi="Palatino Linotype"/>
          <w:sz w:val="24"/>
          <w:szCs w:val="24"/>
        </w:rPr>
      </w:pPr>
      <w:r w:rsidRPr="00DB7444">
        <w:rPr>
          <w:rFonts w:ascii="Palatino Linotype" w:hAnsi="Palatino Linotype"/>
          <w:sz w:val="24"/>
          <w:szCs w:val="24"/>
        </w:rPr>
        <w:t>M</w:t>
      </w:r>
      <w:r w:rsidR="003B64D5" w:rsidRPr="00DB7444">
        <w:rPr>
          <w:rFonts w:ascii="Palatino Linotype" w:hAnsi="Palatino Linotype"/>
          <w:sz w:val="24"/>
          <w:szCs w:val="24"/>
        </w:rPr>
        <w:t xml:space="preserve">any universities in the UK offer pro bono advice and assistance to </w:t>
      </w:r>
      <w:r w:rsidRPr="00DB7444">
        <w:rPr>
          <w:rFonts w:ascii="Palatino Linotype" w:hAnsi="Palatino Linotype"/>
          <w:sz w:val="24"/>
          <w:szCs w:val="24"/>
        </w:rPr>
        <w:t>individuals</w:t>
      </w:r>
      <w:r w:rsidRPr="00DB7444">
        <w:rPr>
          <w:rStyle w:val="FootnoteReference"/>
          <w:rFonts w:ascii="Palatino Linotype" w:hAnsi="Palatino Linotype"/>
          <w:sz w:val="24"/>
          <w:szCs w:val="24"/>
        </w:rPr>
        <w:footnoteReference w:id="9"/>
      </w:r>
      <w:r w:rsidR="003B64D5" w:rsidRPr="00DB7444">
        <w:rPr>
          <w:rFonts w:ascii="Palatino Linotype" w:hAnsi="Palatino Linotype"/>
          <w:sz w:val="24"/>
          <w:szCs w:val="24"/>
        </w:rPr>
        <w:t xml:space="preserve"> via legal clinics</w:t>
      </w:r>
      <w:r w:rsidR="005F58E4" w:rsidRPr="00DB7444">
        <w:rPr>
          <w:rFonts w:ascii="Palatino Linotype" w:hAnsi="Palatino Linotype"/>
          <w:sz w:val="24"/>
          <w:szCs w:val="24"/>
        </w:rPr>
        <w:t>. A report from LawW</w:t>
      </w:r>
      <w:r w:rsidR="00125073" w:rsidRPr="00DB7444">
        <w:rPr>
          <w:rFonts w:ascii="Palatino Linotype" w:hAnsi="Palatino Linotype"/>
          <w:sz w:val="24"/>
          <w:szCs w:val="24"/>
        </w:rPr>
        <w:t>orks showed</w:t>
      </w:r>
      <w:r w:rsidR="00171C29" w:rsidRPr="00DB7444">
        <w:rPr>
          <w:rFonts w:ascii="Palatino Linotype" w:hAnsi="Palatino Linotype"/>
          <w:sz w:val="24"/>
          <w:szCs w:val="24"/>
        </w:rPr>
        <w:t xml:space="preserve"> </w:t>
      </w:r>
      <w:r w:rsidR="00125073" w:rsidRPr="00DB7444">
        <w:rPr>
          <w:rFonts w:ascii="Palatino Linotype" w:hAnsi="Palatino Linotype"/>
          <w:sz w:val="24"/>
          <w:szCs w:val="24"/>
        </w:rPr>
        <w:t xml:space="preserve">a </w:t>
      </w:r>
      <w:r w:rsidR="005F58E4" w:rsidRPr="00DB7444">
        <w:rPr>
          <w:rFonts w:ascii="Palatino Linotype" w:hAnsi="Palatino Linotype"/>
          <w:sz w:val="24"/>
          <w:szCs w:val="24"/>
        </w:rPr>
        <w:t>21</w:t>
      </w:r>
      <w:r w:rsidR="00125073" w:rsidRPr="00DB7444">
        <w:rPr>
          <w:rFonts w:ascii="Palatino Linotype" w:hAnsi="Palatino Linotype"/>
          <w:sz w:val="24"/>
          <w:szCs w:val="24"/>
        </w:rPr>
        <w:t xml:space="preserve">% growth in </w:t>
      </w:r>
      <w:r w:rsidR="00D863F8" w:rsidRPr="00DB7444">
        <w:rPr>
          <w:rFonts w:ascii="Palatino Linotype" w:hAnsi="Palatino Linotype"/>
          <w:sz w:val="24"/>
          <w:szCs w:val="24"/>
        </w:rPr>
        <w:t xml:space="preserve">pro bono legal </w:t>
      </w:r>
      <w:r w:rsidR="00125073" w:rsidRPr="00DB7444">
        <w:rPr>
          <w:rFonts w:ascii="Palatino Linotype" w:hAnsi="Palatino Linotype"/>
          <w:sz w:val="24"/>
          <w:szCs w:val="24"/>
        </w:rPr>
        <w:t xml:space="preserve">clinics in their network and a 24% increase in enquiries to those clinics in the period </w:t>
      </w:r>
      <w:r w:rsidR="005F58E4" w:rsidRPr="00DB7444">
        <w:rPr>
          <w:rFonts w:ascii="Palatino Linotype" w:hAnsi="Palatino Linotype"/>
          <w:sz w:val="24"/>
          <w:szCs w:val="24"/>
        </w:rPr>
        <w:t>April</w:t>
      </w:r>
      <w:r w:rsidR="00125073" w:rsidRPr="00DB7444">
        <w:rPr>
          <w:rFonts w:ascii="Palatino Linotype" w:hAnsi="Palatino Linotype"/>
          <w:sz w:val="24"/>
          <w:szCs w:val="24"/>
        </w:rPr>
        <w:t xml:space="preserve"> 2015-16</w:t>
      </w:r>
      <w:r w:rsidR="005F58E4" w:rsidRPr="00DB7444">
        <w:rPr>
          <w:rStyle w:val="FootnoteReference"/>
          <w:rFonts w:ascii="Palatino Linotype" w:hAnsi="Palatino Linotype"/>
          <w:sz w:val="24"/>
          <w:szCs w:val="24"/>
        </w:rPr>
        <w:footnoteReference w:id="10"/>
      </w:r>
      <w:r w:rsidR="003B64D5" w:rsidRPr="00DB7444">
        <w:rPr>
          <w:rFonts w:ascii="Palatino Linotype" w:hAnsi="Palatino Linotype"/>
          <w:sz w:val="24"/>
          <w:szCs w:val="24"/>
        </w:rPr>
        <w:t xml:space="preserve">.  </w:t>
      </w:r>
      <w:r w:rsidRPr="00DB7444">
        <w:rPr>
          <w:rFonts w:ascii="Palatino Linotype" w:hAnsi="Palatino Linotype"/>
          <w:sz w:val="24"/>
          <w:szCs w:val="24"/>
        </w:rPr>
        <w:t>S</w:t>
      </w:r>
      <w:r w:rsidR="00250795" w:rsidRPr="00DB7444">
        <w:rPr>
          <w:rFonts w:ascii="Palatino Linotype" w:hAnsi="Palatino Linotype"/>
          <w:sz w:val="24"/>
          <w:szCs w:val="24"/>
        </w:rPr>
        <w:t xml:space="preserve">uch clinics are a valuable resource to the community as well as affording students real experiences in which they can learn legal practice first hand.  </w:t>
      </w:r>
    </w:p>
    <w:p w:rsidR="00001F15" w:rsidRPr="00DB7444" w:rsidRDefault="00F276E7" w:rsidP="00DB7444">
      <w:pPr>
        <w:spacing w:after="0" w:line="480" w:lineRule="auto"/>
        <w:jc w:val="both"/>
        <w:rPr>
          <w:rFonts w:ascii="Palatino Linotype" w:hAnsi="Palatino Linotype"/>
          <w:sz w:val="24"/>
          <w:szCs w:val="24"/>
        </w:rPr>
      </w:pPr>
      <w:r w:rsidRPr="00DB7444">
        <w:rPr>
          <w:rFonts w:ascii="Palatino Linotype" w:hAnsi="Palatino Linotype"/>
          <w:sz w:val="24"/>
          <w:szCs w:val="24"/>
        </w:rPr>
        <w:lastRenderedPageBreak/>
        <w:t>In this jurisdiction, w</w:t>
      </w:r>
      <w:r w:rsidR="00815E46" w:rsidRPr="00DB7444">
        <w:rPr>
          <w:rFonts w:ascii="Palatino Linotype" w:hAnsi="Palatino Linotype"/>
          <w:sz w:val="24"/>
          <w:szCs w:val="24"/>
        </w:rPr>
        <w:t xml:space="preserve">e have also seen a rise </w:t>
      </w:r>
      <w:r w:rsidR="00F7154B" w:rsidRPr="00DB7444">
        <w:rPr>
          <w:rFonts w:ascii="Palatino Linotype" w:hAnsi="Palatino Linotype"/>
          <w:sz w:val="24"/>
          <w:szCs w:val="24"/>
        </w:rPr>
        <w:t>in public legal education</w:t>
      </w:r>
      <w:r w:rsidR="006C0354" w:rsidRPr="00DB7444">
        <w:rPr>
          <w:rFonts w:ascii="Palatino Linotype" w:hAnsi="Palatino Linotype"/>
          <w:sz w:val="24"/>
          <w:szCs w:val="24"/>
        </w:rPr>
        <w:t xml:space="preserve"> (PLE)</w:t>
      </w:r>
      <w:r w:rsidR="00F7154B" w:rsidRPr="00DB7444">
        <w:rPr>
          <w:rFonts w:ascii="Palatino Linotype" w:hAnsi="Palatino Linotype"/>
          <w:sz w:val="24"/>
          <w:szCs w:val="24"/>
        </w:rPr>
        <w:t xml:space="preserve"> programmes, such as Streetlaw, being delivered by law students, academics and legal practitioners. These, grassroots</w:t>
      </w:r>
      <w:r w:rsidR="00001F15" w:rsidRPr="00DB7444">
        <w:rPr>
          <w:rFonts w:ascii="Palatino Linotype" w:hAnsi="Palatino Linotype"/>
          <w:sz w:val="24"/>
          <w:szCs w:val="24"/>
        </w:rPr>
        <w:t xml:space="preserve"> level</w:t>
      </w:r>
      <w:r w:rsidR="00F7154B" w:rsidRPr="00DB7444">
        <w:rPr>
          <w:rFonts w:ascii="Palatino Linotype" w:hAnsi="Palatino Linotype"/>
          <w:sz w:val="24"/>
          <w:szCs w:val="24"/>
        </w:rPr>
        <w:t xml:space="preserve">, programmes aim to educate individuals about legal rights and </w:t>
      </w:r>
      <w:r w:rsidR="00001F15" w:rsidRPr="00DB7444">
        <w:rPr>
          <w:rFonts w:ascii="Palatino Linotype" w:hAnsi="Palatino Linotype"/>
          <w:sz w:val="24"/>
          <w:szCs w:val="24"/>
        </w:rPr>
        <w:t>responsibilities</w:t>
      </w:r>
      <w:r w:rsidR="006C0354" w:rsidRPr="00DB7444">
        <w:rPr>
          <w:rFonts w:ascii="Palatino Linotype" w:hAnsi="Palatino Linotype"/>
          <w:sz w:val="24"/>
          <w:szCs w:val="24"/>
        </w:rPr>
        <w:t>.</w:t>
      </w:r>
      <w:r w:rsidRPr="00DB7444">
        <w:rPr>
          <w:rFonts w:ascii="Palatino Linotype" w:hAnsi="Palatino Linotype"/>
          <w:sz w:val="24"/>
          <w:szCs w:val="24"/>
        </w:rPr>
        <w:t xml:space="preserve"> Programmes are</w:t>
      </w:r>
      <w:r w:rsidR="005A7D36" w:rsidRPr="00DB7444">
        <w:rPr>
          <w:rFonts w:ascii="Palatino Linotype" w:hAnsi="Palatino Linotype"/>
          <w:sz w:val="24"/>
          <w:szCs w:val="24"/>
        </w:rPr>
        <w:t xml:space="preserve"> targeted</w:t>
      </w:r>
      <w:r w:rsidRPr="00DB7444">
        <w:rPr>
          <w:rFonts w:ascii="Palatino Linotype" w:hAnsi="Palatino Linotype"/>
          <w:sz w:val="24"/>
          <w:szCs w:val="24"/>
        </w:rPr>
        <w:t xml:space="preserve"> schools, prisons, charities and other</w:t>
      </w:r>
      <w:r w:rsidR="005A7D36" w:rsidRPr="00DB7444">
        <w:rPr>
          <w:rFonts w:ascii="Palatino Linotype" w:hAnsi="Palatino Linotype"/>
          <w:sz w:val="24"/>
          <w:szCs w:val="24"/>
        </w:rPr>
        <w:t xml:space="preserve"> community-based organisations</w:t>
      </w:r>
      <w:r w:rsidRPr="00DB7444">
        <w:rPr>
          <w:rFonts w:ascii="Palatino Linotype" w:hAnsi="Palatino Linotype"/>
          <w:sz w:val="24"/>
          <w:szCs w:val="24"/>
        </w:rPr>
        <w:t>.</w:t>
      </w:r>
      <w:r w:rsidR="006C0354" w:rsidRPr="00DB7444">
        <w:rPr>
          <w:rFonts w:ascii="Palatino Linotype" w:hAnsi="Palatino Linotype"/>
          <w:sz w:val="24"/>
          <w:szCs w:val="24"/>
        </w:rPr>
        <w:t xml:space="preserve"> </w:t>
      </w:r>
      <w:r w:rsidR="00035994" w:rsidRPr="00DB7444">
        <w:rPr>
          <w:rFonts w:ascii="Palatino Linotype" w:hAnsi="Palatino Linotype"/>
          <w:sz w:val="24"/>
          <w:szCs w:val="24"/>
        </w:rPr>
        <w:t>As with other forms of experiential learning, PLE provides an opportunity for students to develop their practical skills (such as communication and problem solving skills) whilst involved in authentic experiences.  The primary objective of PLE is however to educate</w:t>
      </w:r>
      <w:r w:rsidR="006C0354" w:rsidRPr="00DB7444">
        <w:rPr>
          <w:rFonts w:ascii="Palatino Linotype" w:hAnsi="Palatino Linotype"/>
          <w:sz w:val="24"/>
          <w:szCs w:val="24"/>
        </w:rPr>
        <w:t xml:space="preserve"> </w:t>
      </w:r>
      <w:r w:rsidR="00035994" w:rsidRPr="00DB7444">
        <w:rPr>
          <w:rFonts w:ascii="Palatino Linotype" w:hAnsi="Palatino Linotype"/>
          <w:sz w:val="24"/>
          <w:szCs w:val="24"/>
        </w:rPr>
        <w:t>the public in order to</w:t>
      </w:r>
      <w:r w:rsidR="00D863F8" w:rsidRPr="00DB7444">
        <w:rPr>
          <w:rFonts w:ascii="Palatino Linotype" w:hAnsi="Palatino Linotype"/>
          <w:sz w:val="24"/>
          <w:szCs w:val="24"/>
        </w:rPr>
        <w:t xml:space="preserve"> “empower</w:t>
      </w:r>
      <w:r w:rsidR="00206DAA" w:rsidRPr="00DB7444">
        <w:rPr>
          <w:rFonts w:ascii="Palatino Linotype" w:hAnsi="Palatino Linotype"/>
          <w:sz w:val="24"/>
          <w:szCs w:val="24"/>
        </w:rPr>
        <w:t>”</w:t>
      </w:r>
      <w:r w:rsidR="006C0354" w:rsidRPr="00DB7444">
        <w:rPr>
          <w:rFonts w:ascii="Palatino Linotype" w:hAnsi="Palatino Linotype"/>
          <w:sz w:val="24"/>
          <w:szCs w:val="24"/>
        </w:rPr>
        <w:t xml:space="preserve"> individuals</w:t>
      </w:r>
      <w:r w:rsidR="00F7154B" w:rsidRPr="00DB7444">
        <w:rPr>
          <w:rFonts w:ascii="Palatino Linotype" w:hAnsi="Palatino Linotype"/>
          <w:sz w:val="24"/>
          <w:szCs w:val="24"/>
        </w:rPr>
        <w:t xml:space="preserve"> to achieve solutions</w:t>
      </w:r>
      <w:r w:rsidR="00F7154B" w:rsidRPr="00DB7444">
        <w:rPr>
          <w:rStyle w:val="FootnoteReference"/>
          <w:rFonts w:ascii="Palatino Linotype" w:hAnsi="Palatino Linotype"/>
          <w:sz w:val="24"/>
          <w:szCs w:val="24"/>
        </w:rPr>
        <w:footnoteReference w:id="11"/>
      </w:r>
      <w:r w:rsidR="00F7154B" w:rsidRPr="00DB7444">
        <w:rPr>
          <w:rFonts w:ascii="Palatino Linotype" w:hAnsi="Palatino Linotype"/>
          <w:sz w:val="24"/>
          <w:szCs w:val="24"/>
        </w:rPr>
        <w:t xml:space="preserve"> and promote “compl[iance] with obligations- in three words this is designed to encourage active citizenship”.</w:t>
      </w:r>
      <w:r w:rsidR="00001F15" w:rsidRPr="00DB7444">
        <w:rPr>
          <w:rStyle w:val="FootnoteReference"/>
          <w:rFonts w:ascii="Palatino Linotype" w:hAnsi="Palatino Linotype"/>
          <w:sz w:val="24"/>
          <w:szCs w:val="24"/>
        </w:rPr>
        <w:footnoteReference w:id="12"/>
      </w:r>
      <w:r w:rsidR="006C0354" w:rsidRPr="00DB7444">
        <w:rPr>
          <w:rFonts w:ascii="Palatino Linotype" w:hAnsi="Palatino Linotype"/>
          <w:sz w:val="24"/>
          <w:szCs w:val="24"/>
        </w:rPr>
        <w:t xml:space="preserve">  </w:t>
      </w:r>
      <w:r w:rsidR="00E94D15" w:rsidRPr="00DB7444">
        <w:rPr>
          <w:rFonts w:ascii="Palatino Linotype" w:hAnsi="Palatino Linotype"/>
          <w:sz w:val="24"/>
          <w:szCs w:val="24"/>
        </w:rPr>
        <w:t xml:space="preserve">There are many </w:t>
      </w:r>
      <w:r w:rsidR="003420F4" w:rsidRPr="00DB7444">
        <w:rPr>
          <w:rFonts w:ascii="Palatino Linotype" w:hAnsi="Palatino Linotype"/>
          <w:sz w:val="24"/>
          <w:szCs w:val="24"/>
        </w:rPr>
        <w:t xml:space="preserve">excellent </w:t>
      </w:r>
      <w:r w:rsidR="00E94D15" w:rsidRPr="00DB7444">
        <w:rPr>
          <w:rFonts w:ascii="Palatino Linotype" w:hAnsi="Palatino Linotype"/>
          <w:sz w:val="24"/>
          <w:szCs w:val="24"/>
        </w:rPr>
        <w:t>examples</w:t>
      </w:r>
      <w:r w:rsidR="00F81FD0" w:rsidRPr="00DB7444">
        <w:rPr>
          <w:rFonts w:ascii="Palatino Linotype" w:hAnsi="Palatino Linotype"/>
          <w:sz w:val="24"/>
          <w:szCs w:val="24"/>
        </w:rPr>
        <w:t xml:space="preserve"> of effective PLE programmes</w:t>
      </w:r>
      <w:r w:rsidR="00E94D15" w:rsidRPr="00DB7444">
        <w:rPr>
          <w:rFonts w:ascii="Palatino Linotype" w:hAnsi="Palatino Linotype"/>
          <w:sz w:val="24"/>
          <w:szCs w:val="24"/>
        </w:rPr>
        <w:t xml:space="preserve"> </w:t>
      </w:r>
      <w:r w:rsidRPr="00DB7444">
        <w:rPr>
          <w:rFonts w:ascii="Palatino Linotype" w:hAnsi="Palatino Linotype"/>
          <w:sz w:val="24"/>
          <w:szCs w:val="24"/>
        </w:rPr>
        <w:t xml:space="preserve">in the UK and </w:t>
      </w:r>
      <w:r w:rsidR="00E94D15" w:rsidRPr="00DB7444">
        <w:rPr>
          <w:rFonts w:ascii="Palatino Linotype" w:hAnsi="Palatino Linotype"/>
          <w:sz w:val="24"/>
          <w:szCs w:val="24"/>
        </w:rPr>
        <w:t>worldwide</w:t>
      </w:r>
      <w:r w:rsidRPr="00DB7444">
        <w:rPr>
          <w:rFonts w:ascii="Palatino Linotype" w:hAnsi="Palatino Linotype"/>
          <w:sz w:val="24"/>
          <w:szCs w:val="24"/>
        </w:rPr>
        <w:t xml:space="preserve"> and we hope that this journal will harness and promote these activities</w:t>
      </w:r>
      <w:r w:rsidR="00F81FD0" w:rsidRPr="00DB7444">
        <w:rPr>
          <w:rFonts w:ascii="Palatino Linotype" w:hAnsi="Palatino Linotype"/>
          <w:sz w:val="24"/>
          <w:szCs w:val="24"/>
        </w:rPr>
        <w:t xml:space="preserve">. </w:t>
      </w:r>
      <w:r w:rsidR="003420F4" w:rsidRPr="00DB7444">
        <w:rPr>
          <w:rFonts w:ascii="Palatino Linotype" w:hAnsi="Palatino Linotype"/>
          <w:sz w:val="24"/>
          <w:szCs w:val="24"/>
        </w:rPr>
        <w:t xml:space="preserve">There is also </w:t>
      </w:r>
      <w:r w:rsidRPr="00DB7444">
        <w:rPr>
          <w:rFonts w:ascii="Palatino Linotype" w:hAnsi="Palatino Linotype"/>
          <w:sz w:val="24"/>
          <w:szCs w:val="24"/>
        </w:rPr>
        <w:t>credible</w:t>
      </w:r>
      <w:r w:rsidR="003420F4" w:rsidRPr="00DB7444">
        <w:rPr>
          <w:rFonts w:ascii="Palatino Linotype" w:hAnsi="Palatino Linotype"/>
          <w:sz w:val="24"/>
          <w:szCs w:val="24"/>
        </w:rPr>
        <w:t xml:space="preserve"> evidence </w:t>
      </w:r>
      <w:r w:rsidRPr="00DB7444">
        <w:rPr>
          <w:rFonts w:ascii="Palatino Linotype" w:hAnsi="Palatino Linotype"/>
          <w:sz w:val="24"/>
          <w:szCs w:val="24"/>
        </w:rPr>
        <w:t xml:space="preserve">(anecdotally and, to a lessor extent, empirically) </w:t>
      </w:r>
      <w:r w:rsidR="003420F4" w:rsidRPr="00DB7444">
        <w:rPr>
          <w:rFonts w:ascii="Palatino Linotype" w:hAnsi="Palatino Linotype"/>
          <w:sz w:val="24"/>
          <w:szCs w:val="24"/>
        </w:rPr>
        <w:t xml:space="preserve">to </w:t>
      </w:r>
      <w:r w:rsidRPr="00DB7444">
        <w:rPr>
          <w:rFonts w:ascii="Palatino Linotype" w:hAnsi="Palatino Linotype"/>
          <w:sz w:val="24"/>
          <w:szCs w:val="24"/>
        </w:rPr>
        <w:t>suggest</w:t>
      </w:r>
      <w:r w:rsidR="003420F4" w:rsidRPr="00DB7444">
        <w:rPr>
          <w:rFonts w:ascii="Palatino Linotype" w:hAnsi="Palatino Linotype"/>
          <w:sz w:val="24"/>
          <w:szCs w:val="24"/>
        </w:rPr>
        <w:t xml:space="preserve"> that those without </w:t>
      </w:r>
      <w:r w:rsidR="00BA6A44" w:rsidRPr="00DB7444">
        <w:rPr>
          <w:rFonts w:ascii="Palatino Linotype" w:hAnsi="Palatino Linotype"/>
          <w:sz w:val="24"/>
          <w:szCs w:val="24"/>
        </w:rPr>
        <w:t>access to legal advice or information</w:t>
      </w:r>
      <w:r w:rsidR="003420F4" w:rsidRPr="00DB7444">
        <w:rPr>
          <w:rFonts w:ascii="Palatino Linotype" w:hAnsi="Palatino Linotype"/>
          <w:sz w:val="24"/>
          <w:szCs w:val="24"/>
        </w:rPr>
        <w:t xml:space="preserve"> are less likely to pursue legal action and enforce their rights</w:t>
      </w:r>
      <w:r w:rsidR="005A7D36" w:rsidRPr="00DB7444">
        <w:rPr>
          <w:rFonts w:ascii="Palatino Linotype" w:hAnsi="Palatino Linotype"/>
          <w:sz w:val="24"/>
          <w:szCs w:val="24"/>
        </w:rPr>
        <w:t xml:space="preserve"> and that such ignorance costs the state a considerable sum</w:t>
      </w:r>
      <w:r w:rsidR="00BA6A44" w:rsidRPr="00DB7444">
        <w:rPr>
          <w:rStyle w:val="FootnoteReference"/>
          <w:rFonts w:ascii="Palatino Linotype" w:hAnsi="Palatino Linotype"/>
          <w:sz w:val="24"/>
          <w:szCs w:val="24"/>
        </w:rPr>
        <w:footnoteReference w:id="13"/>
      </w:r>
      <w:r w:rsidR="003420F4" w:rsidRPr="00DB7444">
        <w:rPr>
          <w:rFonts w:ascii="Palatino Linotype" w:hAnsi="Palatino Linotype"/>
          <w:sz w:val="24"/>
          <w:szCs w:val="24"/>
        </w:rPr>
        <w:t xml:space="preserve">.  </w:t>
      </w:r>
      <w:r w:rsidR="00BA6A44" w:rsidRPr="00DB7444">
        <w:rPr>
          <w:rFonts w:ascii="Palatino Linotype" w:hAnsi="Palatino Linotype"/>
          <w:sz w:val="24"/>
          <w:szCs w:val="24"/>
        </w:rPr>
        <w:t xml:space="preserve">A recent example in practice can be drawn again from the introduction of Employment Tribunal fees.  </w:t>
      </w:r>
      <w:r w:rsidR="00BE1649" w:rsidRPr="00DB7444">
        <w:rPr>
          <w:rFonts w:ascii="Palatino Linotype" w:hAnsi="Palatino Linotype"/>
          <w:sz w:val="24"/>
          <w:szCs w:val="24"/>
        </w:rPr>
        <w:t>Far fewer</w:t>
      </w:r>
      <w:r w:rsidR="00974539" w:rsidRPr="00DB7444">
        <w:rPr>
          <w:rFonts w:ascii="Palatino Linotype" w:hAnsi="Palatino Linotype"/>
          <w:sz w:val="24"/>
          <w:szCs w:val="24"/>
        </w:rPr>
        <w:t xml:space="preserve"> Claimants </w:t>
      </w:r>
      <w:r w:rsidR="00BE1649" w:rsidRPr="00DB7444">
        <w:rPr>
          <w:rFonts w:ascii="Palatino Linotype" w:hAnsi="Palatino Linotype"/>
          <w:sz w:val="24"/>
          <w:szCs w:val="24"/>
        </w:rPr>
        <w:t>applied</w:t>
      </w:r>
      <w:r w:rsidR="00974539" w:rsidRPr="00DB7444">
        <w:rPr>
          <w:rFonts w:ascii="Palatino Linotype" w:hAnsi="Palatino Linotype"/>
          <w:sz w:val="24"/>
          <w:szCs w:val="24"/>
        </w:rPr>
        <w:t xml:space="preserve"> for Help with Fees (a full or partial exemption to pay</w:t>
      </w:r>
      <w:r w:rsidR="00BE1649" w:rsidRPr="00DB7444">
        <w:rPr>
          <w:rFonts w:ascii="Palatino Linotype" w:hAnsi="Palatino Linotype"/>
          <w:sz w:val="24"/>
          <w:szCs w:val="24"/>
        </w:rPr>
        <w:t xml:space="preserve"> these</w:t>
      </w:r>
      <w:r w:rsidR="00974539" w:rsidRPr="00DB7444">
        <w:rPr>
          <w:rFonts w:ascii="Palatino Linotype" w:hAnsi="Palatino Linotype"/>
          <w:sz w:val="24"/>
          <w:szCs w:val="24"/>
        </w:rPr>
        <w:t xml:space="preserve"> fees) </w:t>
      </w:r>
      <w:r w:rsidR="00BE1649" w:rsidRPr="00DB7444">
        <w:rPr>
          <w:rFonts w:ascii="Palatino Linotype" w:hAnsi="Palatino Linotype"/>
          <w:sz w:val="24"/>
          <w:szCs w:val="24"/>
        </w:rPr>
        <w:t xml:space="preserve">than was anticipated </w:t>
      </w:r>
      <w:r w:rsidR="00974539" w:rsidRPr="00DB7444">
        <w:rPr>
          <w:rFonts w:ascii="Palatino Linotype" w:hAnsi="Palatino Linotype"/>
          <w:sz w:val="24"/>
          <w:szCs w:val="24"/>
        </w:rPr>
        <w:t xml:space="preserve">which was attributed in part </w:t>
      </w:r>
      <w:r w:rsidR="00974539" w:rsidRPr="00DB7444">
        <w:rPr>
          <w:rFonts w:ascii="Palatino Linotype" w:hAnsi="Palatino Linotype"/>
          <w:sz w:val="24"/>
          <w:szCs w:val="24"/>
        </w:rPr>
        <w:lastRenderedPageBreak/>
        <w:t xml:space="preserve">to a lack of awareness </w:t>
      </w:r>
      <w:r w:rsidR="00BE1649" w:rsidRPr="00DB7444">
        <w:rPr>
          <w:rFonts w:ascii="Palatino Linotype" w:hAnsi="Palatino Linotype"/>
          <w:sz w:val="24"/>
          <w:szCs w:val="24"/>
        </w:rPr>
        <w:t>about the</w:t>
      </w:r>
      <w:r w:rsidR="00974539" w:rsidRPr="00DB7444">
        <w:rPr>
          <w:rFonts w:ascii="Palatino Linotype" w:hAnsi="Palatino Linotype"/>
          <w:sz w:val="24"/>
          <w:szCs w:val="24"/>
        </w:rPr>
        <w:t xml:space="preserve"> availability or eligibility </w:t>
      </w:r>
      <w:r w:rsidR="00BE1649" w:rsidRPr="00DB7444">
        <w:rPr>
          <w:rFonts w:ascii="Palatino Linotype" w:hAnsi="Palatino Linotype"/>
          <w:sz w:val="24"/>
          <w:szCs w:val="24"/>
        </w:rPr>
        <w:t>requirements of</w:t>
      </w:r>
      <w:r w:rsidR="00974539" w:rsidRPr="00DB7444">
        <w:rPr>
          <w:rFonts w:ascii="Palatino Linotype" w:hAnsi="Palatino Linotype"/>
          <w:sz w:val="24"/>
          <w:szCs w:val="24"/>
        </w:rPr>
        <w:t xml:space="preserve"> the scheme. </w:t>
      </w:r>
      <w:r w:rsidR="00BA6A44" w:rsidRPr="00DB7444">
        <w:rPr>
          <w:rFonts w:ascii="Palatino Linotype" w:hAnsi="Palatino Linotype"/>
          <w:sz w:val="24"/>
          <w:szCs w:val="24"/>
        </w:rPr>
        <w:t xml:space="preserve"> </w:t>
      </w:r>
      <w:r w:rsidR="0088090B" w:rsidRPr="00DB7444">
        <w:rPr>
          <w:rFonts w:ascii="Palatino Linotype" w:hAnsi="Palatino Linotype"/>
          <w:sz w:val="24"/>
          <w:szCs w:val="24"/>
        </w:rPr>
        <w:t xml:space="preserve">The correlation between education, awareness and action has also been found in other disciplines such as healthcare and nutrition. </w:t>
      </w:r>
      <w:r w:rsidR="00774A6F" w:rsidRPr="00DB7444">
        <w:rPr>
          <w:rFonts w:ascii="Palatino Linotype" w:hAnsi="Palatino Linotype"/>
          <w:sz w:val="24"/>
          <w:szCs w:val="24"/>
        </w:rPr>
        <w:t>If indeed ‘knowledge is power’ the value and impact of providing education through PLE programmes is limitless however, in my view,</w:t>
      </w:r>
      <w:r w:rsidR="005A7D36" w:rsidRPr="00DB7444">
        <w:rPr>
          <w:rFonts w:ascii="Palatino Linotype" w:hAnsi="Palatino Linotype"/>
          <w:sz w:val="24"/>
          <w:szCs w:val="24"/>
        </w:rPr>
        <w:t xml:space="preserve"> this</w:t>
      </w:r>
      <w:r w:rsidR="00774A6F" w:rsidRPr="00DB7444">
        <w:rPr>
          <w:rFonts w:ascii="Palatino Linotype" w:hAnsi="Palatino Linotype"/>
          <w:sz w:val="24"/>
          <w:szCs w:val="24"/>
        </w:rPr>
        <w:t xml:space="preserve"> requires a greater evidence base</w:t>
      </w:r>
      <w:r w:rsidR="00035994" w:rsidRPr="00DB7444">
        <w:rPr>
          <w:rFonts w:ascii="Palatino Linotype" w:hAnsi="Palatino Linotype"/>
          <w:sz w:val="24"/>
          <w:szCs w:val="24"/>
        </w:rPr>
        <w:t xml:space="preserve">.  </w:t>
      </w:r>
    </w:p>
    <w:p w:rsidR="007A2E27" w:rsidRPr="00DB7444" w:rsidRDefault="008621C6" w:rsidP="00DB7444">
      <w:pPr>
        <w:spacing w:after="0" w:line="480" w:lineRule="auto"/>
        <w:jc w:val="both"/>
        <w:rPr>
          <w:rFonts w:ascii="Palatino Linotype" w:hAnsi="Palatino Linotype"/>
          <w:sz w:val="24"/>
          <w:szCs w:val="24"/>
        </w:rPr>
      </w:pPr>
      <w:r w:rsidRPr="00DB7444">
        <w:rPr>
          <w:rFonts w:ascii="Palatino Linotype" w:hAnsi="Palatino Linotype"/>
          <w:sz w:val="24"/>
          <w:szCs w:val="24"/>
        </w:rPr>
        <w:t>There is some impetus to this</w:t>
      </w:r>
      <w:r w:rsidR="007A2E27" w:rsidRPr="00DB7444">
        <w:rPr>
          <w:rFonts w:ascii="Palatino Linotype" w:hAnsi="Palatino Linotype"/>
          <w:sz w:val="24"/>
          <w:szCs w:val="24"/>
        </w:rPr>
        <w:t xml:space="preserve"> </w:t>
      </w:r>
      <w:r w:rsidR="005703FC" w:rsidRPr="00DB7444">
        <w:rPr>
          <w:rFonts w:ascii="Palatino Linotype" w:hAnsi="Palatino Linotype"/>
          <w:sz w:val="24"/>
          <w:szCs w:val="24"/>
        </w:rPr>
        <w:t>in England and Wales</w:t>
      </w:r>
      <w:r w:rsidRPr="00DB7444">
        <w:rPr>
          <w:rFonts w:ascii="Palatino Linotype" w:hAnsi="Palatino Linotype"/>
          <w:sz w:val="24"/>
          <w:szCs w:val="24"/>
        </w:rPr>
        <w:t xml:space="preserve"> as in the last 18 months</w:t>
      </w:r>
      <w:r w:rsidR="005703FC" w:rsidRPr="00DB7444">
        <w:rPr>
          <w:rFonts w:ascii="Palatino Linotype" w:hAnsi="Palatino Linotype"/>
          <w:sz w:val="24"/>
          <w:szCs w:val="24"/>
        </w:rPr>
        <w:t xml:space="preserve"> </w:t>
      </w:r>
      <w:r w:rsidR="00A01574" w:rsidRPr="00DB7444">
        <w:rPr>
          <w:rFonts w:ascii="Palatino Linotype" w:hAnsi="Palatino Linotype"/>
          <w:sz w:val="24"/>
          <w:szCs w:val="24"/>
        </w:rPr>
        <w:t xml:space="preserve">we have seen an increasing focus on </w:t>
      </w:r>
      <w:r w:rsidR="006C0354" w:rsidRPr="00DB7444">
        <w:rPr>
          <w:rFonts w:ascii="Palatino Linotype" w:hAnsi="Palatino Linotype"/>
          <w:sz w:val="24"/>
          <w:szCs w:val="24"/>
        </w:rPr>
        <w:t xml:space="preserve">PLE from other </w:t>
      </w:r>
      <w:r w:rsidR="005703FC" w:rsidRPr="00DB7444">
        <w:rPr>
          <w:rFonts w:ascii="Palatino Linotype" w:hAnsi="Palatino Linotype"/>
          <w:sz w:val="24"/>
          <w:szCs w:val="24"/>
        </w:rPr>
        <w:t>interested parties</w:t>
      </w:r>
      <w:r w:rsidR="006C0354" w:rsidRPr="00DB7444">
        <w:rPr>
          <w:rFonts w:ascii="Palatino Linotype" w:hAnsi="Palatino Linotype"/>
          <w:sz w:val="24"/>
          <w:szCs w:val="24"/>
        </w:rPr>
        <w:t>.  Notably,</w:t>
      </w:r>
      <w:r w:rsidR="00E84BA4" w:rsidRPr="00DB7444">
        <w:rPr>
          <w:rFonts w:ascii="Palatino Linotype" w:hAnsi="Palatino Linotype"/>
          <w:sz w:val="24"/>
          <w:szCs w:val="24"/>
        </w:rPr>
        <w:t xml:space="preserve"> in a series of recommendations in the Civil Courts Structure Review: Final Report published in July 2016, </w:t>
      </w:r>
      <w:r w:rsidR="006C0354" w:rsidRPr="00DB7444">
        <w:rPr>
          <w:rFonts w:ascii="Palatino Linotype" w:hAnsi="Palatino Linotype"/>
          <w:sz w:val="24"/>
          <w:szCs w:val="24"/>
        </w:rPr>
        <w:t>Lord</w:t>
      </w:r>
      <w:r w:rsidR="00E84BA4" w:rsidRPr="00DB7444">
        <w:rPr>
          <w:rFonts w:ascii="Palatino Linotype" w:hAnsi="Palatino Linotype"/>
          <w:sz w:val="24"/>
          <w:szCs w:val="24"/>
        </w:rPr>
        <w:t xml:space="preserve"> Justice Briggs called for “continued improvement in the provision in public legal education… following the lead</w:t>
      </w:r>
      <w:r w:rsidR="006C0354" w:rsidRPr="00DB7444">
        <w:rPr>
          <w:rFonts w:ascii="Palatino Linotype" w:hAnsi="Palatino Linotype"/>
          <w:sz w:val="24"/>
          <w:szCs w:val="24"/>
        </w:rPr>
        <w:t xml:space="preserve"> </w:t>
      </w:r>
      <w:r w:rsidR="00E84BA4" w:rsidRPr="00DB7444">
        <w:rPr>
          <w:rFonts w:ascii="Palatino Linotype" w:hAnsi="Palatino Linotype"/>
          <w:sz w:val="24"/>
          <w:szCs w:val="24"/>
        </w:rPr>
        <w:t>given by the courts and voluntary agencies in California and British Columbia, as a joint activity by HMTCS and the voluntary agencies”.</w:t>
      </w:r>
      <w:r w:rsidR="00E84BA4" w:rsidRPr="00DB7444">
        <w:rPr>
          <w:rStyle w:val="FootnoteReference"/>
          <w:rFonts w:ascii="Palatino Linotype" w:hAnsi="Palatino Linotype"/>
          <w:sz w:val="24"/>
          <w:szCs w:val="24"/>
        </w:rPr>
        <w:footnoteReference w:id="14"/>
      </w:r>
      <w:r w:rsidR="007A2E27" w:rsidRPr="00DB7444">
        <w:rPr>
          <w:rFonts w:ascii="Palatino Linotype" w:hAnsi="Palatino Linotype"/>
          <w:sz w:val="24"/>
          <w:szCs w:val="24"/>
        </w:rPr>
        <w:t xml:space="preserve"> </w:t>
      </w:r>
      <w:r w:rsidR="005703FC" w:rsidRPr="00DB7444">
        <w:rPr>
          <w:rFonts w:ascii="Palatino Linotype" w:hAnsi="Palatino Linotype"/>
          <w:sz w:val="24"/>
          <w:szCs w:val="24"/>
        </w:rPr>
        <w:t>Also, i</w:t>
      </w:r>
      <w:r w:rsidR="00A01574" w:rsidRPr="00DB7444">
        <w:rPr>
          <w:rFonts w:ascii="Palatino Linotype" w:hAnsi="Palatino Linotype"/>
          <w:sz w:val="24"/>
          <w:szCs w:val="24"/>
        </w:rPr>
        <w:t>n July 2017, Solicitor General Robert Buckland QC MP launched a new PLE panel to “enable public legal education to flourish and to encourage initi</w:t>
      </w:r>
      <w:r w:rsidR="005D3C1D" w:rsidRPr="00DB7444">
        <w:rPr>
          <w:rFonts w:ascii="Palatino Linotype" w:hAnsi="Palatino Linotype"/>
          <w:sz w:val="24"/>
          <w:szCs w:val="24"/>
        </w:rPr>
        <w:t>at</w:t>
      </w:r>
      <w:r w:rsidR="00A01574" w:rsidRPr="00DB7444">
        <w:rPr>
          <w:rFonts w:ascii="Palatino Linotype" w:hAnsi="Palatino Linotype"/>
          <w:sz w:val="24"/>
          <w:szCs w:val="24"/>
        </w:rPr>
        <w:t>ives which improve</w:t>
      </w:r>
      <w:r w:rsidR="005D3C1D" w:rsidRPr="00DB7444">
        <w:rPr>
          <w:rFonts w:ascii="Palatino Linotype" w:hAnsi="Palatino Linotype"/>
          <w:sz w:val="24"/>
          <w:szCs w:val="24"/>
        </w:rPr>
        <w:t xml:space="preserve"> legal capability”.</w:t>
      </w:r>
      <w:r w:rsidR="005D3C1D" w:rsidRPr="00DB7444">
        <w:rPr>
          <w:rStyle w:val="FootnoteReference"/>
          <w:rFonts w:ascii="Palatino Linotype" w:hAnsi="Palatino Linotype"/>
          <w:sz w:val="24"/>
          <w:szCs w:val="24"/>
        </w:rPr>
        <w:footnoteReference w:id="15"/>
      </w:r>
      <w:r w:rsidR="00A01574" w:rsidRPr="00DB7444">
        <w:rPr>
          <w:rFonts w:ascii="Palatino Linotype" w:hAnsi="Palatino Linotype"/>
          <w:sz w:val="24"/>
          <w:szCs w:val="24"/>
        </w:rPr>
        <w:t xml:space="preserve">  </w:t>
      </w:r>
      <w:r w:rsidR="005A7D36" w:rsidRPr="00DB7444">
        <w:rPr>
          <w:rFonts w:ascii="Palatino Linotype" w:hAnsi="Palatino Linotype"/>
          <w:sz w:val="24"/>
          <w:szCs w:val="24"/>
        </w:rPr>
        <w:t>Personally</w:t>
      </w:r>
      <w:r w:rsidR="00B85A46" w:rsidRPr="00DB7444">
        <w:rPr>
          <w:rFonts w:ascii="Palatino Linotype" w:hAnsi="Palatino Linotype"/>
          <w:sz w:val="24"/>
          <w:szCs w:val="24"/>
        </w:rPr>
        <w:t>,</w:t>
      </w:r>
      <w:r w:rsidR="005A7D36" w:rsidRPr="00DB7444">
        <w:rPr>
          <w:rFonts w:ascii="Palatino Linotype" w:hAnsi="Palatino Linotype"/>
          <w:sz w:val="24"/>
          <w:szCs w:val="24"/>
        </w:rPr>
        <w:t xml:space="preserve"> and in our r</w:t>
      </w:r>
      <w:r w:rsidR="00B85A46" w:rsidRPr="00DB7444">
        <w:rPr>
          <w:rFonts w:ascii="Palatino Linotype" w:hAnsi="Palatino Linotype"/>
          <w:sz w:val="24"/>
          <w:szCs w:val="24"/>
        </w:rPr>
        <w:t>o</w:t>
      </w:r>
      <w:r w:rsidR="005A7D36" w:rsidRPr="00DB7444">
        <w:rPr>
          <w:rFonts w:ascii="Palatino Linotype" w:hAnsi="Palatino Linotype"/>
          <w:sz w:val="24"/>
          <w:szCs w:val="24"/>
        </w:rPr>
        <w:t xml:space="preserve">le as editors of this new journal, we </w:t>
      </w:r>
      <w:r w:rsidR="005D3C1D" w:rsidRPr="00DB7444">
        <w:rPr>
          <w:rFonts w:ascii="Palatino Linotype" w:hAnsi="Palatino Linotype"/>
          <w:sz w:val="24"/>
          <w:szCs w:val="24"/>
        </w:rPr>
        <w:t xml:space="preserve">await with interest </w:t>
      </w:r>
      <w:r w:rsidR="005A7D36" w:rsidRPr="00DB7444">
        <w:rPr>
          <w:rFonts w:ascii="Palatino Linotype" w:hAnsi="Palatino Linotype"/>
          <w:sz w:val="24"/>
          <w:szCs w:val="24"/>
        </w:rPr>
        <w:t>further</w:t>
      </w:r>
      <w:r w:rsidR="005D3C1D" w:rsidRPr="00DB7444">
        <w:rPr>
          <w:rFonts w:ascii="Palatino Linotype" w:hAnsi="Palatino Linotype"/>
          <w:sz w:val="24"/>
          <w:szCs w:val="24"/>
        </w:rPr>
        <w:t xml:space="preserve"> developments result</w:t>
      </w:r>
      <w:r w:rsidR="005703FC" w:rsidRPr="00DB7444">
        <w:rPr>
          <w:rFonts w:ascii="Palatino Linotype" w:hAnsi="Palatino Linotype"/>
          <w:sz w:val="24"/>
          <w:szCs w:val="24"/>
        </w:rPr>
        <w:t>ing from this</w:t>
      </w:r>
      <w:r w:rsidR="005D3C1D" w:rsidRPr="00DB7444">
        <w:rPr>
          <w:rFonts w:ascii="Palatino Linotype" w:hAnsi="Palatino Linotype"/>
          <w:sz w:val="24"/>
          <w:szCs w:val="24"/>
        </w:rPr>
        <w:t>.</w:t>
      </w:r>
    </w:p>
    <w:p w:rsidR="00546676" w:rsidRPr="00DB7444" w:rsidRDefault="008621C6" w:rsidP="00DB7444">
      <w:pPr>
        <w:spacing w:after="0" w:line="480" w:lineRule="auto"/>
        <w:jc w:val="both"/>
        <w:rPr>
          <w:rFonts w:ascii="Palatino Linotype" w:hAnsi="Palatino Linotype"/>
          <w:sz w:val="24"/>
          <w:szCs w:val="24"/>
        </w:rPr>
      </w:pPr>
      <w:r w:rsidRPr="00DB7444">
        <w:rPr>
          <w:rFonts w:ascii="Palatino Linotype" w:hAnsi="Palatino Linotype"/>
          <w:sz w:val="24"/>
          <w:szCs w:val="24"/>
        </w:rPr>
        <w:t>Those of us involved in PLE are strong advocates.</w:t>
      </w:r>
      <w:r w:rsidR="005D3C1D" w:rsidRPr="00DB7444">
        <w:rPr>
          <w:rFonts w:ascii="Palatino Linotype" w:hAnsi="Palatino Linotype"/>
          <w:sz w:val="24"/>
          <w:szCs w:val="24"/>
        </w:rPr>
        <w:t xml:space="preserve"> I hope that</w:t>
      </w:r>
      <w:r w:rsidR="000E769B" w:rsidRPr="00DB7444">
        <w:rPr>
          <w:rFonts w:ascii="Palatino Linotype" w:hAnsi="Palatino Linotype"/>
          <w:sz w:val="24"/>
          <w:szCs w:val="24"/>
        </w:rPr>
        <w:t xml:space="preserve"> by sharing best practice and providing evidence of impact</w:t>
      </w:r>
      <w:r w:rsidR="005D3C1D" w:rsidRPr="00DB7444">
        <w:rPr>
          <w:rFonts w:ascii="Palatino Linotype" w:hAnsi="Palatino Linotype"/>
          <w:sz w:val="24"/>
          <w:szCs w:val="24"/>
        </w:rPr>
        <w:t xml:space="preserve"> this journal will contribute </w:t>
      </w:r>
      <w:r w:rsidR="00F25416" w:rsidRPr="00DB7444">
        <w:rPr>
          <w:rFonts w:ascii="Palatino Linotype" w:hAnsi="Palatino Linotype"/>
          <w:sz w:val="24"/>
          <w:szCs w:val="24"/>
        </w:rPr>
        <w:t xml:space="preserve">positively </w:t>
      </w:r>
      <w:r w:rsidR="005D3C1D" w:rsidRPr="00DB7444">
        <w:rPr>
          <w:rFonts w:ascii="Palatino Linotype" w:hAnsi="Palatino Linotype"/>
          <w:sz w:val="24"/>
          <w:szCs w:val="24"/>
        </w:rPr>
        <w:t>to th</w:t>
      </w:r>
      <w:r w:rsidRPr="00DB7444">
        <w:rPr>
          <w:rFonts w:ascii="Palatino Linotype" w:hAnsi="Palatino Linotype"/>
          <w:sz w:val="24"/>
          <w:szCs w:val="24"/>
        </w:rPr>
        <w:t>e</w:t>
      </w:r>
      <w:r w:rsidR="00F25416" w:rsidRPr="00DB7444">
        <w:rPr>
          <w:rFonts w:ascii="Palatino Linotype" w:hAnsi="Palatino Linotype"/>
          <w:sz w:val="24"/>
          <w:szCs w:val="24"/>
        </w:rPr>
        <w:t xml:space="preserve"> </w:t>
      </w:r>
      <w:r w:rsidR="005A7D36" w:rsidRPr="00DB7444">
        <w:rPr>
          <w:rFonts w:ascii="Palatino Linotype" w:hAnsi="Palatino Linotype"/>
          <w:sz w:val="24"/>
          <w:szCs w:val="24"/>
        </w:rPr>
        <w:t xml:space="preserve">empowerment </w:t>
      </w:r>
      <w:r w:rsidR="00F25416" w:rsidRPr="00DB7444">
        <w:rPr>
          <w:rFonts w:ascii="Palatino Linotype" w:hAnsi="Palatino Linotype"/>
          <w:sz w:val="24"/>
          <w:szCs w:val="24"/>
        </w:rPr>
        <w:t>story</w:t>
      </w:r>
      <w:r w:rsidR="005D3C1D" w:rsidRPr="00DB7444">
        <w:rPr>
          <w:rFonts w:ascii="Palatino Linotype" w:hAnsi="Palatino Linotype"/>
          <w:sz w:val="24"/>
          <w:szCs w:val="24"/>
        </w:rPr>
        <w:t>.</w:t>
      </w:r>
    </w:p>
    <w:sectPr w:rsidR="00546676" w:rsidRPr="00DB7444" w:rsidSect="006F1F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2F" w:rsidRDefault="000D6D2F" w:rsidP="00A62111">
      <w:pPr>
        <w:spacing w:after="0" w:line="240" w:lineRule="auto"/>
      </w:pPr>
      <w:r>
        <w:separator/>
      </w:r>
    </w:p>
  </w:endnote>
  <w:endnote w:type="continuationSeparator" w:id="0">
    <w:p w:rsidR="000D6D2F" w:rsidRDefault="000D6D2F" w:rsidP="00A6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85" w:rsidRDefault="006F1F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726870"/>
      <w:docPartObj>
        <w:docPartGallery w:val="Page Numbers (Bottom of Page)"/>
        <w:docPartUnique/>
      </w:docPartObj>
    </w:sdtPr>
    <w:sdtEndPr>
      <w:rPr>
        <w:noProof/>
      </w:rPr>
    </w:sdtEndPr>
    <w:sdtContent>
      <w:bookmarkStart w:id="0" w:name="_GoBack" w:displacedByCustomXml="prev"/>
      <w:bookmarkEnd w:id="0" w:displacedByCustomXml="prev"/>
      <w:p w:rsidR="006F1F85" w:rsidRDefault="006F1F85">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rsidR="006F1F85" w:rsidRDefault="006F1F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85" w:rsidRDefault="006F1F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2F" w:rsidRDefault="000D6D2F" w:rsidP="00A62111">
      <w:pPr>
        <w:spacing w:after="0" w:line="240" w:lineRule="auto"/>
      </w:pPr>
      <w:r>
        <w:separator/>
      </w:r>
    </w:p>
  </w:footnote>
  <w:footnote w:type="continuationSeparator" w:id="0">
    <w:p w:rsidR="000D6D2F" w:rsidRDefault="000D6D2F" w:rsidP="00A62111">
      <w:pPr>
        <w:spacing w:after="0" w:line="240" w:lineRule="auto"/>
      </w:pPr>
      <w:r>
        <w:continuationSeparator/>
      </w:r>
    </w:p>
  </w:footnote>
  <w:footnote w:id="1">
    <w:p w:rsidR="00A62111" w:rsidRDefault="00A62111">
      <w:pPr>
        <w:pStyle w:val="FootnoteText"/>
      </w:pPr>
      <w:r>
        <w:rPr>
          <w:rStyle w:val="FootnoteReference"/>
        </w:rPr>
        <w:footnoteRef/>
      </w:r>
      <w:r>
        <w:t xml:space="preserve"> Kofi Annan</w:t>
      </w:r>
      <w:r w:rsidR="00E109F1">
        <w:t>, United Nations Press Release SG/SM/6268 23 June 1997</w:t>
      </w:r>
    </w:p>
  </w:footnote>
  <w:footnote w:id="2">
    <w:p w:rsidR="00DC24D6" w:rsidRDefault="00DC24D6">
      <w:pPr>
        <w:pStyle w:val="FootnoteText"/>
      </w:pPr>
      <w:r>
        <w:rPr>
          <w:rStyle w:val="FootnoteReference"/>
        </w:rPr>
        <w:footnoteRef/>
      </w:r>
      <w:r>
        <w:t xml:space="preserve"> Sarah Morse is a Solicitor Tutor and Senior Lecturer based in the Student Law Office at Northumbria University, UK.</w:t>
      </w:r>
    </w:p>
  </w:footnote>
  <w:footnote w:id="3">
    <w:p w:rsidR="00875BE5" w:rsidRDefault="00875BE5">
      <w:pPr>
        <w:pStyle w:val="FootnoteText"/>
      </w:pPr>
      <w:r>
        <w:rPr>
          <w:rStyle w:val="FootnoteReference"/>
        </w:rPr>
        <w:footnoteRef/>
      </w:r>
      <w:r>
        <w:t xml:space="preserve"> </w:t>
      </w:r>
      <w:r w:rsidR="002E45EC">
        <w:t xml:space="preserve">Owen Bowcott, </w:t>
      </w:r>
      <w:r w:rsidR="00157150">
        <w:t>(</w:t>
      </w:r>
      <w:r w:rsidR="002E45EC">
        <w:t>2013</w:t>
      </w:r>
      <w:r w:rsidR="00157150">
        <w:t>) The Guardian available at</w:t>
      </w:r>
      <w:r w:rsidR="002E45EC">
        <w:t xml:space="preserve"> </w:t>
      </w:r>
      <w:hyperlink r:id="rId1" w:history="1">
        <w:r w:rsidRPr="00E65197">
          <w:rPr>
            <w:rStyle w:val="Hyperlink"/>
          </w:rPr>
          <w:t>https://www.theguardian.com/law/2013/mar/11/legal-aid-cuts-shelter-offices</w:t>
        </w:r>
      </w:hyperlink>
      <w:r>
        <w:t xml:space="preserve"> </w:t>
      </w:r>
      <w:r w:rsidR="00157150">
        <w:t>(Accessed: 25 September 2017)</w:t>
      </w:r>
    </w:p>
  </w:footnote>
  <w:footnote w:id="4">
    <w:p w:rsidR="005679C6" w:rsidRDefault="005679C6">
      <w:pPr>
        <w:pStyle w:val="FootnoteText"/>
      </w:pPr>
      <w:r>
        <w:rPr>
          <w:rStyle w:val="FootnoteReference"/>
        </w:rPr>
        <w:footnoteRef/>
      </w:r>
      <w:r>
        <w:t xml:space="preserve"> </w:t>
      </w:r>
      <w:r w:rsidR="008F0E34">
        <w:t xml:space="preserve">Following </w:t>
      </w:r>
      <w:r w:rsidR="00875BE5">
        <w:t xml:space="preserve">Her Majesty’s Courts Service’s Court Estate Reform Programme (2010-2014) and Her Majesty’s Courts and Tribunals Service’s Estates </w:t>
      </w:r>
      <w:r w:rsidR="00DC1C80">
        <w:t>Reform</w:t>
      </w:r>
      <w:r w:rsidR="00875BE5">
        <w:t xml:space="preserve"> Project (2015-)</w:t>
      </w:r>
      <w:r w:rsidR="008F0E34">
        <w:t xml:space="preserve"> which have</w:t>
      </w:r>
      <w:r w:rsidR="00DC1C80">
        <w:t xml:space="preserve"> resulted in 243 courts or tribunals being closed or scheduled for closure</w:t>
      </w:r>
      <w:r w:rsidR="008F0E34">
        <w:t xml:space="preserve"> over this period </w:t>
      </w:r>
      <w:r w:rsidR="00DC1C80">
        <w:t xml:space="preserve">- </w:t>
      </w:r>
      <w:hyperlink r:id="rId2" w:history="1">
        <w:r w:rsidR="00DC1C80" w:rsidRPr="00E65197">
          <w:rPr>
            <w:rStyle w:val="Hyperlink"/>
          </w:rPr>
          <w:t>http://researchbriefings.files.parliament.uk/documents/CBP-7346/CBP-7346.pdf</w:t>
        </w:r>
      </w:hyperlink>
      <w:r w:rsidR="00DC1C80">
        <w:t xml:space="preserve"> </w:t>
      </w:r>
    </w:p>
  </w:footnote>
  <w:footnote w:id="5">
    <w:p w:rsidR="00C62843" w:rsidRDefault="00C62843">
      <w:pPr>
        <w:pStyle w:val="FootnoteText"/>
      </w:pPr>
      <w:r>
        <w:rPr>
          <w:rStyle w:val="FootnoteReference"/>
        </w:rPr>
        <w:footnoteRef/>
      </w:r>
      <w:r w:rsidR="005679C6">
        <w:t xml:space="preserve"> In July 2013 the Employment Tribunals and Employment Appeal Tribunal Fees Order 2013 (SI 2013/1893) introdu</w:t>
      </w:r>
      <w:r>
        <w:t xml:space="preserve">ced fees in the Employment Tribunal meaning </w:t>
      </w:r>
      <w:r w:rsidR="00546676">
        <w:t xml:space="preserve">that </w:t>
      </w:r>
      <w:r>
        <w:t xml:space="preserve">Claimants </w:t>
      </w:r>
      <w:r w:rsidR="00546676">
        <w:t xml:space="preserve">seeking to protect their employment and </w:t>
      </w:r>
      <w:r w:rsidR="005679C6">
        <w:t>anti-</w:t>
      </w:r>
      <w:r w:rsidR="00546676">
        <w:t xml:space="preserve">discrimination rights were now required to pay fees in order to pursue a claim when previously this would have been free.  </w:t>
      </w:r>
      <w:r w:rsidR="005679C6">
        <w:t xml:space="preserve">In the first </w:t>
      </w:r>
      <w:r w:rsidR="00C37DF2">
        <w:t>year</w:t>
      </w:r>
      <w:r w:rsidR="005679C6">
        <w:t xml:space="preserve"> following their introduction</w:t>
      </w:r>
      <w:r w:rsidR="00C37DF2">
        <w:t>,</w:t>
      </w:r>
      <w:r w:rsidR="005679C6">
        <w:t xml:space="preserve"> there was </w:t>
      </w:r>
      <w:r w:rsidR="00546676">
        <w:t xml:space="preserve">a </w:t>
      </w:r>
      <w:r w:rsidR="00C37DF2">
        <w:t>78</w:t>
      </w:r>
      <w:r w:rsidR="00546676">
        <w:t>% reduction in claims</w:t>
      </w:r>
      <w:r w:rsidR="005679C6">
        <w:t xml:space="preserve"> (</w:t>
      </w:r>
      <w:r w:rsidR="00C37DF2">
        <w:t xml:space="preserve">Review of the introduction of fees in the Employment Tribunals, Consultation on proposals for reform document </w:t>
      </w:r>
      <w:r w:rsidR="00157150">
        <w:t xml:space="preserve">(2017) </w:t>
      </w:r>
      <w:r w:rsidR="00C37DF2">
        <w:t xml:space="preserve">accessed at </w:t>
      </w:r>
      <w:hyperlink r:id="rId3" w:history="1">
        <w:r w:rsidR="00C37DF2" w:rsidRPr="004477C8">
          <w:rPr>
            <w:rStyle w:val="Hyperlink"/>
          </w:rPr>
          <w:t>https://www.gov.uk/government/uploads/system/uploads/attachment_data/file/587649/Review-of-introduction-of-fees-in-employment-tribunals.pdf</w:t>
        </w:r>
      </w:hyperlink>
      <w:r w:rsidR="005679C6">
        <w:t>)</w:t>
      </w:r>
      <w:r w:rsidR="00157150">
        <w:t xml:space="preserve"> (accessed:25 September 2017)</w:t>
      </w:r>
      <w:r w:rsidR="00C37DF2">
        <w:t>.  A significant reduction in claims continued</w:t>
      </w:r>
      <w:r w:rsidR="00546676">
        <w:t xml:space="preserve"> before the fees were revoked in </w:t>
      </w:r>
      <w:r w:rsidR="00A33CEC">
        <w:t xml:space="preserve">late </w:t>
      </w:r>
      <w:r w:rsidR="00546676">
        <w:t xml:space="preserve">July 2017 following the Supreme Court decision in </w:t>
      </w:r>
      <w:r w:rsidR="00A33CEC">
        <w:t xml:space="preserve">R (on the application of </w:t>
      </w:r>
      <w:r w:rsidR="00546676">
        <w:t>U</w:t>
      </w:r>
      <w:r w:rsidR="00A33CEC">
        <w:t>NISON) (Appellant) v Lord Chancellor (Respondent) [2017] UKSC 51</w:t>
      </w:r>
      <w:r w:rsidR="00C37DF2">
        <w:t>.  In this case the Supreme Court</w:t>
      </w:r>
      <w:r w:rsidR="00546676">
        <w:t xml:space="preserve"> concluded that the fees were unlawful </w:t>
      </w:r>
      <w:r w:rsidR="00A33CEC">
        <w:t>(and indirectly discriminatory) and did effectively prevent</w:t>
      </w:r>
      <w:r w:rsidR="00546676">
        <w:t xml:space="preserve"> access to justice.</w:t>
      </w:r>
    </w:p>
  </w:footnote>
  <w:footnote w:id="6">
    <w:p w:rsidR="005679C6" w:rsidRPr="00157150" w:rsidRDefault="005679C6">
      <w:pPr>
        <w:pStyle w:val="FootnoteText"/>
      </w:pPr>
      <w:r>
        <w:rPr>
          <w:rStyle w:val="FootnoteReference"/>
        </w:rPr>
        <w:footnoteRef/>
      </w:r>
      <w:r w:rsidRPr="00157150">
        <w:t xml:space="preserve"> </w:t>
      </w:r>
      <w:r w:rsidR="00157150" w:rsidRPr="00157150">
        <w:t xml:space="preserve">Monidipa Fouzder (2016), The Law Society Gazette available at </w:t>
      </w:r>
      <w:hyperlink r:id="rId4" w:history="1">
        <w:r w:rsidR="00250795" w:rsidRPr="00157150">
          <w:rPr>
            <w:rStyle w:val="Hyperlink"/>
          </w:rPr>
          <w:t>https://www.lawgazette.co.uk/news/legal-aid-cuts-creating-new-advice-deserts/5054789.article</w:t>
        </w:r>
      </w:hyperlink>
      <w:r w:rsidR="00250795" w:rsidRPr="00157150">
        <w:t xml:space="preserve"> </w:t>
      </w:r>
      <w:r w:rsidR="00157150">
        <w:t>(Accessed: 25 September 2017).</w:t>
      </w:r>
    </w:p>
  </w:footnote>
  <w:footnote w:id="7">
    <w:p w:rsidR="003420F4" w:rsidRDefault="003420F4">
      <w:pPr>
        <w:pStyle w:val="FootnoteText"/>
      </w:pPr>
      <w:r>
        <w:rPr>
          <w:rStyle w:val="FootnoteReference"/>
        </w:rPr>
        <w:footnoteRef/>
      </w:r>
      <w:r>
        <w:t xml:space="preserve"> </w:t>
      </w:r>
      <w:r w:rsidRPr="003420F4">
        <w:t>Balmer, N.J., Buck, A., Patel, A, Denwir, C,</w:t>
      </w:r>
      <w:r>
        <w:t xml:space="preserve"> Pleasence, P. (2010) ‘Knowle</w:t>
      </w:r>
      <w:r w:rsidRPr="003420F4">
        <w:t xml:space="preserve">dge, capability and the experience of rights problems’ Legal Services Research Centre/Plenet.  Available online at: </w:t>
      </w:r>
      <w:hyperlink r:id="rId5" w:history="1">
        <w:r w:rsidRPr="004477C8">
          <w:rPr>
            <w:rStyle w:val="Hyperlink"/>
          </w:rPr>
          <w:t>http://lawforlife.org.uk/wp-content/uploads/2010/05/knowledge-capability-and-the-experience-of-rights-problems-lsrc-may-2010-255.pdf</w:t>
        </w:r>
      </w:hyperlink>
      <w:r>
        <w:t xml:space="preserve"> </w:t>
      </w:r>
      <w:r w:rsidR="00157150">
        <w:t>(accessed:25 September 2017).</w:t>
      </w:r>
    </w:p>
  </w:footnote>
  <w:footnote w:id="8">
    <w:p w:rsidR="003420F4" w:rsidRDefault="003420F4">
      <w:pPr>
        <w:pStyle w:val="FootnoteText"/>
      </w:pPr>
      <w:r>
        <w:rPr>
          <w:rStyle w:val="FootnoteReference"/>
        </w:rPr>
        <w:footnoteRef/>
      </w:r>
      <w:r>
        <w:t xml:space="preserve"> Ibid n.7</w:t>
      </w:r>
    </w:p>
  </w:footnote>
  <w:footnote w:id="9">
    <w:p w:rsidR="008F0E34" w:rsidRDefault="008F0E34">
      <w:pPr>
        <w:pStyle w:val="FootnoteText"/>
      </w:pPr>
      <w:r>
        <w:rPr>
          <w:rStyle w:val="FootnoteReference"/>
        </w:rPr>
        <w:footnoteRef/>
      </w:r>
      <w:r>
        <w:t xml:space="preserve"> As well as individuals, many clinics offer advice to small businesses, social enterprises and charities.</w:t>
      </w:r>
    </w:p>
  </w:footnote>
  <w:footnote w:id="10">
    <w:p w:rsidR="005F58E4" w:rsidRDefault="005F58E4">
      <w:pPr>
        <w:pStyle w:val="FootnoteText"/>
      </w:pPr>
      <w:r>
        <w:rPr>
          <w:rStyle w:val="FootnoteReference"/>
        </w:rPr>
        <w:footnoteRef/>
      </w:r>
      <w:r>
        <w:t xml:space="preserve"> </w:t>
      </w:r>
      <w:r w:rsidR="002E45EC">
        <w:t xml:space="preserve">36% of clinics in the network are Law School clinics- </w:t>
      </w:r>
      <w:r>
        <w:t xml:space="preserve">LawWorks Clinic Network Report April 2015- March 2016 available at </w:t>
      </w:r>
      <w:hyperlink r:id="rId6" w:history="1">
        <w:r w:rsidR="00157150" w:rsidRPr="001E643C">
          <w:rPr>
            <w:rStyle w:val="Hyperlink"/>
          </w:rPr>
          <w:t>https://www.lawworks.org.uk/solicitors-and-volunteers/resources/lawworks-clinics-network-report-april-2015-march-2016</w:t>
        </w:r>
      </w:hyperlink>
      <w:r w:rsidR="00157150">
        <w:t xml:space="preserve"> (Accessed 25 September 2017).</w:t>
      </w:r>
    </w:p>
  </w:footnote>
  <w:footnote w:id="11">
    <w:p w:rsidR="00F7154B" w:rsidRDefault="00F7154B" w:rsidP="00B73A32">
      <w:pPr>
        <w:spacing w:after="0" w:line="240" w:lineRule="auto"/>
      </w:pPr>
      <w:r>
        <w:rPr>
          <w:rStyle w:val="FootnoteReference"/>
        </w:rPr>
        <w:footnoteRef/>
      </w:r>
      <w:r>
        <w:t xml:space="preserve"> </w:t>
      </w:r>
      <w:r w:rsidR="00001F15" w:rsidRPr="00001F15">
        <w:rPr>
          <w:sz w:val="20"/>
          <w:szCs w:val="20"/>
        </w:rPr>
        <w:t xml:space="preserve">McQuoid-Mason, D. (2008) ‘Street Law as a Clinical Program’, </w:t>
      </w:r>
      <w:r w:rsidR="00001F15" w:rsidRPr="00001F15">
        <w:rPr>
          <w:i/>
          <w:sz w:val="20"/>
          <w:szCs w:val="20"/>
        </w:rPr>
        <w:t>Griffith Law Review</w:t>
      </w:r>
      <w:r w:rsidR="00001F15" w:rsidRPr="00001F15">
        <w:rPr>
          <w:sz w:val="20"/>
          <w:szCs w:val="20"/>
        </w:rPr>
        <w:t>, 17:1, 27-51.</w:t>
      </w:r>
    </w:p>
  </w:footnote>
  <w:footnote w:id="12">
    <w:p w:rsidR="005D3C1D" w:rsidRPr="00E84BA4" w:rsidRDefault="00001F15" w:rsidP="00B73A32">
      <w:pPr>
        <w:spacing w:after="0" w:line="240" w:lineRule="auto"/>
        <w:rPr>
          <w:sz w:val="20"/>
          <w:szCs w:val="20"/>
        </w:rPr>
      </w:pPr>
      <w:r>
        <w:rPr>
          <w:rStyle w:val="FootnoteReference"/>
        </w:rPr>
        <w:footnoteRef/>
      </w:r>
      <w:r>
        <w:t xml:space="preserve"> </w:t>
      </w:r>
      <w:r w:rsidRPr="00001F15">
        <w:rPr>
          <w:sz w:val="20"/>
          <w:szCs w:val="20"/>
        </w:rPr>
        <w:t xml:space="preserve">Grimes, R. (2003) ‘Legal Literacy, community empowerment and law school- some lessons from a working model in the UK’, </w:t>
      </w:r>
      <w:r w:rsidRPr="00001F15">
        <w:rPr>
          <w:i/>
          <w:sz w:val="20"/>
          <w:szCs w:val="20"/>
        </w:rPr>
        <w:t>The Law Teacher</w:t>
      </w:r>
      <w:r w:rsidRPr="00001F15">
        <w:rPr>
          <w:sz w:val="20"/>
          <w:szCs w:val="20"/>
        </w:rPr>
        <w:t xml:space="preserve">, </w:t>
      </w:r>
      <w:r w:rsidRPr="00001F15">
        <w:rPr>
          <w:i/>
          <w:sz w:val="20"/>
          <w:szCs w:val="20"/>
        </w:rPr>
        <w:t>37:3</w:t>
      </w:r>
      <w:r w:rsidRPr="00001F15">
        <w:rPr>
          <w:sz w:val="20"/>
          <w:szCs w:val="20"/>
        </w:rPr>
        <w:t>. 273-284.</w:t>
      </w:r>
    </w:p>
  </w:footnote>
  <w:footnote w:id="13">
    <w:p w:rsidR="00BA6A44" w:rsidRDefault="00BA6A44">
      <w:pPr>
        <w:pStyle w:val="FootnoteText"/>
      </w:pPr>
      <w:r>
        <w:rPr>
          <w:rStyle w:val="FootnoteReference"/>
        </w:rPr>
        <w:footnoteRef/>
      </w:r>
      <w:r>
        <w:t xml:space="preserve"> </w:t>
      </w:r>
      <w:r w:rsidRPr="00BA6A44">
        <w:t xml:space="preserve">Pleasence, P., Balmer, N., Patel, A. and Denwir, C (2009) Civil Justice in England and Wales 2009, Report of the 2006-9 English and Welsh Civil and Social Justice Survey. Available online at: </w:t>
      </w:r>
      <w:hyperlink r:id="rId7" w:history="1">
        <w:r w:rsidRPr="004477C8">
          <w:rPr>
            <w:rStyle w:val="Hyperlink"/>
          </w:rPr>
          <w:t>http://webarchive.nationalarchives.gov.uk/20110216140603/http:/lsrc.org.uk/publications/2010CSJSAnnualReport.pdf</w:t>
        </w:r>
      </w:hyperlink>
      <w:r>
        <w:t xml:space="preserve"> </w:t>
      </w:r>
      <w:r w:rsidR="00157150">
        <w:t>(Accessed: 25 September 2017).</w:t>
      </w:r>
    </w:p>
  </w:footnote>
  <w:footnote w:id="14">
    <w:p w:rsidR="00E84BA4" w:rsidRDefault="00E84BA4" w:rsidP="00B73A32">
      <w:pPr>
        <w:pStyle w:val="FootnoteText"/>
      </w:pPr>
      <w:r>
        <w:rPr>
          <w:rStyle w:val="FootnoteReference"/>
        </w:rPr>
        <w:footnoteRef/>
      </w:r>
      <w:r>
        <w:t xml:space="preserve"> </w:t>
      </w:r>
      <w:r w:rsidR="00157150">
        <w:t xml:space="preserve">Available at </w:t>
      </w:r>
      <w:hyperlink r:id="rId8" w:history="1">
        <w:r w:rsidR="0015015F" w:rsidRPr="004477C8">
          <w:rPr>
            <w:rStyle w:val="Hyperlink"/>
          </w:rPr>
          <w:t>https://www.judiciary.gov.uk/wp-content/uploads/2016/07/civil-courts-structure-review-final-report-jul-16-final-1.pdf</w:t>
        </w:r>
      </w:hyperlink>
      <w:r w:rsidR="0015015F">
        <w:t xml:space="preserve"> </w:t>
      </w:r>
      <w:r w:rsidR="00157150">
        <w:t>(Accessed: 25 September 2017).</w:t>
      </w:r>
    </w:p>
  </w:footnote>
  <w:footnote w:id="15">
    <w:p w:rsidR="005D3C1D" w:rsidRDefault="005D3C1D" w:rsidP="00B73A32">
      <w:pPr>
        <w:pStyle w:val="FootnoteText"/>
      </w:pPr>
      <w:r>
        <w:rPr>
          <w:rStyle w:val="FootnoteReference"/>
        </w:rPr>
        <w:footnoteRef/>
      </w:r>
      <w:r>
        <w:t xml:space="preserve"> </w:t>
      </w:r>
      <w:r w:rsidR="00921011">
        <w:t xml:space="preserve">Attorney General’s Office (2017) available at </w:t>
      </w:r>
      <w:hyperlink r:id="rId9" w:history="1">
        <w:r w:rsidR="0015015F" w:rsidRPr="004477C8">
          <w:rPr>
            <w:rStyle w:val="Hyperlink"/>
          </w:rPr>
          <w:t>https://www.gov.uk/government/news/new-panel-launched-to-drive-legal-education</w:t>
        </w:r>
      </w:hyperlink>
      <w:r w:rsidR="0015015F">
        <w:t xml:space="preserve"> </w:t>
      </w:r>
      <w:r w:rsidR="00921011">
        <w:t>(Accessed: 25 September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85" w:rsidRDefault="006F1F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85" w:rsidRDefault="006F1F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F85" w:rsidRDefault="006F1F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11"/>
    <w:rsid w:val="00001F15"/>
    <w:rsid w:val="00035994"/>
    <w:rsid w:val="000D6D2F"/>
    <w:rsid w:val="000E769B"/>
    <w:rsid w:val="00125073"/>
    <w:rsid w:val="0015015F"/>
    <w:rsid w:val="00157150"/>
    <w:rsid w:val="00171C29"/>
    <w:rsid w:val="00206DAA"/>
    <w:rsid w:val="00250795"/>
    <w:rsid w:val="00295A3E"/>
    <w:rsid w:val="002E45EC"/>
    <w:rsid w:val="002F48F8"/>
    <w:rsid w:val="003420F4"/>
    <w:rsid w:val="003B64D5"/>
    <w:rsid w:val="003D2716"/>
    <w:rsid w:val="00414BDD"/>
    <w:rsid w:val="004503C3"/>
    <w:rsid w:val="004A2DCA"/>
    <w:rsid w:val="004C69AB"/>
    <w:rsid w:val="00546676"/>
    <w:rsid w:val="005679C6"/>
    <w:rsid w:val="005703FC"/>
    <w:rsid w:val="005A7D36"/>
    <w:rsid w:val="005D3C1D"/>
    <w:rsid w:val="005F58E4"/>
    <w:rsid w:val="00675343"/>
    <w:rsid w:val="00676F0A"/>
    <w:rsid w:val="006A0559"/>
    <w:rsid w:val="006C0354"/>
    <w:rsid w:val="006F1F85"/>
    <w:rsid w:val="00774A6F"/>
    <w:rsid w:val="007A2E27"/>
    <w:rsid w:val="007A3A27"/>
    <w:rsid w:val="007B715F"/>
    <w:rsid w:val="007D5AB6"/>
    <w:rsid w:val="00815E46"/>
    <w:rsid w:val="00861542"/>
    <w:rsid w:val="008621C6"/>
    <w:rsid w:val="00875BE5"/>
    <w:rsid w:val="0088090B"/>
    <w:rsid w:val="008F0E34"/>
    <w:rsid w:val="00921011"/>
    <w:rsid w:val="00964B5F"/>
    <w:rsid w:val="00974539"/>
    <w:rsid w:val="009A4F6D"/>
    <w:rsid w:val="009D610D"/>
    <w:rsid w:val="00A01574"/>
    <w:rsid w:val="00A33CEC"/>
    <w:rsid w:val="00A41ADF"/>
    <w:rsid w:val="00A62111"/>
    <w:rsid w:val="00A85FD5"/>
    <w:rsid w:val="00AD59C4"/>
    <w:rsid w:val="00AE7A5A"/>
    <w:rsid w:val="00B73A32"/>
    <w:rsid w:val="00B85A46"/>
    <w:rsid w:val="00BA6A44"/>
    <w:rsid w:val="00BE1649"/>
    <w:rsid w:val="00C130DA"/>
    <w:rsid w:val="00C37DF2"/>
    <w:rsid w:val="00C62843"/>
    <w:rsid w:val="00D25197"/>
    <w:rsid w:val="00D863F8"/>
    <w:rsid w:val="00DB7444"/>
    <w:rsid w:val="00DC1C80"/>
    <w:rsid w:val="00DC24D6"/>
    <w:rsid w:val="00E01690"/>
    <w:rsid w:val="00E109F1"/>
    <w:rsid w:val="00E21C1D"/>
    <w:rsid w:val="00E84BA4"/>
    <w:rsid w:val="00E94D15"/>
    <w:rsid w:val="00F25416"/>
    <w:rsid w:val="00F276E7"/>
    <w:rsid w:val="00F7154B"/>
    <w:rsid w:val="00F81F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6C60E-54D2-4072-9E0C-63E0602E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21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111"/>
    <w:rPr>
      <w:sz w:val="20"/>
      <w:szCs w:val="20"/>
    </w:rPr>
  </w:style>
  <w:style w:type="character" w:styleId="FootnoteReference">
    <w:name w:val="footnote reference"/>
    <w:basedOn w:val="DefaultParagraphFont"/>
    <w:uiPriority w:val="99"/>
    <w:semiHidden/>
    <w:unhideWhenUsed/>
    <w:rsid w:val="00A62111"/>
    <w:rPr>
      <w:vertAlign w:val="superscript"/>
    </w:rPr>
  </w:style>
  <w:style w:type="character" w:styleId="Hyperlink">
    <w:name w:val="Hyperlink"/>
    <w:basedOn w:val="DefaultParagraphFont"/>
    <w:uiPriority w:val="99"/>
    <w:unhideWhenUsed/>
    <w:rsid w:val="00875BE5"/>
    <w:rPr>
      <w:color w:val="0000FF" w:themeColor="hyperlink"/>
      <w:u w:val="single"/>
    </w:rPr>
  </w:style>
  <w:style w:type="character" w:styleId="CommentReference">
    <w:name w:val="annotation reference"/>
    <w:basedOn w:val="DefaultParagraphFont"/>
    <w:uiPriority w:val="99"/>
    <w:semiHidden/>
    <w:unhideWhenUsed/>
    <w:rsid w:val="004C69AB"/>
    <w:rPr>
      <w:sz w:val="16"/>
      <w:szCs w:val="16"/>
    </w:rPr>
  </w:style>
  <w:style w:type="paragraph" w:styleId="CommentText">
    <w:name w:val="annotation text"/>
    <w:basedOn w:val="Normal"/>
    <w:link w:val="CommentTextChar"/>
    <w:uiPriority w:val="99"/>
    <w:semiHidden/>
    <w:unhideWhenUsed/>
    <w:rsid w:val="004C69AB"/>
    <w:pPr>
      <w:spacing w:line="240" w:lineRule="auto"/>
    </w:pPr>
    <w:rPr>
      <w:sz w:val="20"/>
      <w:szCs w:val="20"/>
    </w:rPr>
  </w:style>
  <w:style w:type="character" w:customStyle="1" w:styleId="CommentTextChar">
    <w:name w:val="Comment Text Char"/>
    <w:basedOn w:val="DefaultParagraphFont"/>
    <w:link w:val="CommentText"/>
    <w:uiPriority w:val="99"/>
    <w:semiHidden/>
    <w:rsid w:val="004C69AB"/>
    <w:rPr>
      <w:sz w:val="20"/>
      <w:szCs w:val="20"/>
    </w:rPr>
  </w:style>
  <w:style w:type="paragraph" w:styleId="CommentSubject">
    <w:name w:val="annotation subject"/>
    <w:basedOn w:val="CommentText"/>
    <w:next w:val="CommentText"/>
    <w:link w:val="CommentSubjectChar"/>
    <w:uiPriority w:val="99"/>
    <w:semiHidden/>
    <w:unhideWhenUsed/>
    <w:rsid w:val="004C69AB"/>
    <w:rPr>
      <w:b/>
      <w:bCs/>
    </w:rPr>
  </w:style>
  <w:style w:type="character" w:customStyle="1" w:styleId="CommentSubjectChar">
    <w:name w:val="Comment Subject Char"/>
    <w:basedOn w:val="CommentTextChar"/>
    <w:link w:val="CommentSubject"/>
    <w:uiPriority w:val="99"/>
    <w:semiHidden/>
    <w:rsid w:val="004C69AB"/>
    <w:rPr>
      <w:b/>
      <w:bCs/>
      <w:sz w:val="20"/>
      <w:szCs w:val="20"/>
    </w:rPr>
  </w:style>
  <w:style w:type="paragraph" w:styleId="BalloonText">
    <w:name w:val="Balloon Text"/>
    <w:basedOn w:val="Normal"/>
    <w:link w:val="BalloonTextChar"/>
    <w:uiPriority w:val="99"/>
    <w:semiHidden/>
    <w:unhideWhenUsed/>
    <w:rsid w:val="004C6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9AB"/>
    <w:rPr>
      <w:rFonts w:ascii="Segoe UI" w:hAnsi="Segoe UI" w:cs="Segoe UI"/>
      <w:sz w:val="18"/>
      <w:szCs w:val="18"/>
    </w:rPr>
  </w:style>
  <w:style w:type="paragraph" w:styleId="Header">
    <w:name w:val="header"/>
    <w:basedOn w:val="Normal"/>
    <w:link w:val="HeaderChar"/>
    <w:uiPriority w:val="99"/>
    <w:unhideWhenUsed/>
    <w:rsid w:val="006F1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F85"/>
  </w:style>
  <w:style w:type="paragraph" w:styleId="Footer">
    <w:name w:val="footer"/>
    <w:basedOn w:val="Normal"/>
    <w:link w:val="FooterChar"/>
    <w:uiPriority w:val="99"/>
    <w:unhideWhenUsed/>
    <w:rsid w:val="006F1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judiciary.gov.uk/wp-content/uploads/2016/07/civil-courts-structure-review-final-report-jul-16-final-1.pdf" TargetMode="External"/><Relationship Id="rId3" Type="http://schemas.openxmlformats.org/officeDocument/2006/relationships/hyperlink" Target="https://www.gov.uk/government/uploads/system/uploads/attachment_data/file/587649/Review-of-introduction-of-fees-in-employment-tribunals.pdf" TargetMode="External"/><Relationship Id="rId7" Type="http://schemas.openxmlformats.org/officeDocument/2006/relationships/hyperlink" Target="http://webarchive.nationalarchives.gov.uk/20110216140603/http:/lsrc.org.uk/publications/2010CSJSAnnualReport.pdf" TargetMode="External"/><Relationship Id="rId2" Type="http://schemas.openxmlformats.org/officeDocument/2006/relationships/hyperlink" Target="http://researchbriefings.files.parliament.uk/documents/CBP-7346/CBP-7346.pdf" TargetMode="External"/><Relationship Id="rId1" Type="http://schemas.openxmlformats.org/officeDocument/2006/relationships/hyperlink" Target="https://www.theguardian.com/law/2013/mar/11/legal-aid-cuts-shelter-offices" TargetMode="External"/><Relationship Id="rId6" Type="http://schemas.openxmlformats.org/officeDocument/2006/relationships/hyperlink" Target="https://www.lawworks.org.uk/solicitors-and-volunteers/resources/lawworks-clinics-network-report-april-2015-march-2016" TargetMode="External"/><Relationship Id="rId5" Type="http://schemas.openxmlformats.org/officeDocument/2006/relationships/hyperlink" Target="http://lawforlife.org.uk/wp-content/uploads/2010/05/knowledge-capability-and-the-experience-of-rights-problems-lsrc-may-2010-255.pdf" TargetMode="External"/><Relationship Id="rId4" Type="http://schemas.openxmlformats.org/officeDocument/2006/relationships/hyperlink" Target="https://www.lawgazette.co.uk/news/legal-aid-cuts-creating-new-advice-deserts/5054789.article" TargetMode="External"/><Relationship Id="rId9" Type="http://schemas.openxmlformats.org/officeDocument/2006/relationships/hyperlink" Target="https://www.gov.uk/government/news/new-panel-launched-to-drive-leg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92C8-C4E2-4542-A0F0-6BC081FB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Morse</dc:creator>
  <cp:keywords/>
  <dc:description/>
  <cp:lastModifiedBy>Ay Okpokam</cp:lastModifiedBy>
  <cp:revision>4</cp:revision>
  <dcterms:created xsi:type="dcterms:W3CDTF">2017-10-05T09:09:00Z</dcterms:created>
  <dcterms:modified xsi:type="dcterms:W3CDTF">2017-10-10T16:20:00Z</dcterms:modified>
</cp:coreProperties>
</file>