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6B" w:rsidRPr="0017636B" w:rsidRDefault="0017636B" w:rsidP="0017636B">
      <w:pPr>
        <w:keepNext/>
        <w:keepLines/>
        <w:spacing w:after="0" w:line="360" w:lineRule="auto"/>
        <w:outlineLvl w:val="1"/>
        <w:rPr>
          <w:rFonts w:ascii="Palatino Linotype" w:eastAsia="Times New Roman" w:hAnsi="Palatino Linotype" w:cs="Times New Roman"/>
          <w:b/>
          <w:bCs/>
          <w:sz w:val="26"/>
          <w:szCs w:val="26"/>
        </w:rPr>
      </w:pPr>
      <w:bookmarkStart w:id="0" w:name="_Toc420057317"/>
      <w:bookmarkStart w:id="1" w:name="_Toc424273758"/>
      <w:r w:rsidRPr="0017636B">
        <w:rPr>
          <w:rFonts w:ascii="Palatino Linotype" w:eastAsia="Times New Roman" w:hAnsi="Palatino Linotype" w:cs="Times New Roman"/>
          <w:b/>
          <w:bCs/>
          <w:sz w:val="26"/>
          <w:szCs w:val="26"/>
        </w:rPr>
        <w:t>Third Sector Commentary</w:t>
      </w:r>
      <w:bookmarkEnd w:id="0"/>
      <w:r w:rsidRPr="0017636B">
        <w:rPr>
          <w:rFonts w:ascii="Palatino Linotype" w:eastAsia="Times New Roman" w:hAnsi="Palatino Linotype" w:cs="Times New Roman"/>
          <w:b/>
          <w:bCs/>
          <w:sz w:val="26"/>
          <w:szCs w:val="26"/>
        </w:rPr>
        <w:t xml:space="preserve">: A view on neo-liberalism of the sector, Kate </w:t>
      </w:r>
      <w:proofErr w:type="spellStart"/>
      <w:r w:rsidRPr="0017636B">
        <w:rPr>
          <w:rFonts w:ascii="Palatino Linotype" w:eastAsia="Times New Roman" w:hAnsi="Palatino Linotype" w:cs="Times New Roman"/>
          <w:b/>
          <w:bCs/>
          <w:sz w:val="26"/>
          <w:szCs w:val="26"/>
        </w:rPr>
        <w:t>Mukungu</w:t>
      </w:r>
      <w:proofErr w:type="spellEnd"/>
      <w:r w:rsidRPr="0017636B">
        <w:rPr>
          <w:rFonts w:ascii="Palatino Linotype" w:eastAsia="Times New Roman" w:hAnsi="Palatino Linotype" w:cs="Times New Roman"/>
          <w:b/>
          <w:bCs/>
          <w:sz w:val="26"/>
          <w:szCs w:val="26"/>
          <w:vertAlign w:val="superscript"/>
        </w:rPr>
        <w:footnoteReference w:id="1"/>
      </w:r>
      <w:bookmarkEnd w:id="1"/>
    </w:p>
    <w:p w:rsidR="0017636B" w:rsidRPr="0017636B" w:rsidRDefault="0017636B" w:rsidP="0017636B">
      <w:pPr>
        <w:rPr>
          <w:rFonts w:ascii="Calibri" w:eastAsia="Calibri" w:hAnsi="Calibri" w:cs="Times New Roman"/>
        </w:rPr>
      </w:pPr>
    </w:p>
    <w:p w:rsidR="0017636B" w:rsidRPr="0017636B" w:rsidRDefault="0017636B" w:rsidP="0017636B">
      <w:pPr>
        <w:spacing w:after="0" w:line="360" w:lineRule="auto"/>
        <w:jc w:val="both"/>
        <w:rPr>
          <w:rFonts w:ascii="Palatino Linotype" w:eastAsia="Calibri" w:hAnsi="Palatino Linotype" w:cs="Times New Roman"/>
        </w:rPr>
      </w:pPr>
      <w:r w:rsidRPr="0017636B">
        <w:rPr>
          <w:rFonts w:ascii="Palatino Linotype" w:eastAsia="Calibri" w:hAnsi="Palatino Linotype" w:cs="Times New Roman"/>
        </w:rPr>
        <w:t xml:space="preserve">As a participant in NETSRG, I verbally presented a review of the article by Kim (2013) focusing on voluntary and community sector (VCS) participation in the Self-Sufficiency Programme (SSP), the South Korean equivalent of Welfare to Work.  Here I present a written expansion of that verbal review, solely in relation to this article, as opposed to all three articles that made up the session on neo-liberalisation.  Before offering my thoughts on Kim’s work, I wish to explain it as my article of choice.  </w:t>
      </w:r>
    </w:p>
    <w:p w:rsidR="0017636B" w:rsidRPr="0017636B" w:rsidRDefault="0017636B" w:rsidP="0017636B">
      <w:pPr>
        <w:spacing w:after="0" w:line="360" w:lineRule="auto"/>
        <w:jc w:val="both"/>
        <w:rPr>
          <w:rFonts w:ascii="Palatino Linotype" w:eastAsia="Calibri" w:hAnsi="Palatino Linotype" w:cs="Times New Roman"/>
        </w:rPr>
      </w:pPr>
    </w:p>
    <w:p w:rsidR="0017636B" w:rsidRPr="0017636B" w:rsidRDefault="0017636B" w:rsidP="0017636B">
      <w:pPr>
        <w:spacing w:after="0" w:line="360" w:lineRule="auto"/>
        <w:jc w:val="both"/>
        <w:rPr>
          <w:rFonts w:ascii="Palatino Linotype" w:eastAsia="Calibri" w:hAnsi="Palatino Linotype" w:cs="Times New Roman"/>
        </w:rPr>
      </w:pPr>
      <w:r w:rsidRPr="0017636B">
        <w:rPr>
          <w:rFonts w:ascii="Palatino Linotype" w:eastAsia="Calibri" w:hAnsi="Palatino Linotype" w:cs="Times New Roman"/>
        </w:rPr>
        <w:t>Firstly, I knew even before the inaugural meeting of the research group that the session in which I most wanted to participate was the neo-liberalisation of the VCS.  This is because neo-liberalism is a concept in which I have immersed myself as an academic but is not a term I generally hear uttered in VCS networks and meetings at work.  In fact, the prospect of being part of a debate neo-liberalism with other VCS colleagues for the first time was the main reason I was drawn to the group.  Secondly, I was particularly interested in the international context of Kim’s article, which appealed as a reminder that the forces of neo-liberalism are not confined to the borders of England, Europe and North America.   Although borne of the ideology of Thatcher and Regan, the impact of neo-liberalism is now global, due primarily to the influence of the International Monetary Fund and the World Bank.  It follows that the struggles faced by those who would wish to swim against that particular tide are faced the world over too.  So, it would seem incomplete to consider neo-liberalism only in relation to one’s own area and political context and given that South Korea is a not a country about which I have much knowledge or any experience, this paper seemed to offer much that could be learned.</w:t>
      </w:r>
    </w:p>
    <w:p w:rsidR="0017636B" w:rsidRPr="0017636B" w:rsidRDefault="0017636B" w:rsidP="0017636B">
      <w:pPr>
        <w:spacing w:after="0" w:line="360" w:lineRule="auto"/>
        <w:jc w:val="both"/>
        <w:rPr>
          <w:rFonts w:ascii="Palatino Linotype" w:eastAsia="Calibri" w:hAnsi="Palatino Linotype" w:cs="Times New Roman"/>
        </w:rPr>
      </w:pPr>
    </w:p>
    <w:p w:rsidR="0017636B" w:rsidRPr="0017636B" w:rsidRDefault="0017636B" w:rsidP="0017636B">
      <w:pPr>
        <w:spacing w:after="0" w:line="360" w:lineRule="auto"/>
        <w:jc w:val="both"/>
        <w:rPr>
          <w:rFonts w:ascii="Palatino Linotype" w:eastAsia="Calibri" w:hAnsi="Palatino Linotype" w:cs="Times New Roman"/>
        </w:rPr>
      </w:pPr>
      <w:r w:rsidRPr="0017636B">
        <w:rPr>
          <w:rFonts w:ascii="Palatino Linotype" w:eastAsia="Calibri" w:hAnsi="Palatino Linotype" w:cs="Times New Roman"/>
        </w:rPr>
        <w:lastRenderedPageBreak/>
        <w:t>So, now onto the article review which entails my responses to the three questions set by the group:</w:t>
      </w:r>
    </w:p>
    <w:p w:rsidR="0017636B" w:rsidRPr="0017636B" w:rsidRDefault="0017636B" w:rsidP="0017636B">
      <w:pPr>
        <w:spacing w:after="0" w:line="360" w:lineRule="auto"/>
        <w:jc w:val="both"/>
        <w:rPr>
          <w:rFonts w:ascii="Palatino Linotype" w:eastAsia="Calibri" w:hAnsi="Palatino Linotype" w:cs="Times New Roman"/>
        </w:rPr>
      </w:pPr>
    </w:p>
    <w:p w:rsidR="0017636B" w:rsidRPr="0017636B" w:rsidRDefault="0017636B" w:rsidP="0017636B">
      <w:pPr>
        <w:numPr>
          <w:ilvl w:val="0"/>
          <w:numId w:val="1"/>
        </w:numPr>
        <w:spacing w:after="0" w:line="360" w:lineRule="auto"/>
        <w:contextualSpacing/>
        <w:jc w:val="both"/>
        <w:rPr>
          <w:rFonts w:ascii="Palatino Linotype" w:eastAsia="Calibri" w:hAnsi="Palatino Linotype" w:cs="Times New Roman"/>
        </w:rPr>
      </w:pPr>
      <w:r w:rsidRPr="0017636B">
        <w:rPr>
          <w:rFonts w:ascii="Palatino Linotype" w:eastAsia="Calibri" w:hAnsi="Palatino Linotype" w:cs="Times New Roman"/>
        </w:rPr>
        <w:t>What theoretical position is the paper trying to advance?</w:t>
      </w:r>
    </w:p>
    <w:p w:rsidR="0017636B" w:rsidRPr="0017636B" w:rsidRDefault="0017636B" w:rsidP="0017636B">
      <w:pPr>
        <w:spacing w:after="0" w:line="360" w:lineRule="auto"/>
        <w:jc w:val="both"/>
        <w:rPr>
          <w:rFonts w:ascii="Palatino Linotype" w:eastAsia="Calibri" w:hAnsi="Palatino Linotype" w:cs="Times New Roman"/>
        </w:rPr>
      </w:pPr>
    </w:p>
    <w:p w:rsidR="0017636B" w:rsidRPr="0017636B" w:rsidRDefault="0017636B" w:rsidP="0017636B">
      <w:pPr>
        <w:spacing w:after="0" w:line="360" w:lineRule="auto"/>
        <w:jc w:val="both"/>
        <w:rPr>
          <w:rFonts w:ascii="Palatino Linotype" w:eastAsia="Calibri" w:hAnsi="Palatino Linotype" w:cs="Times New Roman"/>
        </w:rPr>
      </w:pPr>
      <w:r w:rsidRPr="0017636B">
        <w:rPr>
          <w:rFonts w:ascii="Palatino Linotype" w:eastAsia="Calibri" w:hAnsi="Palatino Linotype" w:cs="Times New Roman"/>
        </w:rPr>
        <w:t>The main finding of the study is to unveil how the VCS ‘recreated democratic and inclusive environments’ in the mandatory policy setting of SSP.    Kim purports that the VCS achieved by organising a range of activities outside of SSP for ‘recipients’ and by transferring authority to them.</w:t>
      </w:r>
    </w:p>
    <w:p w:rsidR="0017636B" w:rsidRPr="0017636B" w:rsidRDefault="0017636B" w:rsidP="0017636B">
      <w:pPr>
        <w:spacing w:after="0" w:line="360" w:lineRule="auto"/>
        <w:ind w:left="720"/>
        <w:contextualSpacing/>
        <w:jc w:val="both"/>
        <w:rPr>
          <w:rFonts w:ascii="Palatino Linotype" w:eastAsia="Calibri" w:hAnsi="Palatino Linotype" w:cs="Times New Roman"/>
        </w:rPr>
      </w:pPr>
    </w:p>
    <w:p w:rsidR="0017636B" w:rsidRPr="0017636B" w:rsidRDefault="0017636B" w:rsidP="0017636B">
      <w:pPr>
        <w:numPr>
          <w:ilvl w:val="0"/>
          <w:numId w:val="1"/>
        </w:numPr>
        <w:spacing w:after="0" w:line="360" w:lineRule="auto"/>
        <w:contextualSpacing/>
        <w:jc w:val="both"/>
        <w:rPr>
          <w:rFonts w:ascii="Palatino Linotype" w:eastAsia="Calibri" w:hAnsi="Palatino Linotype" w:cs="Times New Roman"/>
        </w:rPr>
      </w:pPr>
      <w:r w:rsidRPr="0017636B">
        <w:rPr>
          <w:rFonts w:ascii="Palatino Linotype" w:eastAsia="Calibri" w:hAnsi="Palatino Linotype" w:cs="Times New Roman"/>
        </w:rPr>
        <w:t>Do you agree with the position?</w:t>
      </w:r>
    </w:p>
    <w:p w:rsidR="0017636B" w:rsidRPr="0017636B" w:rsidRDefault="0017636B" w:rsidP="0017636B">
      <w:pPr>
        <w:spacing w:after="0" w:line="360" w:lineRule="auto"/>
        <w:jc w:val="both"/>
        <w:rPr>
          <w:rFonts w:ascii="Palatino Linotype" w:eastAsia="Calibri" w:hAnsi="Palatino Linotype" w:cs="Times New Roman"/>
        </w:rPr>
      </w:pPr>
    </w:p>
    <w:p w:rsidR="0017636B" w:rsidRPr="0017636B" w:rsidRDefault="0017636B" w:rsidP="0017636B">
      <w:pPr>
        <w:spacing w:after="0" w:line="360" w:lineRule="auto"/>
        <w:jc w:val="both"/>
        <w:rPr>
          <w:rFonts w:ascii="Palatino Linotype" w:eastAsia="Calibri" w:hAnsi="Palatino Linotype" w:cs="Times New Roman"/>
        </w:rPr>
      </w:pPr>
      <w:r w:rsidRPr="0017636B">
        <w:rPr>
          <w:rFonts w:ascii="Palatino Linotype" w:eastAsia="Calibri" w:hAnsi="Palatino Linotype" w:cs="Times New Roman"/>
        </w:rPr>
        <w:t>I found the article fascinating in terms of learning how the VCS operated as community organisers during authoritarian rule in South Korea and the changes that came with democracy, as VCS organisations were given the remit to run services akin to Job Centre Plus.  I particularly value the insight Kim provides into the dilemmas faced by VCS organisations with a strong history of collective</w:t>
      </w:r>
      <w:r w:rsidR="000508B9">
        <w:rPr>
          <w:rFonts w:ascii="Palatino Linotype" w:eastAsia="Calibri" w:hAnsi="Palatino Linotype" w:cs="Times New Roman"/>
        </w:rPr>
        <w:t xml:space="preserve"> action that is pro-poor people</w:t>
      </w:r>
      <w:r w:rsidRPr="0017636B">
        <w:rPr>
          <w:rFonts w:ascii="Palatino Linotype" w:eastAsia="Calibri" w:hAnsi="Palatino Linotype" w:cs="Times New Roman"/>
        </w:rPr>
        <w:t>,</w:t>
      </w:r>
      <w:r w:rsidR="000508B9">
        <w:rPr>
          <w:rFonts w:ascii="Palatino Linotype" w:eastAsia="Calibri" w:hAnsi="Palatino Linotype" w:cs="Times New Roman"/>
        </w:rPr>
        <w:t xml:space="preserve"> </w:t>
      </w:r>
      <w:r w:rsidRPr="0017636B">
        <w:rPr>
          <w:rFonts w:ascii="Palatino Linotype" w:eastAsia="Calibri" w:hAnsi="Palatino Linotype" w:cs="Times New Roman"/>
        </w:rPr>
        <w:t>to then take on the role of assessing whether individuals are deserving of state financial support or not.   I also found it helpful to access Kim’s observations through his mixed methodology; archival research, semi-structured interviews and a period of participant observation.</w:t>
      </w:r>
    </w:p>
    <w:p w:rsidR="0017636B" w:rsidRPr="0017636B" w:rsidRDefault="0017636B" w:rsidP="0017636B">
      <w:pPr>
        <w:spacing w:after="0" w:line="360" w:lineRule="auto"/>
        <w:jc w:val="both"/>
        <w:rPr>
          <w:rFonts w:ascii="Palatino Linotype" w:eastAsia="Calibri" w:hAnsi="Palatino Linotype" w:cs="Times New Roman"/>
        </w:rPr>
      </w:pPr>
    </w:p>
    <w:p w:rsidR="0017636B" w:rsidRPr="0017636B" w:rsidRDefault="0017636B" w:rsidP="0017636B">
      <w:pPr>
        <w:spacing w:after="0" w:line="360" w:lineRule="auto"/>
        <w:jc w:val="both"/>
        <w:rPr>
          <w:rFonts w:ascii="Palatino Linotype" w:eastAsia="Calibri" w:hAnsi="Palatino Linotype" w:cs="Times New Roman"/>
        </w:rPr>
      </w:pPr>
      <w:r w:rsidRPr="0017636B">
        <w:rPr>
          <w:rFonts w:ascii="Palatino Linotype" w:eastAsia="Calibri" w:hAnsi="Palatino Linotype" w:cs="Times New Roman"/>
        </w:rPr>
        <w:t xml:space="preserve">However, I don’t totally agree with the position taken by Kim as I think he is at risk of over-emphasising the significance of positive impact of the ways VCS organisations engaged with recipients in comparison to state counterparts.    </w:t>
      </w:r>
    </w:p>
    <w:p w:rsidR="0017636B" w:rsidRPr="0017636B" w:rsidRDefault="0017636B" w:rsidP="0017636B">
      <w:pPr>
        <w:spacing w:after="0" w:line="360" w:lineRule="auto"/>
        <w:jc w:val="both"/>
        <w:rPr>
          <w:rFonts w:ascii="Palatino Linotype" w:eastAsia="Calibri" w:hAnsi="Palatino Linotype" w:cs="Times New Roman"/>
        </w:rPr>
      </w:pPr>
    </w:p>
    <w:p w:rsidR="0017636B" w:rsidRPr="0017636B" w:rsidRDefault="0017636B" w:rsidP="0017636B">
      <w:pPr>
        <w:spacing w:after="0" w:line="360" w:lineRule="auto"/>
        <w:ind w:left="720"/>
        <w:jc w:val="both"/>
        <w:rPr>
          <w:rFonts w:ascii="Palatino Linotype" w:eastAsia="Calibri" w:hAnsi="Palatino Linotype" w:cs="BaskervilleMT"/>
        </w:rPr>
      </w:pPr>
      <w:r w:rsidRPr="0017636B">
        <w:rPr>
          <w:rFonts w:ascii="Palatino Linotype" w:eastAsia="Calibri" w:hAnsi="Palatino Linotype" w:cs="BaskervilleMT"/>
        </w:rPr>
        <w:t xml:space="preserve">“As new street-level bureaucrats, voluntary organizations can exercise a degree </w:t>
      </w:r>
    </w:p>
    <w:p w:rsidR="0017636B" w:rsidRPr="0017636B" w:rsidRDefault="0017636B" w:rsidP="0017636B">
      <w:pPr>
        <w:spacing w:after="0" w:line="360" w:lineRule="auto"/>
        <w:ind w:left="720"/>
        <w:jc w:val="both"/>
        <w:rPr>
          <w:rFonts w:ascii="Palatino Linotype" w:eastAsia="Calibri" w:hAnsi="Palatino Linotype" w:cs="BaskervilleMT"/>
        </w:rPr>
      </w:pPr>
      <w:r w:rsidRPr="0017636B">
        <w:rPr>
          <w:rFonts w:ascii="Palatino Linotype" w:eastAsia="Calibri" w:hAnsi="Palatino Linotype" w:cs="BaskervilleMT"/>
        </w:rPr>
        <w:t xml:space="preserve">of autonomy on the frontline despite the bureaucratic constraints engendered by partnership and can thereby reshape a participatory culture </w:t>
      </w:r>
      <w:r w:rsidRPr="0017636B">
        <w:rPr>
          <w:rFonts w:ascii="Palatino Linotype" w:eastAsia="Calibri" w:hAnsi="Palatino Linotype" w:cs="BaskervilleMT-Italic"/>
          <w:iCs/>
        </w:rPr>
        <w:t xml:space="preserve">within </w:t>
      </w:r>
      <w:r w:rsidRPr="0017636B">
        <w:rPr>
          <w:rFonts w:ascii="Palatino Linotype" w:eastAsia="Calibri" w:hAnsi="Palatino Linotype" w:cs="BaskervilleMT"/>
        </w:rPr>
        <w:t xml:space="preserve">the policy </w:t>
      </w:r>
    </w:p>
    <w:p w:rsidR="0017636B" w:rsidRPr="0017636B" w:rsidRDefault="0017636B" w:rsidP="0017636B">
      <w:pPr>
        <w:spacing w:after="0" w:line="360" w:lineRule="auto"/>
        <w:ind w:left="720"/>
        <w:jc w:val="both"/>
        <w:rPr>
          <w:rFonts w:ascii="Palatino Linotype" w:eastAsia="Calibri" w:hAnsi="Palatino Linotype" w:cs="BaskervilleMT"/>
        </w:rPr>
      </w:pPr>
      <w:r w:rsidRPr="0017636B">
        <w:rPr>
          <w:rFonts w:ascii="Palatino Linotype" w:eastAsia="Calibri" w:hAnsi="Palatino Linotype" w:cs="BaskervilleMT"/>
        </w:rPr>
        <w:t>system “ (Kim: 580)</w:t>
      </w:r>
    </w:p>
    <w:p w:rsidR="0017636B" w:rsidRPr="0017636B" w:rsidRDefault="0017636B" w:rsidP="0017636B">
      <w:pPr>
        <w:autoSpaceDE w:val="0"/>
        <w:autoSpaceDN w:val="0"/>
        <w:adjustRightInd w:val="0"/>
        <w:spacing w:after="0" w:line="360" w:lineRule="auto"/>
        <w:ind w:left="5040" w:firstLine="720"/>
        <w:jc w:val="both"/>
        <w:rPr>
          <w:rFonts w:ascii="Palatino Linotype" w:eastAsia="Calibri" w:hAnsi="Palatino Linotype" w:cs="BaskervilleMT"/>
        </w:rPr>
      </w:pPr>
    </w:p>
    <w:p w:rsidR="0017636B" w:rsidRPr="0017636B" w:rsidRDefault="0017636B" w:rsidP="0017636B">
      <w:pPr>
        <w:spacing w:after="0" w:line="360" w:lineRule="auto"/>
        <w:jc w:val="both"/>
        <w:rPr>
          <w:rFonts w:ascii="Palatino Linotype" w:eastAsia="Calibri" w:hAnsi="Palatino Linotype" w:cs="Times New Roman"/>
        </w:rPr>
      </w:pPr>
      <w:r w:rsidRPr="0017636B">
        <w:rPr>
          <w:rFonts w:ascii="Palatino Linotype" w:eastAsia="Calibri" w:hAnsi="Palatino Linotype" w:cs="Times New Roman"/>
        </w:rPr>
        <w:lastRenderedPageBreak/>
        <w:t>When I look at the examples Kim provided, I think he is mainly articulating the ways in which VCS organisations have put a human face on a process that is tasked with separat</w:t>
      </w:r>
      <w:r w:rsidR="000508B9">
        <w:rPr>
          <w:rFonts w:ascii="Palatino Linotype" w:eastAsia="Calibri" w:hAnsi="Palatino Linotype" w:cs="Times New Roman"/>
        </w:rPr>
        <w:t>ing the deserving from the unde</w:t>
      </w:r>
      <w:r w:rsidRPr="0017636B">
        <w:rPr>
          <w:rFonts w:ascii="Palatino Linotype" w:eastAsia="Calibri" w:hAnsi="Palatino Linotype" w:cs="Times New Roman"/>
        </w:rPr>
        <w:t xml:space="preserve">serving poor.  In doing so he highlights that much of the reaching out to recipients by VCS staff has been at their own expense, such as celebrating birthdays and organising camping trips.  The staff efforts were also aimed at raising the esteem of the families in culturally important ways, such as buying gifts that invoke success in applying to university (for children of recipients) and by attending funerals of recipients’ family members in the evening, as a sign of regard in the community.   Kim also credits VCS organisations for introducing processes to encourage leadership and inclusiveness, although such initiatives had mixed success and some unintended outcomes that were not positive.  </w:t>
      </w:r>
    </w:p>
    <w:p w:rsidR="0017636B" w:rsidRPr="0017636B" w:rsidRDefault="0017636B" w:rsidP="0017636B">
      <w:pPr>
        <w:spacing w:after="0" w:line="360" w:lineRule="auto"/>
        <w:jc w:val="both"/>
        <w:rPr>
          <w:rFonts w:ascii="Palatino Linotype" w:eastAsia="Calibri" w:hAnsi="Palatino Linotype" w:cs="Times New Roman"/>
        </w:rPr>
      </w:pPr>
    </w:p>
    <w:p w:rsidR="0017636B" w:rsidRPr="0017636B" w:rsidRDefault="0017636B" w:rsidP="0017636B">
      <w:pPr>
        <w:spacing w:after="0" w:line="360" w:lineRule="auto"/>
        <w:jc w:val="both"/>
        <w:rPr>
          <w:rFonts w:ascii="Palatino Linotype" w:eastAsia="Calibri" w:hAnsi="Palatino Linotype" w:cs="Times New Roman"/>
        </w:rPr>
      </w:pPr>
      <w:r w:rsidRPr="0017636B">
        <w:rPr>
          <w:rFonts w:ascii="Palatino Linotype" w:eastAsia="Calibri" w:hAnsi="Palatino Linotype" w:cs="Times New Roman"/>
        </w:rPr>
        <w:t xml:space="preserve">The examples of the extra efforts that Kim observes in the VCS resonate with my own experience of the sector, here and in other countries.   I can therefore relate to them and in that regard they come as no surprise.  However, it would still appear that such localised initiatives, although mainly positive, are integrated into a larger national system that largely remains structurally unaffected by them.  </w:t>
      </w:r>
    </w:p>
    <w:p w:rsidR="0017636B" w:rsidRPr="0017636B" w:rsidRDefault="0017636B" w:rsidP="0017636B">
      <w:pPr>
        <w:spacing w:after="0" w:line="360" w:lineRule="auto"/>
        <w:jc w:val="both"/>
        <w:rPr>
          <w:rFonts w:ascii="Palatino Linotype" w:eastAsia="Calibri" w:hAnsi="Palatino Linotype" w:cs="Times New Roman"/>
        </w:rPr>
      </w:pPr>
    </w:p>
    <w:p w:rsidR="0017636B" w:rsidRPr="0017636B" w:rsidRDefault="0017636B" w:rsidP="0017636B">
      <w:pPr>
        <w:spacing w:after="0" w:line="360" w:lineRule="auto"/>
        <w:jc w:val="both"/>
        <w:rPr>
          <w:rFonts w:ascii="Palatino Linotype" w:eastAsia="Calibri" w:hAnsi="Palatino Linotype" w:cs="Times New Roman"/>
        </w:rPr>
      </w:pPr>
      <w:r w:rsidRPr="0017636B">
        <w:rPr>
          <w:rFonts w:ascii="Palatino Linotype" w:eastAsia="Calibri" w:hAnsi="Palatino Linotype" w:cs="Times New Roman"/>
        </w:rPr>
        <w:t xml:space="preserve">Kim also observes that VCS work to challenge poverty since its role as part of SSP is not the same as the community organising work of the past, </w:t>
      </w:r>
    </w:p>
    <w:p w:rsidR="0017636B" w:rsidRPr="0017636B" w:rsidRDefault="0017636B" w:rsidP="0017636B">
      <w:pPr>
        <w:spacing w:after="0" w:line="360" w:lineRule="auto"/>
        <w:jc w:val="both"/>
        <w:rPr>
          <w:rFonts w:ascii="Palatino Linotype" w:eastAsia="Calibri" w:hAnsi="Palatino Linotype" w:cs="Times New Roman"/>
        </w:rPr>
      </w:pPr>
    </w:p>
    <w:p w:rsidR="0017636B" w:rsidRPr="0017636B" w:rsidRDefault="0017636B" w:rsidP="0017636B">
      <w:pPr>
        <w:spacing w:after="0" w:line="360" w:lineRule="auto"/>
        <w:ind w:left="720"/>
        <w:jc w:val="both"/>
        <w:rPr>
          <w:rFonts w:ascii="Palatino Linotype" w:eastAsia="Calibri" w:hAnsi="Palatino Linotype" w:cs="BaskervilleMT"/>
        </w:rPr>
      </w:pPr>
      <w:r w:rsidRPr="0017636B">
        <w:rPr>
          <w:rFonts w:ascii="Palatino Linotype" w:eastAsia="Calibri" w:hAnsi="Palatino Linotype" w:cs="BaskervilleMT"/>
        </w:rPr>
        <w:t>“Of course, the ways in which community organizations retain their spirit of autonomy in partnership have become more indirect and nuanced than their previous work outside of partnership.” (Kim: 580)</w:t>
      </w:r>
    </w:p>
    <w:p w:rsidR="0017636B" w:rsidRPr="0017636B" w:rsidRDefault="0017636B" w:rsidP="0017636B">
      <w:pPr>
        <w:spacing w:after="0" w:line="360" w:lineRule="auto"/>
        <w:ind w:left="720"/>
        <w:jc w:val="both"/>
        <w:rPr>
          <w:rFonts w:ascii="Palatino Linotype" w:eastAsia="Calibri" w:hAnsi="Palatino Linotype" w:cs="BaskervilleMT"/>
        </w:rPr>
      </w:pPr>
    </w:p>
    <w:p w:rsidR="0017636B" w:rsidRPr="0017636B" w:rsidRDefault="0017636B" w:rsidP="0017636B">
      <w:pPr>
        <w:spacing w:after="0" w:line="360" w:lineRule="auto"/>
        <w:jc w:val="both"/>
        <w:rPr>
          <w:rFonts w:ascii="Palatino Linotype" w:eastAsia="Calibri" w:hAnsi="Palatino Linotype" w:cs="Times New Roman"/>
        </w:rPr>
      </w:pPr>
      <w:r w:rsidRPr="0017636B">
        <w:rPr>
          <w:rFonts w:ascii="Palatino Linotype" w:eastAsia="Calibri" w:hAnsi="Palatino Linotype" w:cs="Times New Roman"/>
        </w:rPr>
        <w:t>With this in mind, it is necessary to balance what the VCS has achieved in providing a more human face in SSP, against what i</w:t>
      </w:r>
      <w:r w:rsidR="000508B9">
        <w:rPr>
          <w:rFonts w:ascii="Palatino Linotype" w:eastAsia="Calibri" w:hAnsi="Palatino Linotype" w:cs="Times New Roman"/>
        </w:rPr>
        <w:t>t</w:t>
      </w:r>
      <w:r w:rsidRPr="0017636B">
        <w:rPr>
          <w:rFonts w:ascii="Palatino Linotype" w:eastAsia="Calibri" w:hAnsi="Palatino Linotype" w:cs="Times New Roman"/>
        </w:rPr>
        <w:t xml:space="preserve"> has lost through becoming more ‘indirect’ and ‘nuanced’ than before.</w:t>
      </w:r>
    </w:p>
    <w:p w:rsidR="0017636B" w:rsidRPr="0017636B" w:rsidRDefault="0017636B" w:rsidP="0017636B">
      <w:pPr>
        <w:spacing w:after="0" w:line="360" w:lineRule="auto"/>
        <w:jc w:val="both"/>
        <w:rPr>
          <w:rFonts w:ascii="Palatino Linotype" w:eastAsia="Calibri" w:hAnsi="Palatino Linotype" w:cs="BaskervilleMT"/>
        </w:rPr>
      </w:pPr>
    </w:p>
    <w:p w:rsidR="0017636B" w:rsidRPr="0017636B" w:rsidRDefault="0017636B" w:rsidP="0017636B">
      <w:pPr>
        <w:spacing w:after="0" w:line="360" w:lineRule="auto"/>
        <w:jc w:val="both"/>
        <w:rPr>
          <w:rFonts w:ascii="Palatino Linotype" w:eastAsia="Calibri" w:hAnsi="Palatino Linotype" w:cs="BaskervilleMT"/>
        </w:rPr>
      </w:pPr>
    </w:p>
    <w:p w:rsidR="0017636B" w:rsidRPr="0017636B" w:rsidRDefault="0017636B" w:rsidP="0017636B">
      <w:pPr>
        <w:spacing w:after="0" w:line="360" w:lineRule="auto"/>
        <w:jc w:val="both"/>
        <w:rPr>
          <w:rFonts w:ascii="Palatino Linotype" w:eastAsia="Calibri" w:hAnsi="Palatino Linotype" w:cs="BaskervilleMT"/>
        </w:rPr>
      </w:pPr>
    </w:p>
    <w:p w:rsidR="0017636B" w:rsidRPr="0017636B" w:rsidRDefault="0017636B" w:rsidP="0017636B">
      <w:pPr>
        <w:numPr>
          <w:ilvl w:val="0"/>
          <w:numId w:val="1"/>
        </w:numPr>
        <w:spacing w:after="0" w:line="360" w:lineRule="auto"/>
        <w:contextualSpacing/>
        <w:jc w:val="both"/>
        <w:rPr>
          <w:rFonts w:ascii="Palatino Linotype" w:eastAsia="Calibri" w:hAnsi="Palatino Linotype" w:cs="Times New Roman"/>
        </w:rPr>
      </w:pPr>
      <w:r w:rsidRPr="0017636B">
        <w:rPr>
          <w:rFonts w:ascii="Palatino Linotype" w:eastAsia="Calibri" w:hAnsi="Palatino Linotype" w:cs="Times New Roman"/>
        </w:rPr>
        <w:t>How does this reflect practice or enhance thinking in the sector?</w:t>
      </w:r>
    </w:p>
    <w:p w:rsidR="0017636B" w:rsidRPr="0017636B" w:rsidRDefault="0017636B" w:rsidP="0017636B">
      <w:pPr>
        <w:spacing w:after="0" w:line="360" w:lineRule="auto"/>
        <w:ind w:left="720"/>
        <w:contextualSpacing/>
        <w:jc w:val="both"/>
        <w:rPr>
          <w:rFonts w:ascii="Palatino Linotype" w:eastAsia="Calibri" w:hAnsi="Palatino Linotype" w:cs="Times New Roman"/>
        </w:rPr>
      </w:pPr>
    </w:p>
    <w:p w:rsidR="0017636B" w:rsidRPr="0017636B" w:rsidRDefault="0017636B" w:rsidP="0017636B">
      <w:pPr>
        <w:spacing w:after="0" w:line="360" w:lineRule="auto"/>
        <w:jc w:val="both"/>
        <w:rPr>
          <w:rFonts w:ascii="Palatino Linotype" w:eastAsia="Calibri" w:hAnsi="Palatino Linotype" w:cs="Times New Roman"/>
        </w:rPr>
      </w:pPr>
      <w:r w:rsidRPr="0017636B">
        <w:rPr>
          <w:rFonts w:ascii="Palatino Linotype" w:eastAsia="Calibri" w:hAnsi="Palatino Linotype" w:cs="Times New Roman"/>
        </w:rPr>
        <w:t>I think that the paper touches on pertinent issues impacting on the VCS in this part of the world, such as whether to participate in the work programmes and other initiatives in which individuals are conscripts rather than willing participants, and, if yes, how to do so in a way that is true to the values of the VCS organisation.  Similarly, the risks associated with partnership with larger entities, particularly, though I would argue not necessarily, from other sectors are also clear.  Kim (p. 565) observes that these partnerships may be ‘sites of struggle’ for VCS organisations.   In a UK context, caution in relation to partnership approach in large national such as the work programme are being increasingly report</w:t>
      </w:r>
      <w:r w:rsidR="000508B9">
        <w:rPr>
          <w:rFonts w:ascii="Palatino Linotype" w:eastAsia="Calibri" w:hAnsi="Palatino Linotype" w:cs="Times New Roman"/>
        </w:rPr>
        <w:t>ed</w:t>
      </w:r>
      <w:bookmarkStart w:id="2" w:name="_GoBack"/>
      <w:bookmarkEnd w:id="2"/>
      <w:r w:rsidRPr="0017636B">
        <w:rPr>
          <w:rFonts w:ascii="Palatino Linotype" w:eastAsia="Calibri" w:hAnsi="Palatino Linotype" w:cs="Times New Roman"/>
        </w:rPr>
        <w:t>, leaving VCS organisations on guard against being used as ‘bid candy’ (Butler, 2011) in a competitive process to win contracts.</w:t>
      </w:r>
    </w:p>
    <w:p w:rsidR="0017636B" w:rsidRPr="0017636B" w:rsidRDefault="0017636B" w:rsidP="0017636B">
      <w:pPr>
        <w:spacing w:after="0" w:line="360" w:lineRule="auto"/>
        <w:jc w:val="both"/>
        <w:rPr>
          <w:rFonts w:ascii="Palatino Linotype" w:eastAsia="Calibri" w:hAnsi="Palatino Linotype" w:cs="Times New Roman"/>
        </w:rPr>
      </w:pPr>
    </w:p>
    <w:p w:rsidR="0017636B" w:rsidRPr="0017636B" w:rsidRDefault="0017636B" w:rsidP="0017636B">
      <w:pPr>
        <w:spacing w:after="0" w:line="360" w:lineRule="auto"/>
        <w:jc w:val="both"/>
        <w:rPr>
          <w:rFonts w:ascii="Palatino Linotype" w:eastAsia="Calibri" w:hAnsi="Palatino Linotype" w:cs="Times New Roman"/>
        </w:rPr>
      </w:pPr>
      <w:r w:rsidRPr="0017636B">
        <w:rPr>
          <w:rFonts w:ascii="Palatino Linotype" w:eastAsia="Calibri" w:hAnsi="Palatino Linotype" w:cs="Times New Roman"/>
        </w:rPr>
        <w:t xml:space="preserve">What the article does not attempt to advance however, is a particularly overt theoretical position on the neo-liberalisation of the VCS sector.  In fact it is </w:t>
      </w:r>
      <w:r w:rsidRPr="0017636B">
        <w:rPr>
          <w:rFonts w:ascii="Palatino Linotype" w:eastAsia="Calibri" w:hAnsi="Palatino Linotype" w:cs="BaskervilleMT-Italic"/>
          <w:iCs/>
        </w:rPr>
        <w:t>bureaucratization</w:t>
      </w:r>
      <w:r w:rsidRPr="0017636B">
        <w:rPr>
          <w:rFonts w:ascii="Palatino Linotype" w:eastAsia="Calibri" w:hAnsi="Palatino Linotype" w:cs="Times New Roman"/>
        </w:rPr>
        <w:t xml:space="preserve"> that is explicitly mentioned as a keyword of the article, rather than neo-liberalism and whilst the two concepts are strongly linked, they are not one and the same.  I hope the local VCS does become more deliberate in exploring what neo-liberalism is, how it has influenced us our sector as well as wider society, and, most of all, explores what the alternatives are.   I say this without naiveté as I understand from first-hand experience the pressures of working flat out to achieve charitable objectives, honour explicitly shared values, balance the books and generally find a way to sustainably steward an organisation.  However, if we are not willing to challenge our own legitimacy in the wider context of challenging the legitimacy of the system in which we operate, then we are in danger of missing the point.  </w:t>
      </w:r>
    </w:p>
    <w:p w:rsidR="0017636B" w:rsidRPr="0017636B" w:rsidRDefault="0017636B" w:rsidP="0017636B">
      <w:pPr>
        <w:spacing w:after="0" w:line="360" w:lineRule="auto"/>
        <w:jc w:val="both"/>
        <w:rPr>
          <w:rFonts w:ascii="Palatino Linotype" w:eastAsia="Calibri" w:hAnsi="Palatino Linotype" w:cs="Times New Roman"/>
        </w:rPr>
      </w:pPr>
    </w:p>
    <w:p w:rsidR="0017636B" w:rsidRPr="0017636B" w:rsidRDefault="0017636B" w:rsidP="0017636B">
      <w:pPr>
        <w:spacing w:after="0" w:line="360" w:lineRule="auto"/>
        <w:ind w:left="720"/>
        <w:jc w:val="both"/>
        <w:rPr>
          <w:rFonts w:ascii="Palatino Linotype" w:eastAsia="Calibri" w:hAnsi="Palatino Linotype" w:cs="Times New Roman"/>
        </w:rPr>
      </w:pPr>
      <w:r w:rsidRPr="0017636B">
        <w:rPr>
          <w:rFonts w:ascii="Palatino Linotype" w:eastAsia="Calibri" w:hAnsi="Palatino Linotype" w:cs="Times New Roman"/>
        </w:rPr>
        <w:t xml:space="preserve"> “The smart way to keep people passive and obedient is to strictly limit the spectrum of acceptable opinion, but allow very lively debate within that spectrum....while all the time the presuppositions of the system are being reinforced by the limits put on the range of the debate.”</w:t>
      </w:r>
      <w:r w:rsidRPr="0017636B" w:rsidDel="00A161B7">
        <w:rPr>
          <w:rFonts w:ascii="Palatino Linotype" w:eastAsia="Calibri" w:hAnsi="Palatino Linotype" w:cs="Times New Roman"/>
        </w:rPr>
        <w:t xml:space="preserve"> </w:t>
      </w:r>
      <w:r w:rsidRPr="0017636B">
        <w:rPr>
          <w:rFonts w:ascii="Palatino Linotype" w:eastAsia="Calibri" w:hAnsi="Palatino Linotype" w:cs="Times New Roman"/>
        </w:rPr>
        <w:t>Chomsky (98: 43)</w:t>
      </w:r>
    </w:p>
    <w:p w:rsidR="0017636B" w:rsidRPr="0017636B" w:rsidRDefault="0017636B" w:rsidP="0017636B">
      <w:pPr>
        <w:spacing w:after="0" w:line="360" w:lineRule="auto"/>
        <w:ind w:left="720"/>
        <w:jc w:val="both"/>
        <w:rPr>
          <w:rFonts w:ascii="Palatino Linotype" w:eastAsia="Calibri" w:hAnsi="Palatino Linotype" w:cs="Times New Roman"/>
        </w:rPr>
      </w:pPr>
    </w:p>
    <w:p w:rsidR="0017636B" w:rsidRPr="0017636B" w:rsidRDefault="0017636B" w:rsidP="0017636B">
      <w:pPr>
        <w:spacing w:after="0" w:line="360" w:lineRule="auto"/>
        <w:jc w:val="both"/>
        <w:rPr>
          <w:rFonts w:ascii="Palatino Linotype" w:eastAsia="Calibri" w:hAnsi="Palatino Linotype" w:cs="Times New Roman"/>
        </w:rPr>
      </w:pPr>
      <w:r w:rsidRPr="0017636B">
        <w:rPr>
          <w:rFonts w:ascii="Palatino Linotype" w:eastAsia="Calibri" w:hAnsi="Palatino Linotype" w:cs="Times New Roman"/>
        </w:rPr>
        <w:t>In quoting Chomsky above, it may be worth reflecting on that which feminists have argued for a long time; our role is not to be obedient, but rather to seek social justice and emancipation.  The challenge is how to demonstrate that purpose in a landscape which places increasing emphasis on eligibility criteria, compliance, sanctions and austerity.</w:t>
      </w:r>
    </w:p>
    <w:p w:rsidR="0017636B" w:rsidRPr="0017636B" w:rsidRDefault="0017636B" w:rsidP="0017636B">
      <w:pPr>
        <w:spacing w:after="160" w:line="259" w:lineRule="auto"/>
        <w:rPr>
          <w:rFonts w:ascii="Palatino Linotype" w:eastAsia="Calibri" w:hAnsi="Palatino Linotype" w:cs="Times New Roman"/>
          <w:b/>
        </w:rPr>
      </w:pPr>
      <w:r w:rsidRPr="0017636B">
        <w:rPr>
          <w:rFonts w:ascii="Palatino Linotype" w:eastAsia="Calibri" w:hAnsi="Palatino Linotype" w:cs="Times New Roman"/>
          <w:b/>
        </w:rPr>
        <w:br w:type="page"/>
      </w:r>
    </w:p>
    <w:p w:rsidR="0017636B" w:rsidRPr="0017636B" w:rsidRDefault="0017636B" w:rsidP="0017636B">
      <w:pPr>
        <w:spacing w:after="0" w:line="360" w:lineRule="auto"/>
        <w:rPr>
          <w:rFonts w:ascii="Palatino Linotype" w:eastAsia="Calibri" w:hAnsi="Palatino Linotype" w:cs="Times New Roman"/>
          <w:b/>
        </w:rPr>
      </w:pPr>
      <w:r w:rsidRPr="0017636B">
        <w:rPr>
          <w:rFonts w:ascii="Palatino Linotype" w:eastAsia="Calibri" w:hAnsi="Palatino Linotype" w:cs="Times New Roman"/>
          <w:b/>
        </w:rPr>
        <w:t xml:space="preserve">References </w:t>
      </w:r>
    </w:p>
    <w:p w:rsidR="0017636B" w:rsidRPr="0017636B" w:rsidRDefault="0017636B" w:rsidP="0017636B">
      <w:pPr>
        <w:spacing w:after="0" w:line="360" w:lineRule="auto"/>
        <w:rPr>
          <w:rFonts w:ascii="Palatino Linotype" w:eastAsia="Calibri" w:hAnsi="Palatino Linotype" w:cs="Garamond"/>
        </w:rPr>
      </w:pPr>
      <w:r w:rsidRPr="0017636B">
        <w:rPr>
          <w:rFonts w:ascii="Palatino Linotype" w:eastAsia="Calibri" w:hAnsi="Palatino Linotype" w:cs="Garamond"/>
        </w:rPr>
        <w:t xml:space="preserve">Chomsky, N. and </w:t>
      </w:r>
      <w:proofErr w:type="spellStart"/>
      <w:r w:rsidRPr="0017636B">
        <w:rPr>
          <w:rFonts w:ascii="Palatino Linotype" w:eastAsia="Calibri" w:hAnsi="Palatino Linotype" w:cs="Garamond"/>
        </w:rPr>
        <w:t>Barsamian</w:t>
      </w:r>
      <w:proofErr w:type="spellEnd"/>
      <w:r w:rsidRPr="0017636B">
        <w:rPr>
          <w:rFonts w:ascii="Palatino Linotype" w:eastAsia="Calibri" w:hAnsi="Palatino Linotype" w:cs="Garamond"/>
        </w:rPr>
        <w:t xml:space="preserve">, D. (1998) </w:t>
      </w:r>
      <w:r w:rsidRPr="0017636B">
        <w:rPr>
          <w:rFonts w:ascii="Palatino Linotype" w:eastAsia="Calibri" w:hAnsi="Palatino Linotype" w:cs="Garamond,Italic"/>
          <w:i/>
          <w:iCs/>
        </w:rPr>
        <w:t>The Common Good</w:t>
      </w:r>
      <w:r w:rsidRPr="0017636B">
        <w:rPr>
          <w:rFonts w:ascii="Palatino Linotype" w:eastAsia="Calibri" w:hAnsi="Palatino Linotype" w:cs="Garamond"/>
        </w:rPr>
        <w:t xml:space="preserve">, Berkeley, CA: </w:t>
      </w:r>
      <w:proofErr w:type="spellStart"/>
      <w:r w:rsidRPr="0017636B">
        <w:rPr>
          <w:rFonts w:ascii="Palatino Linotype" w:eastAsia="Calibri" w:hAnsi="Palatino Linotype" w:cs="Garamond"/>
        </w:rPr>
        <w:t>Odonian</w:t>
      </w:r>
      <w:proofErr w:type="spellEnd"/>
      <w:r w:rsidRPr="0017636B">
        <w:rPr>
          <w:rFonts w:ascii="Palatino Linotype" w:eastAsia="Calibri" w:hAnsi="Palatino Linotype" w:cs="Garamond"/>
        </w:rPr>
        <w:t>.</w:t>
      </w:r>
    </w:p>
    <w:p w:rsidR="0017636B" w:rsidRPr="0017636B" w:rsidRDefault="0017636B" w:rsidP="0017636B">
      <w:pPr>
        <w:spacing w:after="0" w:line="360" w:lineRule="auto"/>
        <w:rPr>
          <w:rFonts w:ascii="Palatino Linotype" w:eastAsia="Calibri" w:hAnsi="Palatino Linotype" w:cs="Garamond"/>
        </w:rPr>
      </w:pPr>
    </w:p>
    <w:p w:rsidR="0017636B" w:rsidRPr="0017636B" w:rsidRDefault="0017636B" w:rsidP="0017636B">
      <w:pPr>
        <w:spacing w:after="0" w:line="360" w:lineRule="auto"/>
        <w:rPr>
          <w:rFonts w:ascii="Palatino Linotype" w:eastAsia="Calibri" w:hAnsi="Palatino Linotype" w:cs="Times New Roman"/>
        </w:rPr>
      </w:pPr>
      <w:r w:rsidRPr="0017636B">
        <w:rPr>
          <w:rFonts w:ascii="Palatino Linotype" w:eastAsia="Calibri" w:hAnsi="Palatino Linotype" w:cs="Times New Roman"/>
        </w:rPr>
        <w:t xml:space="preserve">Kim, S. (2013) ‘Voluntary Organizations and new Street Level Bureaucrats: Frontline Struggles of Community Organizations against Bureaucratization in a South Korean Welfare-to-Work Partnership’, </w:t>
      </w:r>
      <w:r w:rsidRPr="0017636B">
        <w:rPr>
          <w:rFonts w:ascii="Palatino Linotype" w:eastAsia="Calibri" w:hAnsi="Palatino Linotype" w:cs="Times New Roman"/>
          <w:i/>
        </w:rPr>
        <w:t>Social Policy &amp; Administration</w:t>
      </w:r>
      <w:r w:rsidRPr="0017636B">
        <w:rPr>
          <w:rFonts w:ascii="Palatino Linotype" w:eastAsia="Calibri" w:hAnsi="Palatino Linotype" w:cs="Times New Roman"/>
        </w:rPr>
        <w:t>, 47 (5): 565-585</w:t>
      </w:r>
    </w:p>
    <w:p w:rsidR="0017636B" w:rsidRPr="0017636B" w:rsidRDefault="0017636B" w:rsidP="0017636B">
      <w:pPr>
        <w:spacing w:after="0" w:line="360" w:lineRule="auto"/>
        <w:rPr>
          <w:rFonts w:ascii="Palatino Linotype" w:eastAsia="Calibri" w:hAnsi="Palatino Linotype" w:cs="Times New Roman"/>
        </w:rPr>
      </w:pPr>
    </w:p>
    <w:p w:rsidR="00FA614F" w:rsidRDefault="0017636B" w:rsidP="0017636B">
      <w:pPr>
        <w:spacing w:after="0" w:line="360" w:lineRule="auto"/>
      </w:pPr>
      <w:r w:rsidRPr="0017636B">
        <w:rPr>
          <w:rFonts w:ascii="Palatino Linotype" w:eastAsia="Calibri" w:hAnsi="Palatino Linotype" w:cs="Times New Roman"/>
        </w:rPr>
        <w:t xml:space="preserve">Butler, P. (2011) ‘Bid Candy Charities Carved out of Work Programme’, </w:t>
      </w:r>
      <w:r w:rsidRPr="0017636B">
        <w:rPr>
          <w:rFonts w:ascii="Palatino Linotype" w:eastAsia="Calibri" w:hAnsi="Palatino Linotype" w:cs="Times New Roman"/>
          <w:i/>
        </w:rPr>
        <w:t xml:space="preserve">the Guardian, </w:t>
      </w:r>
      <w:r w:rsidRPr="0017636B">
        <w:rPr>
          <w:rFonts w:ascii="Palatino Linotype" w:eastAsia="Calibri" w:hAnsi="Palatino Linotype" w:cs="Times New Roman"/>
        </w:rPr>
        <w:t xml:space="preserve">Available at </w:t>
      </w:r>
      <w:hyperlink r:id="rId8" w:history="1">
        <w:r w:rsidRPr="0017636B">
          <w:rPr>
            <w:rFonts w:ascii="Palatino Linotype" w:eastAsia="Calibri" w:hAnsi="Palatino Linotype" w:cs="Times New Roman"/>
            <w:color w:val="0563C1"/>
            <w:u w:val="single"/>
          </w:rPr>
          <w:t>http://www.theguardian.com/society/patrick-butler-cuts-blog/2011/jun/22/bid-candy-charities-carved-out-of-work-programme</w:t>
        </w:r>
      </w:hyperlink>
      <w:r w:rsidRPr="0017636B">
        <w:rPr>
          <w:rFonts w:ascii="Palatino Linotype" w:eastAsia="Calibri" w:hAnsi="Palatino Linotype" w:cs="Times New Roman"/>
        </w:rPr>
        <w:t xml:space="preserve">    Accessed 16 February, 2015</w:t>
      </w:r>
    </w:p>
    <w:sectPr w:rsidR="00FA614F" w:rsidSect="00B414D4">
      <w:headerReference w:type="default" r:id="rId9"/>
      <w:footerReference w:type="default" r:id="rId10"/>
      <w:pgSz w:w="11906" w:h="16838"/>
      <w:pgMar w:top="1440" w:right="1440" w:bottom="1440" w:left="1440" w:header="708" w:footer="708"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03" w:rsidRDefault="00BB5D03" w:rsidP="0017636B">
      <w:pPr>
        <w:spacing w:after="0" w:line="240" w:lineRule="auto"/>
      </w:pPr>
      <w:r>
        <w:separator/>
      </w:r>
    </w:p>
  </w:endnote>
  <w:endnote w:type="continuationSeparator" w:id="0">
    <w:p w:rsidR="00BB5D03" w:rsidRDefault="00BB5D03" w:rsidP="0017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skervilleMT">
    <w:panose1 w:val="00000000000000000000"/>
    <w:charset w:val="00"/>
    <w:family w:val="roman"/>
    <w:notTrueType/>
    <w:pitch w:val="default"/>
    <w:sig w:usb0="00000003" w:usb1="00000000" w:usb2="00000000" w:usb3="00000000" w:csb0="00000001" w:csb1="00000000"/>
  </w:font>
  <w:font w:name="BaskervilleMT-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534215"/>
      <w:docPartObj>
        <w:docPartGallery w:val="Page Numbers (Bottom of Page)"/>
        <w:docPartUnique/>
      </w:docPartObj>
    </w:sdtPr>
    <w:sdtEndPr>
      <w:rPr>
        <w:noProof/>
      </w:rPr>
    </w:sdtEndPr>
    <w:sdtContent>
      <w:p w:rsidR="00B414D4" w:rsidRDefault="00B414D4">
        <w:pPr>
          <w:pStyle w:val="Footer"/>
          <w:jc w:val="center"/>
        </w:pPr>
        <w:r>
          <w:fldChar w:fldCharType="begin"/>
        </w:r>
        <w:r>
          <w:instrText xml:space="preserve"> PAGE   \* MERGEFORMAT </w:instrText>
        </w:r>
        <w:r>
          <w:fldChar w:fldCharType="separate"/>
        </w:r>
        <w:r w:rsidR="000508B9">
          <w:rPr>
            <w:noProof/>
          </w:rPr>
          <w:t>35</w:t>
        </w:r>
        <w:r>
          <w:rPr>
            <w:noProof/>
          </w:rPr>
          <w:fldChar w:fldCharType="end"/>
        </w:r>
      </w:p>
    </w:sdtContent>
  </w:sdt>
  <w:p w:rsidR="00B414D4" w:rsidRDefault="00B41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03" w:rsidRDefault="00BB5D03" w:rsidP="0017636B">
      <w:pPr>
        <w:spacing w:after="0" w:line="240" w:lineRule="auto"/>
      </w:pPr>
      <w:r>
        <w:separator/>
      </w:r>
    </w:p>
  </w:footnote>
  <w:footnote w:type="continuationSeparator" w:id="0">
    <w:p w:rsidR="00BB5D03" w:rsidRDefault="00BB5D03" w:rsidP="0017636B">
      <w:pPr>
        <w:spacing w:after="0" w:line="240" w:lineRule="auto"/>
      </w:pPr>
      <w:r>
        <w:continuationSeparator/>
      </w:r>
    </w:p>
  </w:footnote>
  <w:footnote w:id="1">
    <w:p w:rsidR="0017636B" w:rsidRPr="00F02CB3" w:rsidRDefault="0017636B" w:rsidP="0017636B">
      <w:pPr>
        <w:rPr>
          <w:rFonts w:ascii="Palatino Linotype" w:hAnsi="Palatino Linotype"/>
          <w:b/>
        </w:rPr>
      </w:pPr>
      <w:r w:rsidRPr="00F02CB3">
        <w:rPr>
          <w:rStyle w:val="FootnoteReference"/>
          <w:rFonts w:ascii="Palatino Linotype" w:hAnsi="Palatino Linotype"/>
        </w:rPr>
        <w:footnoteRef/>
      </w:r>
      <w:r w:rsidRPr="00F02CB3">
        <w:rPr>
          <w:rFonts w:ascii="Palatino Linotype" w:hAnsi="Palatino Linotype"/>
        </w:rPr>
        <w:t xml:space="preserve"> </w:t>
      </w:r>
      <w:r w:rsidRPr="00F02CB3">
        <w:rPr>
          <w:rFonts w:ascii="Palatino Linotype" w:hAnsi="Palatino Linotype"/>
          <w:b/>
        </w:rPr>
        <w:t>Please note the views expressed in this paper are my own and not designed to represent Tyneside Women’s Health or any other organisation in which I have a formal role.</w:t>
      </w:r>
    </w:p>
    <w:p w:rsidR="0017636B" w:rsidRPr="00F02CB3" w:rsidRDefault="0017636B" w:rsidP="0017636B">
      <w:pPr>
        <w:pStyle w:val="FootnoteText"/>
        <w:rPr>
          <w:rFonts w:ascii="Palatino Linotype" w:hAnsi="Palatino Linotyp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D4" w:rsidRPr="00B414D4" w:rsidRDefault="00B414D4" w:rsidP="00B414D4">
    <w:pPr>
      <w:pStyle w:val="Header"/>
      <w:jc w:val="right"/>
      <w:rPr>
        <w:i/>
      </w:rPr>
    </w:pPr>
    <w:r w:rsidRPr="00B414D4">
      <w:rPr>
        <w:i/>
      </w:rPr>
      <w:t>North East Third Sector Review Group 2014 Digest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3DB0"/>
    <w:multiLevelType w:val="hybridMultilevel"/>
    <w:tmpl w:val="886AEF96"/>
    <w:lvl w:ilvl="0" w:tplc="9BD6CF6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6B"/>
    <w:rsid w:val="000508B9"/>
    <w:rsid w:val="0017636B"/>
    <w:rsid w:val="00B414D4"/>
    <w:rsid w:val="00BB5D03"/>
    <w:rsid w:val="00FA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636B"/>
    <w:pPr>
      <w:spacing w:after="0" w:line="240" w:lineRule="auto"/>
    </w:pPr>
    <w:rPr>
      <w:sz w:val="20"/>
      <w:szCs w:val="20"/>
    </w:rPr>
  </w:style>
  <w:style w:type="character" w:customStyle="1" w:styleId="FootnoteTextChar">
    <w:name w:val="Footnote Text Char"/>
    <w:basedOn w:val="DefaultParagraphFont"/>
    <w:link w:val="FootnoteText"/>
    <w:uiPriority w:val="99"/>
    <w:rsid w:val="0017636B"/>
    <w:rPr>
      <w:sz w:val="20"/>
      <w:szCs w:val="20"/>
    </w:rPr>
  </w:style>
  <w:style w:type="character" w:styleId="FootnoteReference">
    <w:name w:val="footnote reference"/>
    <w:basedOn w:val="DefaultParagraphFont"/>
    <w:uiPriority w:val="99"/>
    <w:unhideWhenUsed/>
    <w:rsid w:val="0017636B"/>
    <w:rPr>
      <w:vertAlign w:val="superscript"/>
    </w:rPr>
  </w:style>
  <w:style w:type="paragraph" w:styleId="Header">
    <w:name w:val="header"/>
    <w:basedOn w:val="Normal"/>
    <w:link w:val="HeaderChar"/>
    <w:uiPriority w:val="99"/>
    <w:unhideWhenUsed/>
    <w:rsid w:val="00B4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4D4"/>
  </w:style>
  <w:style w:type="paragraph" w:styleId="Footer">
    <w:name w:val="footer"/>
    <w:basedOn w:val="Normal"/>
    <w:link w:val="FooterChar"/>
    <w:uiPriority w:val="99"/>
    <w:unhideWhenUsed/>
    <w:rsid w:val="00B4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4D4"/>
  </w:style>
  <w:style w:type="paragraph" w:styleId="BalloonText">
    <w:name w:val="Balloon Text"/>
    <w:basedOn w:val="Normal"/>
    <w:link w:val="BalloonTextChar"/>
    <w:uiPriority w:val="99"/>
    <w:semiHidden/>
    <w:unhideWhenUsed/>
    <w:rsid w:val="00B4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636B"/>
    <w:pPr>
      <w:spacing w:after="0" w:line="240" w:lineRule="auto"/>
    </w:pPr>
    <w:rPr>
      <w:sz w:val="20"/>
      <w:szCs w:val="20"/>
    </w:rPr>
  </w:style>
  <w:style w:type="character" w:customStyle="1" w:styleId="FootnoteTextChar">
    <w:name w:val="Footnote Text Char"/>
    <w:basedOn w:val="DefaultParagraphFont"/>
    <w:link w:val="FootnoteText"/>
    <w:uiPriority w:val="99"/>
    <w:rsid w:val="0017636B"/>
    <w:rPr>
      <w:sz w:val="20"/>
      <w:szCs w:val="20"/>
    </w:rPr>
  </w:style>
  <w:style w:type="character" w:styleId="FootnoteReference">
    <w:name w:val="footnote reference"/>
    <w:basedOn w:val="DefaultParagraphFont"/>
    <w:uiPriority w:val="99"/>
    <w:unhideWhenUsed/>
    <w:rsid w:val="0017636B"/>
    <w:rPr>
      <w:vertAlign w:val="superscript"/>
    </w:rPr>
  </w:style>
  <w:style w:type="paragraph" w:styleId="Header">
    <w:name w:val="header"/>
    <w:basedOn w:val="Normal"/>
    <w:link w:val="HeaderChar"/>
    <w:uiPriority w:val="99"/>
    <w:unhideWhenUsed/>
    <w:rsid w:val="00B4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4D4"/>
  </w:style>
  <w:style w:type="paragraph" w:styleId="Footer">
    <w:name w:val="footer"/>
    <w:basedOn w:val="Normal"/>
    <w:link w:val="FooterChar"/>
    <w:uiPriority w:val="99"/>
    <w:unhideWhenUsed/>
    <w:rsid w:val="00B4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4D4"/>
  </w:style>
  <w:style w:type="paragraph" w:styleId="BalloonText">
    <w:name w:val="Balloon Text"/>
    <w:basedOn w:val="Normal"/>
    <w:link w:val="BalloonTextChar"/>
    <w:uiPriority w:val="99"/>
    <w:semiHidden/>
    <w:unhideWhenUsed/>
    <w:rsid w:val="00B4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society/patrick-butler-cuts-blog/2011/jun/22/bid-candy-charities-carved-out-of-work-programm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Paul Burns</cp:lastModifiedBy>
  <cp:revision>3</cp:revision>
  <dcterms:created xsi:type="dcterms:W3CDTF">2015-08-25T13:16:00Z</dcterms:created>
  <dcterms:modified xsi:type="dcterms:W3CDTF">2015-09-01T14:22:00Z</dcterms:modified>
</cp:coreProperties>
</file>