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27392486"/>
        <w:docPartObj>
          <w:docPartGallery w:val="Cover Pages"/>
          <w:docPartUnique/>
        </w:docPartObj>
      </w:sdtPr>
      <w:sdtEndPr>
        <w:rPr>
          <w:rStyle w:val="contextualspellingandgrammarerror"/>
          <w:rFonts w:ascii="Times New Roman" w:hAnsi="Times New Roman" w:cs="Times New Roman"/>
          <w:b/>
          <w:bCs/>
        </w:rPr>
      </w:sdtEndPr>
      <w:sdtContent>
        <w:p w14:paraId="7F3A3684" w14:textId="1776CC9F" w:rsidR="00435D31" w:rsidRPr="00FE6D89" w:rsidRDefault="00435D31">
          <w:pPr>
            <w:rPr>
              <w:rFonts w:ascii="Times New Roman" w:hAnsi="Times New Roman" w:cs="Times New Roman"/>
            </w:rPr>
          </w:pPr>
          <w:r w:rsidRPr="00FE6D89">
            <w:rPr>
              <w:rFonts w:ascii="Times New Roman" w:hAnsi="Times New Roman" w:cs="Times New Roman"/>
              <w:noProof/>
              <w:lang w:eastAsia="en-GB"/>
            </w:rPr>
            <mc:AlternateContent>
              <mc:Choice Requires="wps">
                <w:drawing>
                  <wp:anchor distT="0" distB="0" distL="114300" distR="114300" simplePos="0" relativeHeight="251658242" behindDoc="0" locked="0" layoutInCell="1" allowOverlap="1" wp14:anchorId="774A5871" wp14:editId="7A2FD5DE">
                    <wp:simplePos x="0" y="0"/>
                    <wp:positionH relativeFrom="page">
                      <wp:align>left</wp:align>
                    </wp:positionH>
                    <wp:positionV relativeFrom="page">
                      <wp:align>bottom</wp:align>
                    </wp:positionV>
                    <wp:extent cx="5534025" cy="2724912"/>
                    <wp:effectExtent l="0" t="0" r="0" b="0"/>
                    <wp:wrapNone/>
                    <wp:docPr id="36" name="Text Box 36"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p w14:paraId="44AEC242" w14:textId="77777777" w:rsidR="00D74B11" w:rsidRDefault="00D74B11" w:rsidP="00D74B11">
                                <w:pPr>
                                  <w:jc w:val="both"/>
                                  <w:rPr>
                                    <w:i/>
                                  </w:rPr>
                                </w:pPr>
                                <w:r>
                                  <w:rPr>
                                    <w:i/>
                                  </w:rPr>
                                  <w:t>Brian Chia</w:t>
                                </w:r>
                              </w:p>
                              <w:p w14:paraId="571EA717" w14:textId="4EBBB191" w:rsidR="00D74B11" w:rsidRDefault="00D74B11" w:rsidP="00D74B11">
                                <w:pPr>
                                  <w:jc w:val="both"/>
                                  <w:rPr>
                                    <w:i/>
                                  </w:rPr>
                                </w:pPr>
                                <w:r w:rsidRPr="00D74B11">
                                  <w:rPr>
                                    <w:i/>
                                  </w:rPr>
                                  <w:t>Chelsie Rapley</w:t>
                                </w:r>
                              </w:p>
                              <w:p w14:paraId="07D61241" w14:textId="77777777" w:rsidR="00D74B11" w:rsidRDefault="00D74B11" w:rsidP="00D74B11">
                                <w:pPr>
                                  <w:jc w:val="both"/>
                                  <w:rPr>
                                    <w:i/>
                                  </w:rPr>
                                </w:pPr>
                                <w:r>
                                  <w:rPr>
                                    <w:i/>
                                  </w:rPr>
                                  <w:t>Chloe Collins</w:t>
                                </w:r>
                                <w:r w:rsidRPr="00D74B11">
                                  <w:rPr>
                                    <w:i/>
                                  </w:rPr>
                                  <w:t xml:space="preserve"> </w:t>
                                </w:r>
                              </w:p>
                              <w:p w14:paraId="3E68E097" w14:textId="05B5C339" w:rsidR="00D74B11" w:rsidRDefault="00D74B11" w:rsidP="00D74B11">
                                <w:pPr>
                                  <w:jc w:val="both"/>
                                  <w:rPr>
                                    <w:i/>
                                  </w:rPr>
                                </w:pPr>
                                <w:r w:rsidRPr="00D74B11">
                                  <w:rPr>
                                    <w:i/>
                                  </w:rPr>
                                  <w:t>Luke Smit</w:t>
                                </w:r>
                                <w:r>
                                  <w:rPr>
                                    <w:i/>
                                  </w:rPr>
                                  <w:t>h</w:t>
                                </w:r>
                              </w:p>
                              <w:p w14:paraId="095D5F5F" w14:textId="4E9B7F20" w:rsidR="00D74B11" w:rsidRPr="00D74B11" w:rsidRDefault="00D74B11" w:rsidP="00D74B11">
                                <w:pPr>
                                  <w:jc w:val="both"/>
                                  <w:rPr>
                                    <w:i/>
                                  </w:rPr>
                                </w:pPr>
                                <w:r w:rsidRPr="00D74B11">
                                  <w:rPr>
                                    <w:i/>
                                  </w:rPr>
                                  <w:t xml:space="preserve">Ben </w:t>
                                </w:r>
                                <w:proofErr w:type="spellStart"/>
                                <w:r w:rsidRPr="00D74B11">
                                  <w:rPr>
                                    <w:i/>
                                  </w:rPr>
                                  <w:t>Middlemass</w:t>
                                </w:r>
                                <w:proofErr w:type="spellEnd"/>
                              </w:p>
                              <w:p w14:paraId="62A41C6F" w14:textId="40D6BEAA" w:rsidR="00A600BE" w:rsidRDefault="00F24248" w:rsidP="00D74B11">
                                <w:pPr>
                                  <w:pStyle w:val="NoSpacing"/>
                                  <w:spacing w:after="480"/>
                                  <w:rPr>
                                    <w:i/>
                                    <w:color w:val="262626" w:themeColor="text1" w:themeTint="D9"/>
                                    <w:sz w:val="26"/>
                                    <w:szCs w:val="26"/>
                                  </w:rPr>
                                </w:pPr>
                                <w:sdt>
                                  <w:sdtPr>
                                    <w:rPr>
                                      <w:i/>
                                      <w:color w:val="262626" w:themeColor="text1" w:themeTint="D9"/>
                                      <w:sz w:val="26"/>
                                      <w:szCs w:val="26"/>
                                    </w:rPr>
                                    <w:alias w:val="Company Address"/>
                                    <w:tag w:val=""/>
                                    <w:id w:val="-92392518"/>
                                    <w:showingPlcHdr/>
                                    <w:dataBinding w:prefixMappings="xmlns:ns0='http://schemas.microsoft.com/office/2006/coverPageProps' " w:xpath="/ns0:CoverPageProperties[1]/ns0:CompanyAddress[1]" w:storeItemID="{55AF091B-3C7A-41E3-B477-F2FDAA23CFDA}"/>
                                    <w15:appearance w15:val="hidden"/>
                                    <w:text/>
                                  </w:sdtPr>
                                  <w:sdtEndPr/>
                                  <w:sdtContent>
                                    <w:r w:rsidR="00A600BE">
                                      <w:rPr>
                                        <w:i/>
                                        <w:color w:val="262626" w:themeColor="text1" w:themeTint="D9"/>
                                        <w:sz w:val="26"/>
                                        <w:szCs w:val="26"/>
                                      </w:rPr>
                                      <w:t xml:space="preserve">     </w:t>
                                    </w:r>
                                  </w:sdtContent>
                                </w:sdt>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w14:anchorId="774A5871" id="_x0000_t202" coordsize="21600,21600" o:spt="202" path="m,l,21600r21600,l21600,xe">
                    <v:stroke joinstyle="miter"/>
                    <v:path gradientshapeok="t" o:connecttype="rect"/>
                  </v:shapetype>
                  <v:shape id="Text Box 36" o:spid="_x0000_s1026" type="#_x0000_t202" alt="Title: Title and subtitle" style="position:absolute;margin-left:0;margin-top:0;width:435.75pt;height:214.55pt;z-index:25165824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" filled="f" stroked="f" strokeweight=".5pt">
                    <v:textbox inset="93.6pt,7.2pt,0,1in">
                      <w:txbxContent>
                        <w:p w14:paraId="44AEC242" w14:textId="77777777" w:rsidR="00D74B11" w:rsidRDefault="00D74B11" w:rsidP="00D74B11">
                          <w:pPr>
                            <w:jc w:val="both"/>
                            <w:rPr>
                              <w:i/>
                            </w:rPr>
                          </w:pPr>
                          <w:r>
                            <w:rPr>
                              <w:i/>
                            </w:rPr>
                            <w:t>Brian Chia</w:t>
                          </w:r>
                        </w:p>
                        <w:p w14:paraId="571EA717" w14:textId="4EBBB191" w:rsidR="00D74B11" w:rsidRDefault="00D74B11" w:rsidP="00D74B11">
                          <w:pPr>
                            <w:jc w:val="both"/>
                            <w:rPr>
                              <w:i/>
                            </w:rPr>
                          </w:pPr>
                          <w:r w:rsidRPr="00D74B11">
                            <w:rPr>
                              <w:i/>
                            </w:rPr>
                            <w:t>Chelsie Rapley</w:t>
                          </w:r>
                        </w:p>
                        <w:p w14:paraId="07D61241" w14:textId="77777777" w:rsidR="00D74B11" w:rsidRDefault="00D74B11" w:rsidP="00D74B11">
                          <w:pPr>
                            <w:jc w:val="both"/>
                            <w:rPr>
                              <w:i/>
                            </w:rPr>
                          </w:pPr>
                          <w:r>
                            <w:rPr>
                              <w:i/>
                            </w:rPr>
                            <w:t>Chloe Collins</w:t>
                          </w:r>
                          <w:r w:rsidRPr="00D74B11">
                            <w:rPr>
                              <w:i/>
                            </w:rPr>
                            <w:t xml:space="preserve"> </w:t>
                          </w:r>
                        </w:p>
                        <w:p w14:paraId="3E68E097" w14:textId="05B5C339" w:rsidR="00D74B11" w:rsidRDefault="00D74B11" w:rsidP="00D74B11">
                          <w:pPr>
                            <w:jc w:val="both"/>
                            <w:rPr>
                              <w:i/>
                            </w:rPr>
                          </w:pPr>
                          <w:r w:rsidRPr="00D74B11">
                            <w:rPr>
                              <w:i/>
                            </w:rPr>
                            <w:t>Luke Smit</w:t>
                          </w:r>
                          <w:r>
                            <w:rPr>
                              <w:i/>
                            </w:rPr>
                            <w:t>h</w:t>
                          </w:r>
                        </w:p>
                        <w:p w14:paraId="095D5F5F" w14:textId="4E9B7F20" w:rsidR="00D74B11" w:rsidRPr="00D74B11" w:rsidRDefault="00D74B11" w:rsidP="00D74B11">
                          <w:pPr>
                            <w:jc w:val="both"/>
                            <w:rPr>
                              <w:i/>
                            </w:rPr>
                          </w:pPr>
                          <w:r w:rsidRPr="00D74B11">
                            <w:rPr>
                              <w:i/>
                            </w:rPr>
                            <w:t xml:space="preserve">Ben </w:t>
                          </w:r>
                          <w:proofErr w:type="spellStart"/>
                          <w:r w:rsidRPr="00D74B11">
                            <w:rPr>
                              <w:i/>
                            </w:rPr>
                            <w:t>Middlemass</w:t>
                          </w:r>
                          <w:proofErr w:type="spellEnd"/>
                        </w:p>
                        <w:p w14:paraId="62A41C6F" w14:textId="40D6BEAA" w:rsidR="00A600BE" w:rsidRDefault="005E4D0B" w:rsidP="00D74B11">
                          <w:pPr>
                            <w:pStyle w:val="NoSpacing"/>
                            <w:spacing w:after="480"/>
                            <w:rPr>
                              <w:i/>
                              <w:color w:val="262626" w:themeColor="text1" w:themeTint="D9"/>
                              <w:sz w:val="26"/>
                              <w:szCs w:val="26"/>
                            </w:rPr>
                          </w:pPr>
                          <w:sdt>
                            <w:sdtPr>
                              <w:rPr>
                                <w:i/>
                                <w:color w:val="262626" w:themeColor="text1" w:themeTint="D9"/>
                                <w:sz w:val="26"/>
                                <w:szCs w:val="26"/>
                              </w:rPr>
                              <w:alias w:val="Company Address"/>
                              <w:tag w:val=""/>
                              <w:id w:val="-92392518"/>
                              <w:showingPlcHdr/>
                              <w:dataBinding w:prefixMappings="xmlns:ns0='http://schemas.microsoft.com/office/2006/coverPageProps' " w:xpath="/ns0:CoverPageProperties[1]/ns0:CompanyAddress[1]" w:storeItemID="{55AF091B-3C7A-41E3-B477-F2FDAA23CFDA}"/>
                              <w15:appearance w15:val="hidden"/>
                              <w:text/>
                            </w:sdtPr>
                            <w:sdtEndPr/>
                            <w:sdtContent>
                              <w:r w:rsidR="00A600BE">
                                <w:rPr>
                                  <w:i/>
                                  <w:color w:val="262626" w:themeColor="text1" w:themeTint="D9"/>
                                  <w:sz w:val="26"/>
                                  <w:szCs w:val="26"/>
                                </w:rPr>
                                <w:t xml:space="preserve">     </w:t>
                              </w:r>
                            </w:sdtContent>
                          </w:sdt>
                        </w:p>
                      </w:txbxContent>
                    </v:textbox>
                    <w10:wrap anchorx="page" anchory="page"/>
                  </v:shape>
                </w:pict>
              </mc:Fallback>
            </mc:AlternateContent>
          </w:r>
          <w:r w:rsidRPr="00FE6D89">
            <w:rPr>
              <w:rFonts w:ascii="Times New Roman" w:hAnsi="Times New Roman" w:cs="Times New Roman"/>
              <w:noProof/>
              <w:lang w:eastAsia="en-GB"/>
            </w:rPr>
            <mc:AlternateContent>
              <mc:Choice Requires="wps">
                <w:drawing>
                  <wp:anchor distT="0" distB="0" distL="114300" distR="114300" simplePos="0" relativeHeight="251658241" behindDoc="1" locked="0" layoutInCell="1" allowOverlap="1" wp14:anchorId="182C985E" wp14:editId="01DE053A">
                    <wp:simplePos x="0" y="0"/>
                    <mc:AlternateContent>
                      <mc:Choice Requires="wp14">
                        <wp:positionH relativeFrom="page">
                          <wp14:pctPosHOffset>10000</wp14:pctPosHOffset>
                        </wp:positionH>
                      </mc:Choice>
                      <mc:Fallback>
                        <wp:positionH relativeFrom="page">
                          <wp:posOffset>755650</wp:posOffset>
                        </wp:positionH>
                      </mc:Fallback>
                    </mc:AlternateContent>
                    <mc:AlternateContent>
                      <mc:Choice Requires="wp14">
                        <wp:positionV relativeFrom="page">
                          <wp14:pctPosVOffset>15000</wp14:pctPosVOffset>
                        </wp:positionV>
                      </mc:Choice>
                      <mc:Fallback>
                        <wp:positionV relativeFrom="page">
                          <wp:posOffset>1604010</wp:posOffset>
                        </wp:positionV>
                      </mc:Fallback>
                    </mc:AlternateContent>
                    <wp:extent cx="0" cy="1543050"/>
                    <wp:effectExtent l="19050" t="0" r="19050" b="23495"/>
                    <wp:wrapNone/>
                    <wp:docPr id="37" name="Straight Connector 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AE07D2" id="Straight Connector 37" o:spid="_x0000_s1026" style="position:absolute;z-index:-251658239;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" strokecolor="#272727 [2749]" strokeweight="2.25pt">
                    <v:stroke joinstyle="miter"/>
                    <w10:wrap anchorx="page" anchory="page"/>
                  </v:line>
                </w:pict>
              </mc:Fallback>
            </mc:AlternateContent>
          </w:r>
          <w:r w:rsidRPr="00FE6D89">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3D7B2297" wp14:editId="37EACE41">
                    <wp:simplePos x="0" y="0"/>
                    <wp:positionH relativeFrom="page">
                      <wp:align>left</wp:align>
                    </wp:positionH>
                    <mc:AlternateContent>
                      <mc:Choice Requires="wp14">
                        <wp:positionV relativeFrom="page">
                          <wp14:pctPosVOffset>15000</wp14:pctPosVOffset>
                        </wp:positionV>
                      </mc:Choice>
                      <mc:Fallback>
                        <wp:positionV relativeFrom="page">
                          <wp:posOffset>1604010</wp:posOffset>
                        </wp:positionV>
                      </mc:Fallback>
                    </mc:AlternateContent>
                    <wp:extent cx="5534025" cy="2724912"/>
                    <wp:effectExtent l="0" t="0" r="0" b="2540"/>
                    <wp:wrapNone/>
                    <wp:docPr id="38" name="Text Box 38"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Times New Roman" w:hAnsi="Times New Roman" w:cs="Times New Roman"/>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66EF124" w14:textId="452CB547" w:rsidR="00A600BE" w:rsidRPr="00EA1681" w:rsidRDefault="00A600BE" w:rsidP="00435D31">
                                    <w:pPr>
                                      <w:pStyle w:val="Title"/>
                                      <w:rPr>
                                        <w:rFonts w:ascii="Times New Roman" w:hAnsi="Times New Roman" w:cs="Times New Roman"/>
                                      </w:rPr>
                                    </w:pPr>
                                    <w:r w:rsidRPr="00EA1681">
                                      <w:rPr>
                                        <w:rFonts w:ascii="Times New Roman" w:hAnsi="Times New Roman" w:cs="Times New Roman"/>
                                      </w:rPr>
                                      <w:t>Is the current law on Conspiracy to commit Murder effective and fair?</w:t>
                                    </w:r>
                                  </w:p>
                                </w:sdtContent>
                              </w:sdt>
                              <w:sdt>
                                <w:sdtPr>
                                  <w:rPr>
                                    <w:color w:val="262626" w:themeColor="text1" w:themeTint="D9"/>
                                    <w:sz w:val="36"/>
                                    <w:szCs w:val="36"/>
                                  </w:rPr>
                                  <w:alias w:val="Subtitle"/>
                                  <w:tag w:val=""/>
                                  <w:id w:val="114377379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7925E11E" w14:textId="38DF26B1" w:rsidR="00A600BE" w:rsidRDefault="00A600BE">
                                    <w:pPr>
                                      <w:pStyle w:val="NoSpacing"/>
                                      <w:rPr>
                                        <w:i/>
                                        <w:color w:val="262626" w:themeColor="text1" w:themeTint="D9"/>
                                        <w:sz w:val="36"/>
                                        <w:szCs w:val="36"/>
                                      </w:rPr>
                                    </w:pPr>
                                    <w:r>
                                      <w:rPr>
                                        <w:color w:val="262626" w:themeColor="text1" w:themeTint="D9"/>
                                        <w:sz w:val="36"/>
                                        <w:szCs w:val="36"/>
                                      </w:rPr>
                                      <w:t xml:space="preserve">     </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 w14:anchorId="3D7B2297" id="Text Box 38" o:spid="_x0000_s1027" type="#_x0000_t202" alt="Title: Title and subtitle" style="position:absolute;margin-left:0;margin-top:0;width:435.75pt;height:214.55pt;z-index:251658240;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" filled="f" stroked="f" strokeweight=".5pt">
                    <v:textbox style="mso-fit-shape-to-text:t" inset="93.6pt,,0">
                      <w:txbxContent>
                        <w:sdt>
                          <w:sdtPr>
                            <w:rPr>
                              <w:rFonts w:ascii="Times New Roman" w:hAnsi="Times New Roman" w:cs="Times New Roman"/>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66EF124" w14:textId="452CB547" w:rsidR="00A600BE" w:rsidRPr="00EA1681" w:rsidRDefault="00A600BE" w:rsidP="00435D31">
                              <w:pPr>
                                <w:pStyle w:val="Title"/>
                                <w:rPr>
                                  <w:rFonts w:ascii="Times New Roman" w:hAnsi="Times New Roman" w:cs="Times New Roman"/>
                                </w:rPr>
                              </w:pPr>
                              <w:r w:rsidRPr="00EA1681">
                                <w:rPr>
                                  <w:rFonts w:ascii="Times New Roman" w:hAnsi="Times New Roman" w:cs="Times New Roman"/>
                                </w:rPr>
                                <w:t>Is the current law on Conspiracy to commit Murder effective and fair?</w:t>
                              </w:r>
                            </w:p>
                          </w:sdtContent>
                        </w:sdt>
                        <w:sdt>
                          <w:sdtPr>
                            <w:rPr>
                              <w:color w:val="262626" w:themeColor="text1" w:themeTint="D9"/>
                              <w:sz w:val="36"/>
                              <w:szCs w:val="36"/>
                            </w:rPr>
                            <w:alias w:val="Subtitle"/>
                            <w:tag w:val=""/>
                            <w:id w:val="114377379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7925E11E" w14:textId="38DF26B1" w:rsidR="00A600BE" w:rsidRDefault="00A600BE">
                              <w:pPr>
                                <w:pStyle w:val="NoSpacing"/>
                                <w:rPr>
                                  <w:i/>
                                  <w:color w:val="262626" w:themeColor="text1" w:themeTint="D9"/>
                                  <w:sz w:val="36"/>
                                  <w:szCs w:val="36"/>
                                </w:rPr>
                              </w:pPr>
                              <w:r>
                                <w:rPr>
                                  <w:color w:val="262626" w:themeColor="text1" w:themeTint="D9"/>
                                  <w:sz w:val="36"/>
                                  <w:szCs w:val="36"/>
                                </w:rPr>
                                <w:t xml:space="preserve">     </w:t>
                              </w:r>
                            </w:p>
                          </w:sdtContent>
                        </w:sdt>
                      </w:txbxContent>
                    </v:textbox>
                    <w10:wrap anchorx="page" anchory="page"/>
                  </v:shape>
                </w:pict>
              </mc:Fallback>
            </mc:AlternateContent>
          </w:r>
        </w:p>
        <w:p w14:paraId="00F3894E" w14:textId="5BA9F78B" w:rsidR="00435D31" w:rsidRPr="00FE6D89" w:rsidRDefault="00435D31">
          <w:pPr>
            <w:rPr>
              <w:rStyle w:val="contextualspellingandgrammarerror"/>
              <w:rFonts w:ascii="Times New Roman" w:eastAsia="Times New Roman" w:hAnsi="Times New Roman" w:cs="Times New Roman"/>
              <w:b/>
              <w:bCs/>
            </w:rPr>
          </w:pPr>
          <w:r w:rsidRPr="00FE6D89">
            <w:rPr>
              <w:rStyle w:val="contextualspellingandgrammarerror"/>
              <w:rFonts w:ascii="Times New Roman" w:hAnsi="Times New Roman" w:cs="Times New Roman"/>
              <w:b/>
              <w:bCs/>
            </w:rPr>
            <w:br w:type="page"/>
          </w:r>
        </w:p>
      </w:sdtContent>
    </w:sdt>
    <w:p w14:paraId="21898436" w14:textId="77777777" w:rsidR="00932E9E" w:rsidRPr="00FE6D89" w:rsidRDefault="00932E9E" w:rsidP="680B1F56">
      <w:pPr>
        <w:pStyle w:val="paragraph"/>
        <w:spacing w:before="0" w:beforeAutospacing="0" w:after="0" w:afterAutospacing="0"/>
        <w:jc w:val="both"/>
        <w:textAlignment w:val="baseline"/>
        <w:rPr>
          <w:rStyle w:val="contextualspellingandgrammarerror"/>
          <w:b/>
          <w:bCs/>
          <w:lang w:val="en-GB"/>
        </w:rPr>
        <w:sectPr w:rsidR="00932E9E" w:rsidRPr="00FE6D89" w:rsidSect="00932E9E">
          <w:headerReference w:type="default" r:id="rId8"/>
          <w:footerReference w:type="even" r:id="rId9"/>
          <w:footerReference w:type="default" r:id="rId10"/>
          <w:headerReference w:type="first" r:id="rId11"/>
          <w:footerReference w:type="first" r:id="rId12"/>
          <w:pgSz w:w="11900" w:h="16840"/>
          <w:pgMar w:top="1440" w:right="1440" w:bottom="1440" w:left="1440" w:header="709" w:footer="709" w:gutter="0"/>
          <w:lnNumType w:countBy="5"/>
          <w:pgNumType w:start="1"/>
          <w:cols w:space="708"/>
          <w:titlePg/>
          <w:docGrid w:linePitch="360"/>
        </w:sectPr>
      </w:pPr>
    </w:p>
    <w:p w14:paraId="0A37501D" w14:textId="537F48A3" w:rsidR="00101605" w:rsidRPr="00D74B11" w:rsidRDefault="680B1F56" w:rsidP="00D74B11">
      <w:pPr>
        <w:pStyle w:val="paragraph"/>
        <w:spacing w:before="0" w:beforeAutospacing="0" w:afterLines="200" w:after="480" w:afterAutospacing="0" w:line="360" w:lineRule="auto"/>
        <w:jc w:val="both"/>
        <w:textAlignment w:val="baseline"/>
        <w:rPr>
          <w:b/>
          <w:bCs/>
          <w:lang w:val="en-GB"/>
        </w:rPr>
      </w:pPr>
      <w:r w:rsidRPr="00D74B11">
        <w:rPr>
          <w:rStyle w:val="contextualspellingandgrammarerror"/>
          <w:b/>
          <w:bCs/>
          <w:lang w:val="en-GB"/>
        </w:rPr>
        <w:lastRenderedPageBreak/>
        <w:t>Introduction</w:t>
      </w:r>
    </w:p>
    <w:p w14:paraId="55CB6366" w14:textId="30EB6DF6" w:rsidR="00101605" w:rsidRPr="00D74B11" w:rsidRDefault="0016462B" w:rsidP="00D74B11">
      <w:pPr>
        <w:spacing w:afterLines="200" w:after="480" w:line="360" w:lineRule="auto"/>
        <w:jc w:val="both"/>
        <w:rPr>
          <w:rFonts w:ascii="Times New Roman" w:hAnsi="Times New Roman" w:cs="Times New Roman"/>
          <w:b/>
          <w:bCs/>
        </w:rPr>
      </w:pPr>
      <w:r w:rsidRPr="00D74B11">
        <w:rPr>
          <w:rFonts w:ascii="Times New Roman" w:hAnsi="Times New Roman" w:cs="Times New Roman"/>
        </w:rPr>
        <w:t xml:space="preserve">“Conspirators be they </w:t>
      </w:r>
      <w:r w:rsidR="005E5D8A" w:rsidRPr="00D74B11">
        <w:rPr>
          <w:rFonts w:ascii="Times New Roman" w:hAnsi="Times New Roman" w:cs="Times New Roman"/>
        </w:rPr>
        <w:t>that</w:t>
      </w:r>
      <w:r w:rsidR="00051E36" w:rsidRPr="00D74B11">
        <w:rPr>
          <w:rFonts w:ascii="Times New Roman" w:hAnsi="Times New Roman" w:cs="Times New Roman"/>
        </w:rPr>
        <w:t>…</w:t>
      </w:r>
      <w:r w:rsidR="005E5D8A" w:rsidRPr="00D74B11">
        <w:rPr>
          <w:rFonts w:ascii="Times New Roman" w:hAnsi="Times New Roman" w:cs="Times New Roman"/>
        </w:rPr>
        <w:t>bind themselves by Oath</w:t>
      </w:r>
      <w:r w:rsidR="00051E36" w:rsidRPr="00D74B11">
        <w:rPr>
          <w:rFonts w:ascii="Times New Roman" w:hAnsi="Times New Roman" w:cs="Times New Roman"/>
        </w:rPr>
        <w:t>…</w:t>
      </w:r>
      <w:r w:rsidR="00D7166F" w:rsidRPr="00D74B11">
        <w:rPr>
          <w:rFonts w:ascii="Times New Roman" w:hAnsi="Times New Roman" w:cs="Times New Roman"/>
        </w:rPr>
        <w:t xml:space="preserve">or other Alliance, that every of them </w:t>
      </w:r>
      <w:r w:rsidR="00EE6533" w:rsidRPr="00D74B11">
        <w:rPr>
          <w:rFonts w:ascii="Times New Roman" w:hAnsi="Times New Roman" w:cs="Times New Roman"/>
        </w:rPr>
        <w:t xml:space="preserve">shall aid and support the Enterprise of each other falsely and maliciously </w:t>
      </w:r>
      <w:r w:rsidR="00CA1F3A" w:rsidRPr="00D74B11">
        <w:rPr>
          <w:rFonts w:ascii="Times New Roman" w:hAnsi="Times New Roman" w:cs="Times New Roman"/>
        </w:rPr>
        <w:t xml:space="preserve">to </w:t>
      </w:r>
      <w:proofErr w:type="spellStart"/>
      <w:r w:rsidR="00CA1F3A" w:rsidRPr="00D74B11">
        <w:rPr>
          <w:rFonts w:ascii="Times New Roman" w:hAnsi="Times New Roman" w:cs="Times New Roman"/>
        </w:rPr>
        <w:t>indite</w:t>
      </w:r>
      <w:proofErr w:type="spellEnd"/>
      <w:r w:rsidR="00870951" w:rsidRPr="00D74B11">
        <w:rPr>
          <w:rFonts w:ascii="Times New Roman" w:hAnsi="Times New Roman" w:cs="Times New Roman"/>
        </w:rPr>
        <w:t>.”</w:t>
      </w:r>
      <w:r w:rsidR="00F8631A" w:rsidRPr="00D74B11">
        <w:rPr>
          <w:rStyle w:val="FootnoteReference"/>
          <w:rFonts w:ascii="Times New Roman" w:hAnsi="Times New Roman" w:cs="Times New Roman"/>
        </w:rPr>
        <w:footnoteReference w:id="2"/>
      </w:r>
      <w:r w:rsidR="00870951" w:rsidRPr="00D74B11">
        <w:rPr>
          <w:rFonts w:ascii="Times New Roman" w:hAnsi="Times New Roman" w:cs="Times New Roman"/>
        </w:rPr>
        <w:t xml:space="preserve"> </w:t>
      </w:r>
      <w:r w:rsidR="00E64AE8" w:rsidRPr="00D74B11">
        <w:rPr>
          <w:rFonts w:ascii="Times New Roman" w:hAnsi="Times New Roman" w:cs="Times New Roman"/>
        </w:rPr>
        <w:t xml:space="preserve">Established in the Third Ordinance of Conspirators in 1304; </w:t>
      </w:r>
      <w:r w:rsidR="00112E56" w:rsidRPr="00D74B11">
        <w:rPr>
          <w:rFonts w:ascii="Times New Roman" w:hAnsi="Times New Roman" w:cs="Times New Roman"/>
        </w:rPr>
        <w:t xml:space="preserve">the first definition of conspiracy was to </w:t>
      </w:r>
      <w:r w:rsidR="008B298A" w:rsidRPr="00D74B11">
        <w:rPr>
          <w:rFonts w:ascii="Times New Roman" w:hAnsi="Times New Roman" w:cs="Times New Roman"/>
        </w:rPr>
        <w:t xml:space="preserve">prevent and </w:t>
      </w:r>
      <w:r w:rsidR="001A34EF" w:rsidRPr="00D74B11">
        <w:rPr>
          <w:rFonts w:ascii="Times New Roman" w:hAnsi="Times New Roman" w:cs="Times New Roman"/>
        </w:rPr>
        <w:t xml:space="preserve">punish those who would plan to use children to present their </w:t>
      </w:r>
      <w:r w:rsidR="009E1AFE" w:rsidRPr="00D74B11">
        <w:rPr>
          <w:rFonts w:ascii="Times New Roman" w:hAnsi="Times New Roman" w:cs="Times New Roman"/>
        </w:rPr>
        <w:t xml:space="preserve">false </w:t>
      </w:r>
      <w:proofErr w:type="gramStart"/>
      <w:r w:rsidR="001A34EF" w:rsidRPr="00D74B11">
        <w:rPr>
          <w:rFonts w:ascii="Times New Roman" w:hAnsi="Times New Roman" w:cs="Times New Roman"/>
        </w:rPr>
        <w:t>accusations</w:t>
      </w:r>
      <w:proofErr w:type="gramEnd"/>
      <w:r w:rsidR="009E1AFE" w:rsidRPr="00D74B11">
        <w:rPr>
          <w:rFonts w:ascii="Times New Roman" w:hAnsi="Times New Roman" w:cs="Times New Roman"/>
        </w:rPr>
        <w:t xml:space="preserve"> in court</w:t>
      </w:r>
      <w:r w:rsidR="001A34EF" w:rsidRPr="00D74B11">
        <w:rPr>
          <w:rFonts w:ascii="Times New Roman" w:hAnsi="Times New Roman" w:cs="Times New Roman"/>
        </w:rPr>
        <w:t xml:space="preserve"> on </w:t>
      </w:r>
      <w:r w:rsidR="002078CA" w:rsidRPr="00D74B11">
        <w:rPr>
          <w:rFonts w:ascii="Times New Roman" w:hAnsi="Times New Roman" w:cs="Times New Roman"/>
        </w:rPr>
        <w:t>their behalf (as children could not be criminally liable).</w:t>
      </w:r>
      <w:r w:rsidR="008B298A" w:rsidRPr="00D74B11">
        <w:rPr>
          <w:rFonts w:ascii="Times New Roman" w:hAnsi="Times New Roman" w:cs="Times New Roman"/>
        </w:rPr>
        <w:t xml:space="preserve"> The aim of the law on conspiracy, although widening the scope, has been clear from the thirteenth century</w:t>
      </w:r>
      <w:r w:rsidR="007C4002" w:rsidRPr="00D74B11">
        <w:rPr>
          <w:rFonts w:ascii="Times New Roman" w:hAnsi="Times New Roman" w:cs="Times New Roman"/>
        </w:rPr>
        <w:t>: to prevent and punish the planning of a</w:t>
      </w:r>
      <w:r w:rsidR="00F51610" w:rsidRPr="00D74B11">
        <w:rPr>
          <w:rFonts w:ascii="Times New Roman" w:hAnsi="Times New Roman" w:cs="Times New Roman"/>
        </w:rPr>
        <w:t xml:space="preserve"> criminal</w:t>
      </w:r>
      <w:r w:rsidR="007C4002" w:rsidRPr="00D74B11">
        <w:rPr>
          <w:rFonts w:ascii="Times New Roman" w:hAnsi="Times New Roman" w:cs="Times New Roman"/>
        </w:rPr>
        <w:t xml:space="preserve"> offence.</w:t>
      </w:r>
      <w:r w:rsidR="002078CA" w:rsidRPr="00D74B11">
        <w:rPr>
          <w:rFonts w:ascii="Times New Roman" w:hAnsi="Times New Roman" w:cs="Times New Roman"/>
        </w:rPr>
        <w:t xml:space="preserve"> </w:t>
      </w:r>
      <w:r w:rsidR="007C4002" w:rsidRPr="00D74B11">
        <w:rPr>
          <w:rFonts w:ascii="Times New Roman" w:hAnsi="Times New Roman" w:cs="Times New Roman"/>
        </w:rPr>
        <w:t>However, since expanding</w:t>
      </w:r>
      <w:r w:rsidR="00A81585" w:rsidRPr="00D74B11">
        <w:rPr>
          <w:rFonts w:ascii="Times New Roman" w:hAnsi="Times New Roman" w:cs="Times New Roman"/>
        </w:rPr>
        <w:t>,</w:t>
      </w:r>
      <w:r w:rsidR="007C4002" w:rsidRPr="00D74B11">
        <w:rPr>
          <w:rFonts w:ascii="Times New Roman" w:hAnsi="Times New Roman" w:cs="Times New Roman"/>
        </w:rPr>
        <w:t xml:space="preserve"> t</w:t>
      </w:r>
      <w:r w:rsidR="00101605" w:rsidRPr="00D74B11">
        <w:rPr>
          <w:rFonts w:ascii="Times New Roman" w:hAnsi="Times New Roman" w:cs="Times New Roman"/>
        </w:rPr>
        <w:t xml:space="preserve">he law on conspiracy has been criticised especially </w:t>
      </w:r>
      <w:proofErr w:type="gramStart"/>
      <w:r w:rsidR="00101605" w:rsidRPr="00D74B11">
        <w:rPr>
          <w:rFonts w:ascii="Times New Roman" w:hAnsi="Times New Roman" w:cs="Times New Roman"/>
        </w:rPr>
        <w:t>in regard to</w:t>
      </w:r>
      <w:proofErr w:type="gramEnd"/>
      <w:r w:rsidR="00101605" w:rsidRPr="00D74B11">
        <w:rPr>
          <w:rFonts w:ascii="Times New Roman" w:hAnsi="Times New Roman" w:cs="Times New Roman"/>
        </w:rPr>
        <w:t xml:space="preserve"> sentencing as </w:t>
      </w:r>
      <w:bookmarkStart w:id="0" w:name="_Hlk530131326"/>
      <w:bookmarkEnd w:id="0"/>
      <w:r w:rsidR="00147CE2" w:rsidRPr="00D74B11">
        <w:rPr>
          <w:rFonts w:ascii="Times New Roman" w:hAnsi="Times New Roman" w:cs="Times New Roman"/>
        </w:rPr>
        <w:t>“</w:t>
      </w:r>
      <w:r w:rsidR="00101605" w:rsidRPr="00D74B11">
        <w:rPr>
          <w:rFonts w:ascii="Times New Roman" w:hAnsi="Times New Roman" w:cs="Times New Roman"/>
        </w:rPr>
        <w:t>unduly harsh.</w:t>
      </w:r>
      <w:r w:rsidR="00147CE2" w:rsidRPr="00D74B11">
        <w:rPr>
          <w:rFonts w:ascii="Times New Roman" w:hAnsi="Times New Roman" w:cs="Times New Roman"/>
        </w:rPr>
        <w:t>”</w:t>
      </w:r>
      <w:r w:rsidR="00101605" w:rsidRPr="00D74B11">
        <w:rPr>
          <w:rStyle w:val="FootnoteReference"/>
          <w:rFonts w:ascii="Times New Roman" w:hAnsi="Times New Roman" w:cs="Times New Roman"/>
        </w:rPr>
        <w:footnoteReference w:id="3"/>
      </w:r>
      <w:r w:rsidR="00101605" w:rsidRPr="00D74B11">
        <w:rPr>
          <w:rFonts w:ascii="Times New Roman" w:hAnsi="Times New Roman" w:cs="Times New Roman"/>
        </w:rPr>
        <w:t xml:space="preserve"> This is the result of numerous problems with the current law on conspiracy to murder, which is in urgent need of reform. </w:t>
      </w:r>
      <w:r w:rsidR="00264756" w:rsidRPr="00D74B11">
        <w:rPr>
          <w:rFonts w:ascii="Times New Roman" w:hAnsi="Times New Roman" w:cs="Times New Roman"/>
        </w:rPr>
        <w:t>“O</w:t>
      </w:r>
      <w:r w:rsidR="00101605" w:rsidRPr="00D74B11">
        <w:rPr>
          <w:rFonts w:ascii="Times New Roman" w:hAnsi="Times New Roman" w:cs="Times New Roman"/>
          <w:shd w:val="clear" w:color="auto" w:fill="FFFFFF"/>
        </w:rPr>
        <w:t>n the 10</w:t>
      </w:r>
      <w:r w:rsidR="00101605" w:rsidRPr="00D74B11">
        <w:rPr>
          <w:rFonts w:ascii="Times New Roman" w:hAnsi="Times New Roman" w:cs="Times New Roman"/>
          <w:shd w:val="clear" w:color="auto" w:fill="FFFFFF"/>
          <w:vertAlign w:val="superscript"/>
        </w:rPr>
        <w:t>th</w:t>
      </w:r>
      <w:r w:rsidR="00101605" w:rsidRPr="00D74B11">
        <w:rPr>
          <w:rFonts w:ascii="Times New Roman" w:hAnsi="Times New Roman" w:cs="Times New Roman"/>
          <w:shd w:val="clear" w:color="auto" w:fill="FFFFFF"/>
        </w:rPr>
        <w:t xml:space="preserve"> of October 2007,</w:t>
      </w:r>
      <w:r w:rsidR="00101605" w:rsidRPr="00D74B11">
        <w:rPr>
          <w:rFonts w:ascii="Times New Roman" w:hAnsi="Times New Roman" w:cs="Times New Roman"/>
        </w:rPr>
        <w:t xml:space="preserve"> the law commission proposed many recommendations on reforms of statutory conspiracy.</w:t>
      </w:r>
      <w:r w:rsidR="00147CE2" w:rsidRPr="00D74B11">
        <w:rPr>
          <w:rFonts w:ascii="Times New Roman" w:hAnsi="Times New Roman" w:cs="Times New Roman"/>
        </w:rPr>
        <w:t>”</w:t>
      </w:r>
      <w:r w:rsidR="00101605" w:rsidRPr="00D74B11">
        <w:rPr>
          <w:rStyle w:val="FootnoteReference"/>
          <w:rFonts w:ascii="Times New Roman" w:hAnsi="Times New Roman" w:cs="Times New Roman"/>
        </w:rPr>
        <w:footnoteReference w:id="4"/>
      </w:r>
      <w:r w:rsidR="00101605" w:rsidRPr="00D74B11">
        <w:rPr>
          <w:rFonts w:ascii="Times New Roman" w:hAnsi="Times New Roman" w:cs="Times New Roman"/>
        </w:rPr>
        <w:t xml:space="preserve"> The focus of this legal research is to explore the current state of law regarding conspiracy to murder and the legislation, case law, scholarly and media articles discussed in this report will evaluate the effectiveness and fairness of the law on conspiracy to murder. Thus, the question to sum up our legal research </w:t>
      </w:r>
      <w:r w:rsidR="00101605" w:rsidRPr="00D74B11">
        <w:rPr>
          <w:rFonts w:ascii="Times New Roman" w:hAnsi="Times New Roman" w:cs="Times New Roman"/>
          <w:b/>
          <w:bCs/>
        </w:rPr>
        <w:t>“Is the current law on conspiracy to commit murder effective and fair?</w:t>
      </w:r>
    </w:p>
    <w:p w14:paraId="79833882" w14:textId="145A9FA6" w:rsidR="00101605" w:rsidRPr="00D74B11" w:rsidRDefault="680B1F56" w:rsidP="00D74B11">
      <w:pPr>
        <w:spacing w:afterLines="200" w:after="480" w:line="360" w:lineRule="auto"/>
        <w:jc w:val="both"/>
        <w:rPr>
          <w:rFonts w:ascii="Times New Roman" w:hAnsi="Times New Roman" w:cs="Times New Roman"/>
          <w:b/>
          <w:bCs/>
        </w:rPr>
      </w:pPr>
      <w:r w:rsidRPr="00D74B11">
        <w:rPr>
          <w:rFonts w:ascii="Times New Roman" w:hAnsi="Times New Roman" w:cs="Times New Roman"/>
          <w:b/>
          <w:bCs/>
        </w:rPr>
        <w:t xml:space="preserve">Current law on </w:t>
      </w:r>
      <w:r w:rsidR="0098004D" w:rsidRPr="00D74B11">
        <w:rPr>
          <w:rFonts w:ascii="Times New Roman" w:hAnsi="Times New Roman" w:cs="Times New Roman"/>
          <w:b/>
          <w:bCs/>
        </w:rPr>
        <w:t>C</w:t>
      </w:r>
      <w:r w:rsidRPr="00D74B11">
        <w:rPr>
          <w:rFonts w:ascii="Times New Roman" w:hAnsi="Times New Roman" w:cs="Times New Roman"/>
          <w:b/>
          <w:bCs/>
        </w:rPr>
        <w:t xml:space="preserve">onspiracy to </w:t>
      </w:r>
      <w:r w:rsidR="0098004D" w:rsidRPr="00D74B11">
        <w:rPr>
          <w:rFonts w:ascii="Times New Roman" w:hAnsi="Times New Roman" w:cs="Times New Roman"/>
          <w:b/>
          <w:bCs/>
        </w:rPr>
        <w:t>M</w:t>
      </w:r>
      <w:r w:rsidRPr="00D74B11">
        <w:rPr>
          <w:rFonts w:ascii="Times New Roman" w:hAnsi="Times New Roman" w:cs="Times New Roman"/>
          <w:b/>
          <w:bCs/>
        </w:rPr>
        <w:t>urder</w:t>
      </w:r>
    </w:p>
    <w:p w14:paraId="7FCF4D5A" w14:textId="2EFD08A9" w:rsidR="00B25FB1" w:rsidRPr="00D74B11" w:rsidRDefault="003D34FC" w:rsidP="00D74B11">
      <w:pPr>
        <w:spacing w:afterLines="200" w:after="480" w:line="360" w:lineRule="auto"/>
        <w:jc w:val="both"/>
        <w:rPr>
          <w:rFonts w:ascii="Times New Roman" w:eastAsia="Times New Roman" w:hAnsi="Times New Roman" w:cs="Times New Roman"/>
        </w:rPr>
      </w:pPr>
      <w:r w:rsidRPr="00D74B11">
        <w:rPr>
          <w:rFonts w:ascii="Times New Roman" w:hAnsi="Times New Roman" w:cs="Times New Roman"/>
        </w:rPr>
        <w:t>“</w:t>
      </w:r>
      <w:r w:rsidR="00461AC7" w:rsidRPr="00D74B11">
        <w:rPr>
          <w:rFonts w:ascii="Times New Roman" w:hAnsi="Times New Roman" w:cs="Times New Roman"/>
        </w:rPr>
        <w:t>Conspiracy</w:t>
      </w:r>
      <w:r w:rsidRPr="00D74B11">
        <w:rPr>
          <w:rFonts w:ascii="Times New Roman" w:hAnsi="Times New Roman" w:cs="Times New Roman"/>
        </w:rPr>
        <w:t>” derives from the Latin words “con” and “</w:t>
      </w:r>
      <w:proofErr w:type="spellStart"/>
      <w:r w:rsidRPr="00D74B11">
        <w:rPr>
          <w:rFonts w:ascii="Times New Roman" w:hAnsi="Times New Roman" w:cs="Times New Roman"/>
        </w:rPr>
        <w:t>spirare</w:t>
      </w:r>
      <w:proofErr w:type="spellEnd"/>
      <w:r w:rsidRPr="00D74B11">
        <w:rPr>
          <w:rFonts w:ascii="Times New Roman" w:hAnsi="Times New Roman" w:cs="Times New Roman"/>
        </w:rPr>
        <w:t>” meaning “to breathe together”</w:t>
      </w:r>
      <w:r w:rsidR="004578A1" w:rsidRPr="00D74B11">
        <w:rPr>
          <w:rStyle w:val="FootnoteReference"/>
          <w:rFonts w:ascii="Times New Roman" w:hAnsi="Times New Roman" w:cs="Times New Roman"/>
        </w:rPr>
        <w:footnoteReference w:id="5"/>
      </w:r>
      <w:r w:rsidRPr="00D74B11">
        <w:rPr>
          <w:rFonts w:ascii="Times New Roman" w:eastAsia="Times New Roman" w:hAnsi="Times New Roman" w:cs="Times New Roman"/>
        </w:rPr>
        <w:t xml:space="preserve"> and </w:t>
      </w:r>
      <w:proofErr w:type="gramStart"/>
      <w:r w:rsidR="00461AC7" w:rsidRPr="00D74B11">
        <w:rPr>
          <w:rFonts w:ascii="Times New Roman" w:hAnsi="Times New Roman" w:cs="Times New Roman"/>
        </w:rPr>
        <w:t>can be defined</w:t>
      </w:r>
      <w:proofErr w:type="gramEnd"/>
      <w:r w:rsidR="00461AC7" w:rsidRPr="00D74B11">
        <w:rPr>
          <w:rFonts w:ascii="Times New Roman" w:hAnsi="Times New Roman" w:cs="Times New Roman"/>
        </w:rPr>
        <w:t xml:space="preserve"> as an act where two or more people have agreed to commit a crim</w:t>
      </w:r>
      <w:r w:rsidR="00411185" w:rsidRPr="00D74B11">
        <w:rPr>
          <w:rFonts w:ascii="Times New Roman" w:hAnsi="Times New Roman" w:cs="Times New Roman"/>
        </w:rPr>
        <w:t>e</w:t>
      </w:r>
      <w:r w:rsidR="00411185" w:rsidRPr="00D74B11">
        <w:rPr>
          <w:rStyle w:val="FootnoteReference"/>
          <w:rFonts w:ascii="Times New Roman" w:hAnsi="Times New Roman" w:cs="Times New Roman"/>
        </w:rPr>
        <w:footnoteReference w:id="6"/>
      </w:r>
      <w:r w:rsidR="00461AC7" w:rsidRPr="00D74B11">
        <w:rPr>
          <w:rFonts w:ascii="Times New Roman" w:hAnsi="Times New Roman" w:cs="Times New Roman"/>
        </w:rPr>
        <w:t>, but is also defined within the Criminal Law Act 1977.</w:t>
      </w:r>
      <w:r w:rsidR="00461AC7" w:rsidRPr="00D74B11">
        <w:rPr>
          <w:rStyle w:val="FootnoteReference"/>
          <w:rFonts w:ascii="Times New Roman" w:hAnsi="Times New Roman" w:cs="Times New Roman"/>
        </w:rPr>
        <w:footnoteReference w:id="7"/>
      </w:r>
      <w:r w:rsidR="00461AC7" w:rsidRPr="00D74B11">
        <w:rPr>
          <w:rFonts w:ascii="Times New Roman" w:hAnsi="Times New Roman" w:cs="Times New Roman"/>
        </w:rPr>
        <w:t xml:space="preserve"> </w:t>
      </w:r>
      <w:r w:rsidR="00F85636" w:rsidRPr="00D74B11">
        <w:rPr>
          <w:rFonts w:ascii="Times New Roman" w:hAnsi="Times New Roman" w:cs="Times New Roman"/>
        </w:rPr>
        <w:t>M</w:t>
      </w:r>
      <w:r w:rsidR="00461AC7" w:rsidRPr="00D74B11">
        <w:rPr>
          <w:rFonts w:ascii="Times New Roman" w:hAnsi="Times New Roman" w:cs="Times New Roman"/>
        </w:rPr>
        <w:t xml:space="preserve">urder </w:t>
      </w:r>
      <w:proofErr w:type="gramStart"/>
      <w:r w:rsidR="00461AC7" w:rsidRPr="00D74B11">
        <w:rPr>
          <w:rFonts w:ascii="Times New Roman" w:hAnsi="Times New Roman" w:cs="Times New Roman"/>
        </w:rPr>
        <w:t>can be defined</w:t>
      </w:r>
      <w:proofErr w:type="gramEnd"/>
      <w:r w:rsidR="00461AC7" w:rsidRPr="00D74B11">
        <w:rPr>
          <w:rFonts w:ascii="Times New Roman" w:hAnsi="Times New Roman" w:cs="Times New Roman"/>
        </w:rPr>
        <w:t xml:space="preserve"> as “the unlawful killing of another human being, under the Queen’s peace, with malice aforethought.”</w:t>
      </w:r>
      <w:r w:rsidR="00B53C9C" w:rsidRPr="00D74B11">
        <w:rPr>
          <w:rStyle w:val="FootnoteReference"/>
          <w:rFonts w:ascii="Times New Roman" w:hAnsi="Times New Roman" w:cs="Times New Roman"/>
        </w:rPr>
        <w:footnoteReference w:id="8"/>
      </w:r>
      <w:r w:rsidR="00461AC7" w:rsidRPr="00D74B11">
        <w:rPr>
          <w:rFonts w:ascii="Times New Roman" w:hAnsi="Times New Roman" w:cs="Times New Roman"/>
        </w:rPr>
        <w:t xml:space="preserve"> Combining these two offences creates the offence of conspiracy to </w:t>
      </w:r>
      <w:proofErr w:type="gramStart"/>
      <w:r w:rsidR="00461AC7" w:rsidRPr="00D74B11">
        <w:rPr>
          <w:rFonts w:ascii="Times New Roman" w:hAnsi="Times New Roman" w:cs="Times New Roman"/>
        </w:rPr>
        <w:t>murder which</w:t>
      </w:r>
      <w:proofErr w:type="gramEnd"/>
      <w:r w:rsidR="00461AC7" w:rsidRPr="00D74B11">
        <w:rPr>
          <w:rFonts w:ascii="Times New Roman" w:hAnsi="Times New Roman" w:cs="Times New Roman"/>
        </w:rPr>
        <w:t xml:space="preserve"> essentially is an agreement to commit the unlawful killing of another human being. </w:t>
      </w:r>
      <w:r w:rsidR="00871A23" w:rsidRPr="00D74B11">
        <w:rPr>
          <w:rFonts w:ascii="Times New Roman" w:hAnsi="Times New Roman" w:cs="Times New Roman"/>
        </w:rPr>
        <w:t>I</w:t>
      </w:r>
      <w:r w:rsidR="00461AC7" w:rsidRPr="00D74B11">
        <w:rPr>
          <w:rFonts w:ascii="Times New Roman" w:hAnsi="Times New Roman" w:cs="Times New Roman"/>
        </w:rPr>
        <w:t xml:space="preserve">t is an offence for any party </w:t>
      </w:r>
      <w:r w:rsidR="00461AC7" w:rsidRPr="00D74B11">
        <w:rPr>
          <w:rFonts w:ascii="Times New Roman" w:hAnsi="Times New Roman" w:cs="Times New Roman"/>
        </w:rPr>
        <w:lastRenderedPageBreak/>
        <w:t>to conspire to murde</w:t>
      </w:r>
      <w:r w:rsidR="00057839" w:rsidRPr="00D74B11">
        <w:rPr>
          <w:rFonts w:ascii="Times New Roman" w:hAnsi="Times New Roman" w:cs="Times New Roman"/>
        </w:rPr>
        <w:t>r.</w:t>
      </w:r>
      <w:r w:rsidR="00057839" w:rsidRPr="00D74B11">
        <w:rPr>
          <w:rFonts w:ascii="Times New Roman" w:hAnsi="Times New Roman" w:cs="Times New Roman"/>
        </w:rPr>
        <w:footnoteReference w:id="9"/>
      </w:r>
      <w:r w:rsidR="00461AC7" w:rsidRPr="00D74B11">
        <w:rPr>
          <w:rFonts w:ascii="Times New Roman" w:hAnsi="Times New Roman" w:cs="Times New Roman"/>
        </w:rPr>
        <w:t xml:space="preserve"> There are some exceptions as to who can commit conspiracy as a person </w:t>
      </w:r>
      <w:proofErr w:type="gramStart"/>
      <w:r w:rsidR="00461AC7" w:rsidRPr="00D74B11">
        <w:rPr>
          <w:rFonts w:ascii="Times New Roman" w:hAnsi="Times New Roman" w:cs="Times New Roman"/>
        </w:rPr>
        <w:t>cannot be convicted</w:t>
      </w:r>
      <w:proofErr w:type="gramEnd"/>
      <w:r w:rsidR="00461AC7" w:rsidRPr="00D74B11">
        <w:rPr>
          <w:rFonts w:ascii="Times New Roman" w:hAnsi="Times New Roman" w:cs="Times New Roman"/>
        </w:rPr>
        <w:t xml:space="preserve"> if the only other </w:t>
      </w:r>
      <w:r w:rsidR="00871A23" w:rsidRPr="00D74B11">
        <w:rPr>
          <w:rFonts w:ascii="Times New Roman" w:hAnsi="Times New Roman" w:cs="Times New Roman"/>
        </w:rPr>
        <w:t xml:space="preserve">party </w:t>
      </w:r>
      <w:r w:rsidR="00461AC7" w:rsidRPr="00D74B11">
        <w:rPr>
          <w:rFonts w:ascii="Times New Roman" w:hAnsi="Times New Roman" w:cs="Times New Roman"/>
        </w:rPr>
        <w:t>is an intended victim, spouse, or child under the age of criminal responsibility (10 years old)</w:t>
      </w:r>
      <w:r w:rsidR="00461AC7" w:rsidRPr="00D74B11">
        <w:rPr>
          <w:rStyle w:val="FootnoteReference"/>
          <w:rFonts w:ascii="Times New Roman" w:hAnsi="Times New Roman" w:cs="Times New Roman"/>
        </w:rPr>
        <w:footnoteReference w:id="10"/>
      </w:r>
      <w:r w:rsidR="00461AC7" w:rsidRPr="00D74B11">
        <w:rPr>
          <w:rFonts w:ascii="Times New Roman" w:hAnsi="Times New Roman" w:cs="Times New Roman"/>
        </w:rPr>
        <w:t>.</w:t>
      </w:r>
    </w:p>
    <w:p w14:paraId="3C81F6E7" w14:textId="5745264C" w:rsidR="00B25FB1" w:rsidRPr="00D74B11" w:rsidRDefault="00F02FC8" w:rsidP="00D74B11">
      <w:pPr>
        <w:spacing w:afterLines="200" w:after="480" w:line="360" w:lineRule="auto"/>
        <w:jc w:val="both"/>
        <w:rPr>
          <w:rFonts w:ascii="Times New Roman" w:hAnsi="Times New Roman" w:cs="Times New Roman"/>
        </w:rPr>
      </w:pPr>
      <w:r w:rsidRPr="00D74B11">
        <w:rPr>
          <w:rFonts w:ascii="Times New Roman" w:hAnsi="Times New Roman" w:cs="Times New Roman"/>
        </w:rPr>
        <w:t>In</w:t>
      </w:r>
      <w:r w:rsidR="001622A0" w:rsidRPr="00D74B11">
        <w:rPr>
          <w:rFonts w:ascii="Times New Roman" w:hAnsi="Times New Roman" w:cs="Times New Roman"/>
        </w:rPr>
        <w:t xml:space="preserve"> </w:t>
      </w:r>
      <w:proofErr w:type="gramStart"/>
      <w:r w:rsidR="001622A0" w:rsidRPr="00D74B11">
        <w:rPr>
          <w:rFonts w:ascii="Times New Roman" w:hAnsi="Times New Roman" w:cs="Times New Roman"/>
          <w:i/>
        </w:rPr>
        <w:t>Khalil</w:t>
      </w:r>
      <w:proofErr w:type="gramEnd"/>
      <w:r w:rsidR="001622A0" w:rsidRPr="00D74B11">
        <w:rPr>
          <w:rStyle w:val="FootnoteReference"/>
          <w:rFonts w:ascii="Times New Roman" w:hAnsi="Times New Roman" w:cs="Times New Roman"/>
        </w:rPr>
        <w:footnoteReference w:id="11"/>
      </w:r>
      <w:r w:rsidRPr="00D74B11">
        <w:rPr>
          <w:rFonts w:ascii="Times New Roman" w:hAnsi="Times New Roman" w:cs="Times New Roman"/>
        </w:rPr>
        <w:t xml:space="preserve"> t</w:t>
      </w:r>
      <w:r w:rsidR="00461AC7" w:rsidRPr="00D74B11">
        <w:rPr>
          <w:rFonts w:ascii="Times New Roman" w:hAnsi="Times New Roman" w:cs="Times New Roman"/>
        </w:rPr>
        <w:t xml:space="preserve">he appellants were charged with conspiring to murder </w:t>
      </w:r>
      <w:proofErr w:type="spellStart"/>
      <w:r w:rsidR="00461AC7" w:rsidRPr="00D74B11">
        <w:rPr>
          <w:rFonts w:ascii="Times New Roman" w:hAnsi="Times New Roman" w:cs="Times New Roman"/>
        </w:rPr>
        <w:t>Qayum</w:t>
      </w:r>
      <w:proofErr w:type="spellEnd"/>
      <w:r w:rsidR="00461AC7" w:rsidRPr="00D74B11">
        <w:rPr>
          <w:rFonts w:ascii="Times New Roman" w:hAnsi="Times New Roman" w:cs="Times New Roman"/>
        </w:rPr>
        <w:t xml:space="preserve">, the victim. An undercover police officer disguised as “Mick” acted as a hitman, Hussain went to Mick in order to have </w:t>
      </w:r>
      <w:proofErr w:type="spellStart"/>
      <w:r w:rsidR="00461AC7" w:rsidRPr="00D74B11">
        <w:rPr>
          <w:rFonts w:ascii="Times New Roman" w:hAnsi="Times New Roman" w:cs="Times New Roman"/>
        </w:rPr>
        <w:t>Qayum</w:t>
      </w:r>
      <w:proofErr w:type="spellEnd"/>
      <w:r w:rsidR="00461AC7" w:rsidRPr="00D74B11">
        <w:rPr>
          <w:rFonts w:ascii="Times New Roman" w:hAnsi="Times New Roman" w:cs="Times New Roman"/>
        </w:rPr>
        <w:t xml:space="preserve"> murdered for having an affair with his daughter.  LJ </w:t>
      </w:r>
      <w:proofErr w:type="spellStart"/>
      <w:r w:rsidR="00461AC7" w:rsidRPr="00D74B11">
        <w:rPr>
          <w:rFonts w:ascii="Times New Roman" w:hAnsi="Times New Roman" w:cs="Times New Roman"/>
        </w:rPr>
        <w:t>Tuskey</w:t>
      </w:r>
      <w:proofErr w:type="spellEnd"/>
      <w:r w:rsidR="00461AC7" w:rsidRPr="00D74B11">
        <w:rPr>
          <w:rFonts w:ascii="Times New Roman" w:hAnsi="Times New Roman" w:cs="Times New Roman"/>
        </w:rPr>
        <w:t xml:space="preserve"> clarified that it is a criminal offence for two or more persons to agree with one another to commit an offence and that the actual conspiracy is the agreement made between those parties. However, the judgement gives no definition of what an </w:t>
      </w:r>
      <w:r w:rsidR="00CD1785" w:rsidRPr="00D74B11">
        <w:rPr>
          <w:rFonts w:ascii="Times New Roman" w:hAnsi="Times New Roman" w:cs="Times New Roman"/>
        </w:rPr>
        <w:t>“</w:t>
      </w:r>
      <w:r w:rsidR="00461AC7" w:rsidRPr="00D74B11">
        <w:rPr>
          <w:rFonts w:ascii="Times New Roman" w:hAnsi="Times New Roman" w:cs="Times New Roman"/>
        </w:rPr>
        <w:t>agreement</w:t>
      </w:r>
      <w:r w:rsidR="00CD1785" w:rsidRPr="00D74B11">
        <w:rPr>
          <w:rFonts w:ascii="Times New Roman" w:hAnsi="Times New Roman" w:cs="Times New Roman"/>
        </w:rPr>
        <w:t>”</w:t>
      </w:r>
      <w:r w:rsidR="00461AC7" w:rsidRPr="00D74B11">
        <w:rPr>
          <w:rFonts w:ascii="Times New Roman" w:hAnsi="Times New Roman" w:cs="Times New Roman"/>
        </w:rPr>
        <w:t xml:space="preserve"> is. It </w:t>
      </w:r>
      <w:proofErr w:type="gramStart"/>
      <w:r w:rsidR="00461AC7" w:rsidRPr="00D74B11">
        <w:rPr>
          <w:rFonts w:ascii="Times New Roman" w:hAnsi="Times New Roman" w:cs="Times New Roman"/>
        </w:rPr>
        <w:t>has been left</w:t>
      </w:r>
      <w:proofErr w:type="gramEnd"/>
      <w:r w:rsidR="00461AC7" w:rsidRPr="00D74B11">
        <w:rPr>
          <w:rFonts w:ascii="Times New Roman" w:hAnsi="Times New Roman" w:cs="Times New Roman"/>
        </w:rPr>
        <w:t xml:space="preserve"> to courts to define this term. This could be to allow flexibility in the law, however the understood definition is that “agreement” is where “the parties to it have a common unlawful purpose or design.”</w:t>
      </w:r>
      <w:r w:rsidR="00CD1785" w:rsidRPr="00D74B11">
        <w:rPr>
          <w:rStyle w:val="FootnoteReference"/>
          <w:rFonts w:ascii="Times New Roman" w:hAnsi="Times New Roman" w:cs="Times New Roman"/>
        </w:rPr>
        <w:footnoteReference w:id="12"/>
      </w:r>
    </w:p>
    <w:p w14:paraId="060DA167" w14:textId="2FADB469" w:rsidR="00B25FB1" w:rsidRPr="00D74B11" w:rsidRDefault="000F124E" w:rsidP="00D74B11">
      <w:pPr>
        <w:spacing w:afterLines="200" w:after="480" w:line="360" w:lineRule="auto"/>
        <w:jc w:val="both"/>
        <w:rPr>
          <w:rFonts w:ascii="Times New Roman" w:hAnsi="Times New Roman" w:cs="Times New Roman"/>
        </w:rPr>
      </w:pPr>
      <w:r w:rsidRPr="00D74B11">
        <w:rPr>
          <w:rFonts w:ascii="Times New Roman" w:hAnsi="Times New Roman" w:cs="Times New Roman"/>
        </w:rPr>
        <w:t>Khalil also confirmed</w:t>
      </w:r>
      <w:r w:rsidR="690449A2" w:rsidRPr="00D74B11">
        <w:rPr>
          <w:rFonts w:ascii="Times New Roman" w:hAnsi="Times New Roman" w:cs="Times New Roman"/>
        </w:rPr>
        <w:t>;</w:t>
      </w:r>
      <w:r w:rsidRPr="00D74B11">
        <w:rPr>
          <w:rFonts w:ascii="Times New Roman" w:hAnsi="Times New Roman" w:cs="Times New Roman"/>
        </w:rPr>
        <w:t xml:space="preserve"> it </w:t>
      </w:r>
      <w:r w:rsidR="6474DA3A" w:rsidRPr="00D74B11">
        <w:rPr>
          <w:rFonts w:ascii="Times New Roman" w:hAnsi="Times New Roman" w:cs="Times New Roman"/>
        </w:rPr>
        <w:t>does not</w:t>
      </w:r>
      <w:r w:rsidRPr="00D74B11">
        <w:rPr>
          <w:rFonts w:ascii="Times New Roman" w:hAnsi="Times New Roman" w:cs="Times New Roman"/>
        </w:rPr>
        <w:t xml:space="preserve"> matter where a conspirator’s involvement appears on the scale of seriousness or precisely where they became involved, they are still guilty. This is a clear example of how harsh convictions can be in conspiracy cases especially in this case for </w:t>
      </w:r>
      <w:proofErr w:type="spellStart"/>
      <w:r w:rsidRPr="00D74B11">
        <w:rPr>
          <w:rFonts w:ascii="Times New Roman" w:hAnsi="Times New Roman" w:cs="Times New Roman"/>
        </w:rPr>
        <w:t>Nazar</w:t>
      </w:r>
      <w:proofErr w:type="spellEnd"/>
      <w:r w:rsidRPr="00D74B11">
        <w:rPr>
          <w:rFonts w:ascii="Times New Roman" w:hAnsi="Times New Roman" w:cs="Times New Roman"/>
        </w:rPr>
        <w:t xml:space="preserve">, who dropped out before the crime </w:t>
      </w:r>
      <w:proofErr w:type="gramStart"/>
      <w:r w:rsidRPr="00D74B11">
        <w:rPr>
          <w:rFonts w:ascii="Times New Roman" w:hAnsi="Times New Roman" w:cs="Times New Roman"/>
        </w:rPr>
        <w:t>had been carried out,</w:t>
      </w:r>
      <w:proofErr w:type="gramEnd"/>
      <w:r w:rsidRPr="00D74B11">
        <w:rPr>
          <w:rFonts w:ascii="Times New Roman" w:hAnsi="Times New Roman" w:cs="Times New Roman"/>
        </w:rPr>
        <w:t xml:space="preserve"> yet still faced conviction.</w:t>
      </w:r>
      <w:r w:rsidR="00553088" w:rsidRPr="00D74B11">
        <w:rPr>
          <w:rStyle w:val="FootnoteReference"/>
          <w:rFonts w:ascii="Times New Roman" w:hAnsi="Times New Roman" w:cs="Times New Roman"/>
        </w:rPr>
        <w:footnoteReference w:id="13"/>
      </w:r>
      <w:r w:rsidRPr="00D74B11">
        <w:rPr>
          <w:rFonts w:ascii="Times New Roman" w:hAnsi="Times New Roman" w:cs="Times New Roman"/>
        </w:rPr>
        <w:t xml:space="preserve"> </w:t>
      </w:r>
    </w:p>
    <w:p w14:paraId="02EB378F" w14:textId="39B2EC9F" w:rsidR="00461AC7" w:rsidRPr="00D74B11" w:rsidRDefault="00461AC7" w:rsidP="00D74B11">
      <w:pPr>
        <w:spacing w:afterLines="200" w:after="480" w:line="360" w:lineRule="auto"/>
        <w:jc w:val="both"/>
        <w:rPr>
          <w:rFonts w:ascii="Times New Roman" w:hAnsi="Times New Roman" w:cs="Times New Roman"/>
        </w:rPr>
      </w:pPr>
      <w:r w:rsidRPr="00D74B11">
        <w:rPr>
          <w:rFonts w:ascii="Times New Roman" w:hAnsi="Times New Roman" w:cs="Times New Roman"/>
        </w:rPr>
        <w:t xml:space="preserve">The sentencing of </w:t>
      </w:r>
      <w:r w:rsidR="00566365" w:rsidRPr="00D74B11">
        <w:rPr>
          <w:rFonts w:ascii="Times New Roman" w:hAnsi="Times New Roman" w:cs="Times New Roman"/>
        </w:rPr>
        <w:t>c</w:t>
      </w:r>
      <w:r w:rsidRPr="00D74B11">
        <w:rPr>
          <w:rFonts w:ascii="Times New Roman" w:hAnsi="Times New Roman" w:cs="Times New Roman"/>
        </w:rPr>
        <w:t xml:space="preserve">onspiracy to </w:t>
      </w:r>
      <w:r w:rsidR="00566365" w:rsidRPr="00D74B11">
        <w:rPr>
          <w:rFonts w:ascii="Times New Roman" w:hAnsi="Times New Roman" w:cs="Times New Roman"/>
        </w:rPr>
        <w:t>m</w:t>
      </w:r>
      <w:r w:rsidRPr="00D74B11">
        <w:rPr>
          <w:rFonts w:ascii="Times New Roman" w:hAnsi="Times New Roman" w:cs="Times New Roman"/>
        </w:rPr>
        <w:t>urder has always carried a maximum sentence of imprisonment for life</w:t>
      </w:r>
      <w:r w:rsidR="001622A0" w:rsidRPr="00D74B11">
        <w:rPr>
          <w:rStyle w:val="FootnoteReference"/>
          <w:rFonts w:ascii="Times New Roman" w:hAnsi="Times New Roman" w:cs="Times New Roman"/>
        </w:rPr>
        <w:footnoteReference w:id="14"/>
      </w:r>
      <w:r w:rsidRPr="00D74B11">
        <w:rPr>
          <w:rFonts w:ascii="Times New Roman" w:hAnsi="Times New Roman" w:cs="Times New Roman"/>
        </w:rPr>
        <w:t xml:space="preserve"> and </w:t>
      </w:r>
      <w:proofErr w:type="gramStart"/>
      <w:r w:rsidRPr="00D74B11">
        <w:rPr>
          <w:rFonts w:ascii="Times New Roman" w:hAnsi="Times New Roman" w:cs="Times New Roman"/>
        </w:rPr>
        <w:t>this</w:t>
      </w:r>
      <w:proofErr w:type="gramEnd"/>
      <w:r w:rsidRPr="00D74B11">
        <w:rPr>
          <w:rFonts w:ascii="Times New Roman" w:hAnsi="Times New Roman" w:cs="Times New Roman"/>
        </w:rPr>
        <w:t xml:space="preserve"> remains in the new legislation.</w:t>
      </w:r>
      <w:r w:rsidR="008444BE" w:rsidRPr="00D74B11">
        <w:rPr>
          <w:rStyle w:val="FootnoteReference"/>
          <w:rFonts w:ascii="Times New Roman" w:hAnsi="Times New Roman" w:cs="Times New Roman"/>
        </w:rPr>
        <w:footnoteReference w:id="15"/>
      </w:r>
      <w:r w:rsidRPr="00D74B11">
        <w:rPr>
          <w:rFonts w:ascii="Times New Roman" w:hAnsi="Times New Roman" w:cs="Times New Roman"/>
        </w:rPr>
        <w:t xml:space="preserve"> However, judges </w:t>
      </w:r>
      <w:proofErr w:type="gramStart"/>
      <w:r w:rsidRPr="00D74B11">
        <w:rPr>
          <w:rFonts w:ascii="Times New Roman" w:hAnsi="Times New Roman" w:cs="Times New Roman"/>
        </w:rPr>
        <w:t>are allowed</w:t>
      </w:r>
      <w:proofErr w:type="gramEnd"/>
      <w:r w:rsidRPr="00D74B11">
        <w:rPr>
          <w:rFonts w:ascii="Times New Roman" w:hAnsi="Times New Roman" w:cs="Times New Roman"/>
        </w:rPr>
        <w:t xml:space="preserve"> to decide if life imprisonment is necessary. There is a code of sentencing that </w:t>
      </w:r>
      <w:proofErr w:type="gramStart"/>
      <w:r w:rsidRPr="00D74B11">
        <w:rPr>
          <w:rFonts w:ascii="Times New Roman" w:hAnsi="Times New Roman" w:cs="Times New Roman"/>
        </w:rPr>
        <w:t>judges</w:t>
      </w:r>
      <w:proofErr w:type="gramEnd"/>
      <w:r w:rsidRPr="00D74B11">
        <w:rPr>
          <w:rFonts w:ascii="Times New Roman" w:hAnsi="Times New Roman" w:cs="Times New Roman"/>
        </w:rPr>
        <w:t xml:space="preserve"> use and examples of this are </w:t>
      </w:r>
      <w:r w:rsidRPr="00D74B11">
        <w:rPr>
          <w:rFonts w:ascii="Times New Roman" w:hAnsi="Times New Roman" w:cs="Times New Roman"/>
          <w:i/>
        </w:rPr>
        <w:t>Raw</w:t>
      </w:r>
      <w:r w:rsidRPr="00D74B11">
        <w:rPr>
          <w:rStyle w:val="FootnoteReference"/>
          <w:rFonts w:ascii="Times New Roman" w:hAnsi="Times New Roman" w:cs="Times New Roman"/>
        </w:rPr>
        <w:footnoteReference w:id="16"/>
      </w:r>
      <w:r w:rsidRPr="00D74B11">
        <w:rPr>
          <w:rFonts w:ascii="Times New Roman" w:hAnsi="Times New Roman" w:cs="Times New Roman"/>
        </w:rPr>
        <w:t xml:space="preserve"> and </w:t>
      </w:r>
      <w:proofErr w:type="spellStart"/>
      <w:r w:rsidRPr="00D74B11">
        <w:rPr>
          <w:rFonts w:ascii="Times New Roman" w:hAnsi="Times New Roman" w:cs="Times New Roman"/>
          <w:i/>
        </w:rPr>
        <w:t>Daddow</w:t>
      </w:r>
      <w:proofErr w:type="spellEnd"/>
      <w:r w:rsidRPr="00D74B11">
        <w:rPr>
          <w:rStyle w:val="FootnoteReference"/>
          <w:rFonts w:ascii="Times New Roman" w:hAnsi="Times New Roman" w:cs="Times New Roman"/>
        </w:rPr>
        <w:footnoteReference w:id="17"/>
      </w:r>
      <w:r w:rsidRPr="00D74B11">
        <w:rPr>
          <w:rFonts w:ascii="Times New Roman" w:hAnsi="Times New Roman" w:cs="Times New Roman"/>
        </w:rPr>
        <w:t xml:space="preserve">. The court concluded that a sentence of eighteen years for conspiracy to murder is not excessive, since murder </w:t>
      </w:r>
      <w:proofErr w:type="gramStart"/>
      <w:r w:rsidRPr="00D74B11">
        <w:rPr>
          <w:rFonts w:ascii="Times New Roman" w:hAnsi="Times New Roman" w:cs="Times New Roman"/>
        </w:rPr>
        <w:t>was carried out</w:t>
      </w:r>
      <w:proofErr w:type="gramEnd"/>
      <w:r w:rsidRPr="00D74B11">
        <w:rPr>
          <w:rFonts w:ascii="Times New Roman" w:hAnsi="Times New Roman" w:cs="Times New Roman"/>
        </w:rPr>
        <w:t xml:space="preserve">. </w:t>
      </w:r>
      <w:r w:rsidR="0018662F" w:rsidRPr="00D74B11">
        <w:rPr>
          <w:rFonts w:ascii="Times New Roman" w:hAnsi="Times New Roman" w:cs="Times New Roman"/>
        </w:rPr>
        <w:t xml:space="preserve">It is important to note that, murder itself is not a requirement for the offence of conspiracy to murder however is an aggravating factor. </w:t>
      </w:r>
    </w:p>
    <w:p w14:paraId="6D54D909" w14:textId="14167725" w:rsidR="00101605" w:rsidRPr="00D74B11" w:rsidRDefault="680B1F56" w:rsidP="00D74B11">
      <w:pPr>
        <w:spacing w:afterLines="200" w:after="480" w:line="360" w:lineRule="auto"/>
        <w:jc w:val="both"/>
        <w:rPr>
          <w:rFonts w:ascii="Times New Roman" w:hAnsi="Times New Roman" w:cs="Times New Roman"/>
          <w:b/>
          <w:bCs/>
        </w:rPr>
      </w:pPr>
      <w:r w:rsidRPr="00D74B11">
        <w:rPr>
          <w:rFonts w:ascii="Times New Roman" w:hAnsi="Times New Roman" w:cs="Times New Roman"/>
          <w:b/>
          <w:bCs/>
        </w:rPr>
        <w:lastRenderedPageBreak/>
        <w:t xml:space="preserve">Problems with the </w:t>
      </w:r>
      <w:r w:rsidR="00BB6B68" w:rsidRPr="00D74B11">
        <w:rPr>
          <w:rFonts w:ascii="Times New Roman" w:hAnsi="Times New Roman" w:cs="Times New Roman"/>
          <w:b/>
          <w:bCs/>
        </w:rPr>
        <w:t>C</w:t>
      </w:r>
      <w:r w:rsidRPr="00D74B11">
        <w:rPr>
          <w:rFonts w:ascii="Times New Roman" w:hAnsi="Times New Roman" w:cs="Times New Roman"/>
          <w:b/>
          <w:bCs/>
        </w:rPr>
        <w:t>urrent law</w:t>
      </w:r>
      <w:r w:rsidR="00BB6B68" w:rsidRPr="00D74B11">
        <w:rPr>
          <w:rFonts w:ascii="Times New Roman" w:hAnsi="Times New Roman" w:cs="Times New Roman"/>
          <w:b/>
          <w:bCs/>
        </w:rPr>
        <w:t>:</w:t>
      </w:r>
    </w:p>
    <w:p w14:paraId="18F7C3CD" w14:textId="7655164A" w:rsidR="00461AC7" w:rsidRPr="00D74B11" w:rsidRDefault="00BB6B68" w:rsidP="00D74B11">
      <w:pPr>
        <w:spacing w:afterLines="200" w:after="480" w:line="360" w:lineRule="auto"/>
        <w:jc w:val="both"/>
        <w:rPr>
          <w:rFonts w:ascii="Times New Roman" w:hAnsi="Times New Roman" w:cs="Times New Roman"/>
          <w:b/>
          <w:bCs/>
        </w:rPr>
      </w:pPr>
      <w:r w:rsidRPr="00D74B11">
        <w:rPr>
          <w:rFonts w:ascii="Times New Roman" w:hAnsi="Times New Roman" w:cs="Times New Roman"/>
          <w:b/>
          <w:bCs/>
        </w:rPr>
        <w:t>Philosophical aspects of Sentencing</w:t>
      </w:r>
    </w:p>
    <w:p w14:paraId="2658A674" w14:textId="1517393F" w:rsidR="006075A9" w:rsidRPr="00D74B11" w:rsidRDefault="680B1F56" w:rsidP="00D74B11">
      <w:pPr>
        <w:spacing w:afterLines="200" w:after="480" w:line="360" w:lineRule="auto"/>
        <w:jc w:val="both"/>
        <w:rPr>
          <w:rFonts w:ascii="Times New Roman" w:hAnsi="Times New Roman" w:cs="Times New Roman"/>
        </w:rPr>
      </w:pPr>
      <w:r w:rsidRPr="00D74B11">
        <w:rPr>
          <w:rFonts w:ascii="Times New Roman" w:eastAsia="Calibri" w:hAnsi="Times New Roman" w:cs="Times New Roman"/>
        </w:rPr>
        <w:t>There are two types of criminal law theories on punishment</w:t>
      </w:r>
      <w:r w:rsidR="006125C8" w:rsidRPr="00D74B11">
        <w:rPr>
          <w:rFonts w:ascii="Times New Roman" w:eastAsia="Calibri" w:hAnsi="Times New Roman" w:cs="Times New Roman"/>
        </w:rPr>
        <w:t xml:space="preserve">: </w:t>
      </w:r>
      <w:r w:rsidRPr="00D74B11">
        <w:rPr>
          <w:rFonts w:ascii="Times New Roman" w:eastAsia="Calibri" w:hAnsi="Times New Roman" w:cs="Times New Roman"/>
        </w:rPr>
        <w:t>Immanuel Kant’s retribution view and Jeremy Bentham’s consequentialism view. From the perspective of Kant, a criminal must deserve punishment</w:t>
      </w:r>
      <w:r w:rsidR="006125C8" w:rsidRPr="00D74B11">
        <w:rPr>
          <w:rFonts w:ascii="Times New Roman" w:eastAsia="Calibri" w:hAnsi="Times New Roman" w:cs="Times New Roman"/>
        </w:rPr>
        <w:t>;</w:t>
      </w:r>
      <w:r w:rsidRPr="00D74B11">
        <w:rPr>
          <w:rFonts w:ascii="Times New Roman" w:eastAsia="Calibri" w:hAnsi="Times New Roman" w:cs="Times New Roman"/>
        </w:rPr>
        <w:t xml:space="preserve"> “</w:t>
      </w:r>
      <w:r w:rsidR="006125C8" w:rsidRPr="00D74B11">
        <w:rPr>
          <w:rFonts w:ascii="Times New Roman" w:eastAsia="Calibri" w:hAnsi="Times New Roman" w:cs="Times New Roman"/>
        </w:rPr>
        <w:t>t</w:t>
      </w:r>
      <w:r w:rsidRPr="00D74B11">
        <w:rPr>
          <w:rFonts w:ascii="Times New Roman" w:eastAsia="Calibri" w:hAnsi="Times New Roman" w:cs="Times New Roman"/>
        </w:rPr>
        <w:t>hus, one must deserve punishment in order to be punished justifiably…”</w:t>
      </w:r>
      <w:r w:rsidRPr="00D74B11">
        <w:rPr>
          <w:rStyle w:val="FootnoteReference"/>
          <w:rFonts w:ascii="Times New Roman" w:eastAsia="Calibri" w:hAnsi="Times New Roman" w:cs="Times New Roman"/>
        </w:rPr>
        <w:footnoteReference w:id="18"/>
      </w:r>
      <w:r w:rsidRPr="00D74B11">
        <w:rPr>
          <w:rFonts w:ascii="Times New Roman" w:eastAsia="Calibri" w:hAnsi="Times New Roman" w:cs="Times New Roman"/>
        </w:rPr>
        <w:t xml:space="preserve"> Conversely, the perspective of Bentham, “all punishment is evil” unless “it promises to exclude some greater evil.”</w:t>
      </w:r>
      <w:r w:rsidRPr="00D74B11">
        <w:rPr>
          <w:rStyle w:val="FootnoteReference"/>
          <w:rFonts w:ascii="Times New Roman" w:eastAsia="Calibri" w:hAnsi="Times New Roman" w:cs="Times New Roman"/>
        </w:rPr>
        <w:footnoteReference w:id="19"/>
      </w:r>
      <w:r w:rsidRPr="00D74B11">
        <w:rPr>
          <w:rFonts w:ascii="Times New Roman" w:eastAsia="Calibri" w:hAnsi="Times New Roman" w:cs="Times New Roman"/>
        </w:rPr>
        <w:t xml:space="preserve"> </w:t>
      </w:r>
      <w:r w:rsidR="009D2B59" w:rsidRPr="00D74B11">
        <w:rPr>
          <w:rFonts w:ascii="Times New Roman" w:eastAsia="Calibri" w:hAnsi="Times New Roman" w:cs="Times New Roman"/>
        </w:rPr>
        <w:t>A</w:t>
      </w:r>
      <w:r w:rsidRPr="00D74B11">
        <w:rPr>
          <w:rFonts w:ascii="Times New Roman" w:eastAsia="Calibri" w:hAnsi="Times New Roman" w:cs="Times New Roman"/>
        </w:rPr>
        <w:t xml:space="preserve"> life sentence will deter the criminal to commit the crime again. Th</w:t>
      </w:r>
      <w:r w:rsidR="00151AB7" w:rsidRPr="00D74B11">
        <w:rPr>
          <w:rFonts w:ascii="Times New Roman" w:eastAsia="Calibri" w:hAnsi="Times New Roman" w:cs="Times New Roman"/>
        </w:rPr>
        <w:t>erefore</w:t>
      </w:r>
      <w:r w:rsidRPr="00D74B11">
        <w:rPr>
          <w:rFonts w:ascii="Times New Roman" w:eastAsia="Calibri" w:hAnsi="Times New Roman" w:cs="Times New Roman"/>
        </w:rPr>
        <w:t xml:space="preserve">, deserving to </w:t>
      </w:r>
      <w:proofErr w:type="gramStart"/>
      <w:r w:rsidRPr="00D74B11">
        <w:rPr>
          <w:rFonts w:ascii="Times New Roman" w:eastAsia="Calibri" w:hAnsi="Times New Roman" w:cs="Times New Roman"/>
        </w:rPr>
        <w:t>be punished</w:t>
      </w:r>
      <w:proofErr w:type="gramEnd"/>
      <w:r w:rsidRPr="00D74B11">
        <w:rPr>
          <w:rFonts w:ascii="Times New Roman" w:eastAsia="Calibri" w:hAnsi="Times New Roman" w:cs="Times New Roman"/>
        </w:rPr>
        <w:t xml:space="preserve"> is “neither necessary nor sufficient for punishment.”</w:t>
      </w:r>
      <w:r w:rsidRPr="00D74B11">
        <w:rPr>
          <w:rStyle w:val="FootnoteReference"/>
          <w:rFonts w:ascii="Times New Roman" w:eastAsia="Calibri" w:hAnsi="Times New Roman" w:cs="Times New Roman"/>
        </w:rPr>
        <w:footnoteReference w:id="20"/>
      </w:r>
      <w:r w:rsidRPr="00D74B11">
        <w:rPr>
          <w:rFonts w:ascii="Times New Roman" w:eastAsia="Calibri" w:hAnsi="Times New Roman" w:cs="Times New Roman"/>
        </w:rPr>
        <w:t xml:space="preserve"> In Kant’s view, punishment </w:t>
      </w:r>
      <w:proofErr w:type="gramStart"/>
      <w:r w:rsidRPr="00D74B11">
        <w:rPr>
          <w:rFonts w:ascii="Times New Roman" w:eastAsia="Calibri" w:hAnsi="Times New Roman" w:cs="Times New Roman"/>
        </w:rPr>
        <w:t>will still be insisted</w:t>
      </w:r>
      <w:proofErr w:type="gramEnd"/>
      <w:r w:rsidRPr="00D74B11">
        <w:rPr>
          <w:rFonts w:ascii="Times New Roman" w:eastAsia="Calibri" w:hAnsi="Times New Roman" w:cs="Times New Roman"/>
        </w:rPr>
        <w:t xml:space="preserve"> even though there is no positive outcome but “the importance of desert to the justification of punishment is hard to deny.”</w:t>
      </w:r>
      <w:r w:rsidRPr="00D74B11">
        <w:rPr>
          <w:rStyle w:val="FootnoteReference"/>
          <w:rFonts w:ascii="Times New Roman" w:eastAsia="Calibri" w:hAnsi="Times New Roman" w:cs="Times New Roman"/>
        </w:rPr>
        <w:footnoteReference w:id="21"/>
      </w:r>
      <w:r w:rsidRPr="00D74B11">
        <w:rPr>
          <w:rFonts w:ascii="Times New Roman" w:eastAsia="Calibri" w:hAnsi="Times New Roman" w:cs="Times New Roman"/>
        </w:rPr>
        <w:t xml:space="preserve"> In a modern working society, it can seem slightly pointless imprisoning someone. If there </w:t>
      </w:r>
      <w:proofErr w:type="gramStart"/>
      <w:r w:rsidRPr="00D74B11">
        <w:rPr>
          <w:rFonts w:ascii="Times New Roman" w:eastAsia="Calibri" w:hAnsi="Times New Roman" w:cs="Times New Roman"/>
        </w:rPr>
        <w:t>is</w:t>
      </w:r>
      <w:proofErr w:type="gramEnd"/>
      <w:r w:rsidRPr="00D74B11">
        <w:rPr>
          <w:rFonts w:ascii="Times New Roman" w:eastAsia="Calibri" w:hAnsi="Times New Roman" w:cs="Times New Roman"/>
        </w:rPr>
        <w:t xml:space="preserve"> no positive effect on society, or the prisoner then, it</w:t>
      </w:r>
      <w:r w:rsidR="00151AB7" w:rsidRPr="00D74B11">
        <w:rPr>
          <w:rFonts w:ascii="Times New Roman" w:eastAsia="Calibri" w:hAnsi="Times New Roman" w:cs="Times New Roman"/>
        </w:rPr>
        <w:t xml:space="preserve"> </w:t>
      </w:r>
      <w:r w:rsidRPr="00D74B11">
        <w:rPr>
          <w:rFonts w:ascii="Times New Roman" w:eastAsia="Calibri" w:hAnsi="Times New Roman" w:cs="Times New Roman"/>
        </w:rPr>
        <w:t>would be</w:t>
      </w:r>
      <w:r w:rsidR="007258EB" w:rsidRPr="00D74B11">
        <w:rPr>
          <w:rFonts w:ascii="Times New Roman" w:eastAsia="Calibri" w:hAnsi="Times New Roman" w:cs="Times New Roman"/>
        </w:rPr>
        <w:t xml:space="preserve"> a waste of financial resources.</w:t>
      </w:r>
    </w:p>
    <w:p w14:paraId="49EC6B15" w14:textId="1B368200" w:rsidR="680B1F56" w:rsidRPr="00D74B11" w:rsidRDefault="680B1F56" w:rsidP="00D74B11">
      <w:pPr>
        <w:spacing w:afterLines="200" w:after="480" w:line="360" w:lineRule="auto"/>
        <w:jc w:val="both"/>
        <w:rPr>
          <w:rFonts w:ascii="Times New Roman" w:eastAsia="Calibri" w:hAnsi="Times New Roman" w:cs="Times New Roman"/>
        </w:rPr>
      </w:pPr>
      <w:r w:rsidRPr="00D74B11">
        <w:rPr>
          <w:rFonts w:ascii="Times New Roman" w:eastAsia="Calibri" w:hAnsi="Times New Roman" w:cs="Times New Roman"/>
        </w:rPr>
        <w:t xml:space="preserve">In contrast, Bentham acknowledges the fact that punishment </w:t>
      </w:r>
      <w:proofErr w:type="gramStart"/>
      <w:r w:rsidRPr="00D74B11">
        <w:rPr>
          <w:rFonts w:ascii="Times New Roman" w:eastAsia="Calibri" w:hAnsi="Times New Roman" w:cs="Times New Roman"/>
        </w:rPr>
        <w:t>must be counter-balance</w:t>
      </w:r>
      <w:r w:rsidR="00C15508" w:rsidRPr="00D74B11">
        <w:rPr>
          <w:rFonts w:ascii="Times New Roman" w:eastAsia="Calibri" w:hAnsi="Times New Roman" w:cs="Times New Roman"/>
        </w:rPr>
        <w:t>d</w:t>
      </w:r>
      <w:proofErr w:type="gramEnd"/>
      <w:r w:rsidRPr="00D74B11">
        <w:rPr>
          <w:rFonts w:ascii="Times New Roman" w:eastAsia="Calibri" w:hAnsi="Times New Roman" w:cs="Times New Roman"/>
        </w:rPr>
        <w:t xml:space="preserve"> by some greater social good.</w:t>
      </w:r>
      <w:r w:rsidRPr="00D74B11">
        <w:rPr>
          <w:rStyle w:val="FootnoteReference"/>
          <w:rFonts w:ascii="Times New Roman" w:eastAsia="Calibri" w:hAnsi="Times New Roman" w:cs="Times New Roman"/>
        </w:rPr>
        <w:footnoteReference w:id="22"/>
      </w:r>
      <w:r w:rsidRPr="00D74B11">
        <w:rPr>
          <w:rFonts w:ascii="Times New Roman" w:eastAsia="Calibri" w:hAnsi="Times New Roman" w:cs="Times New Roman"/>
        </w:rPr>
        <w:t xml:space="preserve"> This balance is important to maintain fairness in the criminal law as although society need protecting, criminals still have rights and need to </w:t>
      </w:r>
      <w:proofErr w:type="gramStart"/>
      <w:r w:rsidRPr="00D74B11">
        <w:rPr>
          <w:rFonts w:ascii="Times New Roman" w:eastAsia="Calibri" w:hAnsi="Times New Roman" w:cs="Times New Roman"/>
        </w:rPr>
        <w:t>be punished</w:t>
      </w:r>
      <w:proofErr w:type="gramEnd"/>
      <w:r w:rsidRPr="00D74B11">
        <w:rPr>
          <w:rFonts w:ascii="Times New Roman" w:eastAsia="Calibri" w:hAnsi="Times New Roman" w:cs="Times New Roman"/>
        </w:rPr>
        <w:t xml:space="preserve"> deservingly; not just to keep them away from society. Without a doubt, Parliament should consider these legal theories when reforming the sentencing procedure in criminal offences, especially in offences for conspiring to murder.</w:t>
      </w:r>
    </w:p>
    <w:p w14:paraId="6A05A809" w14:textId="491D2AB3" w:rsidR="00461AC7" w:rsidRPr="00D74B11" w:rsidRDefault="00461AC7" w:rsidP="00D74B11">
      <w:pPr>
        <w:spacing w:afterLines="200" w:after="480" w:line="360" w:lineRule="auto"/>
        <w:jc w:val="both"/>
        <w:rPr>
          <w:rFonts w:ascii="Times New Roman" w:hAnsi="Times New Roman" w:cs="Times New Roman"/>
        </w:rPr>
      </w:pPr>
      <w:proofErr w:type="spellStart"/>
      <w:r w:rsidRPr="00D74B11">
        <w:rPr>
          <w:rFonts w:ascii="Times New Roman" w:hAnsi="Times New Roman" w:cs="Times New Roman"/>
          <w:i/>
        </w:rPr>
        <w:t>McNee</w:t>
      </w:r>
      <w:proofErr w:type="spellEnd"/>
      <w:r w:rsidRPr="00D74B11">
        <w:rPr>
          <w:rStyle w:val="FootnoteReference"/>
          <w:rFonts w:ascii="Times New Roman" w:hAnsi="Times New Roman" w:cs="Times New Roman"/>
        </w:rPr>
        <w:footnoteReference w:id="23"/>
      </w:r>
      <w:r w:rsidRPr="00D74B11">
        <w:rPr>
          <w:rFonts w:ascii="Times New Roman" w:hAnsi="Times New Roman" w:cs="Times New Roman"/>
        </w:rPr>
        <w:t xml:space="preserve"> which posed the question “are discretionary life sentence appropriate”</w:t>
      </w:r>
      <w:r w:rsidRPr="00D74B11">
        <w:rPr>
          <w:rStyle w:val="FootnoteReference"/>
          <w:rFonts w:ascii="Times New Roman" w:hAnsi="Times New Roman" w:cs="Times New Roman"/>
        </w:rPr>
        <w:footnoteReference w:id="24"/>
      </w:r>
      <w:r w:rsidRPr="00D74B11">
        <w:rPr>
          <w:rFonts w:ascii="Times New Roman" w:hAnsi="Times New Roman" w:cs="Times New Roman"/>
        </w:rPr>
        <w:t xml:space="preserve"> in conspiracy to murder cases? The appellants: </w:t>
      </w:r>
      <w:proofErr w:type="spellStart"/>
      <w:r w:rsidRPr="00D74B11">
        <w:rPr>
          <w:rFonts w:ascii="Times New Roman" w:hAnsi="Times New Roman" w:cs="Times New Roman"/>
        </w:rPr>
        <w:t>McNee</w:t>
      </w:r>
      <w:proofErr w:type="spellEnd"/>
      <w:r w:rsidRPr="00D74B11">
        <w:rPr>
          <w:rFonts w:ascii="Times New Roman" w:hAnsi="Times New Roman" w:cs="Times New Roman"/>
        </w:rPr>
        <w:t xml:space="preserve">, Gunn and Russell </w:t>
      </w:r>
      <w:proofErr w:type="gramStart"/>
      <w:r w:rsidRPr="00D74B11">
        <w:rPr>
          <w:rFonts w:ascii="Times New Roman" w:hAnsi="Times New Roman" w:cs="Times New Roman"/>
        </w:rPr>
        <w:t>were convicted</w:t>
      </w:r>
      <w:proofErr w:type="gramEnd"/>
      <w:r w:rsidRPr="00D74B11">
        <w:rPr>
          <w:rFonts w:ascii="Times New Roman" w:hAnsi="Times New Roman" w:cs="Times New Roman"/>
        </w:rPr>
        <w:t xml:space="preserve"> for conspiracy to murder and were “sentenced to life imprisonment, with minimum terms fixed at 25 years, 35 years and 30 years respectively.”</w:t>
      </w:r>
      <w:r w:rsidRPr="00D74B11">
        <w:rPr>
          <w:rStyle w:val="FootnoteReference"/>
          <w:rFonts w:ascii="Times New Roman" w:hAnsi="Times New Roman" w:cs="Times New Roman"/>
        </w:rPr>
        <w:footnoteReference w:id="25"/>
      </w:r>
      <w:r w:rsidRPr="00D74B11">
        <w:rPr>
          <w:rFonts w:ascii="Times New Roman" w:hAnsi="Times New Roman" w:cs="Times New Roman"/>
        </w:rPr>
        <w:t xml:space="preserve"> In their appeal, the appellants stated</w:t>
      </w:r>
      <w:r w:rsidR="00D645BC" w:rsidRPr="00D74B11">
        <w:rPr>
          <w:rFonts w:ascii="Times New Roman" w:hAnsi="Times New Roman" w:cs="Times New Roman"/>
        </w:rPr>
        <w:t xml:space="preserve">, accepting it is the </w:t>
      </w:r>
      <w:r w:rsidR="00D645BC" w:rsidRPr="00D74B11">
        <w:rPr>
          <w:rFonts w:ascii="Times New Roman" w:hAnsi="Times New Roman" w:cs="Times New Roman"/>
        </w:rPr>
        <w:lastRenderedPageBreak/>
        <w:t>maximum penalty,</w:t>
      </w:r>
      <w:r w:rsidRPr="00D74B11">
        <w:rPr>
          <w:rFonts w:ascii="Times New Roman" w:hAnsi="Times New Roman" w:cs="Times New Roman"/>
        </w:rPr>
        <w:t xml:space="preserve"> their imposition of a discretionary life sentence was wrong in principle</w:t>
      </w:r>
      <w:r w:rsidR="00F76149" w:rsidRPr="00D74B11">
        <w:rPr>
          <w:rFonts w:ascii="Times New Roman" w:hAnsi="Times New Roman" w:cs="Times New Roman"/>
        </w:rPr>
        <w:t>.</w:t>
      </w:r>
      <w:r w:rsidR="00617E6A" w:rsidRPr="00D74B11">
        <w:rPr>
          <w:rFonts w:ascii="Times New Roman" w:hAnsi="Times New Roman" w:cs="Times New Roman"/>
        </w:rPr>
        <w:t xml:space="preserve"> </w:t>
      </w:r>
      <w:r w:rsidRPr="00D74B11">
        <w:rPr>
          <w:rFonts w:ascii="Times New Roman" w:hAnsi="Times New Roman" w:cs="Times New Roman"/>
        </w:rPr>
        <w:t xml:space="preserve">It is important to note that as the offence was committed in August 2004 </w:t>
      </w:r>
      <w:r w:rsidR="00DF7800" w:rsidRPr="00D74B11">
        <w:rPr>
          <w:rFonts w:ascii="Times New Roman" w:hAnsi="Times New Roman" w:cs="Times New Roman"/>
        </w:rPr>
        <w:t>and</w:t>
      </w:r>
      <w:r w:rsidR="00874DAD" w:rsidRPr="00D74B11">
        <w:rPr>
          <w:rFonts w:ascii="Times New Roman" w:hAnsi="Times New Roman" w:cs="Times New Roman"/>
        </w:rPr>
        <w:t xml:space="preserve"> life sentences for second list offences </w:t>
      </w:r>
      <w:proofErr w:type="gramStart"/>
      <w:r w:rsidR="00874DAD" w:rsidRPr="00D74B11">
        <w:rPr>
          <w:rFonts w:ascii="Times New Roman" w:hAnsi="Times New Roman" w:cs="Times New Roman"/>
        </w:rPr>
        <w:t>could only be imposed</w:t>
      </w:r>
      <w:proofErr w:type="gramEnd"/>
      <w:r w:rsidR="00874DAD" w:rsidRPr="00D74B11">
        <w:rPr>
          <w:rFonts w:ascii="Times New Roman" w:hAnsi="Times New Roman" w:cs="Times New Roman"/>
        </w:rPr>
        <w:t xml:space="preserve"> if the offence was committed after the section came into force</w:t>
      </w:r>
      <w:r w:rsidRPr="00D74B11">
        <w:rPr>
          <w:rFonts w:ascii="Times New Roman" w:hAnsi="Times New Roman" w:cs="Times New Roman"/>
        </w:rPr>
        <w:t>.</w:t>
      </w:r>
      <w:r w:rsidR="00DF7800" w:rsidRPr="00D74B11">
        <w:rPr>
          <w:rStyle w:val="FootnoteReference"/>
          <w:rFonts w:ascii="Times New Roman" w:hAnsi="Times New Roman" w:cs="Times New Roman"/>
        </w:rPr>
        <w:footnoteReference w:id="26"/>
      </w:r>
      <w:r w:rsidRPr="00D74B11">
        <w:rPr>
          <w:rFonts w:ascii="Times New Roman" w:hAnsi="Times New Roman" w:cs="Times New Roman"/>
        </w:rPr>
        <w:t xml:space="preserve"> </w:t>
      </w:r>
      <w:r w:rsidR="009B41D2" w:rsidRPr="00D74B11">
        <w:rPr>
          <w:rFonts w:ascii="Times New Roman" w:hAnsi="Times New Roman" w:cs="Times New Roman"/>
        </w:rPr>
        <w:t>Therefore</w:t>
      </w:r>
      <w:r w:rsidR="003F6178" w:rsidRPr="00D74B11">
        <w:rPr>
          <w:rFonts w:ascii="Times New Roman" w:hAnsi="Times New Roman" w:cs="Times New Roman"/>
        </w:rPr>
        <w:t>, i</w:t>
      </w:r>
      <w:r w:rsidRPr="00D74B11">
        <w:rPr>
          <w:rFonts w:ascii="Times New Roman" w:hAnsi="Times New Roman" w:cs="Times New Roman"/>
        </w:rPr>
        <w:t xml:space="preserve">t was submitted </w:t>
      </w:r>
      <w:r w:rsidR="00F76149" w:rsidRPr="00D74B11">
        <w:rPr>
          <w:rFonts w:ascii="Times New Roman" w:hAnsi="Times New Roman" w:cs="Times New Roman"/>
        </w:rPr>
        <w:t xml:space="preserve">that </w:t>
      </w:r>
      <w:proofErr w:type="gramStart"/>
      <w:r w:rsidR="003D5F76" w:rsidRPr="00D74B11">
        <w:rPr>
          <w:rFonts w:ascii="Times New Roman" w:hAnsi="Times New Roman" w:cs="Times New Roman"/>
        </w:rPr>
        <w:t>s224A(</w:t>
      </w:r>
      <w:proofErr w:type="gramEnd"/>
      <w:r w:rsidR="003D5F76" w:rsidRPr="00D74B11">
        <w:rPr>
          <w:rFonts w:ascii="Times New Roman" w:hAnsi="Times New Roman" w:cs="Times New Roman"/>
        </w:rPr>
        <w:t xml:space="preserve">1)(b) </w:t>
      </w:r>
      <w:r w:rsidRPr="00D74B11">
        <w:rPr>
          <w:rFonts w:ascii="Times New Roman" w:hAnsi="Times New Roman" w:cs="Times New Roman"/>
        </w:rPr>
        <w:t xml:space="preserve">was inappropriate unless there was </w:t>
      </w:r>
      <w:r w:rsidR="003F6178" w:rsidRPr="00D74B11">
        <w:rPr>
          <w:rFonts w:ascii="Times New Roman" w:hAnsi="Times New Roman" w:cs="Times New Roman"/>
        </w:rPr>
        <w:t>‘</w:t>
      </w:r>
      <w:r w:rsidRPr="00D74B11">
        <w:rPr>
          <w:rFonts w:ascii="Times New Roman" w:hAnsi="Times New Roman" w:cs="Times New Roman"/>
        </w:rPr>
        <w:t>some imponderable feature which would make it impossible to forecast the future if the offender were ever were to be released.</w:t>
      </w:r>
      <w:r w:rsidR="003F6178" w:rsidRPr="00D74B11">
        <w:rPr>
          <w:rFonts w:ascii="Times New Roman" w:hAnsi="Times New Roman" w:cs="Times New Roman"/>
        </w:rPr>
        <w:t>”</w:t>
      </w:r>
      <w:r w:rsidRPr="00D74B11">
        <w:rPr>
          <w:rStyle w:val="FootnoteReference"/>
          <w:rFonts w:ascii="Times New Roman" w:hAnsi="Times New Roman" w:cs="Times New Roman"/>
        </w:rPr>
        <w:footnoteReference w:id="27"/>
      </w:r>
      <w:r w:rsidRPr="00D74B11">
        <w:rPr>
          <w:rFonts w:ascii="Times New Roman" w:hAnsi="Times New Roman" w:cs="Times New Roman"/>
        </w:rPr>
        <w:t xml:space="preserve"> Judges stated that Gunn would still “pose a serious danger to the public.” This was valid reason to protect the public in the future following Bentham’s theory to </w:t>
      </w:r>
      <w:r w:rsidR="00DC6420" w:rsidRPr="00D74B11">
        <w:rPr>
          <w:rFonts w:ascii="Times New Roman" w:hAnsi="Times New Roman" w:cs="Times New Roman"/>
        </w:rPr>
        <w:t>“</w:t>
      </w:r>
      <w:r w:rsidRPr="00D74B11">
        <w:rPr>
          <w:rFonts w:ascii="Times New Roman" w:hAnsi="Times New Roman" w:cs="Times New Roman"/>
        </w:rPr>
        <w:t>punish evil.</w:t>
      </w:r>
      <w:r w:rsidR="00DC6420" w:rsidRPr="00D74B11">
        <w:rPr>
          <w:rFonts w:ascii="Times New Roman" w:hAnsi="Times New Roman" w:cs="Times New Roman"/>
        </w:rPr>
        <w:t>”</w:t>
      </w:r>
      <w:r w:rsidRPr="00D74B11">
        <w:rPr>
          <w:rStyle w:val="FootnoteReference"/>
          <w:rFonts w:ascii="Times New Roman" w:hAnsi="Times New Roman" w:cs="Times New Roman"/>
        </w:rPr>
        <w:footnoteReference w:id="28"/>
      </w:r>
      <w:r w:rsidRPr="00D74B11">
        <w:rPr>
          <w:rFonts w:ascii="Times New Roman" w:hAnsi="Times New Roman" w:cs="Times New Roman"/>
        </w:rPr>
        <w:t xml:space="preserve"> </w:t>
      </w:r>
    </w:p>
    <w:p w14:paraId="5A39BBE3" w14:textId="0F97D5F7" w:rsidR="00461AC7" w:rsidRPr="00D74B11" w:rsidRDefault="00461AC7" w:rsidP="00D74B11">
      <w:pPr>
        <w:spacing w:afterLines="200" w:after="480" w:line="360" w:lineRule="auto"/>
        <w:jc w:val="both"/>
        <w:rPr>
          <w:rFonts w:ascii="Times New Roman" w:hAnsi="Times New Roman" w:cs="Times New Roman"/>
        </w:rPr>
      </w:pPr>
      <w:r w:rsidRPr="00D74B11">
        <w:rPr>
          <w:rFonts w:ascii="Times New Roman" w:hAnsi="Times New Roman" w:cs="Times New Roman"/>
        </w:rPr>
        <w:t>Furthermore, “</w:t>
      </w:r>
      <w:proofErr w:type="spellStart"/>
      <w:r w:rsidRPr="00D74B11">
        <w:rPr>
          <w:rFonts w:ascii="Times New Roman" w:hAnsi="Times New Roman" w:cs="Times New Roman"/>
        </w:rPr>
        <w:t>McNee</w:t>
      </w:r>
      <w:proofErr w:type="spellEnd"/>
      <w:r w:rsidRPr="00D74B11">
        <w:rPr>
          <w:rFonts w:ascii="Times New Roman" w:hAnsi="Times New Roman" w:cs="Times New Roman"/>
        </w:rPr>
        <w:t xml:space="preserve"> had never been convicted of any offence of violence in his past</w:t>
      </w:r>
      <w:proofErr w:type="gramStart"/>
      <w:r w:rsidR="009F5C89" w:rsidRPr="00D74B11">
        <w:rPr>
          <w:rFonts w:ascii="Times New Roman" w:hAnsi="Times New Roman" w:cs="Times New Roman"/>
        </w:rPr>
        <w:t>…(</w:t>
      </w:r>
      <w:proofErr w:type="gramEnd"/>
      <w:r w:rsidR="009F5C89" w:rsidRPr="00D74B11">
        <w:rPr>
          <w:rFonts w:ascii="Times New Roman" w:hAnsi="Times New Roman" w:cs="Times New Roman"/>
        </w:rPr>
        <w:t>but)…</w:t>
      </w:r>
      <w:r w:rsidRPr="00D74B11">
        <w:rPr>
          <w:rFonts w:ascii="Times New Roman" w:hAnsi="Times New Roman" w:cs="Times New Roman"/>
        </w:rPr>
        <w:t xml:space="preserve"> He still was a vital member of the conspiracy, fully in the know, and giving essential help right up to the very point of the shooting.”</w:t>
      </w:r>
      <w:r w:rsidRPr="00D74B11">
        <w:rPr>
          <w:rStyle w:val="FootnoteReference"/>
          <w:rFonts w:ascii="Times New Roman" w:hAnsi="Times New Roman" w:cs="Times New Roman"/>
        </w:rPr>
        <w:footnoteReference w:id="29"/>
      </w:r>
      <w:r w:rsidRPr="00D74B11">
        <w:rPr>
          <w:rFonts w:ascii="Times New Roman" w:hAnsi="Times New Roman" w:cs="Times New Roman"/>
        </w:rPr>
        <w:t xml:space="preserve"> In this case, there would be </w:t>
      </w:r>
      <w:r w:rsidR="1CA612BA" w:rsidRPr="00D74B11">
        <w:rPr>
          <w:rFonts w:ascii="Times New Roman" w:hAnsi="Times New Roman" w:cs="Times New Roman"/>
        </w:rPr>
        <w:t>“</w:t>
      </w:r>
      <w:r w:rsidRPr="00D74B11">
        <w:rPr>
          <w:rFonts w:ascii="Times New Roman" w:hAnsi="Times New Roman" w:cs="Times New Roman"/>
        </w:rPr>
        <w:t>uncertainty, unpredictability, instability”</w:t>
      </w:r>
      <w:r w:rsidRPr="00D74B11">
        <w:rPr>
          <w:rStyle w:val="FootnoteReference"/>
          <w:rFonts w:ascii="Times New Roman" w:hAnsi="Times New Roman" w:cs="Times New Roman"/>
        </w:rPr>
        <w:footnoteReference w:id="30"/>
      </w:r>
      <w:r w:rsidRPr="00D74B11">
        <w:rPr>
          <w:rFonts w:ascii="Times New Roman" w:hAnsi="Times New Roman" w:cs="Times New Roman"/>
        </w:rPr>
        <w:t xml:space="preserve"> of the future if a discretionary life sentence was not imposed. </w:t>
      </w:r>
      <w:r w:rsidR="680B1F56" w:rsidRPr="00D74B11">
        <w:rPr>
          <w:rFonts w:ascii="Times New Roman" w:hAnsi="Times New Roman" w:cs="Times New Roman"/>
        </w:rPr>
        <w:t xml:space="preserve">The appellants clearly committed a grave offence; therefore, </w:t>
      </w:r>
      <w:r w:rsidR="00E8508B" w:rsidRPr="00D74B11">
        <w:rPr>
          <w:rFonts w:ascii="Times New Roman" w:hAnsi="Times New Roman" w:cs="Times New Roman"/>
        </w:rPr>
        <w:t xml:space="preserve">it was accepted to impose </w:t>
      </w:r>
      <w:r w:rsidR="004C36EB" w:rsidRPr="00D74B11">
        <w:rPr>
          <w:rFonts w:ascii="Times New Roman" w:hAnsi="Times New Roman" w:cs="Times New Roman"/>
        </w:rPr>
        <w:t>the</w:t>
      </w:r>
      <w:r w:rsidR="00E8508B" w:rsidRPr="00D74B11">
        <w:rPr>
          <w:rFonts w:ascii="Times New Roman" w:hAnsi="Times New Roman" w:cs="Times New Roman"/>
        </w:rPr>
        <w:t xml:space="preserve"> </w:t>
      </w:r>
      <w:proofErr w:type="gramStart"/>
      <w:r w:rsidR="00E8508B" w:rsidRPr="00D74B11">
        <w:rPr>
          <w:rFonts w:ascii="Times New Roman" w:hAnsi="Times New Roman" w:cs="Times New Roman"/>
        </w:rPr>
        <w:t>sentence</w:t>
      </w:r>
      <w:proofErr w:type="gramEnd"/>
      <w:r w:rsidR="00E8508B" w:rsidRPr="00D74B11">
        <w:rPr>
          <w:rFonts w:ascii="Times New Roman" w:hAnsi="Times New Roman" w:cs="Times New Roman"/>
        </w:rPr>
        <w:t xml:space="preserve"> </w:t>
      </w:r>
      <w:r w:rsidR="0025248E" w:rsidRPr="00D74B11">
        <w:rPr>
          <w:rFonts w:ascii="Times New Roman" w:hAnsi="Times New Roman" w:cs="Times New Roman"/>
        </w:rPr>
        <w:t>as</w:t>
      </w:r>
      <w:r w:rsidR="00E8508B" w:rsidRPr="00D74B11">
        <w:rPr>
          <w:rFonts w:ascii="Times New Roman" w:hAnsi="Times New Roman" w:cs="Times New Roman"/>
        </w:rPr>
        <w:t xml:space="preserve"> </w:t>
      </w:r>
      <w:r w:rsidR="0025248E" w:rsidRPr="00D74B11">
        <w:rPr>
          <w:rFonts w:ascii="Times New Roman" w:hAnsi="Times New Roman" w:cs="Times New Roman"/>
        </w:rPr>
        <w:t>the</w:t>
      </w:r>
      <w:r w:rsidR="004A3BEC" w:rsidRPr="00D74B11">
        <w:rPr>
          <w:rFonts w:ascii="Times New Roman" w:hAnsi="Times New Roman" w:cs="Times New Roman"/>
        </w:rPr>
        <w:t>re was a greater need to protect the publi</w:t>
      </w:r>
      <w:r w:rsidR="009357C1" w:rsidRPr="00D74B11">
        <w:rPr>
          <w:rFonts w:ascii="Times New Roman" w:hAnsi="Times New Roman" w:cs="Times New Roman"/>
        </w:rPr>
        <w:t>c</w:t>
      </w:r>
      <w:r w:rsidR="00E6377F" w:rsidRPr="00D74B11">
        <w:rPr>
          <w:rFonts w:ascii="Times New Roman" w:hAnsi="Times New Roman" w:cs="Times New Roman"/>
        </w:rPr>
        <w:t>.</w:t>
      </w:r>
    </w:p>
    <w:p w14:paraId="3B8D16A5" w14:textId="3488721D" w:rsidR="00461AC7" w:rsidRPr="00D74B11" w:rsidRDefault="680B1F56" w:rsidP="00D74B11">
      <w:pPr>
        <w:spacing w:afterLines="200" w:after="480" w:line="360" w:lineRule="auto"/>
        <w:jc w:val="both"/>
        <w:rPr>
          <w:rFonts w:ascii="Times New Roman" w:hAnsi="Times New Roman" w:cs="Times New Roman"/>
        </w:rPr>
      </w:pPr>
      <w:r w:rsidRPr="00D74B11">
        <w:rPr>
          <w:rFonts w:ascii="Times New Roman" w:hAnsi="Times New Roman" w:cs="Times New Roman"/>
          <w:b/>
          <w:bCs/>
        </w:rPr>
        <w:t xml:space="preserve">Public </w:t>
      </w:r>
      <w:r w:rsidR="0087232D" w:rsidRPr="00D74B11">
        <w:rPr>
          <w:rFonts w:ascii="Times New Roman" w:hAnsi="Times New Roman" w:cs="Times New Roman"/>
          <w:b/>
          <w:bCs/>
        </w:rPr>
        <w:t>P</w:t>
      </w:r>
      <w:r w:rsidRPr="00D74B11">
        <w:rPr>
          <w:rFonts w:ascii="Times New Roman" w:hAnsi="Times New Roman" w:cs="Times New Roman"/>
          <w:b/>
          <w:bCs/>
        </w:rPr>
        <w:t xml:space="preserve">rotection and </w:t>
      </w:r>
      <w:r w:rsidR="0087232D" w:rsidRPr="00D74B11">
        <w:rPr>
          <w:rFonts w:ascii="Times New Roman" w:hAnsi="Times New Roman" w:cs="Times New Roman"/>
          <w:b/>
          <w:bCs/>
        </w:rPr>
        <w:t>S</w:t>
      </w:r>
      <w:r w:rsidRPr="00D74B11">
        <w:rPr>
          <w:rFonts w:ascii="Times New Roman" w:hAnsi="Times New Roman" w:cs="Times New Roman"/>
          <w:b/>
          <w:bCs/>
        </w:rPr>
        <w:t>entencing</w:t>
      </w:r>
    </w:p>
    <w:p w14:paraId="09366051" w14:textId="6153E4E8" w:rsidR="00461AC7" w:rsidRPr="00D74B11" w:rsidRDefault="680B1F56" w:rsidP="00D74B11">
      <w:pPr>
        <w:spacing w:afterLines="200" w:after="480" w:line="360" w:lineRule="auto"/>
        <w:jc w:val="both"/>
        <w:rPr>
          <w:rFonts w:ascii="Times New Roman" w:hAnsi="Times New Roman" w:cs="Times New Roman"/>
        </w:rPr>
      </w:pPr>
      <w:r w:rsidRPr="00D74B11">
        <w:rPr>
          <w:rFonts w:ascii="Times New Roman" w:hAnsi="Times New Roman" w:cs="Times New Roman"/>
        </w:rPr>
        <w:t>It is common knowledge that a dangerous person’s imprisonment is partly for the protection of the public</w:t>
      </w:r>
      <w:r w:rsidR="009357C1" w:rsidRPr="00D74B11">
        <w:rPr>
          <w:rFonts w:ascii="Times New Roman" w:hAnsi="Times New Roman" w:cs="Times New Roman"/>
        </w:rPr>
        <w:t xml:space="preserve">. </w:t>
      </w:r>
      <w:r w:rsidRPr="00D74B11">
        <w:rPr>
          <w:rFonts w:ascii="Times New Roman" w:hAnsi="Times New Roman" w:cs="Times New Roman"/>
        </w:rPr>
        <w:t xml:space="preserve">In the UK, since the abolition of capital punishment, incapacitation of dangerous offenders – especially those with an extremely low chance of rehabilitation – has been utilised to contain offenders and therefore reduce crime. However, the Carter Report </w:t>
      </w:r>
      <w:proofErr w:type="gramStart"/>
      <w:r w:rsidRPr="00D74B11">
        <w:rPr>
          <w:rFonts w:ascii="Times New Roman" w:hAnsi="Times New Roman" w:cs="Times New Roman"/>
        </w:rPr>
        <w:t>2003,</w:t>
      </w:r>
      <w:proofErr w:type="gramEnd"/>
      <w:r w:rsidRPr="00D74B11">
        <w:rPr>
          <w:rFonts w:ascii="Times New Roman" w:hAnsi="Times New Roman" w:cs="Times New Roman"/>
        </w:rPr>
        <w:t xml:space="preserve"> attributed only a 5% decrease in crime between 1997 and 2003 to higher custodial rates</w:t>
      </w:r>
      <w:r w:rsidR="0045206E" w:rsidRPr="00D74B11">
        <w:rPr>
          <w:rFonts w:ascii="Times New Roman" w:hAnsi="Times New Roman" w:cs="Times New Roman"/>
        </w:rPr>
        <w:t>.</w:t>
      </w:r>
      <w:r w:rsidR="0045206E" w:rsidRPr="00D74B11">
        <w:rPr>
          <w:rStyle w:val="FootnoteReference"/>
          <w:rFonts w:ascii="Times New Roman" w:hAnsi="Times New Roman" w:cs="Times New Roman"/>
        </w:rPr>
        <w:footnoteReference w:id="31"/>
      </w:r>
      <w:r w:rsidRPr="00D74B11">
        <w:rPr>
          <w:rFonts w:ascii="Times New Roman" w:hAnsi="Times New Roman" w:cs="Times New Roman"/>
        </w:rPr>
        <w:t xml:space="preserve"> </w:t>
      </w:r>
      <w:r w:rsidR="007639C6" w:rsidRPr="00D74B11">
        <w:rPr>
          <w:rFonts w:ascii="Times New Roman" w:hAnsi="Times New Roman" w:cs="Times New Roman"/>
        </w:rPr>
        <w:t xml:space="preserve">This suggests </w:t>
      </w:r>
      <w:r w:rsidR="00A2554B" w:rsidRPr="00D74B11">
        <w:rPr>
          <w:rFonts w:ascii="Times New Roman" w:hAnsi="Times New Roman" w:cs="Times New Roman"/>
        </w:rPr>
        <w:t xml:space="preserve">that although it is important </w:t>
      </w:r>
      <w:r w:rsidR="00BE6492" w:rsidRPr="00D74B11">
        <w:rPr>
          <w:rFonts w:ascii="Times New Roman" w:hAnsi="Times New Roman" w:cs="Times New Roman"/>
        </w:rPr>
        <w:t xml:space="preserve">to </w:t>
      </w:r>
      <w:r w:rsidR="009D72D2" w:rsidRPr="00D74B11">
        <w:rPr>
          <w:rFonts w:ascii="Times New Roman" w:hAnsi="Times New Roman" w:cs="Times New Roman"/>
        </w:rPr>
        <w:t>protect society from dangerous criminals, incapacitation alone is not enough to prevent crime</w:t>
      </w:r>
      <w:r w:rsidR="00F85205" w:rsidRPr="00D74B11">
        <w:rPr>
          <w:rFonts w:ascii="Times New Roman" w:hAnsi="Times New Roman" w:cs="Times New Roman"/>
        </w:rPr>
        <w:t xml:space="preserve">. </w:t>
      </w:r>
      <w:r w:rsidR="00E46016" w:rsidRPr="00D74B11">
        <w:rPr>
          <w:rFonts w:ascii="Times New Roman" w:hAnsi="Times New Roman" w:cs="Times New Roman"/>
        </w:rPr>
        <w:t xml:space="preserve">The law attempts to </w:t>
      </w:r>
      <w:r w:rsidR="00E52873" w:rsidRPr="00D74B11">
        <w:rPr>
          <w:rFonts w:ascii="Times New Roman" w:hAnsi="Times New Roman" w:cs="Times New Roman"/>
        </w:rPr>
        <w:t>use punishment as a deterrent to prevent others from committing crime however it clearly does not deter as many as it should</w:t>
      </w:r>
      <w:r w:rsidR="00073FD8" w:rsidRPr="00D74B11">
        <w:rPr>
          <w:rFonts w:ascii="Times New Roman" w:hAnsi="Times New Roman" w:cs="Times New Roman"/>
        </w:rPr>
        <w:t xml:space="preserve">. </w:t>
      </w:r>
    </w:p>
    <w:p w14:paraId="483AE43B" w14:textId="7036CEED" w:rsidR="006075A9" w:rsidRPr="00D74B11" w:rsidRDefault="680B1F56" w:rsidP="00D74B11">
      <w:pPr>
        <w:spacing w:afterLines="200" w:after="480" w:line="360" w:lineRule="auto"/>
        <w:jc w:val="both"/>
        <w:rPr>
          <w:rFonts w:ascii="Times New Roman" w:hAnsi="Times New Roman" w:cs="Times New Roman"/>
        </w:rPr>
      </w:pPr>
      <w:r w:rsidRPr="00D74B11">
        <w:rPr>
          <w:rFonts w:ascii="Times New Roman" w:hAnsi="Times New Roman" w:cs="Times New Roman"/>
        </w:rPr>
        <w:lastRenderedPageBreak/>
        <w:t xml:space="preserve">Protection of the public is a major aim of punishment </w:t>
      </w:r>
      <w:proofErr w:type="gramStart"/>
      <w:r w:rsidR="007661A6" w:rsidRPr="00D74B11">
        <w:rPr>
          <w:rFonts w:ascii="Times New Roman" w:hAnsi="Times New Roman" w:cs="Times New Roman"/>
        </w:rPr>
        <w:t>in regard</w:t>
      </w:r>
      <w:r w:rsidRPr="00D74B11">
        <w:rPr>
          <w:rFonts w:ascii="Times New Roman" w:hAnsi="Times New Roman" w:cs="Times New Roman"/>
        </w:rPr>
        <w:t xml:space="preserve"> to</w:t>
      </w:r>
      <w:proofErr w:type="gramEnd"/>
      <w:r w:rsidRPr="00D74B11">
        <w:rPr>
          <w:rFonts w:ascii="Times New Roman" w:hAnsi="Times New Roman" w:cs="Times New Roman"/>
        </w:rPr>
        <w:t xml:space="preserve"> conspirac</w:t>
      </w:r>
      <w:r w:rsidR="007661A6" w:rsidRPr="00D74B11">
        <w:rPr>
          <w:rFonts w:ascii="Times New Roman" w:hAnsi="Times New Roman" w:cs="Times New Roman"/>
        </w:rPr>
        <w:t>y</w:t>
      </w:r>
      <w:r w:rsidRPr="00D74B11">
        <w:rPr>
          <w:rFonts w:ascii="Times New Roman" w:hAnsi="Times New Roman" w:cs="Times New Roman"/>
        </w:rPr>
        <w:t xml:space="preserve">, especially conspiracy to murder. </w:t>
      </w:r>
      <w:r w:rsidR="004F3164" w:rsidRPr="00D74B11">
        <w:rPr>
          <w:rFonts w:ascii="Times New Roman" w:hAnsi="Times New Roman" w:cs="Times New Roman"/>
        </w:rPr>
        <w:t>The agreement to commit a crime suggests</w:t>
      </w:r>
      <w:r w:rsidRPr="00D74B11">
        <w:rPr>
          <w:rFonts w:ascii="Times New Roman" w:hAnsi="Times New Roman" w:cs="Times New Roman"/>
        </w:rPr>
        <w:t xml:space="preserve"> </w:t>
      </w:r>
      <w:r w:rsidR="001063EE" w:rsidRPr="00D74B11">
        <w:rPr>
          <w:rFonts w:ascii="Times New Roman" w:hAnsi="Times New Roman" w:cs="Times New Roman"/>
        </w:rPr>
        <w:t>punishment</w:t>
      </w:r>
      <w:r w:rsidRPr="00D74B11">
        <w:rPr>
          <w:rFonts w:ascii="Times New Roman" w:hAnsi="Times New Roman" w:cs="Times New Roman"/>
        </w:rPr>
        <w:t xml:space="preserve"> </w:t>
      </w:r>
      <w:proofErr w:type="gramStart"/>
      <w:r w:rsidRPr="00D74B11">
        <w:rPr>
          <w:rFonts w:ascii="Times New Roman" w:hAnsi="Times New Roman" w:cs="Times New Roman"/>
        </w:rPr>
        <w:t>would be used</w:t>
      </w:r>
      <w:proofErr w:type="gramEnd"/>
      <w:r w:rsidRPr="00D74B11">
        <w:rPr>
          <w:rFonts w:ascii="Times New Roman" w:hAnsi="Times New Roman" w:cs="Times New Roman"/>
        </w:rPr>
        <w:t xml:space="preserve"> to prevent the crime agreed upon from occurring</w:t>
      </w:r>
      <w:r w:rsidR="00F24DB0" w:rsidRPr="00D74B11">
        <w:rPr>
          <w:rFonts w:ascii="Times New Roman" w:hAnsi="Times New Roman" w:cs="Times New Roman"/>
        </w:rPr>
        <w:t xml:space="preserve">. </w:t>
      </w:r>
      <w:r w:rsidRPr="00D74B11">
        <w:rPr>
          <w:rFonts w:ascii="Times New Roman" w:hAnsi="Times New Roman" w:cs="Times New Roman"/>
        </w:rPr>
        <w:t xml:space="preserve">It is necessary to point out that unlike murder, the </w:t>
      </w:r>
      <w:proofErr w:type="spellStart"/>
      <w:r w:rsidRPr="00D74B11">
        <w:rPr>
          <w:rFonts w:ascii="Times New Roman" w:hAnsi="Times New Roman" w:cs="Times New Roman"/>
        </w:rPr>
        <w:t>mens</w:t>
      </w:r>
      <w:proofErr w:type="spellEnd"/>
      <w:r w:rsidRPr="00D74B11">
        <w:rPr>
          <w:rFonts w:ascii="Times New Roman" w:hAnsi="Times New Roman" w:cs="Times New Roman"/>
        </w:rPr>
        <w:t xml:space="preserve"> rea for conspiracy to murder must include an intention to murder – not malice aforethought. This provides an explanation as to why there is such strict sentencing for conspiracy to murder as it is to punish the guilty mind not just a guilty act.</w:t>
      </w:r>
    </w:p>
    <w:p w14:paraId="3D3319A5" w14:textId="4CF6423E" w:rsidR="006075A9" w:rsidRPr="00D74B11" w:rsidRDefault="680B1F56" w:rsidP="00D74B11">
      <w:pPr>
        <w:spacing w:afterLines="200" w:after="480" w:line="360" w:lineRule="auto"/>
        <w:jc w:val="both"/>
        <w:rPr>
          <w:rFonts w:ascii="Times New Roman" w:hAnsi="Times New Roman" w:cs="Times New Roman"/>
        </w:rPr>
      </w:pPr>
      <w:proofErr w:type="spellStart"/>
      <w:r w:rsidRPr="00D74B11">
        <w:rPr>
          <w:rFonts w:ascii="Times New Roman" w:hAnsi="Times New Roman" w:cs="Times New Roman"/>
          <w:i/>
        </w:rPr>
        <w:t>Barot</w:t>
      </w:r>
      <w:proofErr w:type="spellEnd"/>
      <w:r w:rsidR="00842F1F" w:rsidRPr="00D74B11">
        <w:rPr>
          <w:rStyle w:val="FootnoteReference"/>
          <w:rFonts w:ascii="Times New Roman" w:hAnsi="Times New Roman" w:cs="Times New Roman"/>
          <w:i/>
        </w:rPr>
        <w:footnoteReference w:id="32"/>
      </w:r>
      <w:r w:rsidRPr="00D74B11">
        <w:rPr>
          <w:rFonts w:ascii="Times New Roman" w:hAnsi="Times New Roman" w:cs="Times New Roman"/>
        </w:rPr>
        <w:t xml:space="preserve"> brought sentencing into the spotlight regarding conspiracy to murder offences</w:t>
      </w:r>
      <w:r w:rsidR="00085EE9" w:rsidRPr="00D74B11">
        <w:rPr>
          <w:rFonts w:ascii="Times New Roman" w:hAnsi="Times New Roman" w:cs="Times New Roman"/>
        </w:rPr>
        <w:t>. He</w:t>
      </w:r>
      <w:r w:rsidRPr="00D74B11">
        <w:rPr>
          <w:rFonts w:ascii="Times New Roman" w:hAnsi="Times New Roman" w:cs="Times New Roman"/>
        </w:rPr>
        <w:t xml:space="preserve"> planned a range of terror attacks on both the UK and USA, His intent was to re-enact 9/</w:t>
      </w:r>
      <w:proofErr w:type="gramStart"/>
      <w:r w:rsidRPr="00D74B11">
        <w:rPr>
          <w:rFonts w:ascii="Times New Roman" w:hAnsi="Times New Roman" w:cs="Times New Roman"/>
        </w:rPr>
        <w:t>11 which</w:t>
      </w:r>
      <w:proofErr w:type="gramEnd"/>
      <w:r w:rsidRPr="00D74B11">
        <w:rPr>
          <w:rFonts w:ascii="Times New Roman" w:hAnsi="Times New Roman" w:cs="Times New Roman"/>
        </w:rPr>
        <w:t xml:space="preserve"> was a terrorist attack which resulted in 2,996 lives lost</w:t>
      </w:r>
      <w:r w:rsidR="0093305E" w:rsidRPr="00D74B11">
        <w:rPr>
          <w:rFonts w:ascii="Times New Roman" w:hAnsi="Times New Roman" w:cs="Times New Roman"/>
        </w:rPr>
        <w:t xml:space="preserve"> which “horrified and angered the nation.”</w:t>
      </w:r>
      <w:r w:rsidR="008E4058" w:rsidRPr="00D74B11">
        <w:rPr>
          <w:rStyle w:val="FootnoteReference"/>
          <w:rFonts w:ascii="Times New Roman" w:hAnsi="Times New Roman" w:cs="Times New Roman"/>
        </w:rPr>
        <w:footnoteReference w:id="33"/>
      </w:r>
      <w:r w:rsidRPr="00D74B11">
        <w:rPr>
          <w:rFonts w:ascii="Times New Roman" w:hAnsi="Times New Roman" w:cs="Times New Roman"/>
        </w:rPr>
        <w:t xml:space="preserve"> Terrorism is arguably one of the </w:t>
      </w:r>
      <w:r w:rsidR="5B25BC85" w:rsidRPr="00D74B11">
        <w:rPr>
          <w:rFonts w:ascii="Times New Roman" w:hAnsi="Times New Roman" w:cs="Times New Roman"/>
        </w:rPr>
        <w:t>gravest</w:t>
      </w:r>
      <w:r w:rsidRPr="00D74B11">
        <w:rPr>
          <w:rFonts w:ascii="Times New Roman" w:hAnsi="Times New Roman" w:cs="Times New Roman"/>
        </w:rPr>
        <w:t xml:space="preserve"> crimes in the UK and </w:t>
      </w:r>
      <w:proofErr w:type="gramStart"/>
      <w:r w:rsidRPr="00D74B11">
        <w:rPr>
          <w:rFonts w:ascii="Times New Roman" w:hAnsi="Times New Roman" w:cs="Times New Roman"/>
        </w:rPr>
        <w:t>it is a crime that the public need protecting from the most</w:t>
      </w:r>
      <w:proofErr w:type="gramEnd"/>
      <w:r w:rsidRPr="00D74B11">
        <w:rPr>
          <w:rFonts w:ascii="Times New Roman" w:hAnsi="Times New Roman" w:cs="Times New Roman"/>
        </w:rPr>
        <w:t xml:space="preserve">. Reforming the law on conspiracy to murder is imperative to prevent terrorist attacks. </w:t>
      </w:r>
    </w:p>
    <w:p w14:paraId="4A018E0B" w14:textId="4578B2F9" w:rsidR="00461AC7" w:rsidRPr="00D74B11" w:rsidRDefault="680B1F56" w:rsidP="00D74B11">
      <w:pPr>
        <w:spacing w:afterLines="200" w:after="480" w:line="360" w:lineRule="auto"/>
        <w:jc w:val="both"/>
        <w:rPr>
          <w:rFonts w:ascii="Times New Roman" w:hAnsi="Times New Roman" w:cs="Times New Roman"/>
        </w:rPr>
      </w:pPr>
      <w:r w:rsidRPr="00D74B11">
        <w:rPr>
          <w:rFonts w:ascii="Times New Roman" w:hAnsi="Times New Roman" w:cs="Times New Roman"/>
        </w:rPr>
        <w:t xml:space="preserve">Initially, </w:t>
      </w:r>
      <w:proofErr w:type="spellStart"/>
      <w:r w:rsidRPr="00D74B11">
        <w:rPr>
          <w:rFonts w:ascii="Times New Roman" w:hAnsi="Times New Roman" w:cs="Times New Roman"/>
        </w:rPr>
        <w:t>Barot</w:t>
      </w:r>
      <w:proofErr w:type="spellEnd"/>
      <w:r w:rsidRPr="00D74B11">
        <w:rPr>
          <w:rFonts w:ascii="Times New Roman" w:hAnsi="Times New Roman" w:cs="Times New Roman"/>
        </w:rPr>
        <w:t xml:space="preserve"> </w:t>
      </w:r>
      <w:proofErr w:type="gramStart"/>
      <w:r w:rsidRPr="00D74B11">
        <w:rPr>
          <w:rFonts w:ascii="Times New Roman" w:hAnsi="Times New Roman" w:cs="Times New Roman"/>
        </w:rPr>
        <w:t>was sentenced</w:t>
      </w:r>
      <w:proofErr w:type="gramEnd"/>
      <w:r w:rsidRPr="00D74B11">
        <w:rPr>
          <w:rFonts w:ascii="Times New Roman" w:hAnsi="Times New Roman" w:cs="Times New Roman"/>
        </w:rPr>
        <w:t xml:space="preserve"> to life imprisonment, with a recommendation to serve at least 40 years. However, </w:t>
      </w:r>
      <w:proofErr w:type="gramStart"/>
      <w:r w:rsidRPr="00D74B11">
        <w:rPr>
          <w:rFonts w:ascii="Times New Roman" w:hAnsi="Times New Roman" w:cs="Times New Roman"/>
        </w:rPr>
        <w:t>was lowered</w:t>
      </w:r>
      <w:proofErr w:type="gramEnd"/>
      <w:r w:rsidRPr="00D74B11">
        <w:rPr>
          <w:rFonts w:ascii="Times New Roman" w:hAnsi="Times New Roman" w:cs="Times New Roman"/>
        </w:rPr>
        <w:t xml:space="preserve"> to a minimum of 30 years in 2007. Lord Phillips said </w:t>
      </w:r>
      <w:proofErr w:type="spellStart"/>
      <w:r w:rsidRPr="00D74B11">
        <w:rPr>
          <w:rFonts w:ascii="Times New Roman" w:hAnsi="Times New Roman" w:cs="Times New Roman"/>
        </w:rPr>
        <w:t>Barot’s</w:t>
      </w:r>
      <w:proofErr w:type="spellEnd"/>
      <w:r w:rsidRPr="00D74B11">
        <w:rPr>
          <w:rFonts w:ascii="Times New Roman" w:hAnsi="Times New Roman" w:cs="Times New Roman"/>
        </w:rPr>
        <w:t xml:space="preserve"> plans did not amount to an actual attempt, and it was not clear if these plans would succeed.</w:t>
      </w:r>
      <w:r w:rsidR="00F41AB1" w:rsidRPr="00D74B11">
        <w:rPr>
          <w:rStyle w:val="FootnoteReference"/>
          <w:rFonts w:ascii="Times New Roman" w:hAnsi="Times New Roman" w:cs="Times New Roman"/>
        </w:rPr>
        <w:footnoteReference w:id="34"/>
      </w:r>
      <w:r w:rsidRPr="00D74B11">
        <w:rPr>
          <w:rFonts w:ascii="Times New Roman" w:hAnsi="Times New Roman" w:cs="Times New Roman"/>
        </w:rPr>
        <w:t xml:space="preserve"> This decision may have been fair on </w:t>
      </w:r>
      <w:proofErr w:type="spellStart"/>
      <w:r w:rsidRPr="00D74B11">
        <w:rPr>
          <w:rFonts w:ascii="Times New Roman" w:hAnsi="Times New Roman" w:cs="Times New Roman"/>
        </w:rPr>
        <w:t>Barot’s</w:t>
      </w:r>
      <w:proofErr w:type="spellEnd"/>
      <w:r w:rsidRPr="00D74B11">
        <w:rPr>
          <w:rFonts w:ascii="Times New Roman" w:hAnsi="Times New Roman" w:cs="Times New Roman"/>
        </w:rPr>
        <w:t xml:space="preserve"> behalf but could outrage the public. Due to the </w:t>
      </w:r>
      <w:proofErr w:type="gramStart"/>
      <w:r w:rsidRPr="00D74B11">
        <w:rPr>
          <w:rFonts w:ascii="Times New Roman" w:hAnsi="Times New Roman" w:cs="Times New Roman"/>
        </w:rPr>
        <w:t>court</w:t>
      </w:r>
      <w:proofErr w:type="gramEnd"/>
      <w:r w:rsidRPr="00D74B11">
        <w:rPr>
          <w:rFonts w:ascii="Times New Roman" w:hAnsi="Times New Roman" w:cs="Times New Roman"/>
        </w:rPr>
        <w:t xml:space="preserve"> not understanding societies need to be</w:t>
      </w:r>
      <w:r w:rsidR="1ADFC9F5" w:rsidRPr="00D74B11">
        <w:rPr>
          <w:rFonts w:ascii="Times New Roman" w:hAnsi="Times New Roman" w:cs="Times New Roman"/>
        </w:rPr>
        <w:t xml:space="preserve"> </w:t>
      </w:r>
      <w:r w:rsidRPr="00D74B11">
        <w:rPr>
          <w:rFonts w:ascii="Times New Roman" w:hAnsi="Times New Roman" w:cs="Times New Roman"/>
        </w:rPr>
        <w:t xml:space="preserve">protected from such crimes. This is where there is a struggle to balance the rights of the defendant against protection of the public – an aspect </w:t>
      </w:r>
      <w:proofErr w:type="gramStart"/>
      <w:r w:rsidRPr="00D74B11">
        <w:rPr>
          <w:rFonts w:ascii="Times New Roman" w:hAnsi="Times New Roman" w:cs="Times New Roman"/>
        </w:rPr>
        <w:t>which</w:t>
      </w:r>
      <w:proofErr w:type="gramEnd"/>
      <w:r w:rsidRPr="00D74B11">
        <w:rPr>
          <w:rFonts w:ascii="Times New Roman" w:hAnsi="Times New Roman" w:cs="Times New Roman"/>
        </w:rPr>
        <w:t xml:space="preserve"> must be strongly considered when reforming the law on conspiracy to murder.</w:t>
      </w:r>
    </w:p>
    <w:p w14:paraId="2C0C40CF" w14:textId="58210BC5" w:rsidR="00E16A4F" w:rsidRPr="00D74B11" w:rsidRDefault="0087232D" w:rsidP="00D74B11">
      <w:pPr>
        <w:spacing w:afterLines="200" w:after="480" w:line="360" w:lineRule="auto"/>
        <w:jc w:val="both"/>
        <w:rPr>
          <w:rFonts w:ascii="Times New Roman" w:hAnsi="Times New Roman" w:cs="Times New Roman"/>
          <w:b/>
          <w:bCs/>
        </w:rPr>
      </w:pPr>
      <w:r w:rsidRPr="00D74B11">
        <w:rPr>
          <w:rFonts w:ascii="Times New Roman" w:hAnsi="Times New Roman" w:cs="Times New Roman"/>
          <w:b/>
          <w:bCs/>
        </w:rPr>
        <w:t>Co-conspirators and Sentencing</w:t>
      </w:r>
    </w:p>
    <w:p w14:paraId="669CD588" w14:textId="0CEB1085" w:rsidR="00332C61" w:rsidRPr="00D74B11" w:rsidRDefault="680B1F56" w:rsidP="00D74B11">
      <w:pPr>
        <w:spacing w:afterLines="200" w:after="480" w:line="360" w:lineRule="auto"/>
        <w:jc w:val="both"/>
        <w:rPr>
          <w:rFonts w:ascii="Times New Roman" w:hAnsi="Times New Roman" w:cs="Times New Roman"/>
        </w:rPr>
      </w:pPr>
      <w:r w:rsidRPr="00D74B11">
        <w:rPr>
          <w:rFonts w:ascii="Times New Roman" w:hAnsi="Times New Roman" w:cs="Times New Roman"/>
        </w:rPr>
        <w:t xml:space="preserve">When a conspiracy case involves more than one conspirator, it can be unfair that they all receive the same sentence when ultimately there is always one </w:t>
      </w:r>
      <w:proofErr w:type="gramStart"/>
      <w:r w:rsidRPr="00D74B11">
        <w:rPr>
          <w:rFonts w:ascii="Times New Roman" w:hAnsi="Times New Roman" w:cs="Times New Roman"/>
        </w:rPr>
        <w:t>more guilty</w:t>
      </w:r>
      <w:proofErr w:type="gramEnd"/>
      <w:r w:rsidRPr="00D74B11">
        <w:rPr>
          <w:rFonts w:ascii="Times New Roman" w:hAnsi="Times New Roman" w:cs="Times New Roman"/>
        </w:rPr>
        <w:t xml:space="preserve"> than another. </w:t>
      </w:r>
      <w:r w:rsidR="00682150" w:rsidRPr="00D74B11">
        <w:rPr>
          <w:rFonts w:ascii="Times New Roman" w:hAnsi="Times New Roman" w:cs="Times New Roman"/>
        </w:rPr>
        <w:t xml:space="preserve">This </w:t>
      </w:r>
      <w:proofErr w:type="gramStart"/>
      <w:r w:rsidR="00682150" w:rsidRPr="00D74B11">
        <w:rPr>
          <w:rFonts w:ascii="Times New Roman" w:hAnsi="Times New Roman" w:cs="Times New Roman"/>
        </w:rPr>
        <w:t>can be seen</w:t>
      </w:r>
      <w:proofErr w:type="gramEnd"/>
      <w:r w:rsidR="00682150" w:rsidRPr="00D74B11">
        <w:rPr>
          <w:rFonts w:ascii="Times New Roman" w:hAnsi="Times New Roman" w:cs="Times New Roman"/>
        </w:rPr>
        <w:t xml:space="preserve"> in </w:t>
      </w:r>
      <w:r w:rsidR="00682150" w:rsidRPr="00D74B11">
        <w:rPr>
          <w:rFonts w:ascii="Times New Roman" w:hAnsi="Times New Roman" w:cs="Times New Roman"/>
          <w:i/>
        </w:rPr>
        <w:t>Khalil</w:t>
      </w:r>
      <w:r w:rsidR="00CF0457" w:rsidRPr="00D74B11">
        <w:rPr>
          <w:rStyle w:val="FootnoteReference"/>
          <w:rFonts w:ascii="Times New Roman" w:hAnsi="Times New Roman" w:cs="Times New Roman"/>
        </w:rPr>
        <w:footnoteReference w:id="35"/>
      </w:r>
      <w:r w:rsidR="0010124A" w:rsidRPr="00D74B11">
        <w:rPr>
          <w:rFonts w:ascii="Times New Roman" w:hAnsi="Times New Roman" w:cs="Times New Roman"/>
        </w:rPr>
        <w:t xml:space="preserve">. </w:t>
      </w:r>
      <w:r w:rsidRPr="00D74B11">
        <w:rPr>
          <w:rFonts w:ascii="Times New Roman" w:hAnsi="Times New Roman" w:cs="Times New Roman"/>
        </w:rPr>
        <w:t xml:space="preserve">Co-conspirators </w:t>
      </w:r>
      <w:proofErr w:type="gramStart"/>
      <w:r w:rsidRPr="00D74B11">
        <w:rPr>
          <w:rFonts w:ascii="Times New Roman" w:hAnsi="Times New Roman" w:cs="Times New Roman"/>
        </w:rPr>
        <w:t>are given</w:t>
      </w:r>
      <w:proofErr w:type="gramEnd"/>
      <w:r w:rsidRPr="00D74B11">
        <w:rPr>
          <w:rFonts w:ascii="Times New Roman" w:hAnsi="Times New Roman" w:cs="Times New Roman"/>
        </w:rPr>
        <w:t xml:space="preserve"> strict sentences to act as a deterrent to others </w:t>
      </w:r>
      <w:r w:rsidRPr="00D74B11">
        <w:rPr>
          <w:rFonts w:ascii="Times New Roman" w:hAnsi="Times New Roman" w:cs="Times New Roman"/>
        </w:rPr>
        <w:lastRenderedPageBreak/>
        <w:t xml:space="preserve">and to protect the public from organised crimes like in </w:t>
      </w:r>
      <w:proofErr w:type="spellStart"/>
      <w:r w:rsidRPr="00D74B11">
        <w:rPr>
          <w:rFonts w:ascii="Times New Roman" w:hAnsi="Times New Roman" w:cs="Times New Roman"/>
          <w:i/>
        </w:rPr>
        <w:t>Barot</w:t>
      </w:r>
      <w:proofErr w:type="spellEnd"/>
      <w:r w:rsidRPr="00D74B11">
        <w:rPr>
          <w:rFonts w:ascii="Times New Roman" w:hAnsi="Times New Roman" w:cs="Times New Roman"/>
        </w:rPr>
        <w:t>.</w:t>
      </w:r>
      <w:r w:rsidR="0053385D" w:rsidRPr="00D74B11">
        <w:rPr>
          <w:rStyle w:val="FootnoteReference"/>
          <w:rFonts w:ascii="Times New Roman" w:hAnsi="Times New Roman" w:cs="Times New Roman"/>
        </w:rPr>
        <w:footnoteReference w:id="36"/>
      </w:r>
      <w:r w:rsidRPr="00D74B11">
        <w:rPr>
          <w:rFonts w:ascii="Times New Roman" w:hAnsi="Times New Roman" w:cs="Times New Roman"/>
        </w:rPr>
        <w:t xml:space="preserve"> The case of </w:t>
      </w:r>
      <w:r w:rsidRPr="00D74B11">
        <w:rPr>
          <w:rFonts w:ascii="Times New Roman" w:hAnsi="Times New Roman" w:cs="Times New Roman"/>
          <w:i/>
        </w:rPr>
        <w:t xml:space="preserve">Wyllie and </w:t>
      </w:r>
      <w:proofErr w:type="spellStart"/>
      <w:r w:rsidRPr="00D74B11">
        <w:rPr>
          <w:rFonts w:ascii="Times New Roman" w:hAnsi="Times New Roman" w:cs="Times New Roman"/>
          <w:i/>
        </w:rPr>
        <w:t>Bolland</w:t>
      </w:r>
      <w:proofErr w:type="spellEnd"/>
      <w:r w:rsidR="00A533EE" w:rsidRPr="00D74B11">
        <w:rPr>
          <w:rStyle w:val="FootnoteReference"/>
          <w:rFonts w:ascii="Times New Roman" w:hAnsi="Times New Roman" w:cs="Times New Roman"/>
          <w:i/>
        </w:rPr>
        <w:footnoteReference w:id="37"/>
      </w:r>
      <w:r w:rsidRPr="00D74B11">
        <w:rPr>
          <w:rFonts w:ascii="Times New Roman" w:hAnsi="Times New Roman" w:cs="Times New Roman"/>
        </w:rPr>
        <w:t xml:space="preserve"> gives a</w:t>
      </w:r>
      <w:r w:rsidR="00F8466E" w:rsidRPr="00D74B11">
        <w:rPr>
          <w:rFonts w:ascii="Times New Roman" w:hAnsi="Times New Roman" w:cs="Times New Roman"/>
        </w:rPr>
        <w:t xml:space="preserve">n </w:t>
      </w:r>
      <w:r w:rsidRPr="00D74B11">
        <w:rPr>
          <w:rFonts w:ascii="Times New Roman" w:hAnsi="Times New Roman" w:cs="Times New Roman"/>
        </w:rPr>
        <w:t xml:space="preserve">example of co-conspirators </w:t>
      </w:r>
      <w:proofErr w:type="gramStart"/>
      <w:r w:rsidRPr="00D74B11">
        <w:rPr>
          <w:rFonts w:ascii="Times New Roman" w:hAnsi="Times New Roman" w:cs="Times New Roman"/>
        </w:rPr>
        <w:t>being sentenced</w:t>
      </w:r>
      <w:proofErr w:type="gramEnd"/>
      <w:r w:rsidRPr="00D74B11">
        <w:rPr>
          <w:rFonts w:ascii="Times New Roman" w:hAnsi="Times New Roman" w:cs="Times New Roman"/>
        </w:rPr>
        <w:t xml:space="preserve"> unfairly. Although Wyllie received a longer sentence than </w:t>
      </w:r>
      <w:proofErr w:type="spellStart"/>
      <w:r w:rsidRPr="00D74B11">
        <w:rPr>
          <w:rFonts w:ascii="Times New Roman" w:hAnsi="Times New Roman" w:cs="Times New Roman"/>
        </w:rPr>
        <w:t>Bolland</w:t>
      </w:r>
      <w:proofErr w:type="spellEnd"/>
      <w:r w:rsidR="00F8466E" w:rsidRPr="00D74B11">
        <w:rPr>
          <w:rFonts w:ascii="Times New Roman" w:hAnsi="Times New Roman" w:cs="Times New Roman"/>
        </w:rPr>
        <w:t xml:space="preserve">; </w:t>
      </w:r>
      <w:r w:rsidRPr="00D74B11">
        <w:rPr>
          <w:rFonts w:ascii="Times New Roman" w:hAnsi="Times New Roman" w:cs="Times New Roman"/>
        </w:rPr>
        <w:t xml:space="preserve">Wyllie was the main instigator and targeted </w:t>
      </w:r>
      <w:proofErr w:type="spellStart"/>
      <w:r w:rsidRPr="00D74B11">
        <w:rPr>
          <w:rFonts w:ascii="Times New Roman" w:hAnsi="Times New Roman" w:cs="Times New Roman"/>
        </w:rPr>
        <w:t>Bolland</w:t>
      </w:r>
      <w:proofErr w:type="spellEnd"/>
      <w:r w:rsidRPr="00D74B11">
        <w:rPr>
          <w:rFonts w:ascii="Times New Roman" w:hAnsi="Times New Roman" w:cs="Times New Roman"/>
        </w:rPr>
        <w:t xml:space="preserve"> to help him with his </w:t>
      </w:r>
      <w:proofErr w:type="gramStart"/>
      <w:r w:rsidRPr="00D74B11">
        <w:rPr>
          <w:rFonts w:ascii="Times New Roman" w:hAnsi="Times New Roman" w:cs="Times New Roman"/>
        </w:rPr>
        <w:t>plot</w:t>
      </w:r>
      <w:proofErr w:type="gramEnd"/>
      <w:r w:rsidRPr="00D74B11">
        <w:rPr>
          <w:rFonts w:ascii="Times New Roman" w:hAnsi="Times New Roman" w:cs="Times New Roman"/>
        </w:rPr>
        <w:t xml:space="preserve"> as he seemed vulnerable. </w:t>
      </w:r>
      <w:proofErr w:type="spellStart"/>
      <w:r w:rsidRPr="00D74B11">
        <w:rPr>
          <w:rFonts w:ascii="Times New Roman" w:hAnsi="Times New Roman" w:cs="Times New Roman"/>
        </w:rPr>
        <w:t>Bolland</w:t>
      </w:r>
      <w:proofErr w:type="spellEnd"/>
      <w:r w:rsidRPr="00D74B11">
        <w:rPr>
          <w:rFonts w:ascii="Times New Roman" w:hAnsi="Times New Roman" w:cs="Times New Roman"/>
        </w:rPr>
        <w:t xml:space="preserve"> still received 10 years imprisonment even though he was </w:t>
      </w:r>
      <w:r w:rsidR="00E44CC0" w:rsidRPr="00D74B11">
        <w:rPr>
          <w:rFonts w:ascii="Times New Roman" w:hAnsi="Times New Roman" w:cs="Times New Roman"/>
        </w:rPr>
        <w:t>not the main party</w:t>
      </w:r>
      <w:r w:rsidRPr="00D74B11">
        <w:rPr>
          <w:rFonts w:ascii="Times New Roman" w:hAnsi="Times New Roman" w:cs="Times New Roman"/>
        </w:rPr>
        <w:t xml:space="preserve">. Nevertheless, the court decided that it was important for both boys to receive a large </w:t>
      </w:r>
      <w:proofErr w:type="gramStart"/>
      <w:r w:rsidRPr="00D74B11">
        <w:rPr>
          <w:rFonts w:ascii="Times New Roman" w:hAnsi="Times New Roman" w:cs="Times New Roman"/>
        </w:rPr>
        <w:t>sentence</w:t>
      </w:r>
      <w:proofErr w:type="gramEnd"/>
      <w:r w:rsidRPr="00D74B11">
        <w:rPr>
          <w:rFonts w:ascii="Times New Roman" w:hAnsi="Times New Roman" w:cs="Times New Roman"/>
        </w:rPr>
        <w:t xml:space="preserve"> as their plot was so evil that they needed punishing and rehabilitating as they posed a threat to society. </w:t>
      </w:r>
    </w:p>
    <w:p w14:paraId="36E0139A" w14:textId="031FEAD4" w:rsidR="0071776A" w:rsidRPr="00D74B11" w:rsidRDefault="680B1F56" w:rsidP="00D74B11">
      <w:pPr>
        <w:spacing w:afterLines="200" w:after="480" w:line="360" w:lineRule="auto"/>
        <w:jc w:val="both"/>
        <w:rPr>
          <w:rFonts w:ascii="Times New Roman" w:hAnsi="Times New Roman" w:cs="Times New Roman"/>
        </w:rPr>
      </w:pPr>
      <w:r w:rsidRPr="00D74B11">
        <w:rPr>
          <w:rFonts w:ascii="Times New Roman" w:hAnsi="Times New Roman" w:cs="Times New Roman"/>
        </w:rPr>
        <w:t xml:space="preserve">Their case reflected on the 1999 Columbine school massacre where two boys of similar age killed thirteen staff and teachers and intended to kill more. It was clear to the court that the way in which the boys </w:t>
      </w:r>
      <w:r w:rsidR="00A06E24" w:rsidRPr="00D74B11">
        <w:rPr>
          <w:rFonts w:ascii="Times New Roman" w:hAnsi="Times New Roman" w:cs="Times New Roman"/>
        </w:rPr>
        <w:t xml:space="preserve">“hero </w:t>
      </w:r>
      <w:r w:rsidRPr="00D74B11">
        <w:rPr>
          <w:rFonts w:ascii="Times New Roman" w:hAnsi="Times New Roman" w:cs="Times New Roman"/>
        </w:rPr>
        <w:t>worshipped</w:t>
      </w:r>
      <w:r w:rsidR="00A06E24" w:rsidRPr="00D74B11">
        <w:rPr>
          <w:rFonts w:ascii="Times New Roman" w:hAnsi="Times New Roman" w:cs="Times New Roman"/>
        </w:rPr>
        <w:t>”</w:t>
      </w:r>
      <w:r w:rsidR="003E2C6C" w:rsidRPr="00D74B11">
        <w:rPr>
          <w:rStyle w:val="FootnoteReference"/>
          <w:rFonts w:ascii="Times New Roman" w:hAnsi="Times New Roman" w:cs="Times New Roman"/>
        </w:rPr>
        <w:footnoteReference w:id="38"/>
      </w:r>
      <w:r w:rsidRPr="00D74B11">
        <w:rPr>
          <w:rFonts w:ascii="Times New Roman" w:hAnsi="Times New Roman" w:cs="Times New Roman"/>
        </w:rPr>
        <w:t xml:space="preserve"> this case made them dangerous and </w:t>
      </w:r>
      <w:r w:rsidR="00C07BD1" w:rsidRPr="00D74B11">
        <w:rPr>
          <w:rFonts w:ascii="Times New Roman" w:hAnsi="Times New Roman" w:cs="Times New Roman"/>
        </w:rPr>
        <w:t>t</w:t>
      </w:r>
      <w:r w:rsidR="007B1F89" w:rsidRPr="00D74B11">
        <w:rPr>
          <w:rFonts w:ascii="Times New Roman" w:hAnsi="Times New Roman" w:cs="Times New Roman"/>
        </w:rPr>
        <w:t>he plot needed to be prevented</w:t>
      </w:r>
      <w:r w:rsidRPr="00D74B11">
        <w:rPr>
          <w:rFonts w:ascii="Times New Roman" w:hAnsi="Times New Roman" w:cs="Times New Roman"/>
        </w:rPr>
        <w:t xml:space="preserve">. </w:t>
      </w:r>
      <w:proofErr w:type="spellStart"/>
      <w:r w:rsidRPr="00D74B11">
        <w:rPr>
          <w:rFonts w:ascii="Times New Roman" w:hAnsi="Times New Roman" w:cs="Times New Roman"/>
        </w:rPr>
        <w:t>Arnheim</w:t>
      </w:r>
      <w:proofErr w:type="spellEnd"/>
      <w:r w:rsidRPr="00D74B11">
        <w:rPr>
          <w:rFonts w:ascii="Times New Roman" w:hAnsi="Times New Roman" w:cs="Times New Roman"/>
        </w:rPr>
        <w:t xml:space="preserve"> criticises the sentence as “unduly harsh”</w:t>
      </w:r>
      <w:r w:rsidR="007B1F89" w:rsidRPr="00D74B11">
        <w:rPr>
          <w:rFonts w:ascii="Times New Roman" w:hAnsi="Times New Roman" w:cs="Times New Roman"/>
        </w:rPr>
        <w:t xml:space="preserve"> </w:t>
      </w:r>
      <w:r w:rsidR="00DF0EA8" w:rsidRPr="00D74B11">
        <w:rPr>
          <w:rFonts w:ascii="Times New Roman" w:hAnsi="Times New Roman" w:cs="Times New Roman"/>
        </w:rPr>
        <w:t>suggesting</w:t>
      </w:r>
      <w:r w:rsidR="007B1F89" w:rsidRPr="00D74B11">
        <w:rPr>
          <w:rFonts w:ascii="Times New Roman" w:hAnsi="Times New Roman" w:cs="Times New Roman"/>
        </w:rPr>
        <w:t xml:space="preserve"> t</w:t>
      </w:r>
      <w:r w:rsidR="00DF0EA8" w:rsidRPr="00D74B11">
        <w:rPr>
          <w:rFonts w:ascii="Times New Roman" w:hAnsi="Times New Roman" w:cs="Times New Roman"/>
        </w:rPr>
        <w:t>hat the lack of access</w:t>
      </w:r>
      <w:r w:rsidR="007B1F89" w:rsidRPr="00D74B11">
        <w:rPr>
          <w:rFonts w:ascii="Times New Roman" w:hAnsi="Times New Roman" w:cs="Times New Roman"/>
        </w:rPr>
        <w:t xml:space="preserve"> to firearms or explosives to carry out the plan </w:t>
      </w:r>
      <w:r w:rsidR="00DF0EA8" w:rsidRPr="00D74B11">
        <w:rPr>
          <w:rFonts w:ascii="Times New Roman" w:hAnsi="Times New Roman" w:cs="Times New Roman"/>
        </w:rPr>
        <w:t xml:space="preserve">meant </w:t>
      </w:r>
      <w:proofErr w:type="gramStart"/>
      <w:r w:rsidR="00883F18" w:rsidRPr="00D74B11">
        <w:rPr>
          <w:rFonts w:ascii="Times New Roman" w:hAnsi="Times New Roman" w:cs="Times New Roman"/>
        </w:rPr>
        <w:t>arguably</w:t>
      </w:r>
      <w:proofErr w:type="gramEnd"/>
      <w:r w:rsidR="00883F18" w:rsidRPr="00D74B11">
        <w:rPr>
          <w:rFonts w:ascii="Times New Roman" w:hAnsi="Times New Roman" w:cs="Times New Roman"/>
        </w:rPr>
        <w:t xml:space="preserve"> the</w:t>
      </w:r>
      <w:r w:rsidR="00A34447" w:rsidRPr="00D74B11">
        <w:rPr>
          <w:rFonts w:ascii="Times New Roman" w:hAnsi="Times New Roman" w:cs="Times New Roman"/>
        </w:rPr>
        <w:t xml:space="preserve">re </w:t>
      </w:r>
      <w:r w:rsidR="00883F18" w:rsidRPr="00D74B11">
        <w:rPr>
          <w:rFonts w:ascii="Times New Roman" w:hAnsi="Times New Roman" w:cs="Times New Roman"/>
        </w:rPr>
        <w:t>was no conspiracy</w:t>
      </w:r>
      <w:r w:rsidRPr="00D74B11">
        <w:rPr>
          <w:rFonts w:ascii="Times New Roman" w:hAnsi="Times New Roman" w:cs="Times New Roman"/>
        </w:rPr>
        <w:t>.</w:t>
      </w:r>
      <w:r w:rsidR="00292A83" w:rsidRPr="00D74B11">
        <w:rPr>
          <w:rFonts w:ascii="Times New Roman" w:hAnsi="Times New Roman" w:cs="Times New Roman"/>
        </w:rPr>
        <w:t xml:space="preserve"> </w:t>
      </w:r>
      <w:proofErr w:type="gramStart"/>
      <w:r w:rsidR="00E44CC0" w:rsidRPr="00D74B11">
        <w:rPr>
          <w:rFonts w:ascii="Times New Roman" w:hAnsi="Times New Roman" w:cs="Times New Roman"/>
        </w:rPr>
        <w:t>But</w:t>
      </w:r>
      <w:proofErr w:type="gramEnd"/>
      <w:r w:rsidR="00E44CC0" w:rsidRPr="00D74B11">
        <w:rPr>
          <w:rFonts w:ascii="Times New Roman" w:hAnsi="Times New Roman" w:cs="Times New Roman"/>
        </w:rPr>
        <w:t>, i</w:t>
      </w:r>
      <w:r w:rsidR="00A34447" w:rsidRPr="00D74B11">
        <w:rPr>
          <w:rFonts w:ascii="Times New Roman" w:hAnsi="Times New Roman" w:cs="Times New Roman"/>
        </w:rPr>
        <w:t>n the eyes of the jury “it was a real plot</w:t>
      </w:r>
      <w:r w:rsidR="003701EA" w:rsidRPr="00D74B11">
        <w:rPr>
          <w:rFonts w:ascii="Times New Roman" w:hAnsi="Times New Roman" w:cs="Times New Roman"/>
        </w:rPr>
        <w:t>”</w:t>
      </w:r>
      <w:r w:rsidR="00171252" w:rsidRPr="00D74B11">
        <w:rPr>
          <w:rStyle w:val="FootnoteReference"/>
          <w:rFonts w:ascii="Times New Roman" w:hAnsi="Times New Roman" w:cs="Times New Roman"/>
        </w:rPr>
        <w:footnoteReference w:id="39"/>
      </w:r>
      <w:r w:rsidR="003701EA" w:rsidRPr="00D74B11">
        <w:rPr>
          <w:rFonts w:ascii="Times New Roman" w:hAnsi="Times New Roman" w:cs="Times New Roman"/>
        </w:rPr>
        <w:t xml:space="preserve"> and they fully intended to carry the plan out. </w:t>
      </w:r>
      <w:r w:rsidR="00FD0958" w:rsidRPr="00D74B11">
        <w:rPr>
          <w:rFonts w:ascii="Times New Roman" w:hAnsi="Times New Roman" w:cs="Times New Roman"/>
        </w:rPr>
        <w:t xml:space="preserve">This can seem harsh, however unlike American </w:t>
      </w:r>
      <w:proofErr w:type="gramStart"/>
      <w:r w:rsidR="00FD0958" w:rsidRPr="00D74B11">
        <w:rPr>
          <w:rFonts w:ascii="Times New Roman" w:hAnsi="Times New Roman" w:cs="Times New Roman"/>
        </w:rPr>
        <w:t>law,</w:t>
      </w:r>
      <w:proofErr w:type="gramEnd"/>
      <w:r w:rsidR="00FD0958" w:rsidRPr="00D74B11">
        <w:rPr>
          <w:rFonts w:ascii="Times New Roman" w:hAnsi="Times New Roman" w:cs="Times New Roman"/>
        </w:rPr>
        <w:t xml:space="preserve"> the English law does not require an overt act for there to be a conspiracy</w:t>
      </w:r>
      <w:r w:rsidR="00B26A5F" w:rsidRPr="00D74B11">
        <w:rPr>
          <w:rFonts w:ascii="Times New Roman" w:hAnsi="Times New Roman" w:cs="Times New Roman"/>
        </w:rPr>
        <w:t>.</w:t>
      </w:r>
    </w:p>
    <w:p w14:paraId="0D0B940D" w14:textId="7224A236" w:rsidR="00E16A4F" w:rsidRPr="00D74B11" w:rsidRDefault="680B1F56" w:rsidP="00D74B11">
      <w:pPr>
        <w:spacing w:afterLines="200" w:after="480" w:line="360" w:lineRule="auto"/>
        <w:jc w:val="both"/>
        <w:rPr>
          <w:rFonts w:ascii="Times New Roman" w:hAnsi="Times New Roman" w:cs="Times New Roman"/>
        </w:rPr>
      </w:pPr>
      <w:r w:rsidRPr="00D74B11">
        <w:rPr>
          <w:rFonts w:ascii="Times New Roman" w:hAnsi="Times New Roman" w:cs="Times New Roman"/>
        </w:rPr>
        <w:t xml:space="preserve">Wyllie and </w:t>
      </w:r>
      <w:proofErr w:type="spellStart"/>
      <w:r w:rsidRPr="00D74B11">
        <w:rPr>
          <w:rFonts w:ascii="Times New Roman" w:hAnsi="Times New Roman" w:cs="Times New Roman"/>
        </w:rPr>
        <w:t>Bolland</w:t>
      </w:r>
      <w:proofErr w:type="spellEnd"/>
      <w:r w:rsidRPr="00D74B11">
        <w:rPr>
          <w:rFonts w:ascii="Times New Roman" w:hAnsi="Times New Roman" w:cs="Times New Roman"/>
        </w:rPr>
        <w:t xml:space="preserve"> can also be compared to the largely publicised case of </w:t>
      </w:r>
      <w:proofErr w:type="spellStart"/>
      <w:r w:rsidRPr="00D74B11">
        <w:rPr>
          <w:rFonts w:ascii="Times New Roman" w:hAnsi="Times New Roman" w:cs="Times New Roman"/>
          <w:i/>
        </w:rPr>
        <w:t>Venables</w:t>
      </w:r>
      <w:proofErr w:type="spellEnd"/>
      <w:r w:rsidRPr="00D74B11">
        <w:rPr>
          <w:rFonts w:ascii="Times New Roman" w:hAnsi="Times New Roman" w:cs="Times New Roman"/>
          <w:i/>
        </w:rPr>
        <w:t xml:space="preserve"> and Thompson</w:t>
      </w:r>
      <w:r w:rsidR="00171252" w:rsidRPr="00D74B11">
        <w:rPr>
          <w:rStyle w:val="FootnoteReference"/>
          <w:rFonts w:ascii="Times New Roman" w:hAnsi="Times New Roman" w:cs="Times New Roman"/>
        </w:rPr>
        <w:footnoteReference w:id="40"/>
      </w:r>
      <w:r w:rsidRPr="00D74B11">
        <w:rPr>
          <w:rFonts w:ascii="Times New Roman" w:hAnsi="Times New Roman" w:cs="Times New Roman"/>
        </w:rPr>
        <w:t xml:space="preserve"> where two </w:t>
      </w:r>
      <w:proofErr w:type="gramStart"/>
      <w:r w:rsidRPr="00D74B11">
        <w:rPr>
          <w:rFonts w:ascii="Times New Roman" w:hAnsi="Times New Roman" w:cs="Times New Roman"/>
        </w:rPr>
        <w:t>10 year old</w:t>
      </w:r>
      <w:proofErr w:type="gramEnd"/>
      <w:r w:rsidRPr="00D74B11">
        <w:rPr>
          <w:rFonts w:ascii="Times New Roman" w:hAnsi="Times New Roman" w:cs="Times New Roman"/>
        </w:rPr>
        <w:t xml:space="preserve"> boys brutally murdered a 2 year old. </w:t>
      </w:r>
      <w:r w:rsidR="00E44CC0" w:rsidRPr="00D74B11">
        <w:rPr>
          <w:rFonts w:ascii="Times New Roman" w:hAnsi="Times New Roman" w:cs="Times New Roman"/>
        </w:rPr>
        <w:t>The</w:t>
      </w:r>
      <w:r w:rsidRPr="00D74B11">
        <w:rPr>
          <w:rFonts w:ascii="Times New Roman" w:hAnsi="Times New Roman" w:cs="Times New Roman"/>
        </w:rPr>
        <w:t xml:space="preserve"> defendants were murderers yet had to serve the same </w:t>
      </w:r>
      <w:proofErr w:type="gramStart"/>
      <w:r w:rsidRPr="00D74B11">
        <w:rPr>
          <w:rFonts w:ascii="Times New Roman" w:hAnsi="Times New Roman" w:cs="Times New Roman"/>
        </w:rPr>
        <w:t>10 year</w:t>
      </w:r>
      <w:proofErr w:type="gramEnd"/>
      <w:r w:rsidRPr="00D74B11">
        <w:rPr>
          <w:rFonts w:ascii="Times New Roman" w:hAnsi="Times New Roman" w:cs="Times New Roman"/>
        </w:rPr>
        <w:t xml:space="preserve"> sentence as Wyllie and </w:t>
      </w:r>
      <w:proofErr w:type="spellStart"/>
      <w:r w:rsidRPr="00D74B11">
        <w:rPr>
          <w:rFonts w:ascii="Times New Roman" w:hAnsi="Times New Roman" w:cs="Times New Roman"/>
        </w:rPr>
        <w:t>Bolland</w:t>
      </w:r>
      <w:proofErr w:type="spellEnd"/>
      <w:r w:rsidRPr="00D74B11">
        <w:rPr>
          <w:rFonts w:ascii="Times New Roman" w:hAnsi="Times New Roman" w:cs="Times New Roman"/>
        </w:rPr>
        <w:t xml:space="preserve">. Although this is not an exact comparison as </w:t>
      </w:r>
      <w:proofErr w:type="spellStart"/>
      <w:r w:rsidRPr="00D74B11">
        <w:rPr>
          <w:rFonts w:ascii="Times New Roman" w:hAnsi="Times New Roman" w:cs="Times New Roman"/>
        </w:rPr>
        <w:t>Venables</w:t>
      </w:r>
      <w:proofErr w:type="spellEnd"/>
      <w:r w:rsidRPr="00D74B11">
        <w:rPr>
          <w:rFonts w:ascii="Times New Roman" w:hAnsi="Times New Roman" w:cs="Times New Roman"/>
        </w:rPr>
        <w:t xml:space="preserve"> and Thompson were younger, it still shows how harsh the sentencing is against conspiracy to murder for youths. It is clear from this case and many others that the law on conspiracy to murder especially on sentencing for conspiracy to </w:t>
      </w:r>
      <w:proofErr w:type="gramStart"/>
      <w:r w:rsidRPr="00D74B11">
        <w:rPr>
          <w:rFonts w:ascii="Times New Roman" w:hAnsi="Times New Roman" w:cs="Times New Roman"/>
        </w:rPr>
        <w:t>murder,</w:t>
      </w:r>
      <w:proofErr w:type="gramEnd"/>
      <w:r w:rsidRPr="00D74B11">
        <w:rPr>
          <w:rFonts w:ascii="Times New Roman" w:hAnsi="Times New Roman" w:cs="Times New Roman"/>
        </w:rPr>
        <w:t xml:space="preserve"> needs reform.</w:t>
      </w:r>
    </w:p>
    <w:p w14:paraId="0F21552B" w14:textId="0B826266" w:rsidR="00E16A4F" w:rsidRPr="00D74B11" w:rsidRDefault="00023395" w:rsidP="00D74B11">
      <w:pPr>
        <w:spacing w:afterLines="200" w:after="480" w:line="360" w:lineRule="auto"/>
        <w:jc w:val="both"/>
        <w:rPr>
          <w:rFonts w:ascii="Times New Roman" w:hAnsi="Times New Roman" w:cs="Times New Roman"/>
          <w:b/>
          <w:bCs/>
        </w:rPr>
      </w:pPr>
      <w:r w:rsidRPr="00D74B11">
        <w:rPr>
          <w:rFonts w:ascii="Times New Roman" w:hAnsi="Times New Roman" w:cs="Times New Roman"/>
          <w:b/>
          <w:bCs/>
        </w:rPr>
        <w:lastRenderedPageBreak/>
        <w:t>Recommendations and Reforms</w:t>
      </w:r>
    </w:p>
    <w:p w14:paraId="5FE75EED" w14:textId="4FB499EA" w:rsidR="002648E2" w:rsidRPr="00D74B11" w:rsidRDefault="680B1F56" w:rsidP="00D74B11">
      <w:pPr>
        <w:spacing w:afterLines="200" w:after="480" w:line="360" w:lineRule="auto"/>
        <w:jc w:val="both"/>
        <w:rPr>
          <w:rFonts w:ascii="Times New Roman" w:hAnsi="Times New Roman" w:cs="Times New Roman"/>
        </w:rPr>
      </w:pPr>
      <w:r w:rsidRPr="00D74B11">
        <w:rPr>
          <w:rFonts w:ascii="Times New Roman" w:hAnsi="Times New Roman" w:cs="Times New Roman"/>
        </w:rPr>
        <w:t xml:space="preserve">The Law Commission produced a report of recommendations on </w:t>
      </w:r>
      <w:r w:rsidR="00A8272C" w:rsidRPr="00D74B11">
        <w:rPr>
          <w:rFonts w:ascii="Times New Roman" w:hAnsi="Times New Roman" w:cs="Times New Roman"/>
        </w:rPr>
        <w:t>C</w:t>
      </w:r>
      <w:r w:rsidRPr="00D74B11">
        <w:rPr>
          <w:rFonts w:ascii="Times New Roman" w:hAnsi="Times New Roman" w:cs="Times New Roman"/>
        </w:rPr>
        <w:t xml:space="preserve">onspiracy and </w:t>
      </w:r>
      <w:r w:rsidR="00A8272C" w:rsidRPr="00D74B11">
        <w:rPr>
          <w:rFonts w:ascii="Times New Roman" w:hAnsi="Times New Roman" w:cs="Times New Roman"/>
        </w:rPr>
        <w:t>A</w:t>
      </w:r>
      <w:r w:rsidRPr="00D74B11">
        <w:rPr>
          <w:rFonts w:ascii="Times New Roman" w:hAnsi="Times New Roman" w:cs="Times New Roman"/>
        </w:rPr>
        <w:t>ttempts</w:t>
      </w:r>
      <w:r w:rsidR="00D06DBA" w:rsidRPr="00D74B11">
        <w:rPr>
          <w:rStyle w:val="FootnoteReference"/>
          <w:rFonts w:ascii="Times New Roman" w:hAnsi="Times New Roman" w:cs="Times New Roman"/>
        </w:rPr>
        <w:footnoteReference w:id="41"/>
      </w:r>
      <w:r w:rsidRPr="00D74B11">
        <w:rPr>
          <w:rFonts w:ascii="Times New Roman" w:hAnsi="Times New Roman" w:cs="Times New Roman"/>
        </w:rPr>
        <w:t>, in 2009. A consultation paper</w:t>
      </w:r>
      <w:r w:rsidR="002402A4" w:rsidRPr="00D74B11">
        <w:rPr>
          <w:rStyle w:val="FootnoteReference"/>
          <w:rFonts w:ascii="Times New Roman" w:hAnsi="Times New Roman" w:cs="Times New Roman"/>
        </w:rPr>
        <w:footnoteReference w:id="42"/>
      </w:r>
      <w:r w:rsidRPr="00D74B11">
        <w:rPr>
          <w:rFonts w:ascii="Times New Roman" w:hAnsi="Times New Roman" w:cs="Times New Roman"/>
        </w:rPr>
        <w:t xml:space="preserve"> </w:t>
      </w:r>
      <w:proofErr w:type="gramStart"/>
      <w:r w:rsidRPr="00D74B11">
        <w:rPr>
          <w:rFonts w:ascii="Times New Roman" w:hAnsi="Times New Roman" w:cs="Times New Roman"/>
        </w:rPr>
        <w:t>was published</w:t>
      </w:r>
      <w:proofErr w:type="gramEnd"/>
      <w:r w:rsidRPr="00D74B11">
        <w:rPr>
          <w:rFonts w:ascii="Times New Roman" w:hAnsi="Times New Roman" w:cs="Times New Roman"/>
        </w:rPr>
        <w:t xml:space="preserve"> on the 10</w:t>
      </w:r>
      <w:r w:rsidRPr="00D74B11">
        <w:rPr>
          <w:rFonts w:ascii="Times New Roman" w:hAnsi="Times New Roman" w:cs="Times New Roman"/>
          <w:vertAlign w:val="superscript"/>
        </w:rPr>
        <w:t>th</w:t>
      </w:r>
      <w:r w:rsidRPr="00D74B11">
        <w:rPr>
          <w:rFonts w:ascii="Times New Roman" w:hAnsi="Times New Roman" w:cs="Times New Roman"/>
        </w:rPr>
        <w:t xml:space="preserve"> October 2007 and a </w:t>
      </w:r>
      <w:r w:rsidR="00A8272C" w:rsidRPr="00D74B11">
        <w:rPr>
          <w:rFonts w:ascii="Times New Roman" w:hAnsi="Times New Roman" w:cs="Times New Roman"/>
        </w:rPr>
        <w:t>D</w:t>
      </w:r>
      <w:r w:rsidRPr="00D74B11">
        <w:rPr>
          <w:rFonts w:ascii="Times New Roman" w:hAnsi="Times New Roman" w:cs="Times New Roman"/>
        </w:rPr>
        <w:t xml:space="preserve">raft </w:t>
      </w:r>
      <w:r w:rsidR="00A8272C" w:rsidRPr="00D74B11">
        <w:rPr>
          <w:rFonts w:ascii="Times New Roman" w:hAnsi="Times New Roman" w:cs="Times New Roman"/>
        </w:rPr>
        <w:t>B</w:t>
      </w:r>
      <w:r w:rsidRPr="00D74B11">
        <w:rPr>
          <w:rFonts w:ascii="Times New Roman" w:hAnsi="Times New Roman" w:cs="Times New Roman"/>
        </w:rPr>
        <w:t>ill was published on the 10</w:t>
      </w:r>
      <w:r w:rsidRPr="00D74B11">
        <w:rPr>
          <w:rFonts w:ascii="Times New Roman" w:hAnsi="Times New Roman" w:cs="Times New Roman"/>
          <w:vertAlign w:val="superscript"/>
        </w:rPr>
        <w:t>th</w:t>
      </w:r>
      <w:r w:rsidRPr="00D74B11">
        <w:rPr>
          <w:rFonts w:ascii="Times New Roman" w:hAnsi="Times New Roman" w:cs="Times New Roman"/>
        </w:rPr>
        <w:t xml:space="preserve"> of December 2009. The recommendations </w:t>
      </w:r>
      <w:proofErr w:type="gramStart"/>
      <w:r w:rsidRPr="00D74B11">
        <w:rPr>
          <w:rFonts w:ascii="Times New Roman" w:hAnsi="Times New Roman" w:cs="Times New Roman"/>
        </w:rPr>
        <w:t>were triggered</w:t>
      </w:r>
      <w:proofErr w:type="gramEnd"/>
      <w:r w:rsidRPr="00D74B11">
        <w:rPr>
          <w:rFonts w:ascii="Times New Roman" w:hAnsi="Times New Roman" w:cs="Times New Roman"/>
        </w:rPr>
        <w:t xml:space="preserve"> by a House of Lords decision in the case of </w:t>
      </w:r>
      <w:r w:rsidR="003B6E38" w:rsidRPr="00D74B11">
        <w:rPr>
          <w:rFonts w:ascii="Times New Roman" w:hAnsi="Times New Roman" w:cs="Times New Roman"/>
          <w:i/>
        </w:rPr>
        <w:t>criminal</w:t>
      </w:r>
      <w:r w:rsidR="00E16A4F" w:rsidRPr="00D74B11">
        <w:rPr>
          <w:rStyle w:val="FootnoteReference"/>
          <w:rFonts w:ascii="Times New Roman" w:hAnsi="Times New Roman" w:cs="Times New Roman"/>
          <w:b/>
          <w:bCs/>
        </w:rPr>
        <w:footnoteReference w:id="43"/>
      </w:r>
      <w:r w:rsidR="007B6F10" w:rsidRPr="00D74B11">
        <w:rPr>
          <w:rFonts w:ascii="Times New Roman" w:hAnsi="Times New Roman" w:cs="Times New Roman"/>
        </w:rPr>
        <w:t xml:space="preserve"> where the defendant could not be guilty of </w:t>
      </w:r>
      <w:r w:rsidR="000712F8" w:rsidRPr="00D74B11">
        <w:rPr>
          <w:rFonts w:ascii="Times New Roman" w:hAnsi="Times New Roman" w:cs="Times New Roman"/>
        </w:rPr>
        <w:t xml:space="preserve">conspiracy </w:t>
      </w:r>
      <w:r w:rsidR="00D078F7" w:rsidRPr="00D74B11">
        <w:rPr>
          <w:rFonts w:ascii="Times New Roman" w:hAnsi="Times New Roman" w:cs="Times New Roman"/>
        </w:rPr>
        <w:t xml:space="preserve">as he only suspected </w:t>
      </w:r>
      <w:r w:rsidR="008D212A" w:rsidRPr="00D74B11">
        <w:rPr>
          <w:rFonts w:ascii="Times New Roman" w:hAnsi="Times New Roman" w:cs="Times New Roman"/>
        </w:rPr>
        <w:t xml:space="preserve">the </w:t>
      </w:r>
      <w:r w:rsidR="00565868" w:rsidRPr="00D74B11">
        <w:rPr>
          <w:rFonts w:ascii="Times New Roman" w:hAnsi="Times New Roman" w:cs="Times New Roman"/>
        </w:rPr>
        <w:t>activity was criminal</w:t>
      </w:r>
      <w:r w:rsidR="00D078F7" w:rsidRPr="00D74B11">
        <w:rPr>
          <w:rFonts w:ascii="Times New Roman" w:hAnsi="Times New Roman" w:cs="Times New Roman"/>
        </w:rPr>
        <w:t xml:space="preserve"> and the </w:t>
      </w:r>
      <w:proofErr w:type="spellStart"/>
      <w:r w:rsidR="00D078F7" w:rsidRPr="00D74B11">
        <w:rPr>
          <w:rFonts w:ascii="Times New Roman" w:hAnsi="Times New Roman" w:cs="Times New Roman"/>
        </w:rPr>
        <w:t>mens</w:t>
      </w:r>
      <w:proofErr w:type="spellEnd"/>
      <w:r w:rsidR="00D078F7" w:rsidRPr="00D74B11">
        <w:rPr>
          <w:rFonts w:ascii="Times New Roman" w:hAnsi="Times New Roman" w:cs="Times New Roman"/>
        </w:rPr>
        <w:t xml:space="preserve"> rea for conspiracy specifically requires intent to commit an offence</w:t>
      </w:r>
      <w:r w:rsidR="002E7F03" w:rsidRPr="00D74B11">
        <w:rPr>
          <w:rFonts w:ascii="Times New Roman" w:hAnsi="Times New Roman" w:cs="Times New Roman"/>
          <w:bCs/>
        </w:rPr>
        <w:t>. The injustice</w:t>
      </w:r>
      <w:r w:rsidR="00F9320D" w:rsidRPr="00D74B11">
        <w:rPr>
          <w:rFonts w:ascii="Times New Roman" w:hAnsi="Times New Roman" w:cs="Times New Roman"/>
          <w:bCs/>
        </w:rPr>
        <w:t xml:space="preserve"> of this case made it clear the law on conspiracy was unfair and needed reform</w:t>
      </w:r>
      <w:r w:rsidR="00565868" w:rsidRPr="00D74B11">
        <w:rPr>
          <w:rFonts w:ascii="Times New Roman" w:hAnsi="Times New Roman" w:cs="Times New Roman"/>
          <w:bCs/>
        </w:rPr>
        <w:t xml:space="preserve">. Subsequently, the </w:t>
      </w:r>
      <w:r w:rsidRPr="00D74B11">
        <w:rPr>
          <w:rFonts w:ascii="Times New Roman" w:hAnsi="Times New Roman" w:cs="Times New Roman"/>
        </w:rPr>
        <w:t xml:space="preserve">Law Commission </w:t>
      </w:r>
      <w:r w:rsidR="006A73B2" w:rsidRPr="00D74B11">
        <w:rPr>
          <w:rFonts w:ascii="Times New Roman" w:hAnsi="Times New Roman" w:cs="Times New Roman"/>
        </w:rPr>
        <w:t>reviewed</w:t>
      </w:r>
      <w:r w:rsidRPr="00D74B11">
        <w:rPr>
          <w:rFonts w:ascii="Times New Roman" w:hAnsi="Times New Roman" w:cs="Times New Roman"/>
        </w:rPr>
        <w:t xml:space="preserve"> and concluded the law to be defective.</w:t>
      </w:r>
      <w:r w:rsidR="007E3036" w:rsidRPr="00D74B11">
        <w:rPr>
          <w:rFonts w:ascii="Times New Roman" w:hAnsi="Times New Roman" w:cs="Times New Roman"/>
        </w:rPr>
        <w:t xml:space="preserve"> </w:t>
      </w:r>
      <w:r w:rsidR="007E2446" w:rsidRPr="00D74B11">
        <w:rPr>
          <w:rFonts w:ascii="Times New Roman" w:hAnsi="Times New Roman" w:cs="Times New Roman"/>
        </w:rPr>
        <w:t>The</w:t>
      </w:r>
      <w:r w:rsidR="007E3036" w:rsidRPr="00D74B11">
        <w:rPr>
          <w:rFonts w:ascii="Times New Roman" w:hAnsi="Times New Roman" w:cs="Times New Roman"/>
        </w:rPr>
        <w:t xml:space="preserve"> consultation papers produced by the Law Commission outline that conspiracy to murder </w:t>
      </w:r>
      <w:proofErr w:type="gramStart"/>
      <w:r w:rsidR="007E3036" w:rsidRPr="00D74B11">
        <w:rPr>
          <w:rFonts w:ascii="Times New Roman" w:hAnsi="Times New Roman" w:cs="Times New Roman"/>
        </w:rPr>
        <w:t>can be charged</w:t>
      </w:r>
      <w:proofErr w:type="gramEnd"/>
      <w:r w:rsidR="007E3036" w:rsidRPr="00D74B11">
        <w:rPr>
          <w:rFonts w:ascii="Times New Roman" w:hAnsi="Times New Roman" w:cs="Times New Roman"/>
        </w:rPr>
        <w:t>, whether the murder was successful or if the defendant had not yet attempted or successfully committed the murder.</w:t>
      </w:r>
    </w:p>
    <w:p w14:paraId="4672E2A0" w14:textId="0F21A044" w:rsidR="007D46C1" w:rsidRPr="00D74B11" w:rsidRDefault="680B1F56" w:rsidP="00D74B11">
      <w:pPr>
        <w:spacing w:afterLines="200" w:after="480" w:line="360" w:lineRule="auto"/>
        <w:jc w:val="both"/>
        <w:rPr>
          <w:rFonts w:ascii="Times New Roman" w:hAnsi="Times New Roman" w:cs="Times New Roman"/>
        </w:rPr>
      </w:pPr>
      <w:r w:rsidRPr="00D74B11">
        <w:rPr>
          <w:rFonts w:ascii="Times New Roman" w:hAnsi="Times New Roman" w:cs="Times New Roman"/>
        </w:rPr>
        <w:t xml:space="preserve">Some of the recommendations made consisted of clarification to the law in relation to the agreement between co-conspirators to conspire to an offence and commit the offence conspired </w:t>
      </w:r>
      <w:proofErr w:type="gramStart"/>
      <w:r w:rsidRPr="00D74B11">
        <w:rPr>
          <w:rFonts w:ascii="Times New Roman" w:hAnsi="Times New Roman" w:cs="Times New Roman"/>
        </w:rPr>
        <w:t>upon</w:t>
      </w:r>
      <w:proofErr w:type="gramEnd"/>
      <w:r w:rsidRPr="00D74B11">
        <w:rPr>
          <w:rFonts w:ascii="Times New Roman" w:hAnsi="Times New Roman" w:cs="Times New Roman"/>
        </w:rPr>
        <w:t xml:space="preserve">. </w:t>
      </w:r>
      <w:r w:rsidR="007D46C1" w:rsidRPr="00D74B11">
        <w:rPr>
          <w:rFonts w:ascii="Times New Roman" w:hAnsi="Times New Roman" w:cs="Times New Roman"/>
        </w:rPr>
        <w:t>The term “agreement” has only been defined in common law</w:t>
      </w:r>
      <w:r w:rsidR="008053CD" w:rsidRPr="00D74B11">
        <w:rPr>
          <w:rFonts w:ascii="Times New Roman" w:hAnsi="Times New Roman" w:cs="Times New Roman"/>
        </w:rPr>
        <w:t xml:space="preserve"> and in reforming the </w:t>
      </w:r>
      <w:proofErr w:type="gramStart"/>
      <w:r w:rsidR="008053CD" w:rsidRPr="00D74B11">
        <w:rPr>
          <w:rFonts w:ascii="Times New Roman" w:hAnsi="Times New Roman" w:cs="Times New Roman"/>
        </w:rPr>
        <w:t>law,</w:t>
      </w:r>
      <w:proofErr w:type="gramEnd"/>
      <w:r w:rsidR="008053CD" w:rsidRPr="00D74B11">
        <w:rPr>
          <w:rFonts w:ascii="Times New Roman" w:hAnsi="Times New Roman" w:cs="Times New Roman"/>
        </w:rPr>
        <w:t xml:space="preserve"> it would be useful to provide an interpretation of </w:t>
      </w:r>
      <w:r w:rsidR="000E357B" w:rsidRPr="00D74B11">
        <w:rPr>
          <w:rFonts w:ascii="Times New Roman" w:hAnsi="Times New Roman" w:cs="Times New Roman"/>
        </w:rPr>
        <w:t xml:space="preserve">the word “agreement”. </w:t>
      </w:r>
      <w:r w:rsidR="001F5BDF" w:rsidRPr="00D74B11">
        <w:rPr>
          <w:rFonts w:ascii="Times New Roman" w:hAnsi="Times New Roman" w:cs="Times New Roman"/>
        </w:rPr>
        <w:t xml:space="preserve">Jarvis suggests that an </w:t>
      </w:r>
      <w:proofErr w:type="gramStart"/>
      <w:r w:rsidR="001F5BDF" w:rsidRPr="00D74B11">
        <w:rPr>
          <w:rFonts w:ascii="Times New Roman" w:hAnsi="Times New Roman" w:cs="Times New Roman"/>
        </w:rPr>
        <w:t>agreement</w:t>
      </w:r>
      <w:proofErr w:type="gramEnd"/>
      <w:r w:rsidR="001F5BDF" w:rsidRPr="00D74B11">
        <w:rPr>
          <w:rFonts w:ascii="Times New Roman" w:hAnsi="Times New Roman" w:cs="Times New Roman"/>
        </w:rPr>
        <w:t xml:space="preserve"> is </w:t>
      </w:r>
      <w:proofErr w:type="gramStart"/>
      <w:r w:rsidR="001F5BDF" w:rsidRPr="00D74B11">
        <w:rPr>
          <w:rFonts w:ascii="Times New Roman" w:hAnsi="Times New Roman" w:cs="Times New Roman"/>
        </w:rPr>
        <w:t>where</w:t>
      </w:r>
      <w:proofErr w:type="gramEnd"/>
      <w:r w:rsidR="001F5BDF" w:rsidRPr="00D74B11">
        <w:rPr>
          <w:rFonts w:ascii="Times New Roman" w:hAnsi="Times New Roman" w:cs="Times New Roman"/>
        </w:rPr>
        <w:t xml:space="preserve"> “</w:t>
      </w:r>
      <w:r w:rsidR="00247970" w:rsidRPr="00D74B11">
        <w:rPr>
          <w:rFonts w:ascii="Times New Roman" w:hAnsi="Times New Roman" w:cs="Times New Roman"/>
        </w:rPr>
        <w:t>the parties share the same design or purpose</w:t>
      </w:r>
      <w:r w:rsidR="00120066" w:rsidRPr="00D74B11">
        <w:rPr>
          <w:rFonts w:ascii="Times New Roman" w:hAnsi="Times New Roman" w:cs="Times New Roman"/>
        </w:rPr>
        <w:t xml:space="preserve"> so it can be said they truly breathe together.”</w:t>
      </w:r>
      <w:r w:rsidR="002949E2" w:rsidRPr="00D74B11">
        <w:rPr>
          <w:rStyle w:val="FootnoteReference"/>
          <w:rFonts w:ascii="Times New Roman" w:hAnsi="Times New Roman" w:cs="Times New Roman"/>
        </w:rPr>
        <w:footnoteReference w:id="44"/>
      </w:r>
      <w:r w:rsidR="00120066" w:rsidRPr="00D74B11">
        <w:rPr>
          <w:rFonts w:ascii="Times New Roman" w:hAnsi="Times New Roman" w:cs="Times New Roman"/>
        </w:rPr>
        <w:t xml:space="preserve"> This </w:t>
      </w:r>
      <w:r w:rsidR="001E7A5B" w:rsidRPr="00D74B11">
        <w:rPr>
          <w:rFonts w:ascii="Times New Roman" w:hAnsi="Times New Roman" w:cs="Times New Roman"/>
        </w:rPr>
        <w:t xml:space="preserve">includes the accepted interpretation established in </w:t>
      </w:r>
      <w:r w:rsidR="001E7A5B" w:rsidRPr="00D74B11">
        <w:rPr>
          <w:rFonts w:ascii="Times New Roman" w:hAnsi="Times New Roman" w:cs="Times New Roman"/>
          <w:i/>
        </w:rPr>
        <w:t>Mehta</w:t>
      </w:r>
      <w:r w:rsidR="003A5A0E" w:rsidRPr="00D74B11">
        <w:rPr>
          <w:rStyle w:val="FootnoteReference"/>
          <w:rFonts w:ascii="Times New Roman" w:hAnsi="Times New Roman" w:cs="Times New Roman"/>
        </w:rPr>
        <w:footnoteReference w:id="45"/>
      </w:r>
      <w:r w:rsidR="001E7A5B" w:rsidRPr="00D74B11">
        <w:rPr>
          <w:rFonts w:ascii="Times New Roman" w:hAnsi="Times New Roman" w:cs="Times New Roman"/>
        </w:rPr>
        <w:t xml:space="preserve"> and </w:t>
      </w:r>
      <w:r w:rsidR="00120066" w:rsidRPr="00D74B11">
        <w:rPr>
          <w:rFonts w:ascii="Times New Roman" w:hAnsi="Times New Roman" w:cs="Times New Roman"/>
        </w:rPr>
        <w:t>is a suggestion of the interpretation that should be included in re</w:t>
      </w:r>
      <w:r w:rsidR="001E7A5B" w:rsidRPr="00D74B11">
        <w:rPr>
          <w:rFonts w:ascii="Times New Roman" w:hAnsi="Times New Roman" w:cs="Times New Roman"/>
        </w:rPr>
        <w:t>form.</w:t>
      </w:r>
    </w:p>
    <w:p w14:paraId="2B31AE17" w14:textId="5A5240A4" w:rsidR="007D46C1" w:rsidRPr="00D74B11" w:rsidRDefault="680B1F56" w:rsidP="00D74B11">
      <w:pPr>
        <w:spacing w:afterLines="200" w:after="480" w:line="360" w:lineRule="auto"/>
        <w:jc w:val="both"/>
        <w:rPr>
          <w:rFonts w:ascii="Times New Roman" w:hAnsi="Times New Roman" w:cs="Times New Roman"/>
        </w:rPr>
      </w:pPr>
      <w:r w:rsidRPr="00D74B11">
        <w:rPr>
          <w:rFonts w:ascii="Times New Roman" w:hAnsi="Times New Roman" w:cs="Times New Roman"/>
        </w:rPr>
        <w:t>The law currently states that spouses will not be liable for conspiracy</w:t>
      </w:r>
      <w:r w:rsidR="00E16A4F" w:rsidRPr="00D74B11">
        <w:rPr>
          <w:rStyle w:val="FootnoteReference"/>
          <w:rFonts w:ascii="Times New Roman" w:hAnsi="Times New Roman" w:cs="Times New Roman"/>
        </w:rPr>
        <w:footnoteReference w:id="46"/>
      </w:r>
      <w:r w:rsidR="00F507E9" w:rsidRPr="00D74B11">
        <w:rPr>
          <w:rFonts w:ascii="Times New Roman" w:hAnsi="Times New Roman" w:cs="Times New Roman"/>
        </w:rPr>
        <w:t xml:space="preserve">. </w:t>
      </w:r>
      <w:r w:rsidR="007E3036" w:rsidRPr="00D74B11">
        <w:rPr>
          <w:rFonts w:ascii="Times New Roman" w:hAnsi="Times New Roman" w:cs="Times New Roman"/>
        </w:rPr>
        <w:t xml:space="preserve">The exemption for spouses is said, by the Law Commission, to be an embarrassment to a civilised system of law and therefore, should be </w:t>
      </w:r>
      <w:proofErr w:type="gramStart"/>
      <w:r w:rsidR="007E3036" w:rsidRPr="00D74B11">
        <w:rPr>
          <w:rFonts w:ascii="Times New Roman" w:hAnsi="Times New Roman" w:cs="Times New Roman"/>
        </w:rPr>
        <w:t>abolishe</w:t>
      </w:r>
      <w:r w:rsidR="00A479EE" w:rsidRPr="00D74B11">
        <w:rPr>
          <w:rFonts w:ascii="Times New Roman" w:hAnsi="Times New Roman" w:cs="Times New Roman"/>
        </w:rPr>
        <w:t>d</w:t>
      </w:r>
      <w:proofErr w:type="gramEnd"/>
      <w:r w:rsidR="00A479EE" w:rsidRPr="00D74B11">
        <w:rPr>
          <w:rFonts w:ascii="Times New Roman" w:hAnsi="Times New Roman" w:cs="Times New Roman"/>
        </w:rPr>
        <w:t xml:space="preserve"> as</w:t>
      </w:r>
      <w:r w:rsidR="00461AF3" w:rsidRPr="00D74B11">
        <w:rPr>
          <w:rFonts w:ascii="Times New Roman" w:hAnsi="Times New Roman" w:cs="Times New Roman"/>
        </w:rPr>
        <w:t xml:space="preserve"> it is an anomaly that they were exempt in the first place</w:t>
      </w:r>
      <w:r w:rsidRPr="00D74B11">
        <w:rPr>
          <w:rStyle w:val="FootnoteReference"/>
          <w:rFonts w:ascii="Times New Roman" w:hAnsi="Times New Roman" w:cs="Times New Roman"/>
        </w:rPr>
        <w:footnoteReference w:id="47"/>
      </w:r>
      <w:r w:rsidR="00461AF3" w:rsidRPr="00D74B11">
        <w:rPr>
          <w:rFonts w:ascii="Times New Roman" w:hAnsi="Times New Roman" w:cs="Times New Roman"/>
        </w:rPr>
        <w:t>: spouses can commit conspiracy the same as a</w:t>
      </w:r>
      <w:r w:rsidR="003B2406" w:rsidRPr="00D74B11">
        <w:rPr>
          <w:rFonts w:ascii="Times New Roman" w:hAnsi="Times New Roman" w:cs="Times New Roman"/>
        </w:rPr>
        <w:t xml:space="preserve">nyone else. It also </w:t>
      </w:r>
      <w:r w:rsidR="00CB7E92" w:rsidRPr="00D74B11">
        <w:rPr>
          <w:rFonts w:ascii="Times New Roman" w:hAnsi="Times New Roman" w:cs="Times New Roman"/>
        </w:rPr>
        <w:t>means</w:t>
      </w:r>
      <w:r w:rsidR="003B2406" w:rsidRPr="00D74B11">
        <w:rPr>
          <w:rFonts w:ascii="Times New Roman" w:hAnsi="Times New Roman" w:cs="Times New Roman"/>
        </w:rPr>
        <w:t xml:space="preserve"> that </w:t>
      </w:r>
      <w:r w:rsidRPr="00D74B11">
        <w:rPr>
          <w:rFonts w:ascii="Times New Roman" w:hAnsi="Times New Roman" w:cs="Times New Roman"/>
        </w:rPr>
        <w:t>if a couple are engaged but not married, they are liable</w:t>
      </w:r>
      <w:r w:rsidR="003B2406" w:rsidRPr="00D74B11">
        <w:rPr>
          <w:rFonts w:ascii="Times New Roman" w:hAnsi="Times New Roman" w:cs="Times New Roman"/>
        </w:rPr>
        <w:t xml:space="preserve"> which would clearly lead to an </w:t>
      </w:r>
      <w:proofErr w:type="gramStart"/>
      <w:r w:rsidR="003B2406" w:rsidRPr="00D74B11">
        <w:rPr>
          <w:rFonts w:ascii="Times New Roman" w:hAnsi="Times New Roman" w:cs="Times New Roman"/>
        </w:rPr>
        <w:t>injustice</w:t>
      </w:r>
      <w:proofErr w:type="gramEnd"/>
      <w:r w:rsidR="003B2406" w:rsidRPr="00D74B11">
        <w:rPr>
          <w:rFonts w:ascii="Times New Roman" w:hAnsi="Times New Roman" w:cs="Times New Roman"/>
        </w:rPr>
        <w:t xml:space="preserve"> </w:t>
      </w:r>
      <w:r w:rsidR="00196723" w:rsidRPr="00D74B11">
        <w:rPr>
          <w:rFonts w:ascii="Times New Roman" w:hAnsi="Times New Roman" w:cs="Times New Roman"/>
        </w:rPr>
        <w:t xml:space="preserve">as the nature </w:t>
      </w:r>
      <w:r w:rsidR="00196723" w:rsidRPr="00D74B11">
        <w:rPr>
          <w:rFonts w:ascii="Times New Roman" w:hAnsi="Times New Roman" w:cs="Times New Roman"/>
        </w:rPr>
        <w:lastRenderedPageBreak/>
        <w:t>of the relationship between spouses is the same as between betro</w:t>
      </w:r>
      <w:r w:rsidR="00773CF2" w:rsidRPr="00D74B11">
        <w:rPr>
          <w:rFonts w:ascii="Times New Roman" w:hAnsi="Times New Roman" w:cs="Times New Roman"/>
        </w:rPr>
        <w:t>th</w:t>
      </w:r>
      <w:r w:rsidR="00196723" w:rsidRPr="00D74B11">
        <w:rPr>
          <w:rFonts w:ascii="Times New Roman" w:hAnsi="Times New Roman" w:cs="Times New Roman"/>
        </w:rPr>
        <w:t>ed couples</w:t>
      </w:r>
      <w:r w:rsidRPr="00D74B11">
        <w:rPr>
          <w:rFonts w:ascii="Times New Roman" w:hAnsi="Times New Roman" w:cs="Times New Roman"/>
        </w:rPr>
        <w:t xml:space="preserve">. </w:t>
      </w:r>
      <w:r w:rsidR="00CB7E92" w:rsidRPr="00D74B11">
        <w:rPr>
          <w:rFonts w:ascii="Times New Roman" w:hAnsi="Times New Roman" w:cs="Times New Roman"/>
        </w:rPr>
        <w:t xml:space="preserve">Therefore, exemption for spouses </w:t>
      </w:r>
      <w:proofErr w:type="gramStart"/>
      <w:r w:rsidR="00CB7E92" w:rsidRPr="00D74B11">
        <w:rPr>
          <w:rFonts w:ascii="Times New Roman" w:hAnsi="Times New Roman" w:cs="Times New Roman"/>
        </w:rPr>
        <w:t>should be abolished</w:t>
      </w:r>
      <w:proofErr w:type="gramEnd"/>
      <w:r w:rsidR="00CB7E92" w:rsidRPr="00D74B11">
        <w:rPr>
          <w:rFonts w:ascii="Times New Roman" w:hAnsi="Times New Roman" w:cs="Times New Roman"/>
        </w:rPr>
        <w:t xml:space="preserve"> in reforming the law.</w:t>
      </w:r>
    </w:p>
    <w:p w14:paraId="38C866FA" w14:textId="36ABDBED" w:rsidR="00BA4C22" w:rsidRPr="00D74B11" w:rsidRDefault="680B1F56" w:rsidP="00D74B11">
      <w:pPr>
        <w:spacing w:afterLines="200" w:after="480" w:line="360" w:lineRule="auto"/>
        <w:jc w:val="both"/>
        <w:rPr>
          <w:rFonts w:ascii="Times New Roman" w:hAnsi="Times New Roman" w:cs="Times New Roman"/>
        </w:rPr>
      </w:pPr>
      <w:r w:rsidRPr="00D74B11">
        <w:rPr>
          <w:rFonts w:ascii="Times New Roman" w:hAnsi="Times New Roman" w:cs="Times New Roman"/>
        </w:rPr>
        <w:t>Currently, a co-conspirator will not be guilty of conspiracy if the other co-conspirator is the intended victim</w:t>
      </w:r>
      <w:r w:rsidR="00E16A4F" w:rsidRPr="00D74B11">
        <w:rPr>
          <w:rStyle w:val="FootnoteReference"/>
          <w:rFonts w:ascii="Times New Roman" w:hAnsi="Times New Roman" w:cs="Times New Roman"/>
        </w:rPr>
        <w:footnoteReference w:id="48"/>
      </w:r>
      <w:proofErr w:type="gramStart"/>
      <w:r w:rsidRPr="00D74B11">
        <w:rPr>
          <w:rFonts w:ascii="Times New Roman" w:hAnsi="Times New Roman" w:cs="Times New Roman"/>
        </w:rPr>
        <w:t>,</w:t>
      </w:r>
      <w:proofErr w:type="gramEnd"/>
      <w:r w:rsidRPr="00D74B11">
        <w:rPr>
          <w:rFonts w:ascii="Times New Roman" w:hAnsi="Times New Roman" w:cs="Times New Roman"/>
        </w:rPr>
        <w:t xml:space="preserve"> the Law Commission</w:t>
      </w:r>
      <w:r w:rsidR="00CB7E92" w:rsidRPr="00D74B11">
        <w:rPr>
          <w:rFonts w:ascii="Times New Roman" w:hAnsi="Times New Roman" w:cs="Times New Roman"/>
        </w:rPr>
        <w:t>’s recommendation</w:t>
      </w:r>
      <w:r w:rsidR="00D92924" w:rsidRPr="00D74B11">
        <w:rPr>
          <w:rFonts w:ascii="Times New Roman" w:hAnsi="Times New Roman" w:cs="Times New Roman"/>
        </w:rPr>
        <w:t xml:space="preserve"> is that</w:t>
      </w:r>
      <w:r w:rsidRPr="00D74B11">
        <w:rPr>
          <w:rFonts w:ascii="Times New Roman" w:hAnsi="Times New Roman" w:cs="Times New Roman"/>
        </w:rPr>
        <w:t xml:space="preserve"> the co-conspirator only </w:t>
      </w:r>
      <w:r w:rsidR="00D92924" w:rsidRPr="00D74B11">
        <w:rPr>
          <w:rFonts w:ascii="Times New Roman" w:hAnsi="Times New Roman" w:cs="Times New Roman"/>
        </w:rPr>
        <w:t>should</w:t>
      </w:r>
      <w:r w:rsidRPr="00D74B11">
        <w:rPr>
          <w:rFonts w:ascii="Times New Roman" w:hAnsi="Times New Roman" w:cs="Times New Roman"/>
        </w:rPr>
        <w:t xml:space="preserve"> still be liable</w:t>
      </w:r>
      <w:r w:rsidRPr="00D74B11">
        <w:rPr>
          <w:rStyle w:val="FootnoteReference"/>
          <w:rFonts w:ascii="Times New Roman" w:hAnsi="Times New Roman" w:cs="Times New Roman"/>
        </w:rPr>
        <w:footnoteReference w:id="49"/>
      </w:r>
      <w:r w:rsidRPr="00D74B11">
        <w:rPr>
          <w:rFonts w:ascii="Times New Roman" w:hAnsi="Times New Roman" w:cs="Times New Roman"/>
        </w:rPr>
        <w:t xml:space="preserve">. </w:t>
      </w:r>
      <w:r w:rsidR="000070D6" w:rsidRPr="00D74B11">
        <w:rPr>
          <w:rFonts w:ascii="Times New Roman" w:hAnsi="Times New Roman" w:cs="Times New Roman"/>
        </w:rPr>
        <w:t>This is a necessary reform to keep fairness in the law; one of the aims of the law of conspiracy is to punish the guilty min</w:t>
      </w:r>
      <w:r w:rsidR="00FE772A" w:rsidRPr="00D74B11">
        <w:rPr>
          <w:rFonts w:ascii="Times New Roman" w:hAnsi="Times New Roman" w:cs="Times New Roman"/>
        </w:rPr>
        <w:t>d</w:t>
      </w:r>
      <w:r w:rsidR="005E6EAF" w:rsidRPr="00D74B11">
        <w:rPr>
          <w:rFonts w:ascii="Times New Roman" w:hAnsi="Times New Roman" w:cs="Times New Roman"/>
        </w:rPr>
        <w:t>. Therefore, in a case where a co-conspirator is an intended victim</w:t>
      </w:r>
      <w:r w:rsidR="00847382" w:rsidRPr="00D74B11">
        <w:rPr>
          <w:rFonts w:ascii="Times New Roman" w:hAnsi="Times New Roman" w:cs="Times New Roman"/>
        </w:rPr>
        <w:t xml:space="preserve">, the mental element </w:t>
      </w:r>
      <w:r w:rsidR="009B038E" w:rsidRPr="00D74B11">
        <w:rPr>
          <w:rFonts w:ascii="Times New Roman" w:hAnsi="Times New Roman" w:cs="Times New Roman"/>
        </w:rPr>
        <w:t xml:space="preserve">is no different </w:t>
      </w:r>
      <w:proofErr w:type="gramStart"/>
      <w:r w:rsidR="009B038E" w:rsidRPr="00D74B11">
        <w:rPr>
          <w:rFonts w:ascii="Times New Roman" w:hAnsi="Times New Roman" w:cs="Times New Roman"/>
        </w:rPr>
        <w:t>than</w:t>
      </w:r>
      <w:proofErr w:type="gramEnd"/>
      <w:r w:rsidR="009B038E" w:rsidRPr="00D74B11">
        <w:rPr>
          <w:rFonts w:ascii="Times New Roman" w:hAnsi="Times New Roman" w:cs="Times New Roman"/>
        </w:rPr>
        <w:t xml:space="preserve"> any other conspiracy.</w:t>
      </w:r>
      <w:r w:rsidR="00DF25B7" w:rsidRPr="00D74B11">
        <w:rPr>
          <w:rFonts w:ascii="Times New Roman" w:hAnsi="Times New Roman" w:cs="Times New Roman"/>
        </w:rPr>
        <w:t xml:space="preserve"> Therefore, </w:t>
      </w:r>
      <w:proofErr w:type="gramStart"/>
      <w:r w:rsidR="00DF25B7" w:rsidRPr="00D74B11">
        <w:rPr>
          <w:rFonts w:ascii="Times New Roman" w:hAnsi="Times New Roman" w:cs="Times New Roman"/>
        </w:rPr>
        <w:t>should still be convicted</w:t>
      </w:r>
      <w:proofErr w:type="gramEnd"/>
      <w:r w:rsidR="00DF25B7" w:rsidRPr="00D74B11">
        <w:rPr>
          <w:rFonts w:ascii="Times New Roman" w:hAnsi="Times New Roman" w:cs="Times New Roman"/>
        </w:rPr>
        <w:t xml:space="preserve"> in the same manner as well as providing protection for the victim. </w:t>
      </w:r>
    </w:p>
    <w:p w14:paraId="16600C28" w14:textId="0B3F1B2D" w:rsidR="007816F9" w:rsidRPr="00D74B11" w:rsidRDefault="680B1F56" w:rsidP="00D74B11">
      <w:pPr>
        <w:spacing w:afterLines="200" w:after="480" w:line="360" w:lineRule="auto"/>
        <w:jc w:val="both"/>
        <w:rPr>
          <w:rFonts w:ascii="Times New Roman" w:hAnsi="Times New Roman" w:cs="Times New Roman"/>
        </w:rPr>
      </w:pPr>
      <w:r w:rsidRPr="00D74B11">
        <w:rPr>
          <w:rFonts w:ascii="Times New Roman" w:hAnsi="Times New Roman" w:cs="Times New Roman"/>
        </w:rPr>
        <w:t xml:space="preserve">Also, </w:t>
      </w:r>
      <w:bookmarkStart w:id="2" w:name="_Hlk530779983"/>
      <w:r w:rsidRPr="00D74B11">
        <w:rPr>
          <w:rFonts w:ascii="Times New Roman" w:hAnsi="Times New Roman" w:cs="Times New Roman"/>
        </w:rPr>
        <w:t>recommend</w:t>
      </w:r>
      <w:r w:rsidR="0076654A" w:rsidRPr="00D74B11">
        <w:rPr>
          <w:rFonts w:ascii="Times New Roman" w:hAnsi="Times New Roman" w:cs="Times New Roman"/>
        </w:rPr>
        <w:t>ing</w:t>
      </w:r>
      <w:r w:rsidRPr="00D74B11">
        <w:rPr>
          <w:rFonts w:ascii="Times New Roman" w:hAnsi="Times New Roman" w:cs="Times New Roman"/>
        </w:rPr>
        <w:t xml:space="preserve"> adding a defence of</w:t>
      </w:r>
      <w:r w:rsidR="002A37BF" w:rsidRPr="00D74B11">
        <w:rPr>
          <w:rFonts w:ascii="Times New Roman" w:hAnsi="Times New Roman" w:cs="Times New Roman"/>
        </w:rPr>
        <w:t xml:space="preserve"> crime prevention </w:t>
      </w:r>
      <w:r w:rsidRPr="00D74B11">
        <w:rPr>
          <w:rFonts w:ascii="Times New Roman" w:hAnsi="Times New Roman" w:cs="Times New Roman"/>
        </w:rPr>
        <w:t>to be consistent with other inchoate offences.</w:t>
      </w:r>
      <w:bookmarkEnd w:id="2"/>
      <w:r w:rsidR="00E16A4F" w:rsidRPr="00D74B11">
        <w:rPr>
          <w:rStyle w:val="FootnoteReference"/>
          <w:rFonts w:ascii="Times New Roman" w:hAnsi="Times New Roman" w:cs="Times New Roman"/>
        </w:rPr>
        <w:footnoteReference w:id="50"/>
      </w:r>
      <w:r w:rsidRPr="00D74B11">
        <w:rPr>
          <w:rFonts w:ascii="Times New Roman" w:hAnsi="Times New Roman" w:cs="Times New Roman"/>
        </w:rPr>
        <w:t xml:space="preserve"> </w:t>
      </w:r>
      <w:r w:rsidR="00566D38" w:rsidRPr="00D74B11">
        <w:rPr>
          <w:rFonts w:ascii="Times New Roman" w:hAnsi="Times New Roman" w:cs="Times New Roman"/>
        </w:rPr>
        <w:t>This</w:t>
      </w:r>
      <w:r w:rsidR="00275247" w:rsidRPr="00D74B11">
        <w:rPr>
          <w:rFonts w:ascii="Times New Roman" w:hAnsi="Times New Roman" w:cs="Times New Roman"/>
        </w:rPr>
        <w:t xml:space="preserve"> would mean that</w:t>
      </w:r>
      <w:r w:rsidR="002A37BF" w:rsidRPr="00D74B11">
        <w:rPr>
          <w:rFonts w:ascii="Times New Roman" w:hAnsi="Times New Roman" w:cs="Times New Roman"/>
        </w:rPr>
        <w:t xml:space="preserve"> if a conspirator acted </w:t>
      </w:r>
      <w:proofErr w:type="gramStart"/>
      <w:r w:rsidR="002A37BF" w:rsidRPr="00D74B11">
        <w:rPr>
          <w:rFonts w:ascii="Times New Roman" w:hAnsi="Times New Roman" w:cs="Times New Roman"/>
        </w:rPr>
        <w:t>for the purpose of</w:t>
      </w:r>
      <w:proofErr w:type="gramEnd"/>
      <w:r w:rsidR="002A37BF" w:rsidRPr="00D74B11">
        <w:rPr>
          <w:rFonts w:ascii="Times New Roman" w:hAnsi="Times New Roman" w:cs="Times New Roman"/>
        </w:rPr>
        <w:t xml:space="preserve"> </w:t>
      </w:r>
      <w:r w:rsidR="0076654A" w:rsidRPr="00D74B11">
        <w:rPr>
          <w:rFonts w:ascii="Times New Roman" w:hAnsi="Times New Roman" w:cs="Times New Roman"/>
        </w:rPr>
        <w:t>preventing crime or limit the occurrence of harm, they would have a full defence to conspiracy. This</w:t>
      </w:r>
      <w:r w:rsidR="002A37BF" w:rsidRPr="00D74B11">
        <w:rPr>
          <w:rFonts w:ascii="Times New Roman" w:hAnsi="Times New Roman" w:cs="Times New Roman"/>
        </w:rPr>
        <w:t xml:space="preserve"> </w:t>
      </w:r>
      <w:r w:rsidRPr="00D74B11">
        <w:rPr>
          <w:rFonts w:ascii="Times New Roman" w:hAnsi="Times New Roman" w:cs="Times New Roman"/>
        </w:rPr>
        <w:t xml:space="preserve">would be an effective recommendation </w:t>
      </w:r>
      <w:r w:rsidR="0076654A" w:rsidRPr="00D74B11">
        <w:rPr>
          <w:rFonts w:ascii="Times New Roman" w:hAnsi="Times New Roman" w:cs="Times New Roman"/>
        </w:rPr>
        <w:t xml:space="preserve">especially in cases </w:t>
      </w:r>
      <w:proofErr w:type="gramStart"/>
      <w:r w:rsidR="0076654A" w:rsidRPr="00D74B11">
        <w:rPr>
          <w:rFonts w:ascii="Times New Roman" w:hAnsi="Times New Roman" w:cs="Times New Roman"/>
        </w:rPr>
        <w:t>with</w:t>
      </w:r>
      <w:r w:rsidRPr="00D74B11">
        <w:rPr>
          <w:rFonts w:ascii="Times New Roman" w:hAnsi="Times New Roman" w:cs="Times New Roman"/>
        </w:rPr>
        <w:t xml:space="preserve"> </w:t>
      </w:r>
      <w:r w:rsidR="0076654A" w:rsidRPr="00D74B11">
        <w:rPr>
          <w:rFonts w:ascii="Times New Roman" w:hAnsi="Times New Roman" w:cs="Times New Roman"/>
        </w:rPr>
        <w:t xml:space="preserve">undercover </w:t>
      </w:r>
      <w:r w:rsidRPr="00D74B11">
        <w:rPr>
          <w:rFonts w:ascii="Times New Roman" w:hAnsi="Times New Roman" w:cs="Times New Roman"/>
        </w:rPr>
        <w:t xml:space="preserve">police officers, for example, </w:t>
      </w:r>
      <w:r w:rsidR="0076654A" w:rsidRPr="00D74B11">
        <w:rPr>
          <w:rFonts w:ascii="Times New Roman" w:hAnsi="Times New Roman" w:cs="Times New Roman"/>
        </w:rPr>
        <w:t>who may conspire but in order to prevent crime from taking place</w:t>
      </w:r>
      <w:proofErr w:type="gramEnd"/>
      <w:r w:rsidRPr="00D74B11">
        <w:rPr>
          <w:rFonts w:ascii="Times New Roman" w:hAnsi="Times New Roman" w:cs="Times New Roman"/>
        </w:rPr>
        <w:t>.</w:t>
      </w:r>
    </w:p>
    <w:p w14:paraId="29152637" w14:textId="473BB1C0" w:rsidR="00A81EB3" w:rsidRPr="00D74B11" w:rsidRDefault="007816F9" w:rsidP="00D74B11">
      <w:pPr>
        <w:spacing w:afterLines="200" w:after="480" w:line="360" w:lineRule="auto"/>
        <w:jc w:val="both"/>
        <w:rPr>
          <w:rFonts w:ascii="Times New Roman" w:hAnsi="Times New Roman" w:cs="Times New Roman"/>
        </w:rPr>
      </w:pPr>
      <w:proofErr w:type="spellStart"/>
      <w:r w:rsidRPr="00D74B11">
        <w:rPr>
          <w:rFonts w:ascii="Times New Roman" w:hAnsi="Times New Roman" w:cs="Times New Roman"/>
        </w:rPr>
        <w:t>Arnheim</w:t>
      </w:r>
      <w:proofErr w:type="spellEnd"/>
      <w:r w:rsidRPr="00D74B11">
        <w:rPr>
          <w:rFonts w:ascii="Times New Roman" w:hAnsi="Times New Roman" w:cs="Times New Roman"/>
        </w:rPr>
        <w:t xml:space="preserve"> suggests that the law on conspiracy to murder allows too many convictions a</w:t>
      </w:r>
      <w:r w:rsidR="00791F88" w:rsidRPr="00D74B11">
        <w:rPr>
          <w:rFonts w:ascii="Times New Roman" w:hAnsi="Times New Roman" w:cs="Times New Roman"/>
        </w:rPr>
        <w:t xml:space="preserve">s </w:t>
      </w:r>
      <w:r w:rsidR="00E7005E" w:rsidRPr="00D74B11">
        <w:rPr>
          <w:rFonts w:ascii="Times New Roman" w:hAnsi="Times New Roman" w:cs="Times New Roman"/>
        </w:rPr>
        <w:t xml:space="preserve">the term “agreement” </w:t>
      </w:r>
      <w:proofErr w:type="gramStart"/>
      <w:r w:rsidR="00E7005E" w:rsidRPr="00D74B11">
        <w:rPr>
          <w:rFonts w:ascii="Times New Roman" w:hAnsi="Times New Roman" w:cs="Times New Roman"/>
        </w:rPr>
        <w:t>is interpreted</w:t>
      </w:r>
      <w:proofErr w:type="gramEnd"/>
      <w:r w:rsidR="00E7005E" w:rsidRPr="00D74B11">
        <w:rPr>
          <w:rFonts w:ascii="Times New Roman" w:hAnsi="Times New Roman" w:cs="Times New Roman"/>
        </w:rPr>
        <w:t xml:space="preserve"> to widely and recommends that like American law, conspiracy should require an “overt act” to consolidate the agreement to conspir</w:t>
      </w:r>
      <w:r w:rsidR="00D820E0" w:rsidRPr="00D74B11">
        <w:rPr>
          <w:rFonts w:ascii="Times New Roman" w:hAnsi="Times New Roman" w:cs="Times New Roman"/>
        </w:rPr>
        <w:t>e</w:t>
      </w:r>
      <w:r w:rsidR="00E7005E" w:rsidRPr="00D74B11">
        <w:rPr>
          <w:rFonts w:ascii="Times New Roman" w:hAnsi="Times New Roman" w:cs="Times New Roman"/>
        </w:rPr>
        <w:t>.</w:t>
      </w:r>
      <w:r w:rsidR="00A21AA1" w:rsidRPr="00D74B11">
        <w:rPr>
          <w:rStyle w:val="FootnoteReference"/>
          <w:rFonts w:ascii="Times New Roman" w:hAnsi="Times New Roman" w:cs="Times New Roman"/>
        </w:rPr>
        <w:footnoteReference w:id="51"/>
      </w:r>
      <w:r w:rsidR="00E7005E" w:rsidRPr="00D74B11">
        <w:rPr>
          <w:rFonts w:ascii="Times New Roman" w:hAnsi="Times New Roman" w:cs="Times New Roman"/>
        </w:rPr>
        <w:t xml:space="preserve"> </w:t>
      </w:r>
      <w:r w:rsidR="00B076A4" w:rsidRPr="00D74B11">
        <w:rPr>
          <w:rFonts w:ascii="Times New Roman" w:hAnsi="Times New Roman" w:cs="Times New Roman"/>
        </w:rPr>
        <w:t xml:space="preserve">This would simplify the law on conspiracy as it adds a clear </w:t>
      </w:r>
      <w:proofErr w:type="spellStart"/>
      <w:r w:rsidR="00B076A4" w:rsidRPr="00D74B11">
        <w:rPr>
          <w:rFonts w:ascii="Times New Roman" w:hAnsi="Times New Roman" w:cs="Times New Roman"/>
        </w:rPr>
        <w:t>actus</w:t>
      </w:r>
      <w:proofErr w:type="spellEnd"/>
      <w:r w:rsidR="00B076A4" w:rsidRPr="00D74B11">
        <w:rPr>
          <w:rFonts w:ascii="Times New Roman" w:hAnsi="Times New Roman" w:cs="Times New Roman"/>
        </w:rPr>
        <w:t xml:space="preserve"> </w:t>
      </w:r>
      <w:proofErr w:type="spellStart"/>
      <w:proofErr w:type="gramStart"/>
      <w:r w:rsidR="00B076A4" w:rsidRPr="00D74B11">
        <w:rPr>
          <w:rFonts w:ascii="Times New Roman" w:hAnsi="Times New Roman" w:cs="Times New Roman"/>
        </w:rPr>
        <w:t>reus</w:t>
      </w:r>
      <w:proofErr w:type="spellEnd"/>
      <w:proofErr w:type="gramEnd"/>
      <w:r w:rsidR="00B076A4" w:rsidRPr="00D74B11">
        <w:rPr>
          <w:rFonts w:ascii="Times New Roman" w:hAnsi="Times New Roman" w:cs="Times New Roman"/>
        </w:rPr>
        <w:t xml:space="preserve"> element</w:t>
      </w:r>
      <w:r w:rsidR="00444DFD" w:rsidRPr="00D74B11">
        <w:rPr>
          <w:rFonts w:ascii="Times New Roman" w:hAnsi="Times New Roman" w:cs="Times New Roman"/>
        </w:rPr>
        <w:t xml:space="preserve"> t</w:t>
      </w:r>
      <w:r w:rsidR="000B1EC4" w:rsidRPr="00D74B11">
        <w:rPr>
          <w:rFonts w:ascii="Times New Roman" w:hAnsi="Times New Roman" w:cs="Times New Roman"/>
        </w:rPr>
        <w:t>o the offence</w:t>
      </w:r>
      <w:r w:rsidR="00444DFD" w:rsidRPr="00D74B11">
        <w:rPr>
          <w:rFonts w:ascii="Times New Roman" w:hAnsi="Times New Roman" w:cs="Times New Roman"/>
        </w:rPr>
        <w:t xml:space="preserve">. </w:t>
      </w:r>
      <w:proofErr w:type="gramStart"/>
      <w:r w:rsidR="00444DFD" w:rsidRPr="00D74B11">
        <w:rPr>
          <w:rFonts w:ascii="Times New Roman" w:hAnsi="Times New Roman" w:cs="Times New Roman"/>
        </w:rPr>
        <w:t xml:space="preserve">However, this would make it harder to convict conspiracy offences and </w:t>
      </w:r>
      <w:r w:rsidR="00BA13A8" w:rsidRPr="00D74B11">
        <w:rPr>
          <w:rFonts w:ascii="Times New Roman" w:hAnsi="Times New Roman" w:cs="Times New Roman"/>
        </w:rPr>
        <w:t>therefore contradicts the aim to have strict law on conspiracy to deter people from committing the offence</w:t>
      </w:r>
      <w:r w:rsidR="007254AC" w:rsidRPr="00D74B11">
        <w:rPr>
          <w:rFonts w:ascii="Times New Roman" w:hAnsi="Times New Roman" w:cs="Times New Roman"/>
        </w:rPr>
        <w:t>.</w:t>
      </w:r>
      <w:proofErr w:type="gramEnd"/>
      <w:r w:rsidR="007254AC" w:rsidRPr="00D74B11">
        <w:rPr>
          <w:rFonts w:ascii="Times New Roman" w:hAnsi="Times New Roman" w:cs="Times New Roman"/>
        </w:rPr>
        <w:t xml:space="preserve"> </w:t>
      </w:r>
      <w:proofErr w:type="gramStart"/>
      <w:r w:rsidR="007254AC" w:rsidRPr="00D74B11">
        <w:rPr>
          <w:rFonts w:ascii="Times New Roman" w:hAnsi="Times New Roman" w:cs="Times New Roman"/>
        </w:rPr>
        <w:t>Also</w:t>
      </w:r>
      <w:proofErr w:type="gramEnd"/>
      <w:r w:rsidR="007254AC" w:rsidRPr="00D74B11">
        <w:rPr>
          <w:rFonts w:ascii="Times New Roman" w:hAnsi="Times New Roman" w:cs="Times New Roman"/>
        </w:rPr>
        <w:t xml:space="preserve">, </w:t>
      </w:r>
      <w:r w:rsidR="000A57E4" w:rsidRPr="00D74B11">
        <w:rPr>
          <w:rFonts w:ascii="Times New Roman" w:hAnsi="Times New Roman" w:cs="Times New Roman"/>
        </w:rPr>
        <w:t xml:space="preserve">adding this element would require an interpretation </w:t>
      </w:r>
      <w:r w:rsidR="007254AC" w:rsidRPr="00D74B11">
        <w:rPr>
          <w:rFonts w:ascii="Times New Roman" w:hAnsi="Times New Roman" w:cs="Times New Roman"/>
        </w:rPr>
        <w:t>of what an “overt act” is</w:t>
      </w:r>
      <w:r w:rsidR="00A81EB3" w:rsidRPr="00D74B11">
        <w:rPr>
          <w:rFonts w:ascii="Times New Roman" w:hAnsi="Times New Roman" w:cs="Times New Roman"/>
        </w:rPr>
        <w:t>, which would then complicate the law which it had intended to simplify.</w:t>
      </w:r>
    </w:p>
    <w:p w14:paraId="5147B76A" w14:textId="77777777" w:rsidR="00970891" w:rsidRDefault="00970891" w:rsidP="00D74B11">
      <w:pPr>
        <w:spacing w:afterLines="200" w:after="480" w:line="360" w:lineRule="auto"/>
        <w:jc w:val="both"/>
        <w:rPr>
          <w:rFonts w:ascii="Times New Roman" w:eastAsia="Calibri" w:hAnsi="Times New Roman" w:cs="Times New Roman"/>
          <w:b/>
          <w:bCs/>
        </w:rPr>
      </w:pPr>
    </w:p>
    <w:p w14:paraId="6F9E80E7" w14:textId="56AD4BF4" w:rsidR="680B1F56" w:rsidRPr="00D74B11" w:rsidRDefault="680B1F56" w:rsidP="00D74B11">
      <w:pPr>
        <w:spacing w:afterLines="200" w:after="480" w:line="360" w:lineRule="auto"/>
        <w:jc w:val="both"/>
        <w:rPr>
          <w:rFonts w:ascii="Times New Roman" w:hAnsi="Times New Roman" w:cs="Times New Roman"/>
        </w:rPr>
      </w:pPr>
      <w:r w:rsidRPr="00D74B11">
        <w:rPr>
          <w:rFonts w:ascii="Times New Roman" w:eastAsia="Calibri" w:hAnsi="Times New Roman" w:cs="Times New Roman"/>
          <w:b/>
          <w:bCs/>
        </w:rPr>
        <w:lastRenderedPageBreak/>
        <w:t>Conclusion</w:t>
      </w:r>
    </w:p>
    <w:p w14:paraId="646B30FE" w14:textId="0844E2AC" w:rsidR="00932E9E" w:rsidRPr="00D74B11" w:rsidRDefault="30045367" w:rsidP="00D74B11">
      <w:pPr>
        <w:spacing w:afterLines="200" w:after="480" w:line="360" w:lineRule="auto"/>
        <w:jc w:val="both"/>
        <w:rPr>
          <w:rFonts w:ascii="Times New Roman" w:eastAsia="Calibri" w:hAnsi="Times New Roman" w:cs="Times New Roman"/>
        </w:rPr>
        <w:sectPr w:rsidR="00932E9E" w:rsidRPr="00D74B11" w:rsidSect="005E4D0B">
          <w:pgSz w:w="11900" w:h="16840"/>
          <w:pgMar w:top="1440" w:right="1440" w:bottom="1440" w:left="1440" w:header="709" w:footer="709" w:gutter="0"/>
          <w:pgNumType w:start="87"/>
          <w:cols w:space="708"/>
          <w:docGrid w:linePitch="360"/>
        </w:sectPr>
      </w:pPr>
      <w:r w:rsidRPr="00D74B11">
        <w:rPr>
          <w:rFonts w:ascii="Times New Roman" w:eastAsia="Calibri" w:hAnsi="Times New Roman" w:cs="Times New Roman"/>
        </w:rPr>
        <w:t>Without question</w:t>
      </w:r>
      <w:r w:rsidR="00FC3FD5" w:rsidRPr="00D74B11">
        <w:rPr>
          <w:rFonts w:ascii="Times New Roman" w:eastAsia="Calibri" w:hAnsi="Times New Roman" w:cs="Times New Roman"/>
        </w:rPr>
        <w:t xml:space="preserve">, it is evident that the current law on conspiracy to murder is not precise and </w:t>
      </w:r>
      <w:r w:rsidR="7815FC26" w:rsidRPr="00D74B11">
        <w:rPr>
          <w:rFonts w:ascii="Times New Roman" w:eastAsia="Calibri" w:hAnsi="Times New Roman" w:cs="Times New Roman"/>
        </w:rPr>
        <w:t xml:space="preserve">in </w:t>
      </w:r>
      <w:r w:rsidR="7EAA5D16" w:rsidRPr="00D74B11">
        <w:rPr>
          <w:rFonts w:ascii="Times New Roman" w:eastAsia="Calibri" w:hAnsi="Times New Roman" w:cs="Times New Roman"/>
        </w:rPr>
        <w:t xml:space="preserve">desperate </w:t>
      </w:r>
      <w:r w:rsidR="7815FC26" w:rsidRPr="00D74B11">
        <w:rPr>
          <w:rFonts w:ascii="Times New Roman" w:eastAsia="Calibri" w:hAnsi="Times New Roman" w:cs="Times New Roman"/>
        </w:rPr>
        <w:t>need</w:t>
      </w:r>
      <w:r w:rsidR="00FC3FD5" w:rsidRPr="00D74B11">
        <w:rPr>
          <w:rFonts w:ascii="Times New Roman" w:eastAsia="Calibri" w:hAnsi="Times New Roman" w:cs="Times New Roman"/>
        </w:rPr>
        <w:t xml:space="preserve"> </w:t>
      </w:r>
      <w:r w:rsidR="7EAA5D16" w:rsidRPr="00D74B11">
        <w:rPr>
          <w:rFonts w:ascii="Times New Roman" w:eastAsia="Calibri" w:hAnsi="Times New Roman" w:cs="Times New Roman"/>
        </w:rPr>
        <w:t xml:space="preserve">of </w:t>
      </w:r>
      <w:r w:rsidR="00FC3FD5" w:rsidRPr="00D74B11">
        <w:rPr>
          <w:rFonts w:ascii="Times New Roman" w:eastAsia="Calibri" w:hAnsi="Times New Roman" w:cs="Times New Roman"/>
        </w:rPr>
        <w:t>reform.</w:t>
      </w:r>
      <w:r w:rsidR="003F0373" w:rsidRPr="00D74B11">
        <w:rPr>
          <w:rFonts w:ascii="Times New Roman" w:eastAsia="Calibri" w:hAnsi="Times New Roman" w:cs="Times New Roman"/>
        </w:rPr>
        <w:t xml:space="preserve"> The current statutory law on conspiracy is too broad which </w:t>
      </w:r>
      <w:r w:rsidR="006A5FD0" w:rsidRPr="00D74B11">
        <w:rPr>
          <w:rFonts w:ascii="Times New Roman" w:eastAsia="Calibri" w:hAnsi="Times New Roman" w:cs="Times New Roman"/>
        </w:rPr>
        <w:t xml:space="preserve">has led to confusion and injustice. The fact that conspiracy to murder can be given the same sentence to murder </w:t>
      </w:r>
      <w:r w:rsidR="7E9CF9AE" w:rsidRPr="00D74B11">
        <w:rPr>
          <w:rFonts w:ascii="Times New Roman" w:eastAsia="Calibri" w:hAnsi="Times New Roman" w:cs="Times New Roman"/>
        </w:rPr>
        <w:t>is evidently</w:t>
      </w:r>
      <w:r w:rsidR="006A5FD0" w:rsidRPr="00D74B11">
        <w:rPr>
          <w:rFonts w:ascii="Times New Roman" w:eastAsia="Calibri" w:hAnsi="Times New Roman" w:cs="Times New Roman"/>
        </w:rPr>
        <w:t xml:space="preserve"> harsh and </w:t>
      </w:r>
      <w:proofErr w:type="gramStart"/>
      <w:r w:rsidR="006A5FD0" w:rsidRPr="00D74B11">
        <w:rPr>
          <w:rFonts w:ascii="Times New Roman" w:eastAsia="Calibri" w:hAnsi="Times New Roman" w:cs="Times New Roman"/>
        </w:rPr>
        <w:t>unfair</w:t>
      </w:r>
      <w:r w:rsidR="00F143B9" w:rsidRPr="00D74B11">
        <w:rPr>
          <w:rFonts w:ascii="Times New Roman" w:eastAsia="Calibri" w:hAnsi="Times New Roman" w:cs="Times New Roman"/>
        </w:rPr>
        <w:t>,</w:t>
      </w:r>
      <w:proofErr w:type="gramEnd"/>
      <w:r w:rsidR="00F143B9" w:rsidRPr="00D74B11">
        <w:rPr>
          <w:rFonts w:ascii="Times New Roman" w:eastAsia="Calibri" w:hAnsi="Times New Roman" w:cs="Times New Roman"/>
        </w:rPr>
        <w:t xml:space="preserve"> however this may have been the aim of Parliament in order to deter those from co</w:t>
      </w:r>
      <w:r w:rsidR="00B91332" w:rsidRPr="00D74B11">
        <w:rPr>
          <w:rFonts w:ascii="Times New Roman" w:eastAsia="Calibri" w:hAnsi="Times New Roman" w:cs="Times New Roman"/>
        </w:rPr>
        <w:t xml:space="preserve">nspiring to commit murder. </w:t>
      </w:r>
      <w:r w:rsidR="00722E3F" w:rsidRPr="00D74B11">
        <w:rPr>
          <w:rFonts w:ascii="Times New Roman" w:eastAsia="Calibri" w:hAnsi="Times New Roman" w:cs="Times New Roman"/>
        </w:rPr>
        <w:t xml:space="preserve">In order to reform the law, there must be a counter-balance between the rights of the defendant and </w:t>
      </w:r>
      <w:r w:rsidR="00BF07C3" w:rsidRPr="00D74B11">
        <w:rPr>
          <w:rFonts w:ascii="Times New Roman" w:eastAsia="Calibri" w:hAnsi="Times New Roman" w:cs="Times New Roman"/>
        </w:rPr>
        <w:t>protecting society</w:t>
      </w:r>
      <w:r w:rsidR="00707C18" w:rsidRPr="00D74B11">
        <w:rPr>
          <w:rFonts w:ascii="Times New Roman" w:eastAsia="Calibri" w:hAnsi="Times New Roman" w:cs="Times New Roman"/>
        </w:rPr>
        <w:t xml:space="preserve">. </w:t>
      </w:r>
      <w:r w:rsidR="7361CEEB" w:rsidRPr="00D74B11">
        <w:rPr>
          <w:rFonts w:ascii="Times New Roman" w:eastAsia="Calibri" w:hAnsi="Times New Roman" w:cs="Times New Roman"/>
        </w:rPr>
        <w:t xml:space="preserve">Recommendations </w:t>
      </w:r>
      <w:r w:rsidR="6863E062" w:rsidRPr="00D74B11">
        <w:rPr>
          <w:rFonts w:ascii="Times New Roman" w:eastAsia="Calibri" w:hAnsi="Times New Roman" w:cs="Times New Roman"/>
        </w:rPr>
        <w:t>provided</w:t>
      </w:r>
      <w:r w:rsidR="7361CEEB" w:rsidRPr="00D74B11">
        <w:rPr>
          <w:rFonts w:ascii="Times New Roman" w:eastAsia="Calibri" w:hAnsi="Times New Roman" w:cs="Times New Roman"/>
        </w:rPr>
        <w:t xml:space="preserve"> </w:t>
      </w:r>
      <w:proofErr w:type="gramStart"/>
      <w:r w:rsidR="7361CEEB" w:rsidRPr="00D74B11">
        <w:rPr>
          <w:rFonts w:ascii="Times New Roman" w:eastAsia="Calibri" w:hAnsi="Times New Roman" w:cs="Times New Roman"/>
        </w:rPr>
        <w:t xml:space="preserve">should be </w:t>
      </w:r>
      <w:r w:rsidR="2E91D7A0" w:rsidRPr="00D74B11">
        <w:rPr>
          <w:rFonts w:ascii="Times New Roman" w:eastAsia="Calibri" w:hAnsi="Times New Roman" w:cs="Times New Roman"/>
        </w:rPr>
        <w:t>considered</w:t>
      </w:r>
      <w:proofErr w:type="gramEnd"/>
      <w:r w:rsidR="00E646BA" w:rsidRPr="00D74B11">
        <w:rPr>
          <w:rFonts w:ascii="Times New Roman" w:eastAsia="Calibri" w:hAnsi="Times New Roman" w:cs="Times New Roman"/>
        </w:rPr>
        <w:t xml:space="preserve"> to make the law more effective and fair</w:t>
      </w:r>
      <w:r w:rsidR="006B1999" w:rsidRPr="00D74B11">
        <w:rPr>
          <w:rFonts w:ascii="Times New Roman" w:eastAsia="Calibri" w:hAnsi="Times New Roman" w:cs="Times New Roman"/>
        </w:rPr>
        <w:t xml:space="preserve">. </w:t>
      </w:r>
      <w:r w:rsidR="00E646BA" w:rsidRPr="00D74B11">
        <w:rPr>
          <w:rFonts w:ascii="Times New Roman" w:eastAsia="Calibri" w:hAnsi="Times New Roman" w:cs="Times New Roman"/>
        </w:rPr>
        <w:t xml:space="preserve"> </w:t>
      </w:r>
      <w:r w:rsidR="00B73E81" w:rsidRPr="00D74B11">
        <w:rPr>
          <w:rFonts w:ascii="Times New Roman" w:eastAsia="Calibri" w:hAnsi="Times New Roman" w:cs="Times New Roman"/>
        </w:rPr>
        <w:t>E</w:t>
      </w:r>
      <w:r w:rsidR="00E646BA" w:rsidRPr="00D74B11">
        <w:rPr>
          <w:rFonts w:ascii="Times New Roman" w:eastAsia="Calibri" w:hAnsi="Times New Roman" w:cs="Times New Roman"/>
        </w:rPr>
        <w:t xml:space="preserve">xpanding the </w:t>
      </w:r>
      <w:r w:rsidR="006B1999" w:rsidRPr="00D74B11">
        <w:rPr>
          <w:rFonts w:ascii="Times New Roman" w:eastAsia="Calibri" w:hAnsi="Times New Roman" w:cs="Times New Roman"/>
        </w:rPr>
        <w:t>offence so that it must include an “overt act”</w:t>
      </w:r>
      <w:r w:rsidR="00B73E81" w:rsidRPr="00D74B11">
        <w:rPr>
          <w:rFonts w:ascii="Times New Roman" w:eastAsia="Calibri" w:hAnsi="Times New Roman" w:cs="Times New Roman"/>
        </w:rPr>
        <w:t xml:space="preserve"> </w:t>
      </w:r>
      <w:r w:rsidR="006B1999" w:rsidRPr="00D74B11">
        <w:rPr>
          <w:rFonts w:ascii="Times New Roman" w:eastAsia="Calibri" w:hAnsi="Times New Roman" w:cs="Times New Roman"/>
        </w:rPr>
        <w:t xml:space="preserve">would </w:t>
      </w:r>
      <w:r w:rsidR="004C3AE9" w:rsidRPr="00D74B11">
        <w:rPr>
          <w:rFonts w:ascii="Times New Roman" w:eastAsia="Calibri" w:hAnsi="Times New Roman" w:cs="Times New Roman"/>
        </w:rPr>
        <w:t xml:space="preserve">be </w:t>
      </w:r>
      <w:r w:rsidR="26B2B7DB" w:rsidRPr="00D74B11">
        <w:rPr>
          <w:rFonts w:ascii="Times New Roman" w:eastAsia="Calibri" w:hAnsi="Times New Roman" w:cs="Times New Roman"/>
        </w:rPr>
        <w:t>fairer</w:t>
      </w:r>
      <w:r w:rsidR="004C3AE9" w:rsidRPr="00D74B11">
        <w:rPr>
          <w:rFonts w:ascii="Times New Roman" w:eastAsia="Calibri" w:hAnsi="Times New Roman" w:cs="Times New Roman"/>
        </w:rPr>
        <w:t xml:space="preserve"> on the defendant as they </w:t>
      </w:r>
      <w:proofErr w:type="gramStart"/>
      <w:r w:rsidR="004C3AE9" w:rsidRPr="00D74B11">
        <w:rPr>
          <w:rFonts w:ascii="Times New Roman" w:eastAsia="Calibri" w:hAnsi="Times New Roman" w:cs="Times New Roman"/>
        </w:rPr>
        <w:t>would only be prosecuted</w:t>
      </w:r>
      <w:proofErr w:type="gramEnd"/>
      <w:r w:rsidR="004C3AE9" w:rsidRPr="00D74B11">
        <w:rPr>
          <w:rFonts w:ascii="Times New Roman" w:eastAsia="Calibri" w:hAnsi="Times New Roman" w:cs="Times New Roman"/>
        </w:rPr>
        <w:t xml:space="preserve"> if they had made an active act to </w:t>
      </w:r>
      <w:r w:rsidR="00B67696" w:rsidRPr="00D74B11">
        <w:rPr>
          <w:rFonts w:ascii="Times New Roman" w:eastAsia="Calibri" w:hAnsi="Times New Roman" w:cs="Times New Roman"/>
        </w:rPr>
        <w:t xml:space="preserve">conspire. There are also recommendations to abolish </w:t>
      </w:r>
      <w:proofErr w:type="gramStart"/>
      <w:r w:rsidR="006B77A8" w:rsidRPr="00D74B11">
        <w:rPr>
          <w:rFonts w:ascii="Times New Roman" w:eastAsia="Calibri" w:hAnsi="Times New Roman" w:cs="Times New Roman"/>
        </w:rPr>
        <w:t>exemptions which would broaden</w:t>
      </w:r>
      <w:proofErr w:type="gramEnd"/>
      <w:r w:rsidR="006B77A8" w:rsidRPr="00D74B11">
        <w:rPr>
          <w:rFonts w:ascii="Times New Roman" w:eastAsia="Calibri" w:hAnsi="Times New Roman" w:cs="Times New Roman"/>
        </w:rPr>
        <w:t xml:space="preserve"> </w:t>
      </w:r>
      <w:r w:rsidR="00714684" w:rsidRPr="00D74B11">
        <w:rPr>
          <w:rFonts w:ascii="Times New Roman" w:eastAsia="Calibri" w:hAnsi="Times New Roman" w:cs="Times New Roman"/>
        </w:rPr>
        <w:t>who could be convicted</w:t>
      </w:r>
      <w:r w:rsidR="6F491266" w:rsidRPr="00D74B11">
        <w:rPr>
          <w:rFonts w:ascii="Times New Roman" w:eastAsia="Calibri" w:hAnsi="Times New Roman" w:cs="Times New Roman"/>
        </w:rPr>
        <w:t>.</w:t>
      </w:r>
      <w:r w:rsidR="00714684" w:rsidRPr="00D74B11">
        <w:rPr>
          <w:rFonts w:ascii="Times New Roman" w:eastAsia="Calibri" w:hAnsi="Times New Roman" w:cs="Times New Roman"/>
        </w:rPr>
        <w:t xml:space="preserve"> </w:t>
      </w:r>
      <w:r w:rsidR="00A10124" w:rsidRPr="00D74B11">
        <w:rPr>
          <w:rFonts w:ascii="Times New Roman" w:eastAsia="Calibri" w:hAnsi="Times New Roman" w:cs="Times New Roman"/>
        </w:rPr>
        <w:t xml:space="preserve">This would allow for more convictions and therefore allow better protection for society. </w:t>
      </w:r>
      <w:r w:rsidR="00F458C8" w:rsidRPr="00D74B11">
        <w:rPr>
          <w:rFonts w:ascii="Times New Roman" w:eastAsia="Calibri" w:hAnsi="Times New Roman" w:cs="Times New Roman"/>
        </w:rPr>
        <w:t xml:space="preserve">In conclusion, </w:t>
      </w:r>
      <w:r w:rsidR="00A67CFC" w:rsidRPr="00D74B11">
        <w:rPr>
          <w:rFonts w:ascii="Times New Roman" w:eastAsia="Calibri" w:hAnsi="Times New Roman" w:cs="Times New Roman"/>
        </w:rPr>
        <w:t xml:space="preserve">the current law on conspiracy to commit murder is not always effective and fair </w:t>
      </w:r>
      <w:r w:rsidR="00DE01FF" w:rsidRPr="00D74B11">
        <w:rPr>
          <w:rFonts w:ascii="Times New Roman" w:eastAsia="Calibri" w:hAnsi="Times New Roman" w:cs="Times New Roman"/>
        </w:rPr>
        <w:t xml:space="preserve">which means </w:t>
      </w:r>
      <w:r w:rsidR="00CF51D8" w:rsidRPr="00D74B11">
        <w:rPr>
          <w:rFonts w:ascii="Times New Roman" w:eastAsia="Calibri" w:hAnsi="Times New Roman" w:cs="Times New Roman"/>
        </w:rPr>
        <w:t>reform is required</w:t>
      </w:r>
      <w:r w:rsidR="00D30AE1" w:rsidRPr="00D74B11">
        <w:rPr>
          <w:rFonts w:ascii="Times New Roman" w:eastAsia="Calibri" w:hAnsi="Times New Roman" w:cs="Times New Roman"/>
        </w:rPr>
        <w:t>.</w:t>
      </w:r>
    </w:p>
    <w:p w14:paraId="78D8CD19" w14:textId="74B3AF90" w:rsidR="00F0198F" w:rsidRPr="00D74B11" w:rsidRDefault="00F0198F" w:rsidP="00D74B11">
      <w:pPr>
        <w:spacing w:afterLines="200" w:after="480" w:line="360" w:lineRule="auto"/>
        <w:jc w:val="both"/>
        <w:rPr>
          <w:rFonts w:ascii="Times New Roman" w:eastAsia="Calibri" w:hAnsi="Times New Roman" w:cs="Times New Roman"/>
          <w:b/>
          <w:u w:val="single"/>
        </w:rPr>
      </w:pPr>
      <w:r w:rsidRPr="00D74B11">
        <w:rPr>
          <w:rFonts w:ascii="Times New Roman" w:eastAsia="Calibri" w:hAnsi="Times New Roman" w:cs="Times New Roman"/>
          <w:b/>
          <w:u w:val="single"/>
        </w:rPr>
        <w:lastRenderedPageBreak/>
        <w:t>Bibliography</w:t>
      </w:r>
    </w:p>
    <w:p w14:paraId="730021CD" w14:textId="45A64F2A" w:rsidR="00950DDE" w:rsidRPr="00D74B11" w:rsidRDefault="00950DDE" w:rsidP="00D74B11">
      <w:pPr>
        <w:pStyle w:val="FootnoteText"/>
        <w:spacing w:afterLines="200" w:after="480" w:line="360" w:lineRule="auto"/>
        <w:rPr>
          <w:b/>
          <w:iCs/>
          <w:sz w:val="24"/>
          <w:szCs w:val="24"/>
        </w:rPr>
      </w:pPr>
      <w:r w:rsidRPr="00D74B11">
        <w:rPr>
          <w:b/>
          <w:iCs/>
          <w:sz w:val="24"/>
          <w:szCs w:val="24"/>
        </w:rPr>
        <w:t>Cases</w:t>
      </w:r>
    </w:p>
    <w:p w14:paraId="53E73FEA" w14:textId="1C9F6F19" w:rsidR="00D067FA" w:rsidRPr="00D74B11" w:rsidRDefault="00BA3BED" w:rsidP="00D74B11">
      <w:pPr>
        <w:pStyle w:val="FootnoteText"/>
        <w:spacing w:afterLines="200" w:after="480" w:line="360" w:lineRule="auto"/>
        <w:rPr>
          <w:sz w:val="24"/>
          <w:szCs w:val="24"/>
        </w:rPr>
      </w:pPr>
      <w:r w:rsidRPr="00D74B11">
        <w:rPr>
          <w:i/>
          <w:iCs/>
          <w:sz w:val="24"/>
          <w:szCs w:val="24"/>
        </w:rPr>
        <w:t>R v</w:t>
      </w:r>
      <w:r w:rsidRPr="00D74B11">
        <w:rPr>
          <w:i/>
          <w:sz w:val="24"/>
          <w:szCs w:val="24"/>
        </w:rPr>
        <w:t xml:space="preserve"> </w:t>
      </w:r>
      <w:proofErr w:type="spellStart"/>
      <w:r w:rsidRPr="00D74B11">
        <w:rPr>
          <w:i/>
          <w:sz w:val="24"/>
          <w:szCs w:val="24"/>
        </w:rPr>
        <w:t>Daddow</w:t>
      </w:r>
      <w:proofErr w:type="spellEnd"/>
      <w:r w:rsidRPr="00D74B11">
        <w:rPr>
          <w:sz w:val="24"/>
          <w:szCs w:val="24"/>
        </w:rPr>
        <w:t xml:space="preserve"> [1996] 2 Cr App R (S) 10</w:t>
      </w:r>
    </w:p>
    <w:p w14:paraId="4E5FC458" w14:textId="14E2A19B" w:rsidR="00BA3BED" w:rsidRPr="00FA77F3" w:rsidRDefault="00D067FA" w:rsidP="00D74B11">
      <w:pPr>
        <w:pStyle w:val="FootnoteText"/>
        <w:spacing w:afterLines="200" w:after="480" w:line="360" w:lineRule="auto"/>
        <w:rPr>
          <w:sz w:val="24"/>
          <w:szCs w:val="24"/>
        </w:rPr>
      </w:pPr>
      <w:r w:rsidRPr="00D74B11">
        <w:rPr>
          <w:i/>
          <w:sz w:val="24"/>
          <w:szCs w:val="24"/>
          <w:lang w:val="en-GB"/>
        </w:rPr>
        <w:t xml:space="preserve">R v </w:t>
      </w:r>
      <w:proofErr w:type="spellStart"/>
      <w:r w:rsidRPr="00D74B11">
        <w:rPr>
          <w:i/>
          <w:sz w:val="24"/>
          <w:szCs w:val="24"/>
          <w:lang w:val="en-GB"/>
        </w:rPr>
        <w:t>Dihren</w:t>
      </w:r>
      <w:proofErr w:type="spellEnd"/>
      <w:r w:rsidRPr="00D74B11">
        <w:rPr>
          <w:i/>
          <w:sz w:val="24"/>
          <w:szCs w:val="24"/>
          <w:lang w:val="en-GB"/>
        </w:rPr>
        <w:t xml:space="preserve"> </w:t>
      </w:r>
      <w:proofErr w:type="spellStart"/>
      <w:r w:rsidRPr="00D74B11">
        <w:rPr>
          <w:i/>
          <w:sz w:val="24"/>
          <w:szCs w:val="24"/>
          <w:lang w:val="en-GB"/>
        </w:rPr>
        <w:t>Barot</w:t>
      </w:r>
      <w:proofErr w:type="spellEnd"/>
      <w:r w:rsidRPr="00D74B11">
        <w:rPr>
          <w:sz w:val="24"/>
          <w:szCs w:val="24"/>
          <w:lang w:val="en-GB"/>
        </w:rPr>
        <w:t xml:space="preserve"> [2007] EWCA Crim 1119</w:t>
      </w:r>
    </w:p>
    <w:p w14:paraId="096AE844" w14:textId="21F226D5" w:rsidR="001D4FF3" w:rsidRPr="00D74B11" w:rsidRDefault="0066730D" w:rsidP="00D74B11">
      <w:pPr>
        <w:pStyle w:val="FootnoteText"/>
        <w:spacing w:afterLines="200" w:after="480" w:line="360" w:lineRule="auto"/>
        <w:rPr>
          <w:sz w:val="24"/>
          <w:szCs w:val="24"/>
        </w:rPr>
      </w:pPr>
      <w:r w:rsidRPr="00D74B11">
        <w:rPr>
          <w:i/>
          <w:sz w:val="24"/>
          <w:szCs w:val="24"/>
        </w:rPr>
        <w:t>R v Khalil and Others</w:t>
      </w:r>
      <w:r w:rsidRPr="00D74B11">
        <w:rPr>
          <w:sz w:val="24"/>
          <w:szCs w:val="24"/>
        </w:rPr>
        <w:t xml:space="preserve"> [2003] EWCA </w:t>
      </w:r>
      <w:proofErr w:type="spellStart"/>
      <w:r w:rsidRPr="00D74B11">
        <w:rPr>
          <w:sz w:val="24"/>
          <w:szCs w:val="24"/>
        </w:rPr>
        <w:t>Crim</w:t>
      </w:r>
      <w:proofErr w:type="spellEnd"/>
      <w:r w:rsidRPr="00D74B11">
        <w:rPr>
          <w:sz w:val="24"/>
          <w:szCs w:val="24"/>
        </w:rPr>
        <w:t xml:space="preserve"> 3467</w:t>
      </w:r>
    </w:p>
    <w:p w14:paraId="50B8EE42" w14:textId="19ABF3B2" w:rsidR="0066730D" w:rsidRPr="00D74B11" w:rsidRDefault="001D4FF3" w:rsidP="00D74B11">
      <w:pPr>
        <w:pStyle w:val="FootnoteText"/>
        <w:spacing w:afterLines="200" w:after="480" w:line="360" w:lineRule="auto"/>
        <w:rPr>
          <w:sz w:val="24"/>
          <w:szCs w:val="24"/>
        </w:rPr>
      </w:pPr>
      <w:r w:rsidRPr="00D74B11">
        <w:rPr>
          <w:i/>
          <w:sz w:val="24"/>
          <w:szCs w:val="24"/>
        </w:rPr>
        <w:t xml:space="preserve">R v </w:t>
      </w:r>
      <w:proofErr w:type="spellStart"/>
      <w:r w:rsidRPr="00D74B11">
        <w:rPr>
          <w:i/>
          <w:iCs/>
          <w:sz w:val="24"/>
          <w:szCs w:val="24"/>
        </w:rPr>
        <w:t>McNee</w:t>
      </w:r>
      <w:proofErr w:type="spellEnd"/>
      <w:r w:rsidRPr="00D74B11">
        <w:rPr>
          <w:sz w:val="24"/>
          <w:szCs w:val="24"/>
        </w:rPr>
        <w:t xml:space="preserve"> [2007] EWCA </w:t>
      </w:r>
      <w:proofErr w:type="spellStart"/>
      <w:r w:rsidRPr="00D74B11">
        <w:rPr>
          <w:sz w:val="24"/>
          <w:szCs w:val="24"/>
        </w:rPr>
        <w:t>Crim</w:t>
      </w:r>
      <w:proofErr w:type="spellEnd"/>
      <w:r w:rsidRPr="00D74B11">
        <w:rPr>
          <w:sz w:val="24"/>
          <w:szCs w:val="24"/>
        </w:rPr>
        <w:t xml:space="preserve"> 1529; [2008] 1 Cr App R (S) 24</w:t>
      </w:r>
    </w:p>
    <w:p w14:paraId="017AA07B" w14:textId="5AB1AFA3" w:rsidR="0066730D" w:rsidRPr="00D74B11" w:rsidRDefault="0066730D" w:rsidP="00D74B11">
      <w:pPr>
        <w:pStyle w:val="FootnoteText"/>
        <w:spacing w:afterLines="200" w:after="480" w:line="360" w:lineRule="auto"/>
        <w:rPr>
          <w:sz w:val="24"/>
          <w:szCs w:val="24"/>
          <w:lang w:val="es-ES"/>
        </w:rPr>
      </w:pPr>
      <w:r w:rsidRPr="00D74B11">
        <w:rPr>
          <w:i/>
          <w:sz w:val="24"/>
          <w:szCs w:val="24"/>
          <w:lang w:val="es-ES"/>
        </w:rPr>
        <w:t xml:space="preserve">R v </w:t>
      </w:r>
      <w:proofErr w:type="spellStart"/>
      <w:r w:rsidRPr="00D74B11">
        <w:rPr>
          <w:i/>
          <w:sz w:val="24"/>
          <w:szCs w:val="24"/>
          <w:lang w:val="es-ES"/>
        </w:rPr>
        <w:t>Mehta</w:t>
      </w:r>
      <w:proofErr w:type="spellEnd"/>
      <w:r w:rsidRPr="00D74B11">
        <w:rPr>
          <w:i/>
          <w:sz w:val="24"/>
          <w:szCs w:val="24"/>
          <w:lang w:val="es-ES"/>
        </w:rPr>
        <w:t xml:space="preserve"> (</w:t>
      </w:r>
      <w:proofErr w:type="spellStart"/>
      <w:r w:rsidRPr="00D74B11">
        <w:rPr>
          <w:i/>
          <w:sz w:val="24"/>
          <w:szCs w:val="24"/>
          <w:lang w:val="es-ES"/>
        </w:rPr>
        <w:t>Subhash</w:t>
      </w:r>
      <w:proofErr w:type="spellEnd"/>
      <w:r w:rsidRPr="00D74B11">
        <w:rPr>
          <w:i/>
          <w:sz w:val="24"/>
          <w:szCs w:val="24"/>
          <w:lang w:val="es-ES"/>
        </w:rPr>
        <w:t>)</w:t>
      </w:r>
      <w:r w:rsidRPr="00D74B11">
        <w:rPr>
          <w:sz w:val="24"/>
          <w:szCs w:val="24"/>
          <w:lang w:val="es-ES"/>
        </w:rPr>
        <w:t xml:space="preserve"> [2012] EWCA </w:t>
      </w:r>
      <w:proofErr w:type="spellStart"/>
      <w:r w:rsidRPr="00D74B11">
        <w:rPr>
          <w:sz w:val="24"/>
          <w:szCs w:val="24"/>
          <w:lang w:val="es-ES"/>
        </w:rPr>
        <w:t>Crim</w:t>
      </w:r>
      <w:proofErr w:type="spellEnd"/>
      <w:r w:rsidRPr="00D74B11">
        <w:rPr>
          <w:sz w:val="24"/>
          <w:szCs w:val="24"/>
          <w:lang w:val="es-ES"/>
        </w:rPr>
        <w:t xml:space="preserve"> 2824</w:t>
      </w:r>
    </w:p>
    <w:p w14:paraId="351C6BA8" w14:textId="488E3B17" w:rsidR="00752248" w:rsidRPr="00D74B11" w:rsidRDefault="00BA3BED" w:rsidP="00D74B11">
      <w:pPr>
        <w:pStyle w:val="FootnoteText"/>
        <w:spacing w:afterLines="200" w:after="480" w:line="360" w:lineRule="auto"/>
        <w:rPr>
          <w:sz w:val="24"/>
          <w:szCs w:val="24"/>
        </w:rPr>
      </w:pPr>
      <w:r w:rsidRPr="00D74B11">
        <w:rPr>
          <w:i/>
          <w:iCs/>
          <w:sz w:val="24"/>
          <w:szCs w:val="24"/>
        </w:rPr>
        <w:t>R v Raw</w:t>
      </w:r>
      <w:r w:rsidRPr="00D74B11">
        <w:rPr>
          <w:sz w:val="24"/>
          <w:szCs w:val="24"/>
        </w:rPr>
        <w:t xml:space="preserve"> (1983) 5 Cr App R (S) 229</w:t>
      </w:r>
    </w:p>
    <w:p w14:paraId="17EE689C" w14:textId="60ABCD41" w:rsidR="00BA3BED" w:rsidRPr="00D74B11" w:rsidRDefault="00752248" w:rsidP="00D74B11">
      <w:pPr>
        <w:pStyle w:val="FootnoteText"/>
        <w:spacing w:afterLines="200" w:after="480" w:line="360" w:lineRule="auto"/>
        <w:rPr>
          <w:sz w:val="24"/>
          <w:szCs w:val="24"/>
          <w:lang w:val="de-DE"/>
        </w:rPr>
      </w:pPr>
      <w:r w:rsidRPr="00D74B11">
        <w:rPr>
          <w:i/>
          <w:iCs/>
          <w:sz w:val="24"/>
          <w:szCs w:val="24"/>
          <w:lang w:val="de-DE"/>
        </w:rPr>
        <w:t xml:space="preserve">R v Saik (Abdulrahman) </w:t>
      </w:r>
      <w:r w:rsidRPr="00D74B11">
        <w:rPr>
          <w:sz w:val="24"/>
          <w:szCs w:val="24"/>
          <w:lang w:val="de-DE"/>
        </w:rPr>
        <w:t>[2007] 2 WLR 993</w:t>
      </w:r>
    </w:p>
    <w:p w14:paraId="320541C5" w14:textId="101B4103" w:rsidR="00950DDE" w:rsidRPr="00D74B11" w:rsidRDefault="00352EB1" w:rsidP="00D74B11">
      <w:pPr>
        <w:pStyle w:val="FootnoteText"/>
        <w:spacing w:afterLines="200" w:after="480" w:line="360" w:lineRule="auto"/>
        <w:rPr>
          <w:b/>
          <w:sz w:val="24"/>
          <w:szCs w:val="24"/>
          <w:lang w:val="en-GB"/>
        </w:rPr>
      </w:pPr>
      <w:r w:rsidRPr="00D74B11">
        <w:rPr>
          <w:b/>
          <w:sz w:val="24"/>
          <w:szCs w:val="24"/>
          <w:lang w:val="en-GB"/>
        </w:rPr>
        <w:t>Statutes</w:t>
      </w:r>
    </w:p>
    <w:p w14:paraId="722D4A91" w14:textId="0B9125AD" w:rsidR="00CD24C1" w:rsidRPr="00FA77F3" w:rsidRDefault="00CD24C1" w:rsidP="00D74B11">
      <w:pPr>
        <w:pStyle w:val="FootnoteText"/>
        <w:spacing w:afterLines="200" w:after="480" w:line="360" w:lineRule="auto"/>
        <w:rPr>
          <w:sz w:val="24"/>
          <w:szCs w:val="24"/>
          <w:lang w:val="en-GB"/>
        </w:rPr>
      </w:pPr>
      <w:r w:rsidRPr="00D74B11">
        <w:rPr>
          <w:sz w:val="24"/>
          <w:szCs w:val="24"/>
          <w:lang w:val="en-GB"/>
        </w:rPr>
        <w:t>Criminal Justice Act 2003</w:t>
      </w:r>
    </w:p>
    <w:p w14:paraId="062ECCF2" w14:textId="02A6F0ED" w:rsidR="0071404E" w:rsidRPr="00D74B11" w:rsidRDefault="0071404E" w:rsidP="00D74B11">
      <w:pPr>
        <w:pStyle w:val="FootnoteText"/>
        <w:spacing w:afterLines="200" w:after="480" w:line="360" w:lineRule="auto"/>
        <w:rPr>
          <w:sz w:val="24"/>
          <w:szCs w:val="24"/>
        </w:rPr>
      </w:pPr>
      <w:r w:rsidRPr="00D74B11">
        <w:rPr>
          <w:sz w:val="24"/>
          <w:szCs w:val="24"/>
        </w:rPr>
        <w:t>Criminal Law Act 1977</w:t>
      </w:r>
    </w:p>
    <w:p w14:paraId="6371C398" w14:textId="4F1AF7E3" w:rsidR="006F7CB8" w:rsidRPr="00D74B11" w:rsidRDefault="006F7CB8" w:rsidP="00D74B11">
      <w:pPr>
        <w:pStyle w:val="FootnoteText"/>
        <w:spacing w:afterLines="200" w:after="480" w:line="360" w:lineRule="auto"/>
        <w:rPr>
          <w:sz w:val="24"/>
          <w:szCs w:val="24"/>
        </w:rPr>
      </w:pPr>
      <w:r w:rsidRPr="00D74B11">
        <w:rPr>
          <w:sz w:val="24"/>
          <w:szCs w:val="24"/>
        </w:rPr>
        <w:t xml:space="preserve">Offences </w:t>
      </w:r>
      <w:proofErr w:type="gramStart"/>
      <w:r w:rsidRPr="00D74B11">
        <w:rPr>
          <w:sz w:val="24"/>
          <w:szCs w:val="24"/>
        </w:rPr>
        <w:t>Against</w:t>
      </w:r>
      <w:proofErr w:type="gramEnd"/>
      <w:r w:rsidRPr="00D74B11">
        <w:rPr>
          <w:sz w:val="24"/>
          <w:szCs w:val="24"/>
        </w:rPr>
        <w:t xml:space="preserve"> the Person Act 1861</w:t>
      </w:r>
    </w:p>
    <w:p w14:paraId="4A8B649F" w14:textId="65AE8CD1" w:rsidR="000C391B" w:rsidRPr="00D74B11" w:rsidRDefault="00D218C1" w:rsidP="00D74B11">
      <w:pPr>
        <w:pStyle w:val="FootnoteText"/>
        <w:spacing w:afterLines="200" w:after="480" w:line="360" w:lineRule="auto"/>
        <w:rPr>
          <w:sz w:val="24"/>
          <w:szCs w:val="24"/>
        </w:rPr>
      </w:pPr>
      <w:r w:rsidRPr="00D74B11">
        <w:rPr>
          <w:sz w:val="24"/>
          <w:szCs w:val="24"/>
        </w:rPr>
        <w:t>Serious Crime Act 2007</w:t>
      </w:r>
    </w:p>
    <w:p w14:paraId="56906D42" w14:textId="377ADBE4" w:rsidR="00D218C1" w:rsidRDefault="00D218C1" w:rsidP="00D74B11">
      <w:pPr>
        <w:pStyle w:val="FootnoteText"/>
        <w:spacing w:afterLines="200" w:after="480" w:line="360" w:lineRule="auto"/>
        <w:rPr>
          <w:sz w:val="24"/>
          <w:szCs w:val="24"/>
          <w:lang w:val="en-GB"/>
        </w:rPr>
      </w:pPr>
    </w:p>
    <w:p w14:paraId="7F528940" w14:textId="77777777" w:rsidR="00970891" w:rsidRPr="00D74B11" w:rsidRDefault="00970891" w:rsidP="00D74B11">
      <w:pPr>
        <w:pStyle w:val="FootnoteText"/>
        <w:spacing w:afterLines="200" w:after="480" w:line="360" w:lineRule="auto"/>
        <w:rPr>
          <w:sz w:val="24"/>
          <w:szCs w:val="24"/>
          <w:lang w:val="en-GB"/>
        </w:rPr>
      </w:pPr>
    </w:p>
    <w:p w14:paraId="4F03F46C" w14:textId="01AB9C6A" w:rsidR="00352EB1" w:rsidRPr="00D74B11" w:rsidRDefault="00352EB1" w:rsidP="00D74B11">
      <w:pPr>
        <w:pStyle w:val="FootnoteText"/>
        <w:spacing w:afterLines="200" w:after="480" w:line="360" w:lineRule="auto"/>
        <w:rPr>
          <w:b/>
          <w:sz w:val="24"/>
          <w:szCs w:val="24"/>
          <w:lang w:val="en-GB"/>
        </w:rPr>
      </w:pPr>
      <w:r w:rsidRPr="00D74B11">
        <w:rPr>
          <w:b/>
          <w:sz w:val="24"/>
          <w:szCs w:val="24"/>
          <w:lang w:val="en-GB"/>
        </w:rPr>
        <w:lastRenderedPageBreak/>
        <w:t>Books</w:t>
      </w:r>
    </w:p>
    <w:p w14:paraId="70F1DE62" w14:textId="3FD4512B" w:rsidR="0071404E" w:rsidRPr="00D74B11" w:rsidRDefault="0071404E" w:rsidP="00D74B11">
      <w:pPr>
        <w:pStyle w:val="FootnoteText"/>
        <w:spacing w:afterLines="200" w:after="480" w:line="360" w:lineRule="auto"/>
        <w:rPr>
          <w:sz w:val="24"/>
          <w:szCs w:val="24"/>
        </w:rPr>
      </w:pPr>
      <w:r w:rsidRPr="00D74B11">
        <w:rPr>
          <w:sz w:val="24"/>
          <w:szCs w:val="24"/>
          <w:lang w:val="en-GB"/>
        </w:rPr>
        <w:t>Coke E,</w:t>
      </w:r>
      <w:r w:rsidRPr="00D74B11">
        <w:rPr>
          <w:i/>
          <w:sz w:val="24"/>
          <w:szCs w:val="24"/>
          <w:lang w:val="en-GB"/>
        </w:rPr>
        <w:t xml:space="preserve"> Institutes of the Laws of England</w:t>
      </w:r>
      <w:r w:rsidRPr="00D74B11">
        <w:rPr>
          <w:sz w:val="24"/>
          <w:szCs w:val="24"/>
          <w:lang w:val="en-GB"/>
        </w:rPr>
        <w:t xml:space="preserve"> 1797</w:t>
      </w:r>
    </w:p>
    <w:p w14:paraId="65AE8FF7" w14:textId="329A5AD9" w:rsidR="00D11274" w:rsidRPr="00FA77F3" w:rsidRDefault="00D11274" w:rsidP="00D74B11">
      <w:pPr>
        <w:pStyle w:val="FootnoteText"/>
        <w:spacing w:afterLines="200" w:after="480" w:line="360" w:lineRule="auto"/>
        <w:rPr>
          <w:rFonts w:eastAsia="Arial"/>
          <w:sz w:val="24"/>
          <w:szCs w:val="24"/>
          <w:lang w:val="en-GB"/>
        </w:rPr>
      </w:pPr>
      <w:r w:rsidRPr="00D74B11">
        <w:rPr>
          <w:sz w:val="24"/>
          <w:szCs w:val="24"/>
        </w:rPr>
        <w:t xml:space="preserve">Easton S and Piper C, Sentencing and punishment: the quest for justice, </w:t>
      </w:r>
      <w:proofErr w:type="spellStart"/>
      <w:r w:rsidRPr="00D74B11">
        <w:rPr>
          <w:sz w:val="24"/>
          <w:szCs w:val="24"/>
        </w:rPr>
        <w:t>vol</w:t>
      </w:r>
      <w:proofErr w:type="spellEnd"/>
      <w:r w:rsidRPr="00D74B11">
        <w:rPr>
          <w:sz w:val="24"/>
          <w:szCs w:val="24"/>
        </w:rPr>
        <w:t xml:space="preserve"> 3 (Oxford University Press, 2012) p 137</w:t>
      </w:r>
    </w:p>
    <w:p w14:paraId="65B1EBC7" w14:textId="4695A8D3" w:rsidR="00D11274" w:rsidRPr="00FA77F3" w:rsidRDefault="00D11274" w:rsidP="00D74B11">
      <w:pPr>
        <w:pStyle w:val="FootnoteText"/>
        <w:spacing w:afterLines="200" w:after="480" w:line="360" w:lineRule="auto"/>
        <w:rPr>
          <w:sz w:val="24"/>
          <w:szCs w:val="24"/>
          <w:lang w:val="en-GB"/>
        </w:rPr>
      </w:pPr>
      <w:r w:rsidRPr="00D74B11">
        <w:rPr>
          <w:rFonts w:eastAsia="Arial"/>
          <w:sz w:val="24"/>
          <w:szCs w:val="24"/>
          <w:lang w:val="en-GB"/>
        </w:rPr>
        <w:t xml:space="preserve">Kavanagh A and </w:t>
      </w:r>
      <w:proofErr w:type="spellStart"/>
      <w:r w:rsidRPr="00D74B11">
        <w:rPr>
          <w:rFonts w:eastAsia="Arial"/>
          <w:sz w:val="24"/>
          <w:szCs w:val="24"/>
          <w:lang w:val="en-GB"/>
        </w:rPr>
        <w:t>Oberdiek</w:t>
      </w:r>
      <w:proofErr w:type="spellEnd"/>
      <w:r w:rsidRPr="00D74B11">
        <w:rPr>
          <w:rFonts w:eastAsia="Arial"/>
          <w:sz w:val="24"/>
          <w:szCs w:val="24"/>
          <w:lang w:val="en-GB"/>
        </w:rPr>
        <w:t xml:space="preserve"> J, ’</w:t>
      </w:r>
      <w:r w:rsidRPr="00D74B11">
        <w:rPr>
          <w:i/>
          <w:iCs/>
          <w:sz w:val="24"/>
          <w:szCs w:val="24"/>
        </w:rPr>
        <w:t xml:space="preserve">Arguing About </w:t>
      </w:r>
      <w:proofErr w:type="gramStart"/>
      <w:r w:rsidRPr="00D74B11">
        <w:rPr>
          <w:i/>
          <w:iCs/>
          <w:sz w:val="24"/>
          <w:szCs w:val="24"/>
        </w:rPr>
        <w:t>Law‘</w:t>
      </w:r>
      <w:r w:rsidRPr="00D74B11">
        <w:rPr>
          <w:i/>
          <w:sz w:val="24"/>
          <w:szCs w:val="24"/>
        </w:rPr>
        <w:t xml:space="preserve"> </w:t>
      </w:r>
      <w:r w:rsidRPr="00D74B11">
        <w:rPr>
          <w:i/>
          <w:iCs/>
          <w:sz w:val="24"/>
          <w:szCs w:val="24"/>
        </w:rPr>
        <w:t>(</w:t>
      </w:r>
      <w:proofErr w:type="gramEnd"/>
      <w:r w:rsidRPr="00D74B11">
        <w:rPr>
          <w:sz w:val="24"/>
          <w:szCs w:val="24"/>
        </w:rPr>
        <w:t>Taylor and Francis 2013)</w:t>
      </w:r>
    </w:p>
    <w:p w14:paraId="3BC5650F" w14:textId="210A6FE6" w:rsidR="0005003B" w:rsidRPr="00D74B11" w:rsidRDefault="0005003B" w:rsidP="00D74B11">
      <w:pPr>
        <w:pStyle w:val="FootnoteText"/>
        <w:spacing w:afterLines="200" w:after="480" w:line="360" w:lineRule="auto"/>
        <w:rPr>
          <w:sz w:val="24"/>
          <w:szCs w:val="24"/>
          <w:lang w:val="en-GB"/>
        </w:rPr>
      </w:pPr>
      <w:r w:rsidRPr="00D74B11">
        <w:rPr>
          <w:sz w:val="24"/>
          <w:szCs w:val="24"/>
        </w:rPr>
        <w:t xml:space="preserve">Martin J and Storey T, </w:t>
      </w:r>
      <w:r w:rsidRPr="00D74B11">
        <w:rPr>
          <w:i/>
          <w:sz w:val="24"/>
          <w:szCs w:val="24"/>
        </w:rPr>
        <w:t xml:space="preserve">Unlocking Criminal Law, </w:t>
      </w:r>
      <w:r w:rsidRPr="00D74B11">
        <w:rPr>
          <w:sz w:val="24"/>
          <w:szCs w:val="24"/>
        </w:rPr>
        <w:t>chapter 6.3</w:t>
      </w:r>
    </w:p>
    <w:p w14:paraId="1834B6E1" w14:textId="03E9F009" w:rsidR="00352EB1" w:rsidRPr="00D74B11" w:rsidRDefault="00352EB1" w:rsidP="00D74B11">
      <w:pPr>
        <w:pStyle w:val="FootnoteText"/>
        <w:spacing w:afterLines="200" w:after="480" w:line="360" w:lineRule="auto"/>
        <w:rPr>
          <w:b/>
          <w:sz w:val="24"/>
          <w:szCs w:val="24"/>
          <w:lang w:val="en-GB"/>
        </w:rPr>
      </w:pPr>
      <w:r w:rsidRPr="00D74B11">
        <w:rPr>
          <w:b/>
          <w:sz w:val="24"/>
          <w:szCs w:val="24"/>
          <w:lang w:val="en-GB"/>
        </w:rPr>
        <w:t>Journal articles</w:t>
      </w:r>
    </w:p>
    <w:p w14:paraId="047B68E1" w14:textId="7E625371" w:rsidR="0020171E" w:rsidRPr="00FA77F3" w:rsidRDefault="0020171E" w:rsidP="00FA77F3">
      <w:pPr>
        <w:pStyle w:val="FootnoteText"/>
        <w:spacing w:afterLines="200" w:after="480" w:line="360" w:lineRule="auto"/>
        <w:rPr>
          <w:sz w:val="24"/>
          <w:szCs w:val="24"/>
          <w:lang w:val="en-GB"/>
        </w:rPr>
      </w:pPr>
      <w:r w:rsidRPr="00D74B11">
        <w:rPr>
          <w:sz w:val="24"/>
          <w:szCs w:val="24"/>
          <w:lang w:val="en-GB"/>
        </w:rPr>
        <w:t>Stephen</w:t>
      </w:r>
      <w:r w:rsidR="0005003B" w:rsidRPr="00D74B11">
        <w:rPr>
          <w:sz w:val="24"/>
          <w:szCs w:val="24"/>
          <w:lang w:val="en-GB"/>
        </w:rPr>
        <w:t xml:space="preserve"> JF</w:t>
      </w:r>
      <w:r w:rsidRPr="00D74B11">
        <w:rPr>
          <w:sz w:val="24"/>
          <w:szCs w:val="24"/>
          <w:lang w:val="en-GB"/>
        </w:rPr>
        <w:t xml:space="preserve">, </w:t>
      </w:r>
      <w:r w:rsidRPr="00D74B11">
        <w:rPr>
          <w:i/>
          <w:sz w:val="24"/>
          <w:szCs w:val="24"/>
          <w:lang w:val="en-GB"/>
        </w:rPr>
        <w:t>A History of the Criminal Law of England</w:t>
      </w:r>
      <w:r w:rsidRPr="00D74B11">
        <w:rPr>
          <w:sz w:val="24"/>
          <w:szCs w:val="24"/>
          <w:lang w:val="en-GB"/>
        </w:rPr>
        <w:t>, 2 228-229</w:t>
      </w:r>
    </w:p>
    <w:p w14:paraId="64E31A76" w14:textId="3AFC5744" w:rsidR="0020171E" w:rsidRPr="00D74B11" w:rsidRDefault="00114272" w:rsidP="00D74B11">
      <w:pPr>
        <w:spacing w:afterLines="200" w:after="480" w:line="360" w:lineRule="auto"/>
        <w:rPr>
          <w:rFonts w:ascii="Times New Roman" w:eastAsia="Times New Roman" w:hAnsi="Times New Roman" w:cs="Times New Roman"/>
          <w:color w:val="000000" w:themeColor="text1"/>
        </w:rPr>
      </w:pPr>
      <w:proofErr w:type="spellStart"/>
      <w:r w:rsidRPr="00D74B11">
        <w:rPr>
          <w:rFonts w:ascii="Times New Roman" w:hAnsi="Times New Roman" w:cs="Times New Roman"/>
        </w:rPr>
        <w:t>Arnheim</w:t>
      </w:r>
      <w:proofErr w:type="spellEnd"/>
      <w:r w:rsidRPr="00D74B11">
        <w:rPr>
          <w:rFonts w:ascii="Times New Roman" w:hAnsi="Times New Roman" w:cs="Times New Roman"/>
        </w:rPr>
        <w:t xml:space="preserve"> M, ‘A conspiracy too far?’ </w:t>
      </w:r>
      <w:r w:rsidRPr="00D74B11">
        <w:rPr>
          <w:rFonts w:ascii="Times New Roman" w:eastAsia="Calibri" w:hAnsi="Times New Roman" w:cs="Times New Roman"/>
        </w:rPr>
        <w:t xml:space="preserve">(2018) 168 </w:t>
      </w:r>
      <w:proofErr w:type="gramStart"/>
      <w:r w:rsidRPr="00D74B11">
        <w:rPr>
          <w:rFonts w:ascii="Times New Roman" w:eastAsia="Calibri" w:hAnsi="Times New Roman" w:cs="Times New Roman"/>
        </w:rPr>
        <w:t>The</w:t>
      </w:r>
      <w:proofErr w:type="gramEnd"/>
      <w:r w:rsidRPr="00D74B11">
        <w:rPr>
          <w:rFonts w:ascii="Times New Roman" w:eastAsia="Calibri" w:hAnsi="Times New Roman" w:cs="Times New Roman"/>
        </w:rPr>
        <w:t xml:space="preserve"> New Law Journal</w:t>
      </w:r>
    </w:p>
    <w:p w14:paraId="0A28954E" w14:textId="436046BC" w:rsidR="00B53E9E" w:rsidRPr="00FA77F3" w:rsidRDefault="00B53E9E" w:rsidP="00D74B11">
      <w:pPr>
        <w:spacing w:afterLines="200" w:after="480" w:line="360" w:lineRule="auto"/>
        <w:rPr>
          <w:rFonts w:ascii="Times New Roman" w:eastAsia="Times New Roman" w:hAnsi="Times New Roman" w:cs="Times New Roman"/>
        </w:rPr>
      </w:pPr>
      <w:r w:rsidRPr="00D74B11">
        <w:rPr>
          <w:rFonts w:ascii="Times New Roman" w:eastAsia="Times New Roman" w:hAnsi="Times New Roman" w:cs="Times New Roman"/>
          <w:color w:val="000000"/>
          <w:shd w:val="clear" w:color="auto" w:fill="FFFFFF"/>
        </w:rPr>
        <w:t>Jarvis P</w:t>
      </w:r>
      <w:r w:rsidR="00DD6012" w:rsidRPr="00D74B11">
        <w:rPr>
          <w:rFonts w:ascii="Times New Roman" w:eastAsia="Times New Roman" w:hAnsi="Times New Roman" w:cs="Times New Roman"/>
          <w:color w:val="000000"/>
          <w:shd w:val="clear" w:color="auto" w:fill="FFFFFF"/>
        </w:rPr>
        <w:t xml:space="preserve"> and</w:t>
      </w:r>
      <w:r w:rsidRPr="00D74B11">
        <w:rPr>
          <w:rFonts w:ascii="Times New Roman" w:eastAsia="Times New Roman" w:hAnsi="Times New Roman" w:cs="Times New Roman"/>
          <w:color w:val="000000"/>
          <w:shd w:val="clear" w:color="auto" w:fill="FFFFFF"/>
        </w:rPr>
        <w:t xml:space="preserve"> </w:t>
      </w:r>
      <w:proofErr w:type="spellStart"/>
      <w:r w:rsidRPr="00D74B11">
        <w:rPr>
          <w:rFonts w:ascii="Times New Roman" w:eastAsia="Times New Roman" w:hAnsi="Times New Roman" w:cs="Times New Roman"/>
          <w:color w:val="000000"/>
          <w:shd w:val="clear" w:color="auto" w:fill="FFFFFF"/>
        </w:rPr>
        <w:t>Bisgrove</w:t>
      </w:r>
      <w:proofErr w:type="spellEnd"/>
      <w:r w:rsidR="0020171E" w:rsidRPr="00D74B11">
        <w:rPr>
          <w:rFonts w:ascii="Times New Roman" w:eastAsia="Times New Roman" w:hAnsi="Times New Roman" w:cs="Times New Roman"/>
          <w:color w:val="000000"/>
          <w:shd w:val="clear" w:color="auto" w:fill="FFFFFF"/>
        </w:rPr>
        <w:t xml:space="preserve"> M</w:t>
      </w:r>
      <w:r w:rsidRPr="00D74B11">
        <w:rPr>
          <w:rFonts w:ascii="Times New Roman" w:eastAsia="Times New Roman" w:hAnsi="Times New Roman" w:cs="Times New Roman"/>
          <w:color w:val="000000"/>
          <w:shd w:val="clear" w:color="auto" w:fill="FFFFFF"/>
        </w:rPr>
        <w:t xml:space="preserve">, 'The Use </w:t>
      </w:r>
      <w:proofErr w:type="gramStart"/>
      <w:r w:rsidRPr="00D74B11">
        <w:rPr>
          <w:rFonts w:ascii="Times New Roman" w:eastAsia="Times New Roman" w:hAnsi="Times New Roman" w:cs="Times New Roman"/>
          <w:color w:val="000000"/>
          <w:shd w:val="clear" w:color="auto" w:fill="FFFFFF"/>
        </w:rPr>
        <w:t>And</w:t>
      </w:r>
      <w:proofErr w:type="gramEnd"/>
      <w:r w:rsidRPr="00D74B11">
        <w:rPr>
          <w:rFonts w:ascii="Times New Roman" w:eastAsia="Times New Roman" w:hAnsi="Times New Roman" w:cs="Times New Roman"/>
          <w:color w:val="000000"/>
          <w:shd w:val="clear" w:color="auto" w:fill="FFFFFF"/>
        </w:rPr>
        <w:t xml:space="preserve"> Abuse Of Conspiracy' (2014) 4 Criminal Law Review</w:t>
      </w:r>
    </w:p>
    <w:p w14:paraId="152C821F" w14:textId="61D14AC8" w:rsidR="00383ADE" w:rsidRPr="00D74B11" w:rsidRDefault="00383ADE" w:rsidP="00D74B11">
      <w:pPr>
        <w:spacing w:afterLines="200" w:after="480" w:line="360" w:lineRule="auto"/>
        <w:rPr>
          <w:rFonts w:ascii="Times New Roman" w:eastAsia="Times New Roman" w:hAnsi="Times New Roman" w:cs="Times New Roman"/>
          <w:color w:val="000000" w:themeColor="text1"/>
        </w:rPr>
      </w:pPr>
      <w:proofErr w:type="spellStart"/>
      <w:r w:rsidRPr="00D74B11">
        <w:rPr>
          <w:rFonts w:ascii="Times New Roman" w:eastAsia="Times New Roman" w:hAnsi="Times New Roman" w:cs="Times New Roman"/>
          <w:color w:val="000000"/>
          <w:shd w:val="clear" w:color="auto" w:fill="FFFFFF"/>
        </w:rPr>
        <w:t>Snyman</w:t>
      </w:r>
      <w:proofErr w:type="spellEnd"/>
      <w:r w:rsidRPr="00D74B11">
        <w:rPr>
          <w:rFonts w:ascii="Times New Roman" w:eastAsia="Times New Roman" w:hAnsi="Times New Roman" w:cs="Times New Roman"/>
          <w:color w:val="000000"/>
          <w:shd w:val="clear" w:color="auto" w:fill="FFFFFF"/>
        </w:rPr>
        <w:t xml:space="preserve"> CR, 'The History </w:t>
      </w:r>
      <w:proofErr w:type="gramStart"/>
      <w:r w:rsidRPr="00D74B11">
        <w:rPr>
          <w:rFonts w:ascii="Times New Roman" w:eastAsia="Times New Roman" w:hAnsi="Times New Roman" w:cs="Times New Roman"/>
          <w:color w:val="000000"/>
          <w:shd w:val="clear" w:color="auto" w:fill="FFFFFF"/>
        </w:rPr>
        <w:t>And</w:t>
      </w:r>
      <w:proofErr w:type="gramEnd"/>
      <w:r w:rsidRPr="00D74B11">
        <w:rPr>
          <w:rFonts w:ascii="Times New Roman" w:eastAsia="Times New Roman" w:hAnsi="Times New Roman" w:cs="Times New Roman"/>
          <w:color w:val="000000"/>
          <w:shd w:val="clear" w:color="auto" w:fill="FFFFFF"/>
        </w:rPr>
        <w:t xml:space="preserve"> Rationale Of Criminal Conspiracy' (1984) 17 The Comparative and International Law Journal of Southern Africa</w:t>
      </w:r>
    </w:p>
    <w:p w14:paraId="5B2EBC7C" w14:textId="7AD265E5" w:rsidR="00352EB1" w:rsidRPr="00D74B11" w:rsidRDefault="00352EB1" w:rsidP="00D74B11">
      <w:pPr>
        <w:pStyle w:val="FootnoteText"/>
        <w:spacing w:afterLines="200" w:after="480" w:line="360" w:lineRule="auto"/>
        <w:rPr>
          <w:b/>
          <w:sz w:val="24"/>
          <w:szCs w:val="24"/>
        </w:rPr>
      </w:pPr>
      <w:r w:rsidRPr="00D74B11">
        <w:rPr>
          <w:b/>
          <w:sz w:val="24"/>
          <w:szCs w:val="24"/>
        </w:rPr>
        <w:t>Law Commission Reports</w:t>
      </w:r>
    </w:p>
    <w:p w14:paraId="134BBA93" w14:textId="01A8151E" w:rsidR="00D154EE" w:rsidRPr="00FA77F3" w:rsidRDefault="00D154EE" w:rsidP="00D74B11">
      <w:pPr>
        <w:pStyle w:val="FootnoteText"/>
        <w:spacing w:afterLines="200" w:after="480" w:line="360" w:lineRule="auto"/>
        <w:rPr>
          <w:sz w:val="24"/>
          <w:szCs w:val="24"/>
          <w:lang w:val="en-GB"/>
        </w:rPr>
      </w:pPr>
      <w:r w:rsidRPr="00D74B11">
        <w:rPr>
          <w:sz w:val="24"/>
          <w:szCs w:val="24"/>
        </w:rPr>
        <w:t xml:space="preserve">Law Commission, </w:t>
      </w:r>
      <w:r w:rsidRPr="00D74B11">
        <w:rPr>
          <w:rFonts w:eastAsia="Calibri"/>
          <w:sz w:val="24"/>
          <w:szCs w:val="24"/>
          <w:lang w:val="en-GB"/>
        </w:rPr>
        <w:t xml:space="preserve">'Conspiracy </w:t>
      </w:r>
      <w:proofErr w:type="gramStart"/>
      <w:r w:rsidRPr="00D74B11">
        <w:rPr>
          <w:rFonts w:eastAsia="Calibri"/>
          <w:sz w:val="24"/>
          <w:szCs w:val="24"/>
          <w:lang w:val="en-GB"/>
        </w:rPr>
        <w:t>And</w:t>
      </w:r>
      <w:proofErr w:type="gramEnd"/>
      <w:r w:rsidRPr="00D74B11">
        <w:rPr>
          <w:rFonts w:eastAsia="Calibri"/>
          <w:sz w:val="24"/>
          <w:szCs w:val="24"/>
          <w:lang w:val="en-GB"/>
        </w:rPr>
        <w:t xml:space="preserve"> Attempts | Law Commission' (</w:t>
      </w:r>
      <w:r w:rsidRPr="00D74B11">
        <w:rPr>
          <w:rFonts w:eastAsia="Calibri"/>
          <w:i/>
          <w:iCs/>
          <w:sz w:val="24"/>
          <w:szCs w:val="24"/>
          <w:lang w:val="en-GB"/>
        </w:rPr>
        <w:t>Lawcom.gov.uk</w:t>
      </w:r>
      <w:r w:rsidRPr="00D74B11">
        <w:rPr>
          <w:rFonts w:eastAsia="Calibri"/>
          <w:sz w:val="24"/>
          <w:szCs w:val="24"/>
          <w:lang w:val="en-GB"/>
        </w:rPr>
        <w:t xml:space="preserve">, 2018) </w:t>
      </w:r>
    </w:p>
    <w:p w14:paraId="5E3D15E4" w14:textId="21706D0E" w:rsidR="00AB0753" w:rsidRPr="00D74B11" w:rsidRDefault="00000572" w:rsidP="00D74B11">
      <w:pPr>
        <w:pStyle w:val="FootnoteText"/>
        <w:spacing w:afterLines="200" w:after="480" w:line="360" w:lineRule="auto"/>
        <w:rPr>
          <w:color w:val="000000" w:themeColor="text1"/>
          <w:sz w:val="24"/>
          <w:szCs w:val="24"/>
        </w:rPr>
      </w:pPr>
      <w:r w:rsidRPr="00D74B11">
        <w:rPr>
          <w:color w:val="000000"/>
          <w:sz w:val="24"/>
          <w:szCs w:val="24"/>
          <w:shd w:val="clear" w:color="auto" w:fill="FFFFFF"/>
        </w:rPr>
        <w:t xml:space="preserve">Law Commission, </w:t>
      </w:r>
      <w:r w:rsidRPr="00D74B11">
        <w:rPr>
          <w:i/>
          <w:color w:val="000000"/>
          <w:sz w:val="24"/>
          <w:szCs w:val="24"/>
          <w:shd w:val="clear" w:color="auto" w:fill="FFFFFF"/>
        </w:rPr>
        <w:t>Conspiracy and Attempts</w:t>
      </w:r>
      <w:r w:rsidR="00856ABD" w:rsidRPr="00D74B11">
        <w:rPr>
          <w:i/>
          <w:color w:val="000000"/>
          <w:sz w:val="24"/>
          <w:szCs w:val="24"/>
          <w:shd w:val="clear" w:color="auto" w:fill="FFFFFF"/>
        </w:rPr>
        <w:t xml:space="preserve"> </w:t>
      </w:r>
      <w:r w:rsidR="00856ABD" w:rsidRPr="00D74B11">
        <w:rPr>
          <w:color w:val="000000"/>
          <w:sz w:val="24"/>
          <w:szCs w:val="24"/>
          <w:shd w:val="clear" w:color="auto" w:fill="FFFFFF"/>
        </w:rPr>
        <w:t>(Law Com No 318</w:t>
      </w:r>
      <w:r w:rsidR="006E3076" w:rsidRPr="00D74B11">
        <w:rPr>
          <w:color w:val="000000"/>
          <w:sz w:val="24"/>
          <w:szCs w:val="24"/>
          <w:shd w:val="clear" w:color="auto" w:fill="FFFFFF"/>
        </w:rPr>
        <w:t>, 2007)</w:t>
      </w:r>
    </w:p>
    <w:p w14:paraId="1D0A2688" w14:textId="07E27AC4" w:rsidR="00AB0753" w:rsidRPr="00FA77F3" w:rsidRDefault="006E3076" w:rsidP="00FA77F3">
      <w:pPr>
        <w:pStyle w:val="FootnoteText"/>
        <w:spacing w:afterLines="200" w:after="480" w:line="360" w:lineRule="auto"/>
        <w:rPr>
          <w:sz w:val="24"/>
          <w:szCs w:val="24"/>
        </w:rPr>
      </w:pPr>
      <w:r w:rsidRPr="00D74B11">
        <w:rPr>
          <w:color w:val="000000"/>
          <w:sz w:val="24"/>
          <w:szCs w:val="24"/>
          <w:shd w:val="clear" w:color="auto" w:fill="FFFFFF"/>
        </w:rPr>
        <w:t xml:space="preserve">Law Commission, </w:t>
      </w:r>
      <w:r w:rsidRPr="00D74B11">
        <w:rPr>
          <w:i/>
          <w:color w:val="000000"/>
          <w:sz w:val="24"/>
          <w:szCs w:val="24"/>
          <w:shd w:val="clear" w:color="auto" w:fill="FFFFFF"/>
        </w:rPr>
        <w:t xml:space="preserve">Conspiracy and Attempts </w:t>
      </w:r>
      <w:r w:rsidRPr="00D74B11">
        <w:rPr>
          <w:color w:val="000000"/>
          <w:sz w:val="24"/>
          <w:szCs w:val="24"/>
          <w:shd w:val="clear" w:color="auto" w:fill="FFFFFF"/>
        </w:rPr>
        <w:t>(Law Com No</w:t>
      </w:r>
      <w:r w:rsidRPr="00D74B11">
        <w:rPr>
          <w:sz w:val="24"/>
          <w:szCs w:val="24"/>
        </w:rPr>
        <w:t xml:space="preserve"> 183, 2009)</w:t>
      </w:r>
    </w:p>
    <w:p w14:paraId="2128A206" w14:textId="7B01156B" w:rsidR="00352EB1" w:rsidRPr="00D74B11" w:rsidRDefault="00352EB1" w:rsidP="00D74B11">
      <w:pPr>
        <w:spacing w:afterLines="200" w:after="480" w:line="360" w:lineRule="auto"/>
        <w:rPr>
          <w:rFonts w:ascii="Times New Roman" w:eastAsia="Times New Roman" w:hAnsi="Times New Roman" w:cs="Times New Roman"/>
          <w:b/>
          <w:color w:val="000000"/>
          <w:shd w:val="clear" w:color="auto" w:fill="FFFFFF"/>
        </w:rPr>
      </w:pPr>
      <w:r w:rsidRPr="00D74B11">
        <w:rPr>
          <w:rFonts w:ascii="Times New Roman" w:eastAsia="Times New Roman" w:hAnsi="Times New Roman" w:cs="Times New Roman"/>
          <w:b/>
          <w:color w:val="000000"/>
          <w:shd w:val="clear" w:color="auto" w:fill="FFFFFF"/>
        </w:rPr>
        <w:lastRenderedPageBreak/>
        <w:t>Websites</w:t>
      </w:r>
    </w:p>
    <w:p w14:paraId="44EF096F" w14:textId="104F138A" w:rsidR="00FB4497" w:rsidRPr="00D74B11" w:rsidRDefault="00FB4497" w:rsidP="00D74B11">
      <w:pPr>
        <w:spacing w:afterLines="200" w:after="480" w:line="360" w:lineRule="auto"/>
        <w:rPr>
          <w:rFonts w:ascii="Times New Roman" w:eastAsia="Calibri" w:hAnsi="Times New Roman" w:cs="Times New Roman"/>
        </w:rPr>
      </w:pPr>
      <w:r w:rsidRPr="00D74B11">
        <w:rPr>
          <w:rFonts w:ascii="Times New Roman" w:eastAsia="Times New Roman" w:hAnsi="Times New Roman" w:cs="Times New Roman"/>
          <w:color w:val="000000"/>
          <w:shd w:val="clear" w:color="auto" w:fill="FFFFFF"/>
        </w:rPr>
        <w:t>--</w:t>
      </w:r>
      <w:r w:rsidRPr="00D74B11">
        <w:rPr>
          <w:rFonts w:ascii="Times New Roman" w:hAnsi="Times New Roman" w:cs="Times New Roman"/>
        </w:rPr>
        <w:t>‘Dirty bomb man’s sentence cut’ &lt;</w:t>
      </w:r>
      <w:r w:rsidRPr="00D74B11">
        <w:rPr>
          <w:rFonts w:ascii="Times New Roman" w:eastAsia="Calibri" w:hAnsi="Times New Roman" w:cs="Times New Roman"/>
        </w:rPr>
        <w:t>http://news.bbc.co.uk/1/hi/uk/6661371.stm&gt; Accessed 17</w:t>
      </w:r>
      <w:r w:rsidRPr="00D74B11">
        <w:rPr>
          <w:rFonts w:ascii="Times New Roman" w:eastAsia="Calibri" w:hAnsi="Times New Roman" w:cs="Times New Roman"/>
          <w:vertAlign w:val="superscript"/>
        </w:rPr>
        <w:t>th</w:t>
      </w:r>
      <w:r w:rsidRPr="00D74B11">
        <w:rPr>
          <w:rFonts w:ascii="Times New Roman" w:eastAsia="Calibri" w:hAnsi="Times New Roman" w:cs="Times New Roman"/>
        </w:rPr>
        <w:t xml:space="preserve"> November 2018</w:t>
      </w:r>
    </w:p>
    <w:p w14:paraId="040C5738" w14:textId="07B3A67B" w:rsidR="00FB4497" w:rsidRPr="00FA77F3" w:rsidRDefault="00FB4497" w:rsidP="00D74B11">
      <w:pPr>
        <w:spacing w:afterLines="200" w:after="480" w:line="360" w:lineRule="auto"/>
        <w:rPr>
          <w:rFonts w:ascii="Times New Roman" w:eastAsia="Calibri" w:hAnsi="Times New Roman" w:cs="Times New Roman"/>
        </w:rPr>
      </w:pPr>
      <w:proofErr w:type="gramStart"/>
      <w:r w:rsidRPr="00D74B11">
        <w:rPr>
          <w:rFonts w:ascii="Times New Roman" w:eastAsia="Calibri" w:hAnsi="Times New Roman" w:cs="Times New Roman"/>
        </w:rPr>
        <w:t>--</w:t>
      </w:r>
      <w:r w:rsidRPr="00D74B11">
        <w:rPr>
          <w:rFonts w:ascii="Times New Roman" w:eastAsia="Times New Roman" w:hAnsi="Times New Roman" w:cs="Times New Roman"/>
          <w:lang w:val="en-US"/>
        </w:rPr>
        <w:t>(</w:t>
      </w:r>
      <w:proofErr w:type="gramEnd"/>
      <w:r w:rsidRPr="00D74B11">
        <w:rPr>
          <w:rFonts w:ascii="Times New Roman" w:eastAsia="Times New Roman" w:hAnsi="Times New Roman" w:cs="Times New Roman"/>
          <w:i/>
          <w:iCs/>
          <w:lang w:val="en-US"/>
        </w:rPr>
        <w:t>Judiciary.uk</w:t>
      </w:r>
      <w:r w:rsidRPr="00D74B11">
        <w:rPr>
          <w:rFonts w:ascii="Times New Roman" w:eastAsia="Times New Roman" w:hAnsi="Times New Roman" w:cs="Times New Roman"/>
          <w:lang w:val="en-US"/>
        </w:rPr>
        <w:t>, 2018) &lt;https://www.judiciary.uk/wp-content/uploads/2018/07/r-v-wylie-and-bolland-sentencing.pdf&gt; accessed 15 November 2018</w:t>
      </w:r>
    </w:p>
    <w:p w14:paraId="60BF3B38" w14:textId="3E9F9C28" w:rsidR="00FB4497" w:rsidRPr="00D74B11" w:rsidRDefault="00517A0B" w:rsidP="00D74B11">
      <w:pPr>
        <w:spacing w:afterLines="200" w:after="480" w:line="360" w:lineRule="auto"/>
        <w:rPr>
          <w:rFonts w:ascii="Times New Roman" w:eastAsia="Times New Roman" w:hAnsi="Times New Roman" w:cs="Times New Roman"/>
          <w:color w:val="000000" w:themeColor="text1"/>
        </w:rPr>
      </w:pPr>
      <w:r w:rsidRPr="00D74B11">
        <w:rPr>
          <w:rFonts w:ascii="Times New Roman" w:eastAsia="Times New Roman" w:hAnsi="Times New Roman" w:cs="Times New Roman"/>
          <w:color w:val="000000"/>
          <w:shd w:val="clear" w:color="auto" w:fill="FFFFFF"/>
        </w:rPr>
        <w:t xml:space="preserve">Lane C, 'We Expected </w:t>
      </w:r>
      <w:proofErr w:type="gramStart"/>
      <w:r w:rsidRPr="00D74B11">
        <w:rPr>
          <w:rFonts w:ascii="Times New Roman" w:eastAsia="Times New Roman" w:hAnsi="Times New Roman" w:cs="Times New Roman"/>
          <w:color w:val="000000"/>
          <w:shd w:val="clear" w:color="auto" w:fill="FFFFFF"/>
        </w:rPr>
        <w:t>The</w:t>
      </w:r>
      <w:proofErr w:type="gramEnd"/>
      <w:r w:rsidRPr="00D74B11">
        <w:rPr>
          <w:rFonts w:ascii="Times New Roman" w:eastAsia="Times New Roman" w:hAnsi="Times New Roman" w:cs="Times New Roman"/>
          <w:color w:val="000000"/>
          <w:shd w:val="clear" w:color="auto" w:fill="FFFFFF"/>
        </w:rPr>
        <w:t xml:space="preserve"> War On Terror To Unite Us. What Went Wrong?' (</w:t>
      </w:r>
      <w:r w:rsidRPr="00D74B11">
        <w:rPr>
          <w:rFonts w:ascii="Times New Roman" w:eastAsia="Times New Roman" w:hAnsi="Times New Roman" w:cs="Times New Roman"/>
          <w:i/>
          <w:iCs/>
          <w:color w:val="000000"/>
        </w:rPr>
        <w:t>Washington Post</w:t>
      </w:r>
      <w:r w:rsidRPr="00D74B11">
        <w:rPr>
          <w:rFonts w:ascii="Times New Roman" w:eastAsia="Times New Roman" w:hAnsi="Times New Roman" w:cs="Times New Roman"/>
          <w:color w:val="000000"/>
          <w:shd w:val="clear" w:color="auto" w:fill="FFFFFF"/>
        </w:rPr>
        <w:t>, 2018) &lt;https://www.washingtonpost.com/opinions/we-expected-the-war-on-terror-to-unite-us-what-went-wrong/2018/09/10/5fb58c38-b4ff-11e8-a7b5-</w:t>
      </w:r>
    </w:p>
    <w:p w14:paraId="483B163F" w14:textId="30714890" w:rsidR="004756B5" w:rsidRPr="00D74B11" w:rsidRDefault="00FB4497" w:rsidP="00D74B11">
      <w:pPr>
        <w:spacing w:afterLines="200" w:after="480" w:line="360" w:lineRule="auto"/>
        <w:rPr>
          <w:rFonts w:ascii="Times New Roman" w:eastAsia="Times New Roman" w:hAnsi="Times New Roman" w:cs="Times New Roman"/>
        </w:rPr>
      </w:pPr>
      <w:r w:rsidRPr="00D74B11">
        <w:rPr>
          <w:rFonts w:ascii="Times New Roman" w:eastAsia="Times New Roman" w:hAnsi="Times New Roman" w:cs="Times New Roman"/>
          <w:color w:val="000000"/>
          <w:shd w:val="clear" w:color="auto" w:fill="FFFFFF"/>
        </w:rPr>
        <w:t>--</w:t>
      </w:r>
      <w:r w:rsidR="004756B5" w:rsidRPr="00D74B11">
        <w:rPr>
          <w:rFonts w:ascii="Times New Roman" w:eastAsia="Times New Roman" w:hAnsi="Times New Roman" w:cs="Times New Roman"/>
          <w:color w:val="000000"/>
          <w:shd w:val="clear" w:color="auto" w:fill="FFFFFF"/>
        </w:rPr>
        <w:t xml:space="preserve">'House Of Lords - Reg. V. Secretary Of State </w:t>
      </w:r>
      <w:proofErr w:type="gramStart"/>
      <w:r w:rsidR="004756B5" w:rsidRPr="00D74B11">
        <w:rPr>
          <w:rFonts w:ascii="Times New Roman" w:eastAsia="Times New Roman" w:hAnsi="Times New Roman" w:cs="Times New Roman"/>
          <w:color w:val="000000"/>
          <w:shd w:val="clear" w:color="auto" w:fill="FFFFFF"/>
        </w:rPr>
        <w:t>For</w:t>
      </w:r>
      <w:proofErr w:type="gramEnd"/>
      <w:r w:rsidR="004756B5" w:rsidRPr="00D74B11">
        <w:rPr>
          <w:rFonts w:ascii="Times New Roman" w:eastAsia="Times New Roman" w:hAnsi="Times New Roman" w:cs="Times New Roman"/>
          <w:color w:val="000000"/>
          <w:shd w:val="clear" w:color="auto" w:fill="FFFFFF"/>
        </w:rPr>
        <w:t xml:space="preserve"> The Home Department, Ex Parte V. And Reg. V. Secretary Of State </w:t>
      </w:r>
      <w:proofErr w:type="gramStart"/>
      <w:r w:rsidR="004756B5" w:rsidRPr="00D74B11">
        <w:rPr>
          <w:rFonts w:ascii="Times New Roman" w:eastAsia="Times New Roman" w:hAnsi="Times New Roman" w:cs="Times New Roman"/>
          <w:color w:val="000000"/>
          <w:shd w:val="clear" w:color="auto" w:fill="FFFFFF"/>
        </w:rPr>
        <w:t>For The</w:t>
      </w:r>
      <w:proofErr w:type="gramEnd"/>
      <w:r w:rsidR="004756B5" w:rsidRPr="00D74B11">
        <w:rPr>
          <w:rFonts w:ascii="Times New Roman" w:eastAsia="Times New Roman" w:hAnsi="Times New Roman" w:cs="Times New Roman"/>
          <w:color w:val="000000"/>
          <w:shd w:val="clear" w:color="auto" w:fill="FFFFFF"/>
        </w:rPr>
        <w:t xml:space="preserve"> Home Department, Ex Parte T.' (</w:t>
      </w:r>
      <w:r w:rsidR="004756B5" w:rsidRPr="00D74B11">
        <w:rPr>
          <w:rFonts w:ascii="Times New Roman" w:eastAsia="Times New Roman" w:hAnsi="Times New Roman" w:cs="Times New Roman"/>
          <w:i/>
          <w:iCs/>
          <w:color w:val="000000"/>
        </w:rPr>
        <w:t>Publications.parliament.uk</w:t>
      </w:r>
      <w:r w:rsidR="004756B5" w:rsidRPr="00D74B11">
        <w:rPr>
          <w:rFonts w:ascii="Times New Roman" w:eastAsia="Times New Roman" w:hAnsi="Times New Roman" w:cs="Times New Roman"/>
          <w:color w:val="000000"/>
          <w:shd w:val="clear" w:color="auto" w:fill="FFFFFF"/>
        </w:rPr>
        <w:t>, 2018) &lt;https://publications.parliament.uk/pa/ld199798/ldjudgmt/jd970612/vandt01.htm&gt; accessed 23 November 2018</w:t>
      </w:r>
    </w:p>
    <w:sectPr w:rsidR="004756B5" w:rsidRPr="00D74B11" w:rsidSect="005E4D0B">
      <w:pgSz w:w="11900" w:h="16840"/>
      <w:pgMar w:top="1440" w:right="1440" w:bottom="1440" w:left="1440" w:header="709" w:footer="709" w:gutter="0"/>
      <w:pgNumType w:start="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1F56A" w14:textId="77777777" w:rsidR="003B6A46" w:rsidRDefault="003B6A46" w:rsidP="00101605">
      <w:r>
        <w:separator/>
      </w:r>
    </w:p>
  </w:endnote>
  <w:endnote w:type="continuationSeparator" w:id="0">
    <w:p w14:paraId="38C14D45" w14:textId="77777777" w:rsidR="003B6A46" w:rsidRDefault="003B6A46" w:rsidP="00101605">
      <w:r>
        <w:continuationSeparator/>
      </w:r>
    </w:p>
  </w:endnote>
  <w:endnote w:type="continuationNotice" w:id="1">
    <w:p w14:paraId="1C9F77DA" w14:textId="77777777" w:rsidR="003B6A46" w:rsidRDefault="003B6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0717731"/>
      <w:docPartObj>
        <w:docPartGallery w:val="Page Numbers (Bottom of Page)"/>
        <w:docPartUnique/>
      </w:docPartObj>
    </w:sdtPr>
    <w:sdtEndPr>
      <w:rPr>
        <w:rStyle w:val="PageNumber"/>
      </w:rPr>
    </w:sdtEndPr>
    <w:sdtContent>
      <w:p w14:paraId="15057C40" w14:textId="571FE0D0" w:rsidR="00A600BE" w:rsidRDefault="00A600BE" w:rsidP="00A600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3BAA6B" w14:textId="77777777" w:rsidR="00A600BE" w:rsidRDefault="00A600BE" w:rsidP="000E4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611419"/>
      <w:docPartObj>
        <w:docPartGallery w:val="Page Numbers (Bottom of Page)"/>
        <w:docPartUnique/>
      </w:docPartObj>
    </w:sdtPr>
    <w:sdtEndPr>
      <w:rPr>
        <w:noProof/>
      </w:rPr>
    </w:sdtEndPr>
    <w:sdtContent>
      <w:p w14:paraId="111B28B8" w14:textId="0BAD8202" w:rsidR="005E4D0B" w:rsidRDefault="005E4D0B">
        <w:pPr>
          <w:pStyle w:val="Footer"/>
          <w:jc w:val="center"/>
        </w:pPr>
        <w:r>
          <w:fldChar w:fldCharType="begin"/>
        </w:r>
        <w:r>
          <w:instrText xml:space="preserve"> PAGE   \* MERGEFORMAT </w:instrText>
        </w:r>
        <w:r>
          <w:fldChar w:fldCharType="separate"/>
        </w:r>
        <w:r w:rsidR="00F24248">
          <w:rPr>
            <w:noProof/>
          </w:rPr>
          <w:t>88</w:t>
        </w:r>
        <w:r>
          <w:rPr>
            <w:noProof/>
          </w:rPr>
          <w:fldChar w:fldCharType="end"/>
        </w:r>
      </w:p>
    </w:sdtContent>
  </w:sdt>
  <w:p w14:paraId="12855DC7" w14:textId="256E76ED" w:rsidR="00A600BE" w:rsidRDefault="00F24248" w:rsidP="00F24248">
    <w:pPr>
      <w:spacing w:after="120"/>
      <w:jc w:val="center"/>
    </w:pPr>
    <w:r>
      <w:rPr>
        <w:i/>
      </w:rPr>
      <w:t xml:space="preserve">Northumbria University – ISSN </w:t>
    </w:r>
    <w:r>
      <w:rPr>
        <w:rFonts w:ascii="Calibri" w:hAnsi="Calibri" w:cs="Calibri"/>
        <w:i/>
        <w:color w:val="000000"/>
      </w:rPr>
      <w:t>2632-0452 – All content CC-BY 4.0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808991"/>
      <w:docPartObj>
        <w:docPartGallery w:val="Page Numbers (Bottom of Page)"/>
        <w:docPartUnique/>
      </w:docPartObj>
    </w:sdtPr>
    <w:sdtEndPr>
      <w:rPr>
        <w:noProof/>
      </w:rPr>
    </w:sdtEndPr>
    <w:sdtContent>
      <w:p w14:paraId="0EBDE2DF" w14:textId="7D090B04" w:rsidR="005E4D0B" w:rsidRDefault="005E4D0B">
        <w:pPr>
          <w:pStyle w:val="Footer"/>
          <w:jc w:val="center"/>
        </w:pPr>
        <w:r>
          <w:t>86</w:t>
        </w:r>
      </w:p>
    </w:sdtContent>
  </w:sdt>
  <w:p w14:paraId="5E2C4EA1" w14:textId="7AD7594F" w:rsidR="005E4D0B" w:rsidRDefault="00F24248" w:rsidP="00F24248">
    <w:pPr>
      <w:spacing w:after="120"/>
      <w:jc w:val="center"/>
    </w:pPr>
    <w:r>
      <w:rPr>
        <w:i/>
      </w:rPr>
      <w:t xml:space="preserve">Northumbria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7E04B" w14:textId="77777777" w:rsidR="003B6A46" w:rsidRDefault="003B6A46" w:rsidP="00101605">
      <w:r>
        <w:separator/>
      </w:r>
    </w:p>
  </w:footnote>
  <w:footnote w:type="continuationSeparator" w:id="0">
    <w:p w14:paraId="38337DF8" w14:textId="77777777" w:rsidR="003B6A46" w:rsidRDefault="003B6A46" w:rsidP="00101605">
      <w:r>
        <w:continuationSeparator/>
      </w:r>
    </w:p>
  </w:footnote>
  <w:footnote w:type="continuationNotice" w:id="1">
    <w:p w14:paraId="4C08C696" w14:textId="77777777" w:rsidR="003B6A46" w:rsidRDefault="003B6A46"/>
  </w:footnote>
  <w:footnote w:id="2">
    <w:p w14:paraId="0E53B099" w14:textId="06D99B9E" w:rsidR="00A600BE" w:rsidRPr="00BF69FD" w:rsidRDefault="00A600BE">
      <w:pPr>
        <w:pStyle w:val="FootnoteText"/>
        <w:rPr>
          <w:lang w:val="en-GB"/>
        </w:rPr>
      </w:pPr>
      <w:r w:rsidRPr="00BF69FD">
        <w:rPr>
          <w:rStyle w:val="FootnoteReference"/>
        </w:rPr>
        <w:footnoteRef/>
      </w:r>
      <w:r w:rsidRPr="00BF69FD">
        <w:t xml:space="preserve"> </w:t>
      </w:r>
      <w:r w:rsidRPr="00BF69FD">
        <w:rPr>
          <w:lang w:val="en-GB"/>
        </w:rPr>
        <w:t xml:space="preserve">JF Stephen, </w:t>
      </w:r>
      <w:r w:rsidRPr="00BF69FD">
        <w:rPr>
          <w:i/>
          <w:lang w:val="en-GB"/>
        </w:rPr>
        <w:t>A History of the Criminal Law of England</w:t>
      </w:r>
      <w:r w:rsidRPr="00BF69FD">
        <w:rPr>
          <w:lang w:val="en-GB"/>
        </w:rPr>
        <w:t>, 2 228-229</w:t>
      </w:r>
    </w:p>
    <w:p w14:paraId="25DD3EC0" w14:textId="183F65A3" w:rsidR="00A600BE" w:rsidRPr="00BF69FD" w:rsidRDefault="00A600BE" w:rsidP="00B5687F">
      <w:pPr>
        <w:rPr>
          <w:rFonts w:ascii="Times New Roman" w:eastAsia="Times New Roman" w:hAnsi="Times New Roman" w:cs="Times New Roman"/>
          <w:color w:val="000000"/>
          <w:sz w:val="20"/>
          <w:szCs w:val="20"/>
          <w:shd w:val="clear" w:color="auto" w:fill="FFFFFF"/>
        </w:rPr>
      </w:pPr>
      <w:r w:rsidRPr="00BF69FD">
        <w:rPr>
          <w:rFonts w:ascii="Times New Roman" w:hAnsi="Times New Roman" w:cs="Times New Roman"/>
          <w:sz w:val="20"/>
          <w:szCs w:val="20"/>
        </w:rPr>
        <w:t xml:space="preserve">See also: </w:t>
      </w:r>
      <w:r w:rsidRPr="00BF69FD">
        <w:rPr>
          <w:rFonts w:ascii="Times New Roman" w:eastAsia="Times New Roman" w:hAnsi="Times New Roman" w:cs="Times New Roman"/>
          <w:color w:val="000000"/>
          <w:sz w:val="20"/>
          <w:szCs w:val="20"/>
          <w:shd w:val="clear" w:color="auto" w:fill="FFFFFF"/>
        </w:rPr>
        <w:t xml:space="preserve">CR </w:t>
      </w:r>
      <w:proofErr w:type="spellStart"/>
      <w:r w:rsidRPr="00BF69FD">
        <w:rPr>
          <w:rFonts w:ascii="Times New Roman" w:eastAsia="Times New Roman" w:hAnsi="Times New Roman" w:cs="Times New Roman"/>
          <w:color w:val="000000"/>
          <w:sz w:val="20"/>
          <w:szCs w:val="20"/>
          <w:shd w:val="clear" w:color="auto" w:fill="FFFFFF"/>
        </w:rPr>
        <w:t>Snyman</w:t>
      </w:r>
      <w:proofErr w:type="spellEnd"/>
      <w:r w:rsidRPr="00BF69FD">
        <w:rPr>
          <w:rFonts w:ascii="Times New Roman" w:eastAsia="Times New Roman" w:hAnsi="Times New Roman" w:cs="Times New Roman"/>
          <w:color w:val="000000"/>
          <w:sz w:val="20"/>
          <w:szCs w:val="20"/>
          <w:shd w:val="clear" w:color="auto" w:fill="FFFFFF"/>
        </w:rPr>
        <w:t xml:space="preserve">, 'The History </w:t>
      </w:r>
      <w:proofErr w:type="gramStart"/>
      <w:r w:rsidRPr="00BF69FD">
        <w:rPr>
          <w:rFonts w:ascii="Times New Roman" w:eastAsia="Times New Roman" w:hAnsi="Times New Roman" w:cs="Times New Roman"/>
          <w:color w:val="000000"/>
          <w:sz w:val="20"/>
          <w:szCs w:val="20"/>
          <w:shd w:val="clear" w:color="auto" w:fill="FFFFFF"/>
        </w:rPr>
        <w:t>And Rationale Of</w:t>
      </w:r>
      <w:proofErr w:type="gramEnd"/>
      <w:r w:rsidRPr="00BF69FD">
        <w:rPr>
          <w:rFonts w:ascii="Times New Roman" w:eastAsia="Times New Roman" w:hAnsi="Times New Roman" w:cs="Times New Roman"/>
          <w:color w:val="000000"/>
          <w:sz w:val="20"/>
          <w:szCs w:val="20"/>
          <w:shd w:val="clear" w:color="auto" w:fill="FFFFFF"/>
        </w:rPr>
        <w:t xml:space="preserve"> Criminal Conspiracy' (1984) 17 The Comparative and International Law Journal of Southern Africa.</w:t>
      </w:r>
    </w:p>
  </w:footnote>
  <w:footnote w:id="3">
    <w:p w14:paraId="716CEEC5" w14:textId="5CD61724" w:rsidR="00A600BE" w:rsidRPr="00BF69FD" w:rsidRDefault="00A600BE" w:rsidP="00101605">
      <w:pPr>
        <w:pStyle w:val="FootnoteText"/>
      </w:pPr>
      <w:r w:rsidRPr="00BF69FD">
        <w:rPr>
          <w:rStyle w:val="FootnoteReference"/>
        </w:rPr>
        <w:footnoteRef/>
      </w:r>
      <w:r w:rsidRPr="00BF69FD">
        <w:t xml:space="preserve"> Dr Michael </w:t>
      </w:r>
      <w:proofErr w:type="spellStart"/>
      <w:r w:rsidRPr="00BF69FD">
        <w:t>Arnheim</w:t>
      </w:r>
      <w:proofErr w:type="spellEnd"/>
      <w:r w:rsidRPr="00BF69FD">
        <w:t xml:space="preserve">, ‘A conspiracy too far?’ </w:t>
      </w:r>
      <w:r w:rsidRPr="00BF69FD">
        <w:rPr>
          <w:rFonts w:eastAsia="Calibri"/>
          <w:lang w:val="en-GB"/>
        </w:rPr>
        <w:t>(2018) 168 The New Law Journal</w:t>
      </w:r>
      <w:r w:rsidRPr="00BF69FD">
        <w:t xml:space="preserve"> </w:t>
      </w:r>
    </w:p>
  </w:footnote>
  <w:footnote w:id="4">
    <w:p w14:paraId="3B1548AF" w14:textId="6A4F71A6" w:rsidR="00A600BE" w:rsidRPr="00BF69FD" w:rsidRDefault="00A600BE" w:rsidP="00101605">
      <w:pPr>
        <w:pStyle w:val="FootnoteText"/>
      </w:pPr>
      <w:r w:rsidRPr="00BF69FD">
        <w:rPr>
          <w:rStyle w:val="FootnoteReference"/>
        </w:rPr>
        <w:footnoteRef/>
      </w:r>
      <w:r w:rsidRPr="00BF69FD">
        <w:t xml:space="preserve">  Law Commission, </w:t>
      </w:r>
      <w:r w:rsidRPr="00BF69FD">
        <w:rPr>
          <w:rFonts w:eastAsia="Calibri"/>
          <w:lang w:val="en-GB"/>
        </w:rPr>
        <w:t xml:space="preserve">'Conspiracy And Attempts | Law Commission' (2018) </w:t>
      </w:r>
    </w:p>
  </w:footnote>
  <w:footnote w:id="5">
    <w:p w14:paraId="6524A7AC" w14:textId="5837D5F1" w:rsidR="00A600BE" w:rsidRPr="00BF69FD" w:rsidRDefault="00A600BE" w:rsidP="004578A1">
      <w:pPr>
        <w:rPr>
          <w:rFonts w:ascii="Times New Roman" w:eastAsia="Times New Roman" w:hAnsi="Times New Roman" w:cs="Times New Roman"/>
          <w:sz w:val="20"/>
          <w:szCs w:val="20"/>
        </w:rPr>
      </w:pPr>
      <w:r w:rsidRPr="00BF69FD">
        <w:rPr>
          <w:rStyle w:val="FootnoteReference"/>
          <w:rFonts w:ascii="Times New Roman" w:hAnsi="Times New Roman" w:cs="Times New Roman"/>
          <w:sz w:val="20"/>
          <w:szCs w:val="20"/>
        </w:rPr>
        <w:footnoteRef/>
      </w:r>
      <w:r w:rsidRPr="00BF69FD">
        <w:rPr>
          <w:rFonts w:ascii="Times New Roman" w:hAnsi="Times New Roman" w:cs="Times New Roman"/>
          <w:sz w:val="20"/>
          <w:szCs w:val="20"/>
        </w:rPr>
        <w:t xml:space="preserve"> </w:t>
      </w:r>
      <w:r w:rsidRPr="00BF69FD">
        <w:rPr>
          <w:rFonts w:ascii="Times New Roman" w:eastAsia="Times New Roman" w:hAnsi="Times New Roman" w:cs="Times New Roman"/>
          <w:color w:val="000000"/>
          <w:sz w:val="20"/>
          <w:szCs w:val="20"/>
          <w:shd w:val="clear" w:color="auto" w:fill="FFFFFF"/>
        </w:rPr>
        <w:t xml:space="preserve">Paul Jarvis and Michael </w:t>
      </w:r>
      <w:proofErr w:type="spellStart"/>
      <w:r w:rsidRPr="00BF69FD">
        <w:rPr>
          <w:rFonts w:ascii="Times New Roman" w:eastAsia="Times New Roman" w:hAnsi="Times New Roman" w:cs="Times New Roman"/>
          <w:color w:val="000000"/>
          <w:sz w:val="20"/>
          <w:szCs w:val="20"/>
          <w:shd w:val="clear" w:color="auto" w:fill="FFFFFF"/>
        </w:rPr>
        <w:t>Bisgrove</w:t>
      </w:r>
      <w:proofErr w:type="spellEnd"/>
      <w:r w:rsidRPr="00BF69FD">
        <w:rPr>
          <w:rFonts w:ascii="Times New Roman" w:eastAsia="Times New Roman" w:hAnsi="Times New Roman" w:cs="Times New Roman"/>
          <w:color w:val="000000"/>
          <w:sz w:val="20"/>
          <w:szCs w:val="20"/>
          <w:shd w:val="clear" w:color="auto" w:fill="FFFFFF"/>
        </w:rPr>
        <w:t xml:space="preserve">, 'The Use </w:t>
      </w:r>
      <w:proofErr w:type="gramStart"/>
      <w:r w:rsidRPr="00BF69FD">
        <w:rPr>
          <w:rFonts w:ascii="Times New Roman" w:eastAsia="Times New Roman" w:hAnsi="Times New Roman" w:cs="Times New Roman"/>
          <w:color w:val="000000"/>
          <w:sz w:val="20"/>
          <w:szCs w:val="20"/>
          <w:shd w:val="clear" w:color="auto" w:fill="FFFFFF"/>
        </w:rPr>
        <w:t>And</w:t>
      </w:r>
      <w:proofErr w:type="gramEnd"/>
      <w:r w:rsidRPr="00BF69FD">
        <w:rPr>
          <w:rFonts w:ascii="Times New Roman" w:eastAsia="Times New Roman" w:hAnsi="Times New Roman" w:cs="Times New Roman"/>
          <w:color w:val="000000"/>
          <w:sz w:val="20"/>
          <w:szCs w:val="20"/>
          <w:shd w:val="clear" w:color="auto" w:fill="FFFFFF"/>
        </w:rPr>
        <w:t xml:space="preserve"> Abuse Of Conspiracy' (2014) 4 Criminal Law Review.</w:t>
      </w:r>
    </w:p>
  </w:footnote>
  <w:footnote w:id="6">
    <w:p w14:paraId="173F4EC1" w14:textId="0A82A257" w:rsidR="00A600BE" w:rsidRPr="0016399D" w:rsidRDefault="00A600BE">
      <w:pPr>
        <w:pStyle w:val="FootnoteText"/>
        <w:rPr>
          <w:lang w:val="en-GB"/>
        </w:rPr>
      </w:pPr>
      <w:r w:rsidRPr="00BF69FD">
        <w:rPr>
          <w:rStyle w:val="FootnoteReference"/>
        </w:rPr>
        <w:footnoteRef/>
      </w:r>
      <w:r w:rsidR="0016399D">
        <w:t xml:space="preserve"> </w:t>
      </w:r>
      <w:r w:rsidRPr="00BF69FD">
        <w:t>Jacqueline Martin and Tony Storey</w:t>
      </w:r>
      <w:r w:rsidR="0016399D">
        <w:t xml:space="preserve">, </w:t>
      </w:r>
      <w:r w:rsidR="00FA77F3">
        <w:rPr>
          <w:i/>
        </w:rPr>
        <w:t>Unlocking Criminal Law (</w:t>
      </w:r>
      <w:r w:rsidR="00FA77F3" w:rsidRPr="00FA77F3">
        <w:t>6</w:t>
      </w:r>
      <w:r w:rsidR="00FA77F3" w:rsidRPr="00FA77F3">
        <w:rPr>
          <w:vertAlign w:val="superscript"/>
        </w:rPr>
        <w:t>th</w:t>
      </w:r>
      <w:r w:rsidR="00FA77F3" w:rsidRPr="00FA77F3">
        <w:t xml:space="preserve"> </w:t>
      </w:r>
      <w:proofErr w:type="spellStart"/>
      <w:r w:rsidR="00FA77F3" w:rsidRPr="00FA77F3">
        <w:t>edn</w:t>
      </w:r>
      <w:proofErr w:type="spellEnd"/>
      <w:r w:rsidR="00FA77F3" w:rsidRPr="00FA77F3">
        <w:t xml:space="preserve"> Routledge</w:t>
      </w:r>
      <w:r w:rsidR="00FA77F3">
        <w:rPr>
          <w:i/>
        </w:rPr>
        <w:t>)</w:t>
      </w:r>
      <w:r w:rsidR="0016399D">
        <w:rPr>
          <w:i/>
        </w:rPr>
        <w:t xml:space="preserve"> </w:t>
      </w:r>
      <w:r w:rsidR="0016399D">
        <w:t>chapter 6.3</w:t>
      </w:r>
    </w:p>
  </w:footnote>
  <w:footnote w:id="7">
    <w:p w14:paraId="1751A818" w14:textId="5707C44C" w:rsidR="00A600BE" w:rsidRPr="00BF69FD" w:rsidRDefault="00A600BE" w:rsidP="000F124E">
      <w:pPr>
        <w:pStyle w:val="FootnoteText"/>
      </w:pPr>
      <w:r w:rsidRPr="00BF69FD">
        <w:rPr>
          <w:rStyle w:val="FootnoteReference"/>
        </w:rPr>
        <w:footnoteRef/>
      </w:r>
      <w:r w:rsidRPr="00BF69FD">
        <w:t xml:space="preserve"> Criminal Law Act 1977, S.1</w:t>
      </w:r>
    </w:p>
  </w:footnote>
  <w:footnote w:id="8">
    <w:p w14:paraId="74F28FA6" w14:textId="6D45D68E" w:rsidR="00A600BE" w:rsidRPr="00B53C9C" w:rsidRDefault="00A600BE">
      <w:pPr>
        <w:pStyle w:val="FootnoteText"/>
        <w:rPr>
          <w:lang w:val="en-GB"/>
        </w:rPr>
      </w:pPr>
      <w:r w:rsidRPr="00BF69FD">
        <w:rPr>
          <w:rStyle w:val="FootnoteReference"/>
        </w:rPr>
        <w:footnoteRef/>
      </w:r>
      <w:r w:rsidRPr="00BF69FD">
        <w:t xml:space="preserve"> </w:t>
      </w:r>
      <w:r w:rsidRPr="00BF69FD">
        <w:rPr>
          <w:lang w:val="en-GB"/>
        </w:rPr>
        <w:t>Sir Edward Coke,</w:t>
      </w:r>
      <w:r w:rsidRPr="0016399D">
        <w:rPr>
          <w:i/>
          <w:lang w:val="en-GB"/>
        </w:rPr>
        <w:t xml:space="preserve"> Institutes of the Laws of England</w:t>
      </w:r>
      <w:r w:rsidRPr="00BF69FD">
        <w:rPr>
          <w:lang w:val="en-GB"/>
        </w:rPr>
        <w:t xml:space="preserve"> </w:t>
      </w:r>
      <w:r w:rsidR="00FA77F3">
        <w:rPr>
          <w:lang w:val="en-GB"/>
        </w:rPr>
        <w:t>(</w:t>
      </w:r>
      <w:r w:rsidRPr="00BF69FD">
        <w:rPr>
          <w:lang w:val="en-GB"/>
        </w:rPr>
        <w:t>17</w:t>
      </w:r>
      <w:bookmarkStart w:id="1" w:name="_GoBack"/>
      <w:bookmarkEnd w:id="1"/>
      <w:r w:rsidRPr="00BF69FD">
        <w:rPr>
          <w:lang w:val="en-GB"/>
        </w:rPr>
        <w:t>97</w:t>
      </w:r>
      <w:r w:rsidR="00FA77F3">
        <w:rPr>
          <w:lang w:val="en-GB"/>
        </w:rPr>
        <w:t>)</w:t>
      </w:r>
    </w:p>
  </w:footnote>
  <w:footnote w:id="9">
    <w:p w14:paraId="50B0C0DB" w14:textId="4DF2472E" w:rsidR="00A600BE" w:rsidRPr="0016399D" w:rsidRDefault="00A600BE">
      <w:pPr>
        <w:pStyle w:val="FootnoteText"/>
        <w:rPr>
          <w:lang w:val="en-GB"/>
        </w:rPr>
      </w:pPr>
      <w:r w:rsidRPr="0016399D">
        <w:rPr>
          <w:rStyle w:val="FootnoteReference"/>
        </w:rPr>
        <w:footnoteRef/>
      </w:r>
      <w:r w:rsidR="00FA77F3">
        <w:t xml:space="preserve"> Criminal Law Act 1977 S</w:t>
      </w:r>
      <w:r w:rsidRPr="0016399D">
        <w:t xml:space="preserve"> 1(1)</w:t>
      </w:r>
    </w:p>
  </w:footnote>
  <w:footnote w:id="10">
    <w:p w14:paraId="36679D47" w14:textId="5EF282AB" w:rsidR="00A600BE" w:rsidRPr="0016399D" w:rsidRDefault="00A600BE" w:rsidP="000F124E">
      <w:pPr>
        <w:pStyle w:val="FootnoteText"/>
      </w:pPr>
      <w:r w:rsidRPr="0016399D">
        <w:rPr>
          <w:rStyle w:val="FootnoteReference"/>
        </w:rPr>
        <w:footnoteRef/>
      </w:r>
      <w:r w:rsidR="00FA77F3">
        <w:t xml:space="preserve"> Criminal Law Act 1977 S</w:t>
      </w:r>
      <w:r w:rsidRPr="0016399D">
        <w:t xml:space="preserve"> 2</w:t>
      </w:r>
    </w:p>
  </w:footnote>
  <w:footnote w:id="11">
    <w:p w14:paraId="5918B345" w14:textId="70B30D1F" w:rsidR="00A600BE" w:rsidRPr="0016399D" w:rsidRDefault="00A600BE">
      <w:pPr>
        <w:pStyle w:val="FootnoteText"/>
        <w:rPr>
          <w:lang w:val="en-GB"/>
        </w:rPr>
      </w:pPr>
      <w:r w:rsidRPr="0016399D">
        <w:rPr>
          <w:rStyle w:val="FootnoteReference"/>
        </w:rPr>
        <w:footnoteRef/>
      </w:r>
      <w:r w:rsidRPr="0016399D">
        <w:t xml:space="preserve"> </w:t>
      </w:r>
      <w:r w:rsidRPr="0016399D">
        <w:rPr>
          <w:i/>
        </w:rPr>
        <w:t>R v Khalil and Others</w:t>
      </w:r>
      <w:r w:rsidRPr="0016399D">
        <w:t xml:space="preserve"> [2003] EWCA </w:t>
      </w:r>
      <w:proofErr w:type="spellStart"/>
      <w:r w:rsidRPr="0016399D">
        <w:t>Crim</w:t>
      </w:r>
      <w:proofErr w:type="spellEnd"/>
      <w:r w:rsidRPr="0016399D">
        <w:t xml:space="preserve"> 3467</w:t>
      </w:r>
    </w:p>
  </w:footnote>
  <w:footnote w:id="12">
    <w:p w14:paraId="76C81CFD" w14:textId="4157B4EC" w:rsidR="00A600BE" w:rsidRPr="00D74B11" w:rsidRDefault="00A600BE">
      <w:pPr>
        <w:pStyle w:val="FootnoteText"/>
        <w:rPr>
          <w:lang w:val="es-ES"/>
        </w:rPr>
      </w:pPr>
      <w:r w:rsidRPr="0016399D">
        <w:rPr>
          <w:rStyle w:val="FootnoteReference"/>
        </w:rPr>
        <w:footnoteRef/>
      </w:r>
      <w:r w:rsidRPr="00D74B11">
        <w:rPr>
          <w:lang w:val="es-ES"/>
        </w:rPr>
        <w:t xml:space="preserve"> </w:t>
      </w:r>
      <w:r w:rsidRPr="00D74B11">
        <w:rPr>
          <w:i/>
          <w:lang w:val="es-ES"/>
        </w:rPr>
        <w:t xml:space="preserve">R v </w:t>
      </w:r>
      <w:proofErr w:type="spellStart"/>
      <w:r w:rsidRPr="00D74B11">
        <w:rPr>
          <w:i/>
          <w:lang w:val="es-ES"/>
        </w:rPr>
        <w:t>Mehta</w:t>
      </w:r>
      <w:proofErr w:type="spellEnd"/>
      <w:r w:rsidRPr="00D74B11">
        <w:rPr>
          <w:i/>
          <w:lang w:val="es-ES"/>
        </w:rPr>
        <w:t xml:space="preserve"> (</w:t>
      </w:r>
      <w:proofErr w:type="spellStart"/>
      <w:r w:rsidRPr="00D74B11">
        <w:rPr>
          <w:i/>
          <w:lang w:val="es-ES"/>
        </w:rPr>
        <w:t>Subhash</w:t>
      </w:r>
      <w:proofErr w:type="spellEnd"/>
      <w:r w:rsidRPr="00D74B11">
        <w:rPr>
          <w:i/>
          <w:lang w:val="es-ES"/>
        </w:rPr>
        <w:t>)</w:t>
      </w:r>
      <w:r w:rsidRPr="00D74B11">
        <w:rPr>
          <w:lang w:val="es-ES"/>
        </w:rPr>
        <w:t xml:space="preserve"> [2012] EWCA </w:t>
      </w:r>
      <w:proofErr w:type="spellStart"/>
      <w:r w:rsidRPr="00D74B11">
        <w:rPr>
          <w:lang w:val="es-ES"/>
        </w:rPr>
        <w:t>Crim</w:t>
      </w:r>
      <w:proofErr w:type="spellEnd"/>
      <w:r w:rsidRPr="00D74B11">
        <w:rPr>
          <w:lang w:val="es-ES"/>
        </w:rPr>
        <w:t xml:space="preserve"> 2824</w:t>
      </w:r>
    </w:p>
  </w:footnote>
  <w:footnote w:id="13">
    <w:p w14:paraId="0A0EDF82" w14:textId="1C9D3607" w:rsidR="00A600BE" w:rsidRPr="0016399D" w:rsidRDefault="00A600BE">
      <w:pPr>
        <w:pStyle w:val="FootnoteText"/>
        <w:rPr>
          <w:lang w:val="en-GB"/>
        </w:rPr>
      </w:pPr>
      <w:r w:rsidRPr="0016399D">
        <w:rPr>
          <w:rStyle w:val="FootnoteReference"/>
        </w:rPr>
        <w:footnoteRef/>
      </w:r>
      <w:r w:rsidRPr="0016399D">
        <w:t xml:space="preserve"> </w:t>
      </w:r>
      <w:r w:rsidRPr="0016399D">
        <w:rPr>
          <w:i/>
          <w:lang w:val="en-GB"/>
        </w:rPr>
        <w:t>Khalil</w:t>
      </w:r>
      <w:r w:rsidRPr="0016399D">
        <w:rPr>
          <w:lang w:val="en-GB"/>
        </w:rPr>
        <w:t xml:space="preserve"> (n 10)</w:t>
      </w:r>
    </w:p>
  </w:footnote>
  <w:footnote w:id="14">
    <w:p w14:paraId="00B66936" w14:textId="1221E1BE" w:rsidR="00A600BE" w:rsidRPr="0016399D" w:rsidRDefault="00A600BE">
      <w:pPr>
        <w:pStyle w:val="FootnoteText"/>
        <w:rPr>
          <w:lang w:val="en-GB"/>
        </w:rPr>
      </w:pPr>
      <w:r w:rsidRPr="0016399D">
        <w:rPr>
          <w:rStyle w:val="FootnoteReference"/>
        </w:rPr>
        <w:footnoteRef/>
      </w:r>
      <w:r w:rsidRPr="0016399D">
        <w:t xml:space="preserve"> Offences Against the Person Act 1861 c 100 </w:t>
      </w:r>
      <w:r w:rsidR="00FA77F3">
        <w:t xml:space="preserve">(Regnal 24 and 25 </w:t>
      </w:r>
      <w:proofErr w:type="spellStart"/>
      <w:r w:rsidR="00FA77F3">
        <w:t>Vict</w:t>
      </w:r>
      <w:proofErr w:type="spellEnd"/>
      <w:r w:rsidR="00FA77F3">
        <w:t xml:space="preserve">) S </w:t>
      </w:r>
      <w:r w:rsidRPr="0016399D">
        <w:t>4</w:t>
      </w:r>
    </w:p>
  </w:footnote>
  <w:footnote w:id="15">
    <w:p w14:paraId="19F90087" w14:textId="39D100A3" w:rsidR="00A600BE" w:rsidRPr="0016399D" w:rsidRDefault="00A600BE">
      <w:pPr>
        <w:pStyle w:val="FootnoteText"/>
        <w:rPr>
          <w:lang w:val="en-GB"/>
        </w:rPr>
      </w:pPr>
      <w:r w:rsidRPr="0016399D">
        <w:rPr>
          <w:rStyle w:val="FootnoteReference"/>
        </w:rPr>
        <w:footnoteRef/>
      </w:r>
      <w:r w:rsidR="00FA77F3">
        <w:t xml:space="preserve"> Criminal Law Act 1977 S </w:t>
      </w:r>
      <w:r w:rsidRPr="0016399D">
        <w:t>3(2)(a)</w:t>
      </w:r>
    </w:p>
  </w:footnote>
  <w:footnote w:id="16">
    <w:p w14:paraId="229F0736" w14:textId="06544555" w:rsidR="00A600BE" w:rsidRPr="0016399D" w:rsidRDefault="00A600BE" w:rsidP="230547FE">
      <w:pPr>
        <w:pStyle w:val="FootnoteText"/>
      </w:pPr>
      <w:r w:rsidRPr="0016399D">
        <w:rPr>
          <w:rStyle w:val="FootnoteReference"/>
        </w:rPr>
        <w:footnoteRef/>
      </w:r>
      <w:r w:rsidRPr="0016399D">
        <w:t xml:space="preserve"> </w:t>
      </w:r>
      <w:r w:rsidRPr="0016399D">
        <w:rPr>
          <w:i/>
          <w:iCs/>
        </w:rPr>
        <w:t>R v Raw</w:t>
      </w:r>
      <w:r w:rsidRPr="0016399D">
        <w:t xml:space="preserve"> (1983) 5 Cr App R (S) 229</w:t>
      </w:r>
    </w:p>
  </w:footnote>
  <w:footnote w:id="17">
    <w:p w14:paraId="74A5CB79" w14:textId="6A60679F" w:rsidR="00A600BE" w:rsidRDefault="00A600BE" w:rsidP="230547FE">
      <w:pPr>
        <w:pStyle w:val="FootnoteText"/>
      </w:pPr>
      <w:r w:rsidRPr="0016399D">
        <w:rPr>
          <w:rStyle w:val="FootnoteReference"/>
        </w:rPr>
        <w:footnoteRef/>
      </w:r>
      <w:r w:rsidRPr="0016399D">
        <w:t xml:space="preserve"> </w:t>
      </w:r>
      <w:r w:rsidRPr="0016399D">
        <w:rPr>
          <w:i/>
          <w:iCs/>
        </w:rPr>
        <w:t>R v</w:t>
      </w:r>
      <w:r w:rsidRPr="0016399D">
        <w:rPr>
          <w:i/>
        </w:rPr>
        <w:t xml:space="preserve"> </w:t>
      </w:r>
      <w:proofErr w:type="spellStart"/>
      <w:r w:rsidRPr="0016399D">
        <w:rPr>
          <w:i/>
        </w:rPr>
        <w:t>Daddow</w:t>
      </w:r>
      <w:proofErr w:type="spellEnd"/>
      <w:r w:rsidRPr="0016399D">
        <w:t xml:space="preserve"> [1996] 2 Cr App R (S) 10</w:t>
      </w:r>
    </w:p>
  </w:footnote>
  <w:footnote w:id="18">
    <w:p w14:paraId="387107AC" w14:textId="178EF08A" w:rsidR="00A600BE" w:rsidRPr="00C46798" w:rsidRDefault="00A600BE" w:rsidP="680B1F56">
      <w:pPr>
        <w:pStyle w:val="FootnoteText"/>
      </w:pPr>
      <w:r w:rsidRPr="00C46798">
        <w:rPr>
          <w:rStyle w:val="FootnoteReference"/>
        </w:rPr>
        <w:footnoteRef/>
      </w:r>
      <w:r w:rsidRPr="00C46798">
        <w:t xml:space="preserve"> </w:t>
      </w:r>
      <w:r w:rsidRPr="00C46798">
        <w:rPr>
          <w:rFonts w:eastAsia="Arial"/>
          <w:lang w:val="en-GB"/>
        </w:rPr>
        <w:t xml:space="preserve">‘IX. CRIMINAL LAW THEORY: PUNISHMENT’ Aileen Kavanagh and John </w:t>
      </w:r>
      <w:proofErr w:type="spellStart"/>
      <w:r w:rsidRPr="00C46798">
        <w:rPr>
          <w:rFonts w:eastAsia="Arial"/>
          <w:lang w:val="en-GB"/>
        </w:rPr>
        <w:t>Oberdiek</w:t>
      </w:r>
      <w:proofErr w:type="spellEnd"/>
      <w:r w:rsidRPr="00C46798">
        <w:rPr>
          <w:rFonts w:eastAsia="Arial"/>
          <w:lang w:val="en-GB"/>
        </w:rPr>
        <w:t>, ’</w:t>
      </w:r>
      <w:r w:rsidRPr="00C46798">
        <w:rPr>
          <w:i/>
          <w:iCs/>
        </w:rPr>
        <w:t>Arguing About Law‘</w:t>
      </w:r>
      <w:r w:rsidRPr="00C46798">
        <w:rPr>
          <w:i/>
        </w:rPr>
        <w:t xml:space="preserve"> </w:t>
      </w:r>
      <w:r w:rsidRPr="00C46798">
        <w:rPr>
          <w:i/>
          <w:iCs/>
        </w:rPr>
        <w:t>(</w:t>
      </w:r>
      <w:r w:rsidRPr="00C46798">
        <w:t>Taylor and Francis 2013)</w:t>
      </w:r>
      <w:r w:rsidR="00FA77F3">
        <w:rPr>
          <w:rFonts w:eastAsia="Arial"/>
          <w:lang w:val="en-GB"/>
        </w:rPr>
        <w:t xml:space="preserve"> </w:t>
      </w:r>
      <w:r w:rsidRPr="00C46798">
        <w:rPr>
          <w:rFonts w:eastAsia="Arial"/>
          <w:lang w:val="en-GB"/>
        </w:rPr>
        <w:t xml:space="preserve"> 469</w:t>
      </w:r>
    </w:p>
  </w:footnote>
  <w:footnote w:id="19">
    <w:p w14:paraId="38FDE08C" w14:textId="6566A7EE" w:rsidR="00A600BE" w:rsidRPr="00C46798" w:rsidRDefault="00A600BE" w:rsidP="680B1F56">
      <w:pPr>
        <w:pStyle w:val="FootnoteText"/>
      </w:pPr>
      <w:r w:rsidRPr="00C46798">
        <w:rPr>
          <w:rStyle w:val="FootnoteReference"/>
        </w:rPr>
        <w:footnoteRef/>
      </w:r>
      <w:r w:rsidRPr="00C46798">
        <w:rPr>
          <w:rFonts w:eastAsia="Arial"/>
        </w:rPr>
        <w:t xml:space="preserve"> </w:t>
      </w:r>
      <w:r w:rsidRPr="00C46798">
        <w:rPr>
          <w:rFonts w:eastAsia="Arial"/>
          <w:lang w:val="en-GB"/>
        </w:rPr>
        <w:t xml:space="preserve">Bentham as cited by </w:t>
      </w:r>
      <w:r w:rsidRPr="00C46798">
        <w:rPr>
          <w:lang w:val="en-GB"/>
        </w:rPr>
        <w:t xml:space="preserve">Aileen Kavanagh and John </w:t>
      </w:r>
      <w:proofErr w:type="spellStart"/>
      <w:r w:rsidRPr="00C46798">
        <w:rPr>
          <w:lang w:val="en-GB"/>
        </w:rPr>
        <w:t>Oberdiek</w:t>
      </w:r>
      <w:proofErr w:type="spellEnd"/>
      <w:r w:rsidRPr="00C46798">
        <w:rPr>
          <w:lang w:val="en-GB"/>
        </w:rPr>
        <w:t xml:space="preserve">, </w:t>
      </w:r>
      <w:r w:rsidRPr="00C46798">
        <w:rPr>
          <w:i/>
          <w:iCs/>
          <w:lang w:val="en-GB"/>
        </w:rPr>
        <w:t>Arguing About Law</w:t>
      </w:r>
      <w:r w:rsidR="00FA77F3">
        <w:rPr>
          <w:lang w:val="en-GB"/>
        </w:rPr>
        <w:t xml:space="preserve"> (Taylor and Francis 2013)</w:t>
      </w:r>
      <w:r w:rsidRPr="00C46798">
        <w:rPr>
          <w:lang w:val="en-GB"/>
        </w:rPr>
        <w:t xml:space="preserve"> 469</w:t>
      </w:r>
    </w:p>
  </w:footnote>
  <w:footnote w:id="20">
    <w:p w14:paraId="07B1077E" w14:textId="4A800B85" w:rsidR="00A600BE" w:rsidRPr="00C46798" w:rsidRDefault="00A600BE" w:rsidP="680B1F56">
      <w:pPr>
        <w:pStyle w:val="FootnoteText"/>
      </w:pPr>
      <w:r w:rsidRPr="00C46798">
        <w:rPr>
          <w:rStyle w:val="FootnoteReference"/>
        </w:rPr>
        <w:footnoteRef/>
      </w:r>
      <w:r w:rsidRPr="00C46798">
        <w:t xml:space="preserve"> </w:t>
      </w:r>
      <w:r w:rsidR="00FA77F3">
        <w:rPr>
          <w:rFonts w:eastAsia="Calibri"/>
          <w:lang w:val="en-GB"/>
        </w:rPr>
        <w:t xml:space="preserve">Kavanagh and </w:t>
      </w:r>
      <w:proofErr w:type="spellStart"/>
      <w:r w:rsidR="00FA77F3">
        <w:rPr>
          <w:rFonts w:eastAsia="Calibri"/>
          <w:lang w:val="en-GB"/>
        </w:rPr>
        <w:t>Oberdiek</w:t>
      </w:r>
      <w:proofErr w:type="spellEnd"/>
      <w:r w:rsidR="00FA77F3">
        <w:rPr>
          <w:rFonts w:eastAsia="Calibri"/>
          <w:lang w:val="en-GB"/>
        </w:rPr>
        <w:t xml:space="preserve">, (n 17) </w:t>
      </w:r>
      <w:r w:rsidRPr="00C46798">
        <w:rPr>
          <w:rFonts w:eastAsia="Calibri"/>
          <w:lang w:val="en-GB"/>
        </w:rPr>
        <w:t xml:space="preserve"> 469-470</w:t>
      </w:r>
    </w:p>
  </w:footnote>
  <w:footnote w:id="21">
    <w:p w14:paraId="16EB56AE" w14:textId="597A7154" w:rsidR="00A600BE" w:rsidRPr="00C46798" w:rsidRDefault="00A600BE" w:rsidP="680B1F56">
      <w:pPr>
        <w:pStyle w:val="FootnoteText"/>
      </w:pPr>
      <w:r w:rsidRPr="00C46798">
        <w:rPr>
          <w:rStyle w:val="FootnoteReference"/>
        </w:rPr>
        <w:footnoteRef/>
      </w:r>
      <w:r w:rsidRPr="00C46798">
        <w:t xml:space="preserve"> i</w:t>
      </w:r>
      <w:r w:rsidR="00FA77F3">
        <w:rPr>
          <w:rFonts w:eastAsia="Calibri"/>
          <w:lang w:val="en-GB"/>
        </w:rPr>
        <w:t xml:space="preserve">bid </w:t>
      </w:r>
      <w:r w:rsidRPr="00C46798">
        <w:rPr>
          <w:rFonts w:eastAsia="Calibri"/>
          <w:lang w:val="en-GB"/>
        </w:rPr>
        <w:t xml:space="preserve"> 470</w:t>
      </w:r>
    </w:p>
  </w:footnote>
  <w:footnote w:id="22">
    <w:p w14:paraId="3C41E30C" w14:textId="4DB25A33" w:rsidR="00A600BE" w:rsidRPr="00C46798" w:rsidRDefault="00A600BE" w:rsidP="45CF8564">
      <w:pPr>
        <w:pStyle w:val="FootnoteText"/>
      </w:pPr>
      <w:r w:rsidRPr="00C46798">
        <w:rPr>
          <w:rStyle w:val="FootnoteReference"/>
        </w:rPr>
        <w:footnoteRef/>
      </w:r>
      <w:r w:rsidR="00FA77F3">
        <w:t xml:space="preserve"> ibid </w:t>
      </w:r>
      <w:r w:rsidRPr="00C46798">
        <w:t xml:space="preserve"> 470</w:t>
      </w:r>
    </w:p>
  </w:footnote>
  <w:footnote w:id="23">
    <w:p w14:paraId="3F35E22A" w14:textId="09467C63" w:rsidR="00A600BE" w:rsidRPr="00C46798" w:rsidRDefault="00A600BE" w:rsidP="00461AC7">
      <w:pPr>
        <w:pStyle w:val="FootnoteText"/>
      </w:pPr>
      <w:r w:rsidRPr="00C46798">
        <w:rPr>
          <w:rStyle w:val="FootnoteReference"/>
        </w:rPr>
        <w:footnoteRef/>
      </w:r>
      <w:r w:rsidRPr="00C46798">
        <w:t xml:space="preserve"> </w:t>
      </w:r>
      <w:r w:rsidRPr="00C46798">
        <w:rPr>
          <w:i/>
        </w:rPr>
        <w:t xml:space="preserve">R v </w:t>
      </w:r>
      <w:proofErr w:type="spellStart"/>
      <w:r w:rsidRPr="00C46798">
        <w:rPr>
          <w:i/>
          <w:iCs/>
        </w:rPr>
        <w:t>McNee</w:t>
      </w:r>
      <w:proofErr w:type="spellEnd"/>
      <w:r w:rsidRPr="00C46798">
        <w:t xml:space="preserve"> [2007] EWCA </w:t>
      </w:r>
      <w:proofErr w:type="spellStart"/>
      <w:r w:rsidRPr="00C46798">
        <w:t>Crim</w:t>
      </w:r>
      <w:proofErr w:type="spellEnd"/>
      <w:r w:rsidRPr="00C46798">
        <w:t xml:space="preserve"> 1529; [2008] 1 Cr App R (S) 24 </w:t>
      </w:r>
    </w:p>
  </w:footnote>
  <w:footnote w:id="24">
    <w:p w14:paraId="13A089D0" w14:textId="31F2A8F6" w:rsidR="00A600BE" w:rsidRPr="003C781B" w:rsidRDefault="00A600BE" w:rsidP="00461AC7">
      <w:pPr>
        <w:pStyle w:val="FootnoteText"/>
        <w:rPr>
          <w:rFonts w:ascii="Calibri" w:hAnsi="Calibri" w:cs="Calibri"/>
        </w:rPr>
      </w:pPr>
      <w:r w:rsidRPr="00C46798">
        <w:rPr>
          <w:rStyle w:val="FootnoteReference"/>
        </w:rPr>
        <w:footnoteRef/>
      </w:r>
      <w:r w:rsidRPr="00C46798">
        <w:t xml:space="preserve"> ibid [H1]</w:t>
      </w:r>
    </w:p>
  </w:footnote>
  <w:footnote w:id="25">
    <w:p w14:paraId="2D42EC81" w14:textId="2F70A57A" w:rsidR="00A600BE" w:rsidRPr="003C781B" w:rsidRDefault="00A600BE" w:rsidP="00461AC7">
      <w:pPr>
        <w:pStyle w:val="FootnoteText"/>
        <w:rPr>
          <w:rFonts w:ascii="Calibri" w:hAnsi="Calibri" w:cs="Calibri"/>
        </w:rPr>
      </w:pPr>
      <w:r w:rsidRPr="003C781B">
        <w:rPr>
          <w:rStyle w:val="FootnoteReference"/>
          <w:rFonts w:ascii="Calibri" w:hAnsi="Calibri" w:cs="Calibri"/>
        </w:rPr>
        <w:footnoteRef/>
      </w:r>
      <w:r w:rsidRPr="003C781B">
        <w:rPr>
          <w:rFonts w:ascii="Calibri" w:hAnsi="Calibri" w:cs="Calibri"/>
        </w:rPr>
        <w:t xml:space="preserve"> ibid [H3]</w:t>
      </w:r>
    </w:p>
  </w:footnote>
  <w:footnote w:id="26">
    <w:p w14:paraId="31BBBF94" w14:textId="2A3EF122" w:rsidR="00A600BE" w:rsidRPr="00DF7800" w:rsidRDefault="00A600BE">
      <w:pPr>
        <w:pStyle w:val="FootnoteText"/>
        <w:rPr>
          <w:lang w:val="en-GB"/>
        </w:rPr>
      </w:pPr>
      <w:r>
        <w:rPr>
          <w:rStyle w:val="FootnoteReference"/>
        </w:rPr>
        <w:footnoteRef/>
      </w:r>
      <w:r>
        <w:t xml:space="preserve"> </w:t>
      </w:r>
      <w:r>
        <w:rPr>
          <w:lang w:val="en-GB"/>
        </w:rPr>
        <w:t>C</w:t>
      </w:r>
      <w:r w:rsidR="00FA77F3">
        <w:rPr>
          <w:lang w:val="en-GB"/>
        </w:rPr>
        <w:t>riminal Justice Act 2003 S</w:t>
      </w:r>
      <w:r>
        <w:rPr>
          <w:lang w:val="en-GB"/>
        </w:rPr>
        <w:t xml:space="preserve"> 224A(1)(b)</w:t>
      </w:r>
    </w:p>
  </w:footnote>
  <w:footnote w:id="27">
    <w:p w14:paraId="457E575C" w14:textId="530C564A" w:rsidR="00A600BE" w:rsidRPr="00D74B11" w:rsidRDefault="00A600BE" w:rsidP="00461AC7">
      <w:pPr>
        <w:pStyle w:val="FootnoteText"/>
        <w:rPr>
          <w:lang w:val="de-DE"/>
        </w:rPr>
      </w:pPr>
      <w:r w:rsidRPr="003C781B">
        <w:rPr>
          <w:rStyle w:val="FootnoteReference"/>
        </w:rPr>
        <w:footnoteRef/>
      </w:r>
      <w:r w:rsidRPr="00D74B11">
        <w:rPr>
          <w:lang w:val="de-DE"/>
        </w:rPr>
        <w:t xml:space="preserve"> </w:t>
      </w:r>
      <w:r w:rsidRPr="00D74B11">
        <w:rPr>
          <w:i/>
          <w:iCs/>
          <w:lang w:val="de-DE"/>
        </w:rPr>
        <w:t>McNee</w:t>
      </w:r>
      <w:r w:rsidRPr="00D74B11">
        <w:rPr>
          <w:lang w:val="de-DE"/>
        </w:rPr>
        <w:t>, (n 22) [H4]</w:t>
      </w:r>
    </w:p>
  </w:footnote>
  <w:footnote w:id="28">
    <w:p w14:paraId="03F83A3F" w14:textId="5D8A857B" w:rsidR="00A600BE" w:rsidRPr="00D74B11" w:rsidRDefault="00A600BE" w:rsidP="00461AC7">
      <w:pPr>
        <w:pStyle w:val="FootnoteText"/>
        <w:rPr>
          <w:color w:val="000000" w:themeColor="text1"/>
          <w:lang w:val="de-DE"/>
        </w:rPr>
      </w:pPr>
      <w:r w:rsidRPr="003C781B">
        <w:rPr>
          <w:rStyle w:val="FootnoteReference"/>
        </w:rPr>
        <w:footnoteRef/>
      </w:r>
      <w:r w:rsidR="00461AC7" w:rsidRPr="00D74B11">
        <w:rPr>
          <w:lang w:val="de-DE"/>
        </w:rPr>
        <w:t xml:space="preserve"> </w:t>
      </w:r>
      <w:r w:rsidR="00461AC7" w:rsidRPr="00D74B11">
        <w:rPr>
          <w:color w:val="000000"/>
          <w:shd w:val="clear" w:color="auto" w:fill="FFFFFF"/>
          <w:lang w:val="de-DE"/>
        </w:rPr>
        <w:t xml:space="preserve">Bentham, </w:t>
      </w:r>
      <w:r w:rsidR="00461AC7" w:rsidRPr="00D74B11">
        <w:rPr>
          <w:color w:val="000000"/>
          <w:shd w:val="clear" w:color="auto" w:fill="FFFFFF"/>
          <w:lang w:val="de-DE"/>
        </w:rPr>
        <w:t>(n 18)</w:t>
      </w:r>
    </w:p>
  </w:footnote>
  <w:footnote w:id="29">
    <w:p w14:paraId="4B2CEEB8" w14:textId="79493307" w:rsidR="00A600BE" w:rsidRPr="003C781B" w:rsidRDefault="00A600BE" w:rsidP="00461AC7">
      <w:pPr>
        <w:pStyle w:val="FootnoteText"/>
      </w:pPr>
      <w:r w:rsidRPr="003C781B">
        <w:rPr>
          <w:rStyle w:val="FootnoteReference"/>
        </w:rPr>
        <w:footnoteRef/>
      </w:r>
      <w:r w:rsidRPr="003C781B">
        <w:t xml:space="preserve"> ibid [20]</w:t>
      </w:r>
    </w:p>
  </w:footnote>
  <w:footnote w:id="30">
    <w:p w14:paraId="1785FF90" w14:textId="6EC2685C" w:rsidR="00A600BE" w:rsidRDefault="00A600BE" w:rsidP="00461AC7">
      <w:pPr>
        <w:pStyle w:val="FootnoteText"/>
      </w:pPr>
      <w:r w:rsidRPr="003C781B">
        <w:rPr>
          <w:rStyle w:val="FootnoteReference"/>
        </w:rPr>
        <w:footnoteRef/>
      </w:r>
      <w:r w:rsidRPr="003C781B">
        <w:t xml:space="preserve"> ibid [25]</w:t>
      </w:r>
    </w:p>
  </w:footnote>
  <w:footnote w:id="31">
    <w:p w14:paraId="7727D9A3" w14:textId="3CB5C14C" w:rsidR="00A600BE" w:rsidRPr="00F41AB1" w:rsidRDefault="00A600BE">
      <w:pPr>
        <w:pStyle w:val="FootnoteText"/>
        <w:rPr>
          <w:rFonts w:ascii="Calibri" w:hAnsi="Calibri" w:cs="Calibri"/>
          <w:lang w:val="en-GB"/>
        </w:rPr>
      </w:pPr>
      <w:r w:rsidRPr="00F41AB1">
        <w:rPr>
          <w:rStyle w:val="FootnoteReference"/>
        </w:rPr>
        <w:footnoteRef/>
      </w:r>
      <w:r w:rsidRPr="00F41AB1">
        <w:t xml:space="preserve"> Susan Easton and Christine Piper, Sentencing and punishment: the quest for justice,</w:t>
      </w:r>
      <w:r w:rsidR="00FA77F3">
        <w:t xml:space="preserve"> </w:t>
      </w:r>
      <w:proofErr w:type="spellStart"/>
      <w:r w:rsidR="00FA77F3">
        <w:t>vol</w:t>
      </w:r>
      <w:proofErr w:type="spellEnd"/>
      <w:r w:rsidR="00FA77F3">
        <w:t xml:space="preserve"> 3 (Oxford University Press 2012)</w:t>
      </w:r>
      <w:r w:rsidRPr="00F41AB1">
        <w:t xml:space="preserve"> 137</w:t>
      </w:r>
    </w:p>
  </w:footnote>
  <w:footnote w:id="32">
    <w:p w14:paraId="15BB7AD8" w14:textId="6C387AE0" w:rsidR="00842F1F" w:rsidRPr="00C46798" w:rsidRDefault="00842F1F">
      <w:pPr>
        <w:pStyle w:val="FootnoteText"/>
        <w:rPr>
          <w:lang w:val="en-GB"/>
        </w:rPr>
      </w:pPr>
      <w:r w:rsidRPr="00C46798">
        <w:rPr>
          <w:rStyle w:val="FootnoteReference"/>
        </w:rPr>
        <w:footnoteRef/>
      </w:r>
      <w:r w:rsidRPr="00C46798">
        <w:t xml:space="preserve"> </w:t>
      </w:r>
      <w:r w:rsidRPr="00C46798">
        <w:rPr>
          <w:i/>
          <w:lang w:val="en-GB"/>
        </w:rPr>
        <w:t xml:space="preserve">R v </w:t>
      </w:r>
      <w:proofErr w:type="spellStart"/>
      <w:r w:rsidRPr="00C46798">
        <w:rPr>
          <w:i/>
          <w:lang w:val="en-GB"/>
        </w:rPr>
        <w:t>Dihren</w:t>
      </w:r>
      <w:proofErr w:type="spellEnd"/>
      <w:r w:rsidRPr="00C46798">
        <w:rPr>
          <w:i/>
          <w:lang w:val="en-GB"/>
        </w:rPr>
        <w:t xml:space="preserve"> </w:t>
      </w:r>
      <w:proofErr w:type="spellStart"/>
      <w:r w:rsidRPr="00C46798">
        <w:rPr>
          <w:i/>
          <w:lang w:val="en-GB"/>
        </w:rPr>
        <w:t>Barot</w:t>
      </w:r>
      <w:proofErr w:type="spellEnd"/>
      <w:r w:rsidRPr="00C46798">
        <w:rPr>
          <w:lang w:val="en-GB"/>
        </w:rPr>
        <w:t xml:space="preserve"> [2007] EWCA Crim 1119</w:t>
      </w:r>
    </w:p>
  </w:footnote>
  <w:footnote w:id="33">
    <w:p w14:paraId="5EC685A6" w14:textId="407CEAF5" w:rsidR="008E4058" w:rsidRPr="00C46798" w:rsidRDefault="008E4058" w:rsidP="008E4058">
      <w:pPr>
        <w:rPr>
          <w:rFonts w:ascii="Times New Roman" w:eastAsia="Times New Roman" w:hAnsi="Times New Roman" w:cs="Times New Roman"/>
          <w:sz w:val="20"/>
          <w:szCs w:val="20"/>
        </w:rPr>
      </w:pPr>
      <w:r w:rsidRPr="00C46798">
        <w:rPr>
          <w:rStyle w:val="FootnoteReference"/>
          <w:rFonts w:ascii="Times New Roman" w:hAnsi="Times New Roman" w:cs="Times New Roman"/>
          <w:sz w:val="20"/>
          <w:szCs w:val="20"/>
        </w:rPr>
        <w:footnoteRef/>
      </w:r>
      <w:r w:rsidRPr="00C46798">
        <w:rPr>
          <w:rFonts w:ascii="Times New Roman" w:hAnsi="Times New Roman" w:cs="Times New Roman"/>
          <w:sz w:val="20"/>
          <w:szCs w:val="20"/>
        </w:rPr>
        <w:t xml:space="preserve"> </w:t>
      </w:r>
      <w:r w:rsidRPr="00C46798">
        <w:rPr>
          <w:rFonts w:ascii="Times New Roman" w:eastAsia="Times New Roman" w:hAnsi="Times New Roman" w:cs="Times New Roman"/>
          <w:color w:val="000000"/>
          <w:sz w:val="20"/>
          <w:szCs w:val="20"/>
          <w:shd w:val="clear" w:color="auto" w:fill="FFFFFF"/>
        </w:rPr>
        <w:t xml:space="preserve">Charles Lane, 'We Expected </w:t>
      </w:r>
      <w:proofErr w:type="gramStart"/>
      <w:r w:rsidRPr="00C46798">
        <w:rPr>
          <w:rFonts w:ascii="Times New Roman" w:eastAsia="Times New Roman" w:hAnsi="Times New Roman" w:cs="Times New Roman"/>
          <w:color w:val="000000"/>
          <w:sz w:val="20"/>
          <w:szCs w:val="20"/>
          <w:shd w:val="clear" w:color="auto" w:fill="FFFFFF"/>
        </w:rPr>
        <w:t>The</w:t>
      </w:r>
      <w:proofErr w:type="gramEnd"/>
      <w:r w:rsidRPr="00C46798">
        <w:rPr>
          <w:rFonts w:ascii="Times New Roman" w:eastAsia="Times New Roman" w:hAnsi="Times New Roman" w:cs="Times New Roman"/>
          <w:color w:val="000000"/>
          <w:sz w:val="20"/>
          <w:szCs w:val="20"/>
          <w:shd w:val="clear" w:color="auto" w:fill="FFFFFF"/>
        </w:rPr>
        <w:t xml:space="preserve"> War On Terror To Unite Us. What Went Wrong?' (</w:t>
      </w:r>
      <w:r w:rsidRPr="00C46798">
        <w:rPr>
          <w:rFonts w:ascii="Times New Roman" w:eastAsia="Times New Roman" w:hAnsi="Times New Roman" w:cs="Times New Roman"/>
          <w:i/>
          <w:iCs/>
          <w:color w:val="000000"/>
          <w:sz w:val="20"/>
          <w:szCs w:val="20"/>
        </w:rPr>
        <w:t>Washington Post</w:t>
      </w:r>
      <w:r w:rsidRPr="00C46798">
        <w:rPr>
          <w:rFonts w:ascii="Times New Roman" w:eastAsia="Times New Roman" w:hAnsi="Times New Roman" w:cs="Times New Roman"/>
          <w:color w:val="000000"/>
          <w:sz w:val="20"/>
          <w:szCs w:val="20"/>
          <w:shd w:val="clear" w:color="auto" w:fill="FFFFFF"/>
        </w:rPr>
        <w:t>, 2018) &lt;https://www.washingtonpost.com/opinions/we-expected-the-war-on-terror-to-unite-us-what-went-wrong/2018/09/10/5fb58c38-b4ff-11e8-a7b5-adaaa5b2a57f_story.html?noredirect=on&amp;utm_term=.5fba7de06623&gt; accessed 23 November 2018.</w:t>
      </w:r>
    </w:p>
  </w:footnote>
  <w:footnote w:id="34">
    <w:p w14:paraId="5A2FDB1A" w14:textId="7DB1C06F" w:rsidR="00A600BE" w:rsidRPr="00F41AB1" w:rsidRDefault="00A600BE">
      <w:pPr>
        <w:pStyle w:val="FootnoteText"/>
        <w:rPr>
          <w:rFonts w:ascii="Calibri" w:hAnsi="Calibri" w:cs="Calibri"/>
          <w:lang w:val="en-GB"/>
        </w:rPr>
      </w:pPr>
      <w:r w:rsidRPr="00C46798">
        <w:rPr>
          <w:rStyle w:val="FootnoteReference"/>
        </w:rPr>
        <w:footnoteRef/>
      </w:r>
      <w:r w:rsidRPr="00C46798">
        <w:t xml:space="preserve"> ‘Dirty bomb man’s sentence cut’ &lt;</w:t>
      </w:r>
      <w:r w:rsidRPr="00C46798">
        <w:rPr>
          <w:rFonts w:eastAsia="Calibri"/>
        </w:rPr>
        <w:t>http://news.</w:t>
      </w:r>
      <w:r w:rsidR="00FA77F3">
        <w:rPr>
          <w:rFonts w:eastAsia="Calibri"/>
        </w:rPr>
        <w:t>bbc.co.uk/1/hi/uk/6661371.stm&gt; a</w:t>
      </w:r>
      <w:r w:rsidRPr="00C46798">
        <w:rPr>
          <w:rFonts w:eastAsia="Calibri"/>
        </w:rPr>
        <w:t>ccessed 17</w:t>
      </w:r>
      <w:r w:rsidRPr="00C46798">
        <w:rPr>
          <w:rFonts w:eastAsia="Calibri"/>
          <w:vertAlign w:val="superscript"/>
        </w:rPr>
        <w:t>th</w:t>
      </w:r>
      <w:r w:rsidRPr="00C46798">
        <w:rPr>
          <w:rFonts w:eastAsia="Calibri"/>
        </w:rPr>
        <w:t xml:space="preserve"> November 2018</w:t>
      </w:r>
    </w:p>
  </w:footnote>
  <w:footnote w:id="35">
    <w:p w14:paraId="3266C78E" w14:textId="4E2B0796" w:rsidR="00CF0457" w:rsidRPr="00932E9E" w:rsidRDefault="00CF0457">
      <w:pPr>
        <w:pStyle w:val="FootnoteText"/>
        <w:rPr>
          <w:lang w:val="en-GB"/>
        </w:rPr>
      </w:pPr>
      <w:r w:rsidRPr="00932E9E">
        <w:rPr>
          <w:rStyle w:val="FootnoteReference"/>
        </w:rPr>
        <w:footnoteRef/>
      </w:r>
      <w:r w:rsidRPr="00932E9E">
        <w:t xml:space="preserve"> </w:t>
      </w:r>
      <w:r w:rsidRPr="00932E9E">
        <w:rPr>
          <w:lang w:val="en-GB"/>
        </w:rPr>
        <w:t>See page 10 lines 8-21</w:t>
      </w:r>
    </w:p>
    <w:p w14:paraId="66D6E05F" w14:textId="0983CB8F" w:rsidR="006873BD" w:rsidRPr="00932E9E" w:rsidRDefault="006873BD">
      <w:pPr>
        <w:pStyle w:val="FootnoteText"/>
        <w:rPr>
          <w:lang w:val="en-GB"/>
        </w:rPr>
      </w:pPr>
      <w:r w:rsidRPr="00932E9E">
        <w:rPr>
          <w:lang w:val="en-GB"/>
        </w:rPr>
        <w:t xml:space="preserve">See also </w:t>
      </w:r>
      <w:r w:rsidRPr="00932E9E">
        <w:rPr>
          <w:i/>
        </w:rPr>
        <w:t>R v Khalil and Others</w:t>
      </w:r>
      <w:r w:rsidRPr="00932E9E">
        <w:t xml:space="preserve"> [2003] EWCA </w:t>
      </w:r>
      <w:proofErr w:type="spellStart"/>
      <w:r w:rsidRPr="00932E9E">
        <w:t>Crim</w:t>
      </w:r>
      <w:proofErr w:type="spellEnd"/>
      <w:r w:rsidRPr="00932E9E">
        <w:t xml:space="preserve"> 3467</w:t>
      </w:r>
    </w:p>
  </w:footnote>
  <w:footnote w:id="36">
    <w:p w14:paraId="7F21FF44" w14:textId="0D77D982" w:rsidR="0053385D" w:rsidRPr="00932E9E" w:rsidRDefault="0053385D">
      <w:pPr>
        <w:pStyle w:val="FootnoteText"/>
        <w:rPr>
          <w:lang w:val="en-GB"/>
        </w:rPr>
      </w:pPr>
      <w:r w:rsidRPr="00932E9E">
        <w:rPr>
          <w:rStyle w:val="FootnoteReference"/>
        </w:rPr>
        <w:footnoteRef/>
      </w:r>
      <w:r w:rsidRPr="00932E9E">
        <w:t xml:space="preserve"> </w:t>
      </w:r>
      <w:r w:rsidRPr="00932E9E">
        <w:rPr>
          <w:lang w:val="en-GB"/>
        </w:rPr>
        <w:t>See page 7 lines 7-</w:t>
      </w:r>
      <w:r w:rsidR="004F32D6" w:rsidRPr="00932E9E">
        <w:rPr>
          <w:lang w:val="en-GB"/>
        </w:rPr>
        <w:t>26</w:t>
      </w:r>
    </w:p>
    <w:p w14:paraId="33429352" w14:textId="619C1A30" w:rsidR="004F32D6" w:rsidRPr="00932E9E" w:rsidRDefault="00842F1F">
      <w:pPr>
        <w:pStyle w:val="FootnoteText"/>
        <w:rPr>
          <w:lang w:val="en-GB"/>
        </w:rPr>
      </w:pPr>
      <w:r w:rsidRPr="00932E9E">
        <w:rPr>
          <w:lang w:val="en-GB"/>
        </w:rPr>
        <w:t xml:space="preserve">See also </w:t>
      </w:r>
      <w:r w:rsidRPr="00932E9E">
        <w:rPr>
          <w:i/>
          <w:lang w:val="en-GB"/>
        </w:rPr>
        <w:t xml:space="preserve">R v </w:t>
      </w:r>
      <w:proofErr w:type="spellStart"/>
      <w:r w:rsidRPr="00932E9E">
        <w:rPr>
          <w:i/>
          <w:lang w:val="en-GB"/>
        </w:rPr>
        <w:t>Dihren</w:t>
      </w:r>
      <w:proofErr w:type="spellEnd"/>
      <w:r w:rsidRPr="00932E9E">
        <w:rPr>
          <w:i/>
          <w:lang w:val="en-GB"/>
        </w:rPr>
        <w:t xml:space="preserve"> </w:t>
      </w:r>
      <w:proofErr w:type="spellStart"/>
      <w:r w:rsidRPr="00932E9E">
        <w:rPr>
          <w:i/>
          <w:lang w:val="en-GB"/>
        </w:rPr>
        <w:t>Barot</w:t>
      </w:r>
      <w:proofErr w:type="spellEnd"/>
      <w:r w:rsidRPr="00932E9E">
        <w:rPr>
          <w:lang w:val="en-GB"/>
        </w:rPr>
        <w:t xml:space="preserve"> [2007] EWCA Crim 1119</w:t>
      </w:r>
    </w:p>
  </w:footnote>
  <w:footnote w:id="37">
    <w:p w14:paraId="0D888397" w14:textId="57F8BBE6" w:rsidR="00A533EE" w:rsidRPr="00932E9E" w:rsidRDefault="00A533EE" w:rsidP="00A533EE">
      <w:pPr>
        <w:rPr>
          <w:rFonts w:ascii="Times New Roman" w:hAnsi="Times New Roman" w:cs="Times New Roman"/>
          <w:sz w:val="20"/>
          <w:szCs w:val="20"/>
        </w:rPr>
      </w:pPr>
      <w:r w:rsidRPr="00932E9E">
        <w:rPr>
          <w:rStyle w:val="FootnoteReference"/>
          <w:rFonts w:ascii="Times New Roman" w:hAnsi="Times New Roman" w:cs="Times New Roman"/>
          <w:sz w:val="20"/>
          <w:szCs w:val="20"/>
        </w:rPr>
        <w:footnoteRef/>
      </w:r>
      <w:r w:rsidRPr="00932E9E">
        <w:rPr>
          <w:rFonts w:ascii="Times New Roman" w:hAnsi="Times New Roman" w:cs="Times New Roman"/>
          <w:sz w:val="20"/>
          <w:szCs w:val="20"/>
        </w:rPr>
        <w:t xml:space="preserve"> </w:t>
      </w:r>
      <w:r w:rsidR="00FA77F3">
        <w:rPr>
          <w:rFonts w:ascii="Times New Roman" w:hAnsi="Times New Roman" w:cs="Times New Roman"/>
          <w:sz w:val="20"/>
          <w:szCs w:val="20"/>
        </w:rPr>
        <w:t xml:space="preserve">Judiciary of England and Wales, </w:t>
      </w:r>
      <w:r w:rsidR="00FA77F3">
        <w:rPr>
          <w:rFonts w:ascii="Times New Roman" w:hAnsi="Times New Roman" w:cs="Times New Roman"/>
          <w:i/>
          <w:sz w:val="20"/>
          <w:szCs w:val="20"/>
        </w:rPr>
        <w:t xml:space="preserve">Sentencing remarks of Mrs Justice Cheema-Grubb DBE </w:t>
      </w:r>
      <w:r w:rsidRPr="00932E9E">
        <w:rPr>
          <w:rFonts w:ascii="Times New Roman" w:eastAsia="Times New Roman" w:hAnsi="Times New Roman" w:cs="Times New Roman"/>
          <w:sz w:val="20"/>
          <w:szCs w:val="20"/>
          <w:lang w:val="en-US"/>
        </w:rPr>
        <w:t>(2018) &lt;https://www.judiciary.uk/wp-content/uploads/2018/07/r-v-wylie-and-bolland-sentencing.pdf&gt; accessed 15 November 2018</w:t>
      </w:r>
    </w:p>
  </w:footnote>
  <w:footnote w:id="38">
    <w:p w14:paraId="1663EC14" w14:textId="04A2D2F2" w:rsidR="003E2C6C" w:rsidRPr="00932E9E" w:rsidRDefault="003E2C6C" w:rsidP="003E2C6C">
      <w:pPr>
        <w:rPr>
          <w:rFonts w:ascii="Times New Roman" w:hAnsi="Times New Roman" w:cs="Times New Roman"/>
          <w:sz w:val="20"/>
          <w:szCs w:val="20"/>
        </w:rPr>
      </w:pPr>
      <w:r w:rsidRPr="00932E9E">
        <w:rPr>
          <w:rStyle w:val="FootnoteReference"/>
          <w:rFonts w:ascii="Times New Roman" w:hAnsi="Times New Roman" w:cs="Times New Roman"/>
          <w:sz w:val="20"/>
          <w:szCs w:val="20"/>
        </w:rPr>
        <w:footnoteRef/>
      </w:r>
      <w:r w:rsidRPr="00932E9E">
        <w:rPr>
          <w:rFonts w:ascii="Times New Roman" w:hAnsi="Times New Roman" w:cs="Times New Roman"/>
          <w:sz w:val="20"/>
          <w:szCs w:val="20"/>
        </w:rPr>
        <w:t xml:space="preserve"> </w:t>
      </w:r>
      <w:r w:rsidR="00FA77F3">
        <w:rPr>
          <w:rFonts w:ascii="Times New Roman" w:eastAsia="Times New Roman" w:hAnsi="Times New Roman" w:cs="Times New Roman"/>
          <w:sz w:val="20"/>
          <w:szCs w:val="20"/>
          <w:lang w:val="en-US"/>
        </w:rPr>
        <w:t>ibid</w:t>
      </w:r>
      <w:r w:rsidR="00AE3F5F" w:rsidRPr="00932E9E">
        <w:rPr>
          <w:rFonts w:ascii="Times New Roman" w:eastAsia="Times New Roman" w:hAnsi="Times New Roman" w:cs="Times New Roman"/>
          <w:sz w:val="20"/>
          <w:szCs w:val="20"/>
          <w:lang w:val="en-US"/>
        </w:rPr>
        <w:t xml:space="preserve"> para 1</w:t>
      </w:r>
    </w:p>
  </w:footnote>
  <w:footnote w:id="39">
    <w:p w14:paraId="551ED7CC" w14:textId="4F990FAB" w:rsidR="00171252" w:rsidRPr="00932E9E" w:rsidRDefault="00171252" w:rsidP="00171252">
      <w:pPr>
        <w:rPr>
          <w:rFonts w:ascii="Times New Roman" w:hAnsi="Times New Roman" w:cs="Times New Roman"/>
          <w:sz w:val="20"/>
          <w:szCs w:val="20"/>
        </w:rPr>
      </w:pPr>
      <w:r w:rsidRPr="00932E9E">
        <w:rPr>
          <w:rStyle w:val="FootnoteReference"/>
          <w:rFonts w:ascii="Times New Roman" w:hAnsi="Times New Roman" w:cs="Times New Roman"/>
          <w:sz w:val="20"/>
          <w:szCs w:val="20"/>
        </w:rPr>
        <w:footnoteRef/>
      </w:r>
      <w:r w:rsidRPr="00932E9E">
        <w:rPr>
          <w:rFonts w:ascii="Times New Roman" w:hAnsi="Times New Roman" w:cs="Times New Roman"/>
          <w:sz w:val="20"/>
          <w:szCs w:val="20"/>
        </w:rPr>
        <w:t xml:space="preserve"> </w:t>
      </w:r>
      <w:r w:rsidRPr="00932E9E">
        <w:rPr>
          <w:rFonts w:ascii="Times New Roman" w:eastAsia="Times New Roman" w:hAnsi="Times New Roman" w:cs="Times New Roman"/>
          <w:sz w:val="20"/>
          <w:szCs w:val="20"/>
          <w:lang w:val="en-US"/>
        </w:rPr>
        <w:t>ibid para 5</w:t>
      </w:r>
    </w:p>
  </w:footnote>
  <w:footnote w:id="40">
    <w:p w14:paraId="406E05ED" w14:textId="488FCBBC" w:rsidR="00171252" w:rsidRPr="007843EB" w:rsidRDefault="00171252" w:rsidP="007843EB">
      <w:pPr>
        <w:rPr>
          <w:rFonts w:ascii="Times New Roman" w:eastAsia="Times New Roman" w:hAnsi="Times New Roman" w:cs="Times New Roman"/>
        </w:rPr>
      </w:pPr>
      <w:r w:rsidRPr="00932E9E">
        <w:rPr>
          <w:rStyle w:val="FootnoteReference"/>
          <w:rFonts w:ascii="Times New Roman" w:hAnsi="Times New Roman" w:cs="Times New Roman"/>
          <w:sz w:val="20"/>
          <w:szCs w:val="20"/>
        </w:rPr>
        <w:footnoteRef/>
      </w:r>
      <w:r w:rsidRPr="00932E9E">
        <w:rPr>
          <w:rFonts w:ascii="Times New Roman" w:hAnsi="Times New Roman" w:cs="Times New Roman"/>
          <w:sz w:val="20"/>
          <w:szCs w:val="20"/>
        </w:rPr>
        <w:t xml:space="preserve"> </w:t>
      </w:r>
      <w:r w:rsidR="007843EB" w:rsidRPr="00932E9E">
        <w:rPr>
          <w:rFonts w:ascii="Times New Roman" w:eastAsia="Times New Roman" w:hAnsi="Times New Roman" w:cs="Times New Roman"/>
          <w:color w:val="000000"/>
          <w:sz w:val="20"/>
          <w:szCs w:val="20"/>
          <w:shd w:val="clear" w:color="auto" w:fill="FFFFFF"/>
        </w:rPr>
        <w:t xml:space="preserve">'House Of Lords - Reg. V. Secretary Of State </w:t>
      </w:r>
      <w:proofErr w:type="gramStart"/>
      <w:r w:rsidR="007843EB" w:rsidRPr="00932E9E">
        <w:rPr>
          <w:rFonts w:ascii="Times New Roman" w:eastAsia="Times New Roman" w:hAnsi="Times New Roman" w:cs="Times New Roman"/>
          <w:color w:val="000000"/>
          <w:sz w:val="20"/>
          <w:szCs w:val="20"/>
          <w:shd w:val="clear" w:color="auto" w:fill="FFFFFF"/>
        </w:rPr>
        <w:t>For</w:t>
      </w:r>
      <w:proofErr w:type="gramEnd"/>
      <w:r w:rsidR="007843EB" w:rsidRPr="00932E9E">
        <w:rPr>
          <w:rFonts w:ascii="Times New Roman" w:eastAsia="Times New Roman" w:hAnsi="Times New Roman" w:cs="Times New Roman"/>
          <w:color w:val="000000"/>
          <w:sz w:val="20"/>
          <w:szCs w:val="20"/>
          <w:shd w:val="clear" w:color="auto" w:fill="FFFFFF"/>
        </w:rPr>
        <w:t xml:space="preserve"> The Home Department, Ex Parte V. And Reg. V. Secretary Of State </w:t>
      </w:r>
      <w:proofErr w:type="gramStart"/>
      <w:r w:rsidR="007843EB" w:rsidRPr="00932E9E">
        <w:rPr>
          <w:rFonts w:ascii="Times New Roman" w:eastAsia="Times New Roman" w:hAnsi="Times New Roman" w:cs="Times New Roman"/>
          <w:color w:val="000000"/>
          <w:sz w:val="20"/>
          <w:szCs w:val="20"/>
          <w:shd w:val="clear" w:color="auto" w:fill="FFFFFF"/>
        </w:rPr>
        <w:t>For The</w:t>
      </w:r>
      <w:proofErr w:type="gramEnd"/>
      <w:r w:rsidR="007843EB" w:rsidRPr="00932E9E">
        <w:rPr>
          <w:rFonts w:ascii="Times New Roman" w:eastAsia="Times New Roman" w:hAnsi="Times New Roman" w:cs="Times New Roman"/>
          <w:color w:val="000000"/>
          <w:sz w:val="20"/>
          <w:szCs w:val="20"/>
          <w:shd w:val="clear" w:color="auto" w:fill="FFFFFF"/>
        </w:rPr>
        <w:t xml:space="preserve"> Home Department, Ex Parte T.' (</w:t>
      </w:r>
      <w:r w:rsidR="007843EB" w:rsidRPr="00932E9E">
        <w:rPr>
          <w:rFonts w:ascii="Times New Roman" w:eastAsia="Times New Roman" w:hAnsi="Times New Roman" w:cs="Times New Roman"/>
          <w:i/>
          <w:iCs/>
          <w:color w:val="000000"/>
          <w:sz w:val="20"/>
          <w:szCs w:val="20"/>
        </w:rPr>
        <w:t>Publications.parliament.uk</w:t>
      </w:r>
      <w:r w:rsidR="007843EB" w:rsidRPr="00932E9E">
        <w:rPr>
          <w:rFonts w:ascii="Times New Roman" w:eastAsia="Times New Roman" w:hAnsi="Times New Roman" w:cs="Times New Roman"/>
          <w:color w:val="000000"/>
          <w:sz w:val="20"/>
          <w:szCs w:val="20"/>
          <w:shd w:val="clear" w:color="auto" w:fill="FFFFFF"/>
        </w:rPr>
        <w:t>, 2018) &lt;https://publications.parliament.uk/pa/ld199798/ldjudgmt/jd970612/vandt01.htm&gt; accessed 23 November 2018.</w:t>
      </w:r>
    </w:p>
  </w:footnote>
  <w:footnote w:id="41">
    <w:p w14:paraId="28253138" w14:textId="2A64FE27" w:rsidR="00D06DBA" w:rsidRPr="00752248" w:rsidRDefault="00D06DBA" w:rsidP="00752248">
      <w:pPr>
        <w:pStyle w:val="FootnoteText"/>
        <w:rPr>
          <w:color w:val="000000"/>
          <w:shd w:val="clear" w:color="auto" w:fill="FFFFFF"/>
        </w:rPr>
      </w:pPr>
      <w:r w:rsidRPr="00932E9E">
        <w:rPr>
          <w:rStyle w:val="FootnoteReference"/>
        </w:rPr>
        <w:footnoteRef/>
      </w:r>
      <w:r w:rsidRPr="00932E9E">
        <w:t xml:space="preserve"> </w:t>
      </w:r>
      <w:r w:rsidR="00752248">
        <w:rPr>
          <w:color w:val="000000"/>
          <w:shd w:val="clear" w:color="auto" w:fill="FFFFFF"/>
        </w:rPr>
        <w:t xml:space="preserve">Law Commission, </w:t>
      </w:r>
      <w:r w:rsidR="00752248">
        <w:rPr>
          <w:i/>
          <w:color w:val="000000"/>
          <w:shd w:val="clear" w:color="auto" w:fill="FFFFFF"/>
        </w:rPr>
        <w:t xml:space="preserve">Conspiracy and Attempts </w:t>
      </w:r>
      <w:r w:rsidR="00752248">
        <w:rPr>
          <w:color w:val="000000"/>
          <w:shd w:val="clear" w:color="auto" w:fill="FFFFFF"/>
        </w:rPr>
        <w:t>(Law Com No 318, 2007)</w:t>
      </w:r>
    </w:p>
  </w:footnote>
  <w:footnote w:id="42">
    <w:p w14:paraId="15789312" w14:textId="273EA212" w:rsidR="002402A4" w:rsidRPr="00752248" w:rsidRDefault="002402A4" w:rsidP="00752248">
      <w:pPr>
        <w:pStyle w:val="FootnoteText"/>
      </w:pPr>
      <w:r w:rsidRPr="00932E9E">
        <w:rPr>
          <w:rStyle w:val="FootnoteReference"/>
        </w:rPr>
        <w:footnoteRef/>
      </w:r>
      <w:r w:rsidRPr="00932E9E">
        <w:t xml:space="preserve"> </w:t>
      </w:r>
      <w:r w:rsidR="00752248">
        <w:rPr>
          <w:color w:val="000000"/>
          <w:shd w:val="clear" w:color="auto" w:fill="FFFFFF"/>
        </w:rPr>
        <w:t xml:space="preserve">Law Commission, </w:t>
      </w:r>
      <w:r w:rsidR="00752248">
        <w:rPr>
          <w:i/>
          <w:color w:val="000000"/>
          <w:shd w:val="clear" w:color="auto" w:fill="FFFFFF"/>
        </w:rPr>
        <w:t xml:space="preserve">Conspiracy and Attempts </w:t>
      </w:r>
      <w:r w:rsidR="00752248">
        <w:rPr>
          <w:color w:val="000000"/>
          <w:shd w:val="clear" w:color="auto" w:fill="FFFFFF"/>
        </w:rPr>
        <w:t>(Law Com No</w:t>
      </w:r>
      <w:r w:rsidR="00752248">
        <w:t xml:space="preserve"> 183, 2009)</w:t>
      </w:r>
    </w:p>
  </w:footnote>
  <w:footnote w:id="43">
    <w:p w14:paraId="18B6D221" w14:textId="0EBACAA3" w:rsidR="00A600BE" w:rsidRPr="00D74B11" w:rsidRDefault="00A600BE" w:rsidP="680B1F56">
      <w:pPr>
        <w:pStyle w:val="FootnoteText"/>
        <w:rPr>
          <w:lang w:val="de-DE"/>
        </w:rPr>
      </w:pPr>
      <w:r w:rsidRPr="00932E9E">
        <w:rPr>
          <w:rStyle w:val="FootnoteReference"/>
        </w:rPr>
        <w:footnoteRef/>
      </w:r>
      <w:r w:rsidRPr="00D74B11">
        <w:rPr>
          <w:lang w:val="de-DE"/>
        </w:rPr>
        <w:t xml:space="preserve"> </w:t>
      </w:r>
      <w:r w:rsidRPr="00D74B11">
        <w:rPr>
          <w:i/>
          <w:iCs/>
          <w:lang w:val="de-DE"/>
        </w:rPr>
        <w:t xml:space="preserve">R v Saik (Abdulrahman) </w:t>
      </w:r>
      <w:r w:rsidRPr="00D74B11">
        <w:rPr>
          <w:lang w:val="de-DE"/>
        </w:rPr>
        <w:t>[2007] 2 WLR 993</w:t>
      </w:r>
    </w:p>
  </w:footnote>
  <w:footnote w:id="44">
    <w:p w14:paraId="70753D6D" w14:textId="730DAF37" w:rsidR="004E496B" w:rsidRPr="00932E9E" w:rsidRDefault="002949E2">
      <w:pPr>
        <w:pStyle w:val="FootnoteText"/>
        <w:rPr>
          <w:lang w:val="en-GB"/>
        </w:rPr>
      </w:pPr>
      <w:r w:rsidRPr="00932E9E">
        <w:rPr>
          <w:rStyle w:val="FootnoteReference"/>
        </w:rPr>
        <w:footnoteRef/>
      </w:r>
      <w:r w:rsidRPr="00932E9E">
        <w:t xml:space="preserve"> </w:t>
      </w:r>
      <w:r w:rsidR="002F0CD2" w:rsidRPr="00932E9E">
        <w:rPr>
          <w:color w:val="000000"/>
          <w:shd w:val="clear" w:color="auto" w:fill="FFFFFF"/>
        </w:rPr>
        <w:t xml:space="preserve">Paul Jarvis and Michael </w:t>
      </w:r>
      <w:proofErr w:type="spellStart"/>
      <w:r w:rsidR="002F0CD2" w:rsidRPr="00932E9E">
        <w:rPr>
          <w:color w:val="000000"/>
          <w:shd w:val="clear" w:color="auto" w:fill="FFFFFF"/>
        </w:rPr>
        <w:t>Bisgrove</w:t>
      </w:r>
      <w:proofErr w:type="spellEnd"/>
      <w:r w:rsidR="002F0CD2" w:rsidRPr="00932E9E">
        <w:rPr>
          <w:color w:val="000000"/>
          <w:shd w:val="clear" w:color="auto" w:fill="FFFFFF"/>
        </w:rPr>
        <w:t>, 'The Use And Abuse Of Conspiracy' (2014) 4 Criminal Law Review</w:t>
      </w:r>
    </w:p>
  </w:footnote>
  <w:footnote w:id="45">
    <w:p w14:paraId="10913E00" w14:textId="1D7E59E4" w:rsidR="003A5A0E" w:rsidRPr="00932E9E" w:rsidRDefault="003A5A0E">
      <w:pPr>
        <w:pStyle w:val="FootnoteText"/>
      </w:pPr>
      <w:r w:rsidRPr="00932E9E">
        <w:rPr>
          <w:rStyle w:val="FootnoteReference"/>
        </w:rPr>
        <w:footnoteRef/>
      </w:r>
      <w:r w:rsidRPr="00932E9E">
        <w:t xml:space="preserve"> </w:t>
      </w:r>
      <w:r w:rsidR="00516CCE" w:rsidRPr="00932E9E">
        <w:t>See page 3 line 16</w:t>
      </w:r>
    </w:p>
    <w:p w14:paraId="4843BA44" w14:textId="78EF268F" w:rsidR="00516CCE" w:rsidRPr="003A5A0E" w:rsidRDefault="00516CCE">
      <w:pPr>
        <w:pStyle w:val="FootnoteText"/>
        <w:rPr>
          <w:lang w:val="en-GB"/>
        </w:rPr>
      </w:pPr>
      <w:r w:rsidRPr="00932E9E">
        <w:t xml:space="preserve">See also </w:t>
      </w:r>
      <w:r w:rsidRPr="00932E9E">
        <w:rPr>
          <w:i/>
        </w:rPr>
        <w:t>R v Mehta (</w:t>
      </w:r>
      <w:proofErr w:type="spellStart"/>
      <w:r w:rsidRPr="00932E9E">
        <w:rPr>
          <w:i/>
        </w:rPr>
        <w:t>Subhash</w:t>
      </w:r>
      <w:proofErr w:type="spellEnd"/>
      <w:r w:rsidRPr="00932E9E">
        <w:rPr>
          <w:i/>
        </w:rPr>
        <w:t>)</w:t>
      </w:r>
      <w:r w:rsidRPr="00932E9E">
        <w:t xml:space="preserve"> [2012] EWCA </w:t>
      </w:r>
      <w:proofErr w:type="spellStart"/>
      <w:r w:rsidRPr="00932E9E">
        <w:t>Crim</w:t>
      </w:r>
      <w:proofErr w:type="spellEnd"/>
      <w:r w:rsidRPr="00932E9E">
        <w:t xml:space="preserve"> 2824</w:t>
      </w:r>
    </w:p>
  </w:footnote>
  <w:footnote w:id="46">
    <w:p w14:paraId="49D63980" w14:textId="6F8E1A42" w:rsidR="00A600BE" w:rsidRPr="00932E9E" w:rsidRDefault="00A600BE" w:rsidP="680B1F56">
      <w:pPr>
        <w:pStyle w:val="FootnoteText"/>
      </w:pPr>
      <w:r w:rsidRPr="00932E9E">
        <w:rPr>
          <w:rStyle w:val="FootnoteReference"/>
        </w:rPr>
        <w:footnoteRef/>
      </w:r>
      <w:r w:rsidRPr="00932E9E">
        <w:t xml:space="preserve"> Criminal Law Act 1977, s 2(2)</w:t>
      </w:r>
    </w:p>
  </w:footnote>
  <w:footnote w:id="47">
    <w:p w14:paraId="70F6DCD7" w14:textId="6932F635" w:rsidR="16DD4C35" w:rsidRDefault="16DD4C35" w:rsidP="16DD4C35">
      <w:pPr>
        <w:pStyle w:val="FootnoteText"/>
      </w:pPr>
      <w:r w:rsidRPr="16DD4C35">
        <w:rPr>
          <w:rStyle w:val="FootnoteReference"/>
        </w:rPr>
        <w:footnoteRef/>
      </w:r>
      <w:r>
        <w:t xml:space="preserve"> Law Commission, </w:t>
      </w:r>
      <w:r w:rsidRPr="16DD4C35">
        <w:rPr>
          <w:i/>
          <w:iCs/>
        </w:rPr>
        <w:t xml:space="preserve">Conspiracy and Attempts, </w:t>
      </w:r>
      <w:r w:rsidRPr="16DD4C35">
        <w:t xml:space="preserve">(Consultation Paper No 183, 2007) Paras </w:t>
      </w:r>
      <w:r w:rsidR="03E20534" w:rsidRPr="03E20534">
        <w:t>1.42-1.44</w:t>
      </w:r>
    </w:p>
  </w:footnote>
  <w:footnote w:id="48">
    <w:p w14:paraId="2945930D" w14:textId="3C528637" w:rsidR="00A600BE" w:rsidRPr="00932E9E" w:rsidRDefault="00A600BE" w:rsidP="680B1F56">
      <w:pPr>
        <w:pStyle w:val="FootnoteText"/>
      </w:pPr>
      <w:r w:rsidRPr="00932E9E">
        <w:rPr>
          <w:rStyle w:val="FootnoteReference"/>
        </w:rPr>
        <w:footnoteRef/>
      </w:r>
      <w:r w:rsidRPr="00932E9E">
        <w:t xml:space="preserve"> ibid</w:t>
      </w:r>
    </w:p>
  </w:footnote>
  <w:footnote w:id="49">
    <w:p w14:paraId="4E33BA05" w14:textId="5514556E" w:rsidR="10F72E19" w:rsidRDefault="10F72E19" w:rsidP="10F72E19">
      <w:pPr>
        <w:pStyle w:val="FootnoteText"/>
      </w:pPr>
      <w:r w:rsidRPr="10F72E19">
        <w:rPr>
          <w:rStyle w:val="FootnoteReference"/>
        </w:rPr>
        <w:footnoteRef/>
      </w:r>
      <w:r>
        <w:t xml:space="preserve"> Law Commission, </w:t>
      </w:r>
      <w:r w:rsidRPr="10F72E19">
        <w:rPr>
          <w:i/>
          <w:iCs/>
        </w:rPr>
        <w:t xml:space="preserve">Conspiracy and Attempts </w:t>
      </w:r>
      <w:r w:rsidRPr="10F72E19">
        <w:t>(Consultation Paper No</w:t>
      </w:r>
      <w:r w:rsidR="3C188529" w:rsidRPr="3C188529">
        <w:t xml:space="preserve"> 183, 2007) paras 1.49-1.50</w:t>
      </w:r>
    </w:p>
  </w:footnote>
  <w:footnote w:id="50">
    <w:p w14:paraId="79F5A1AA" w14:textId="3A7DFC84" w:rsidR="00A600BE" w:rsidRPr="00932E9E" w:rsidRDefault="00A600BE" w:rsidP="680B1F56">
      <w:pPr>
        <w:pStyle w:val="FootnoteText"/>
      </w:pPr>
      <w:r w:rsidRPr="00932E9E">
        <w:rPr>
          <w:rStyle w:val="FootnoteReference"/>
        </w:rPr>
        <w:footnoteRef/>
      </w:r>
      <w:r w:rsidRPr="00932E9E">
        <w:t xml:space="preserve"> Serious Crime Act 2007, s 50</w:t>
      </w:r>
    </w:p>
  </w:footnote>
  <w:footnote w:id="51">
    <w:p w14:paraId="2F7DF06E" w14:textId="4D1281EC" w:rsidR="00A21AA1" w:rsidRPr="00A21AA1" w:rsidRDefault="00A21AA1">
      <w:pPr>
        <w:pStyle w:val="FootnoteText"/>
        <w:rPr>
          <w:lang w:val="en-GB"/>
        </w:rPr>
      </w:pPr>
      <w:r w:rsidRPr="00932E9E">
        <w:rPr>
          <w:rStyle w:val="FootnoteReference"/>
        </w:rPr>
        <w:footnoteRef/>
      </w:r>
      <w:r w:rsidRPr="00932E9E">
        <w:t xml:space="preserve"> </w:t>
      </w:r>
      <w:r w:rsidR="0011114C" w:rsidRPr="00932E9E">
        <w:t xml:space="preserve">Dr Michael </w:t>
      </w:r>
      <w:proofErr w:type="spellStart"/>
      <w:r w:rsidR="0011114C" w:rsidRPr="00932E9E">
        <w:t>Arnheim</w:t>
      </w:r>
      <w:proofErr w:type="spellEnd"/>
      <w:r w:rsidR="0011114C" w:rsidRPr="00932E9E">
        <w:t xml:space="preserve">, ‘A conspiracy too far?’ </w:t>
      </w:r>
      <w:r w:rsidR="0011114C" w:rsidRPr="00932E9E">
        <w:rPr>
          <w:rFonts w:eastAsia="Calibri"/>
          <w:lang w:val="en-GB"/>
        </w:rPr>
        <w:t>(2018) 168 The New Law Journal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38C37" w14:textId="2ED6A45F" w:rsidR="00A600BE" w:rsidRPr="007865AB" w:rsidRDefault="007865AB" w:rsidP="007865AB">
    <w:pPr>
      <w:jc w:val="center"/>
      <w:rPr>
        <w:rFonts w:ascii="Times New Roman" w:hAnsi="Times New Roman" w:cs="Times New Roman"/>
        <w:b/>
        <w:i/>
      </w:rPr>
    </w:pPr>
    <w:r>
      <w:rPr>
        <w:rFonts w:ascii="Times New Roman" w:hAnsi="Times New Roman" w:cs="Times New Roman"/>
        <w:b/>
        <w:i/>
      </w:rPr>
      <w:t>Volume 1 Issue 1 Student Journal of Professional Practice and Academic Research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DED74" w14:textId="34D06604" w:rsidR="005E4D0B" w:rsidRPr="007865AB" w:rsidRDefault="007865AB" w:rsidP="007865AB">
    <w:pPr>
      <w:jc w:val="center"/>
      <w:rPr>
        <w:rFonts w:ascii="Times New Roman" w:hAnsi="Times New Roman" w:cs="Times New Roman"/>
        <w:b/>
        <w:i/>
      </w:rPr>
    </w:pPr>
    <w:r>
      <w:rPr>
        <w:rFonts w:ascii="Times New Roman" w:hAnsi="Times New Roman" w:cs="Times New Roman"/>
        <w:b/>
        <w:i/>
      </w:rPr>
      <w:t>Volume 1 Issue 1 Student Journal of Professional Practice and Academic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01110"/>
    <w:multiLevelType w:val="hybridMultilevel"/>
    <w:tmpl w:val="78C20B5C"/>
    <w:lvl w:ilvl="0" w:tplc="32D22F8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05"/>
    <w:rsid w:val="000001EC"/>
    <w:rsid w:val="00000572"/>
    <w:rsid w:val="00002C8A"/>
    <w:rsid w:val="000030FD"/>
    <w:rsid w:val="000070D6"/>
    <w:rsid w:val="00014D1F"/>
    <w:rsid w:val="00023395"/>
    <w:rsid w:val="00026F7E"/>
    <w:rsid w:val="000304A9"/>
    <w:rsid w:val="00037706"/>
    <w:rsid w:val="00041C2D"/>
    <w:rsid w:val="000423FB"/>
    <w:rsid w:val="0005003B"/>
    <w:rsid w:val="00051E36"/>
    <w:rsid w:val="00057839"/>
    <w:rsid w:val="00062B99"/>
    <w:rsid w:val="000712F8"/>
    <w:rsid w:val="00072EC3"/>
    <w:rsid w:val="00073FD8"/>
    <w:rsid w:val="00074E13"/>
    <w:rsid w:val="00075EF0"/>
    <w:rsid w:val="00083398"/>
    <w:rsid w:val="0008493D"/>
    <w:rsid w:val="00085EE9"/>
    <w:rsid w:val="00096AD3"/>
    <w:rsid w:val="000A1F54"/>
    <w:rsid w:val="000A57E4"/>
    <w:rsid w:val="000B1EC4"/>
    <w:rsid w:val="000B480E"/>
    <w:rsid w:val="000B4A6D"/>
    <w:rsid w:val="000C1B81"/>
    <w:rsid w:val="000C391B"/>
    <w:rsid w:val="000C66B8"/>
    <w:rsid w:val="000D0DF2"/>
    <w:rsid w:val="000D1C38"/>
    <w:rsid w:val="000E357B"/>
    <w:rsid w:val="000E453B"/>
    <w:rsid w:val="000E7A74"/>
    <w:rsid w:val="000F124E"/>
    <w:rsid w:val="000F7342"/>
    <w:rsid w:val="0010124A"/>
    <w:rsid w:val="00101605"/>
    <w:rsid w:val="00103595"/>
    <w:rsid w:val="00104344"/>
    <w:rsid w:val="001063EE"/>
    <w:rsid w:val="00110218"/>
    <w:rsid w:val="0011114C"/>
    <w:rsid w:val="00112019"/>
    <w:rsid w:val="00112E56"/>
    <w:rsid w:val="00114272"/>
    <w:rsid w:val="00120066"/>
    <w:rsid w:val="001372FE"/>
    <w:rsid w:val="00137500"/>
    <w:rsid w:val="00141FF7"/>
    <w:rsid w:val="00147CE2"/>
    <w:rsid w:val="00151AB7"/>
    <w:rsid w:val="0015686E"/>
    <w:rsid w:val="001622A0"/>
    <w:rsid w:val="0016399D"/>
    <w:rsid w:val="0016462B"/>
    <w:rsid w:val="00171252"/>
    <w:rsid w:val="0017305F"/>
    <w:rsid w:val="0017380D"/>
    <w:rsid w:val="00177DBA"/>
    <w:rsid w:val="0018662F"/>
    <w:rsid w:val="00190E70"/>
    <w:rsid w:val="00191CE5"/>
    <w:rsid w:val="001929E6"/>
    <w:rsid w:val="00193B56"/>
    <w:rsid w:val="001940E5"/>
    <w:rsid w:val="0019476A"/>
    <w:rsid w:val="00196723"/>
    <w:rsid w:val="0019769B"/>
    <w:rsid w:val="001A33BA"/>
    <w:rsid w:val="001A34EF"/>
    <w:rsid w:val="001A3CE8"/>
    <w:rsid w:val="001A48D3"/>
    <w:rsid w:val="001A644C"/>
    <w:rsid w:val="001A6911"/>
    <w:rsid w:val="001A74C4"/>
    <w:rsid w:val="001C12E7"/>
    <w:rsid w:val="001C79C3"/>
    <w:rsid w:val="001D4FF3"/>
    <w:rsid w:val="001E359F"/>
    <w:rsid w:val="001E7A5B"/>
    <w:rsid w:val="001F3F24"/>
    <w:rsid w:val="001F5BDF"/>
    <w:rsid w:val="0020171E"/>
    <w:rsid w:val="002078CA"/>
    <w:rsid w:val="00210218"/>
    <w:rsid w:val="002135C5"/>
    <w:rsid w:val="00221CC5"/>
    <w:rsid w:val="002224E0"/>
    <w:rsid w:val="002329A6"/>
    <w:rsid w:val="00233EBF"/>
    <w:rsid w:val="002374F4"/>
    <w:rsid w:val="002402A4"/>
    <w:rsid w:val="00247970"/>
    <w:rsid w:val="00251404"/>
    <w:rsid w:val="0025248E"/>
    <w:rsid w:val="0025274C"/>
    <w:rsid w:val="002543D9"/>
    <w:rsid w:val="002609FB"/>
    <w:rsid w:val="0026321C"/>
    <w:rsid w:val="00264756"/>
    <w:rsid w:val="002648E2"/>
    <w:rsid w:val="00265122"/>
    <w:rsid w:val="002671D3"/>
    <w:rsid w:val="00271ABC"/>
    <w:rsid w:val="00275247"/>
    <w:rsid w:val="002859CA"/>
    <w:rsid w:val="00292A83"/>
    <w:rsid w:val="002949E2"/>
    <w:rsid w:val="002A2F02"/>
    <w:rsid w:val="002A37BF"/>
    <w:rsid w:val="002B5323"/>
    <w:rsid w:val="002C5150"/>
    <w:rsid w:val="002C6FF3"/>
    <w:rsid w:val="002D2232"/>
    <w:rsid w:val="002D7216"/>
    <w:rsid w:val="002E1804"/>
    <w:rsid w:val="002E30E9"/>
    <w:rsid w:val="002E6C95"/>
    <w:rsid w:val="002E72D1"/>
    <w:rsid w:val="002E7F03"/>
    <w:rsid w:val="002F0CD2"/>
    <w:rsid w:val="002F443A"/>
    <w:rsid w:val="00300F71"/>
    <w:rsid w:val="00303BB5"/>
    <w:rsid w:val="00306DF8"/>
    <w:rsid w:val="00311550"/>
    <w:rsid w:val="0032233A"/>
    <w:rsid w:val="00326C4E"/>
    <w:rsid w:val="00332C61"/>
    <w:rsid w:val="003529A9"/>
    <w:rsid w:val="00352EB1"/>
    <w:rsid w:val="003661A3"/>
    <w:rsid w:val="0036749F"/>
    <w:rsid w:val="003701EA"/>
    <w:rsid w:val="00377B43"/>
    <w:rsid w:val="00382BDD"/>
    <w:rsid w:val="00383ADE"/>
    <w:rsid w:val="00385E40"/>
    <w:rsid w:val="00387E21"/>
    <w:rsid w:val="00394AC7"/>
    <w:rsid w:val="00395647"/>
    <w:rsid w:val="003A4367"/>
    <w:rsid w:val="003A5A0E"/>
    <w:rsid w:val="003B0343"/>
    <w:rsid w:val="003B2406"/>
    <w:rsid w:val="003B5131"/>
    <w:rsid w:val="003B5AFD"/>
    <w:rsid w:val="003B68CA"/>
    <w:rsid w:val="003B6A46"/>
    <w:rsid w:val="003B6AE4"/>
    <w:rsid w:val="003B6E38"/>
    <w:rsid w:val="003B730D"/>
    <w:rsid w:val="003C4E75"/>
    <w:rsid w:val="003C5E28"/>
    <w:rsid w:val="003C781B"/>
    <w:rsid w:val="003D34FC"/>
    <w:rsid w:val="003D5F76"/>
    <w:rsid w:val="003D7CBB"/>
    <w:rsid w:val="003E2C6C"/>
    <w:rsid w:val="003E49C9"/>
    <w:rsid w:val="003F0373"/>
    <w:rsid w:val="003F271B"/>
    <w:rsid w:val="003F3B80"/>
    <w:rsid w:val="003F6178"/>
    <w:rsid w:val="00403726"/>
    <w:rsid w:val="00411185"/>
    <w:rsid w:val="00415DF2"/>
    <w:rsid w:val="0041662E"/>
    <w:rsid w:val="00424A82"/>
    <w:rsid w:val="0042750D"/>
    <w:rsid w:val="00435D31"/>
    <w:rsid w:val="00444DFD"/>
    <w:rsid w:val="0045206E"/>
    <w:rsid w:val="00457688"/>
    <w:rsid w:val="004576B4"/>
    <w:rsid w:val="004578A1"/>
    <w:rsid w:val="00461AC7"/>
    <w:rsid w:val="00461AF3"/>
    <w:rsid w:val="00463D8D"/>
    <w:rsid w:val="00463E94"/>
    <w:rsid w:val="004678E0"/>
    <w:rsid w:val="004744B6"/>
    <w:rsid w:val="004756B5"/>
    <w:rsid w:val="00476077"/>
    <w:rsid w:val="0048521D"/>
    <w:rsid w:val="00485E6F"/>
    <w:rsid w:val="00491644"/>
    <w:rsid w:val="00492F35"/>
    <w:rsid w:val="004961F4"/>
    <w:rsid w:val="00496A93"/>
    <w:rsid w:val="004A285F"/>
    <w:rsid w:val="004A3BEC"/>
    <w:rsid w:val="004C166A"/>
    <w:rsid w:val="004C172F"/>
    <w:rsid w:val="004C323E"/>
    <w:rsid w:val="004C36EB"/>
    <w:rsid w:val="004C3AE9"/>
    <w:rsid w:val="004C3CD8"/>
    <w:rsid w:val="004C3DE7"/>
    <w:rsid w:val="004D4F3D"/>
    <w:rsid w:val="004E24F0"/>
    <w:rsid w:val="004E496B"/>
    <w:rsid w:val="004E59F7"/>
    <w:rsid w:val="004F3164"/>
    <w:rsid w:val="004F32D6"/>
    <w:rsid w:val="005026D2"/>
    <w:rsid w:val="0050534F"/>
    <w:rsid w:val="00516CCE"/>
    <w:rsid w:val="00517242"/>
    <w:rsid w:val="00517A0B"/>
    <w:rsid w:val="00522211"/>
    <w:rsid w:val="00524A01"/>
    <w:rsid w:val="005259BC"/>
    <w:rsid w:val="0053385D"/>
    <w:rsid w:val="00552071"/>
    <w:rsid w:val="00553088"/>
    <w:rsid w:val="0055527E"/>
    <w:rsid w:val="005657F5"/>
    <w:rsid w:val="00565868"/>
    <w:rsid w:val="00566365"/>
    <w:rsid w:val="00566C17"/>
    <w:rsid w:val="00566D38"/>
    <w:rsid w:val="00570C42"/>
    <w:rsid w:val="0057565A"/>
    <w:rsid w:val="0058196A"/>
    <w:rsid w:val="005962EE"/>
    <w:rsid w:val="005A07C0"/>
    <w:rsid w:val="005A4183"/>
    <w:rsid w:val="005A7E7B"/>
    <w:rsid w:val="005B11B3"/>
    <w:rsid w:val="005B36A8"/>
    <w:rsid w:val="005B7366"/>
    <w:rsid w:val="005B76A6"/>
    <w:rsid w:val="005C0BBF"/>
    <w:rsid w:val="005D7562"/>
    <w:rsid w:val="005E4D0B"/>
    <w:rsid w:val="005E571B"/>
    <w:rsid w:val="005E5D8A"/>
    <w:rsid w:val="005E61F4"/>
    <w:rsid w:val="005E6EAF"/>
    <w:rsid w:val="005F3955"/>
    <w:rsid w:val="005F4881"/>
    <w:rsid w:val="006012A6"/>
    <w:rsid w:val="00601A62"/>
    <w:rsid w:val="00605D9E"/>
    <w:rsid w:val="00606973"/>
    <w:rsid w:val="006075A9"/>
    <w:rsid w:val="006125C8"/>
    <w:rsid w:val="00617E6A"/>
    <w:rsid w:val="00625F60"/>
    <w:rsid w:val="00631960"/>
    <w:rsid w:val="0063210E"/>
    <w:rsid w:val="00635940"/>
    <w:rsid w:val="0065079E"/>
    <w:rsid w:val="006518D4"/>
    <w:rsid w:val="006527B1"/>
    <w:rsid w:val="006528B7"/>
    <w:rsid w:val="00661820"/>
    <w:rsid w:val="006638DC"/>
    <w:rsid w:val="00664E56"/>
    <w:rsid w:val="00664F1E"/>
    <w:rsid w:val="00665EAE"/>
    <w:rsid w:val="0066730D"/>
    <w:rsid w:val="00667D5C"/>
    <w:rsid w:val="00670052"/>
    <w:rsid w:val="006723DC"/>
    <w:rsid w:val="00672AFE"/>
    <w:rsid w:val="00682150"/>
    <w:rsid w:val="0068446E"/>
    <w:rsid w:val="00684EB1"/>
    <w:rsid w:val="006873BD"/>
    <w:rsid w:val="0068768D"/>
    <w:rsid w:val="00691570"/>
    <w:rsid w:val="00692A9B"/>
    <w:rsid w:val="006930BB"/>
    <w:rsid w:val="00695616"/>
    <w:rsid w:val="00695B6C"/>
    <w:rsid w:val="006A19FC"/>
    <w:rsid w:val="006A4667"/>
    <w:rsid w:val="006A59C6"/>
    <w:rsid w:val="006A5FD0"/>
    <w:rsid w:val="006A626C"/>
    <w:rsid w:val="006A73B2"/>
    <w:rsid w:val="006B1999"/>
    <w:rsid w:val="006B2ADD"/>
    <w:rsid w:val="006B3135"/>
    <w:rsid w:val="006B77A8"/>
    <w:rsid w:val="006C402E"/>
    <w:rsid w:val="006C6BEA"/>
    <w:rsid w:val="006D03FD"/>
    <w:rsid w:val="006D73D4"/>
    <w:rsid w:val="006E04D6"/>
    <w:rsid w:val="006E3076"/>
    <w:rsid w:val="006E3A0A"/>
    <w:rsid w:val="006F673D"/>
    <w:rsid w:val="006F7CB8"/>
    <w:rsid w:val="00701BE9"/>
    <w:rsid w:val="00706415"/>
    <w:rsid w:val="0070755F"/>
    <w:rsid w:val="00707C18"/>
    <w:rsid w:val="007109E7"/>
    <w:rsid w:val="00711C8F"/>
    <w:rsid w:val="00712A4D"/>
    <w:rsid w:val="0071404E"/>
    <w:rsid w:val="007143C2"/>
    <w:rsid w:val="00714684"/>
    <w:rsid w:val="0071776A"/>
    <w:rsid w:val="00722847"/>
    <w:rsid w:val="00722E3F"/>
    <w:rsid w:val="00724506"/>
    <w:rsid w:val="007254AC"/>
    <w:rsid w:val="007258EB"/>
    <w:rsid w:val="007314EB"/>
    <w:rsid w:val="007432FC"/>
    <w:rsid w:val="00750999"/>
    <w:rsid w:val="00752248"/>
    <w:rsid w:val="00753A20"/>
    <w:rsid w:val="0075488D"/>
    <w:rsid w:val="00755434"/>
    <w:rsid w:val="00755B77"/>
    <w:rsid w:val="007639C6"/>
    <w:rsid w:val="00764786"/>
    <w:rsid w:val="007661A6"/>
    <w:rsid w:val="0076654A"/>
    <w:rsid w:val="00770D8A"/>
    <w:rsid w:val="007718D3"/>
    <w:rsid w:val="00773CF2"/>
    <w:rsid w:val="00781029"/>
    <w:rsid w:val="00781511"/>
    <w:rsid w:val="007816F9"/>
    <w:rsid w:val="007843EB"/>
    <w:rsid w:val="007865AB"/>
    <w:rsid w:val="00791D3E"/>
    <w:rsid w:val="00791F88"/>
    <w:rsid w:val="00792520"/>
    <w:rsid w:val="007935A6"/>
    <w:rsid w:val="007969DB"/>
    <w:rsid w:val="007A7333"/>
    <w:rsid w:val="007B1F89"/>
    <w:rsid w:val="007B21E2"/>
    <w:rsid w:val="007B6F10"/>
    <w:rsid w:val="007C4002"/>
    <w:rsid w:val="007D096F"/>
    <w:rsid w:val="007D46C1"/>
    <w:rsid w:val="007D4C24"/>
    <w:rsid w:val="007E2446"/>
    <w:rsid w:val="007E3036"/>
    <w:rsid w:val="007F2F42"/>
    <w:rsid w:val="007F325D"/>
    <w:rsid w:val="0080093B"/>
    <w:rsid w:val="008053CD"/>
    <w:rsid w:val="00816413"/>
    <w:rsid w:val="00822336"/>
    <w:rsid w:val="0083031F"/>
    <w:rsid w:val="00835BB8"/>
    <w:rsid w:val="00840129"/>
    <w:rsid w:val="00842F1F"/>
    <w:rsid w:val="00843BE2"/>
    <w:rsid w:val="008444BE"/>
    <w:rsid w:val="00846CE1"/>
    <w:rsid w:val="00847382"/>
    <w:rsid w:val="00855DA4"/>
    <w:rsid w:val="0085627A"/>
    <w:rsid w:val="00856ABD"/>
    <w:rsid w:val="00870951"/>
    <w:rsid w:val="00871A23"/>
    <w:rsid w:val="0087232D"/>
    <w:rsid w:val="00874C3B"/>
    <w:rsid w:val="00874DAD"/>
    <w:rsid w:val="008759F0"/>
    <w:rsid w:val="00877960"/>
    <w:rsid w:val="00882E87"/>
    <w:rsid w:val="00883F18"/>
    <w:rsid w:val="008878C8"/>
    <w:rsid w:val="008927F5"/>
    <w:rsid w:val="008B298A"/>
    <w:rsid w:val="008B32F7"/>
    <w:rsid w:val="008B3C53"/>
    <w:rsid w:val="008C35D9"/>
    <w:rsid w:val="008D1FD9"/>
    <w:rsid w:val="008D212A"/>
    <w:rsid w:val="008D29C0"/>
    <w:rsid w:val="008D2E1D"/>
    <w:rsid w:val="008D71FD"/>
    <w:rsid w:val="008E2637"/>
    <w:rsid w:val="008E4058"/>
    <w:rsid w:val="008E406E"/>
    <w:rsid w:val="008E60A3"/>
    <w:rsid w:val="008F0DE9"/>
    <w:rsid w:val="008F13F4"/>
    <w:rsid w:val="008F236C"/>
    <w:rsid w:val="008F52F0"/>
    <w:rsid w:val="008F7769"/>
    <w:rsid w:val="00901B60"/>
    <w:rsid w:val="009027DA"/>
    <w:rsid w:val="009036DA"/>
    <w:rsid w:val="009166A4"/>
    <w:rsid w:val="00921909"/>
    <w:rsid w:val="00926268"/>
    <w:rsid w:val="00931297"/>
    <w:rsid w:val="00932E9E"/>
    <w:rsid w:val="0093305E"/>
    <w:rsid w:val="009357C1"/>
    <w:rsid w:val="00940593"/>
    <w:rsid w:val="00941096"/>
    <w:rsid w:val="00950B2D"/>
    <w:rsid w:val="00950DDE"/>
    <w:rsid w:val="00951FA5"/>
    <w:rsid w:val="00963D4E"/>
    <w:rsid w:val="00964BD2"/>
    <w:rsid w:val="009658E1"/>
    <w:rsid w:val="00966116"/>
    <w:rsid w:val="00970891"/>
    <w:rsid w:val="0098004D"/>
    <w:rsid w:val="009802C2"/>
    <w:rsid w:val="00982EDD"/>
    <w:rsid w:val="00985EDF"/>
    <w:rsid w:val="009868E0"/>
    <w:rsid w:val="00997C58"/>
    <w:rsid w:val="009A4633"/>
    <w:rsid w:val="009A64DF"/>
    <w:rsid w:val="009B038E"/>
    <w:rsid w:val="009B3B98"/>
    <w:rsid w:val="009B41D2"/>
    <w:rsid w:val="009B5A1F"/>
    <w:rsid w:val="009B5DA3"/>
    <w:rsid w:val="009B7FD4"/>
    <w:rsid w:val="009C016C"/>
    <w:rsid w:val="009D2B59"/>
    <w:rsid w:val="009D72D2"/>
    <w:rsid w:val="009D7964"/>
    <w:rsid w:val="009E1782"/>
    <w:rsid w:val="009E1AFE"/>
    <w:rsid w:val="009F3D59"/>
    <w:rsid w:val="009F585E"/>
    <w:rsid w:val="009F5C89"/>
    <w:rsid w:val="009F6203"/>
    <w:rsid w:val="00A00B9B"/>
    <w:rsid w:val="00A035F7"/>
    <w:rsid w:val="00A046CF"/>
    <w:rsid w:val="00A06E24"/>
    <w:rsid w:val="00A07DF8"/>
    <w:rsid w:val="00A10124"/>
    <w:rsid w:val="00A16C07"/>
    <w:rsid w:val="00A21AA1"/>
    <w:rsid w:val="00A21CE1"/>
    <w:rsid w:val="00A23374"/>
    <w:rsid w:val="00A23B4F"/>
    <w:rsid w:val="00A2554B"/>
    <w:rsid w:val="00A26C36"/>
    <w:rsid w:val="00A279C7"/>
    <w:rsid w:val="00A30FD9"/>
    <w:rsid w:val="00A34447"/>
    <w:rsid w:val="00A3629F"/>
    <w:rsid w:val="00A3737F"/>
    <w:rsid w:val="00A479EE"/>
    <w:rsid w:val="00A533EE"/>
    <w:rsid w:val="00A555D6"/>
    <w:rsid w:val="00A600BE"/>
    <w:rsid w:val="00A638D5"/>
    <w:rsid w:val="00A6419E"/>
    <w:rsid w:val="00A643E3"/>
    <w:rsid w:val="00A67B4D"/>
    <w:rsid w:val="00A67CFC"/>
    <w:rsid w:val="00A74F3C"/>
    <w:rsid w:val="00A7771A"/>
    <w:rsid w:val="00A77FA5"/>
    <w:rsid w:val="00A81585"/>
    <w:rsid w:val="00A81EB3"/>
    <w:rsid w:val="00A8272C"/>
    <w:rsid w:val="00A860D6"/>
    <w:rsid w:val="00A921C2"/>
    <w:rsid w:val="00A95BEE"/>
    <w:rsid w:val="00A96E52"/>
    <w:rsid w:val="00AA190B"/>
    <w:rsid w:val="00AA537B"/>
    <w:rsid w:val="00AA5826"/>
    <w:rsid w:val="00AB0753"/>
    <w:rsid w:val="00AB0EAC"/>
    <w:rsid w:val="00AB5C24"/>
    <w:rsid w:val="00AC1225"/>
    <w:rsid w:val="00AC452C"/>
    <w:rsid w:val="00AD0439"/>
    <w:rsid w:val="00AD234A"/>
    <w:rsid w:val="00AE0647"/>
    <w:rsid w:val="00AE3F5F"/>
    <w:rsid w:val="00AE7BAB"/>
    <w:rsid w:val="00AF2849"/>
    <w:rsid w:val="00AF2A0A"/>
    <w:rsid w:val="00B0389E"/>
    <w:rsid w:val="00B06AB7"/>
    <w:rsid w:val="00B0701F"/>
    <w:rsid w:val="00B071CA"/>
    <w:rsid w:val="00B076A4"/>
    <w:rsid w:val="00B13240"/>
    <w:rsid w:val="00B157E6"/>
    <w:rsid w:val="00B16645"/>
    <w:rsid w:val="00B168B5"/>
    <w:rsid w:val="00B22506"/>
    <w:rsid w:val="00B24C1D"/>
    <w:rsid w:val="00B25FB1"/>
    <w:rsid w:val="00B26A29"/>
    <w:rsid w:val="00B26A5F"/>
    <w:rsid w:val="00B32659"/>
    <w:rsid w:val="00B34163"/>
    <w:rsid w:val="00B426B7"/>
    <w:rsid w:val="00B42DDD"/>
    <w:rsid w:val="00B432BE"/>
    <w:rsid w:val="00B47EB4"/>
    <w:rsid w:val="00B5024C"/>
    <w:rsid w:val="00B52405"/>
    <w:rsid w:val="00B53C9C"/>
    <w:rsid w:val="00B53E9E"/>
    <w:rsid w:val="00B55292"/>
    <w:rsid w:val="00B55500"/>
    <w:rsid w:val="00B5687F"/>
    <w:rsid w:val="00B6648A"/>
    <w:rsid w:val="00B67696"/>
    <w:rsid w:val="00B73E81"/>
    <w:rsid w:val="00B904D7"/>
    <w:rsid w:val="00B91332"/>
    <w:rsid w:val="00B94BFA"/>
    <w:rsid w:val="00B96E27"/>
    <w:rsid w:val="00B97538"/>
    <w:rsid w:val="00BA13A8"/>
    <w:rsid w:val="00BA3BED"/>
    <w:rsid w:val="00BA4C22"/>
    <w:rsid w:val="00BA50E1"/>
    <w:rsid w:val="00BB3484"/>
    <w:rsid w:val="00BB5171"/>
    <w:rsid w:val="00BB6B68"/>
    <w:rsid w:val="00BB710F"/>
    <w:rsid w:val="00BC5782"/>
    <w:rsid w:val="00BD116E"/>
    <w:rsid w:val="00BD5714"/>
    <w:rsid w:val="00BE5023"/>
    <w:rsid w:val="00BE62B8"/>
    <w:rsid w:val="00BE6492"/>
    <w:rsid w:val="00BF07C3"/>
    <w:rsid w:val="00BF0E11"/>
    <w:rsid w:val="00BF5C71"/>
    <w:rsid w:val="00BF69FD"/>
    <w:rsid w:val="00C03978"/>
    <w:rsid w:val="00C07BD1"/>
    <w:rsid w:val="00C15508"/>
    <w:rsid w:val="00C2158D"/>
    <w:rsid w:val="00C27292"/>
    <w:rsid w:val="00C347FD"/>
    <w:rsid w:val="00C35239"/>
    <w:rsid w:val="00C46798"/>
    <w:rsid w:val="00C52E94"/>
    <w:rsid w:val="00C60435"/>
    <w:rsid w:val="00C629D4"/>
    <w:rsid w:val="00C654B2"/>
    <w:rsid w:val="00C70115"/>
    <w:rsid w:val="00C71C61"/>
    <w:rsid w:val="00C7614E"/>
    <w:rsid w:val="00C862AF"/>
    <w:rsid w:val="00CA1F3A"/>
    <w:rsid w:val="00CB0341"/>
    <w:rsid w:val="00CB1256"/>
    <w:rsid w:val="00CB1755"/>
    <w:rsid w:val="00CB1FB3"/>
    <w:rsid w:val="00CB2F18"/>
    <w:rsid w:val="00CB5FE2"/>
    <w:rsid w:val="00CB7E92"/>
    <w:rsid w:val="00CC11E6"/>
    <w:rsid w:val="00CD0A08"/>
    <w:rsid w:val="00CD1785"/>
    <w:rsid w:val="00CD24C1"/>
    <w:rsid w:val="00CE152E"/>
    <w:rsid w:val="00CE4876"/>
    <w:rsid w:val="00CE7430"/>
    <w:rsid w:val="00CE7B56"/>
    <w:rsid w:val="00CF0457"/>
    <w:rsid w:val="00CF0DF5"/>
    <w:rsid w:val="00CF51D8"/>
    <w:rsid w:val="00D02C90"/>
    <w:rsid w:val="00D05985"/>
    <w:rsid w:val="00D065BB"/>
    <w:rsid w:val="00D067FA"/>
    <w:rsid w:val="00D06DBA"/>
    <w:rsid w:val="00D071B2"/>
    <w:rsid w:val="00D0740A"/>
    <w:rsid w:val="00D078F7"/>
    <w:rsid w:val="00D11274"/>
    <w:rsid w:val="00D114D0"/>
    <w:rsid w:val="00D11AD2"/>
    <w:rsid w:val="00D13537"/>
    <w:rsid w:val="00D154EE"/>
    <w:rsid w:val="00D20E4C"/>
    <w:rsid w:val="00D218C1"/>
    <w:rsid w:val="00D26C6C"/>
    <w:rsid w:val="00D30AE1"/>
    <w:rsid w:val="00D344AB"/>
    <w:rsid w:val="00D40743"/>
    <w:rsid w:val="00D41673"/>
    <w:rsid w:val="00D4220C"/>
    <w:rsid w:val="00D433DA"/>
    <w:rsid w:val="00D43470"/>
    <w:rsid w:val="00D54912"/>
    <w:rsid w:val="00D550AC"/>
    <w:rsid w:val="00D645BC"/>
    <w:rsid w:val="00D6544B"/>
    <w:rsid w:val="00D709A9"/>
    <w:rsid w:val="00D7166F"/>
    <w:rsid w:val="00D74B11"/>
    <w:rsid w:val="00D7594A"/>
    <w:rsid w:val="00D763CE"/>
    <w:rsid w:val="00D820E0"/>
    <w:rsid w:val="00D921F4"/>
    <w:rsid w:val="00D92924"/>
    <w:rsid w:val="00D941A1"/>
    <w:rsid w:val="00D94236"/>
    <w:rsid w:val="00D95711"/>
    <w:rsid w:val="00DA2E1E"/>
    <w:rsid w:val="00DB119E"/>
    <w:rsid w:val="00DB395D"/>
    <w:rsid w:val="00DB6859"/>
    <w:rsid w:val="00DC5F64"/>
    <w:rsid w:val="00DC6420"/>
    <w:rsid w:val="00DC76D9"/>
    <w:rsid w:val="00DD15A7"/>
    <w:rsid w:val="00DD6012"/>
    <w:rsid w:val="00DE01FF"/>
    <w:rsid w:val="00DE26A2"/>
    <w:rsid w:val="00DE5754"/>
    <w:rsid w:val="00DE646C"/>
    <w:rsid w:val="00DF0EA8"/>
    <w:rsid w:val="00DF25B7"/>
    <w:rsid w:val="00DF2D81"/>
    <w:rsid w:val="00DF5A81"/>
    <w:rsid w:val="00DF7800"/>
    <w:rsid w:val="00E023D6"/>
    <w:rsid w:val="00E0255D"/>
    <w:rsid w:val="00E027DB"/>
    <w:rsid w:val="00E069C8"/>
    <w:rsid w:val="00E07EE5"/>
    <w:rsid w:val="00E16372"/>
    <w:rsid w:val="00E16A4F"/>
    <w:rsid w:val="00E44CC0"/>
    <w:rsid w:val="00E46016"/>
    <w:rsid w:val="00E50A44"/>
    <w:rsid w:val="00E52873"/>
    <w:rsid w:val="00E55DA4"/>
    <w:rsid w:val="00E6377F"/>
    <w:rsid w:val="00E646BA"/>
    <w:rsid w:val="00E64AE8"/>
    <w:rsid w:val="00E7005E"/>
    <w:rsid w:val="00E8508B"/>
    <w:rsid w:val="00E86BB6"/>
    <w:rsid w:val="00E90C73"/>
    <w:rsid w:val="00E91EFE"/>
    <w:rsid w:val="00E94666"/>
    <w:rsid w:val="00E94AA9"/>
    <w:rsid w:val="00EA0556"/>
    <w:rsid w:val="00EA1681"/>
    <w:rsid w:val="00EB48DA"/>
    <w:rsid w:val="00EB52E8"/>
    <w:rsid w:val="00EC3D29"/>
    <w:rsid w:val="00EC4FE6"/>
    <w:rsid w:val="00ED190B"/>
    <w:rsid w:val="00ED56AE"/>
    <w:rsid w:val="00EE49EE"/>
    <w:rsid w:val="00EE6533"/>
    <w:rsid w:val="00EF3187"/>
    <w:rsid w:val="00F0198F"/>
    <w:rsid w:val="00F02FC8"/>
    <w:rsid w:val="00F058E5"/>
    <w:rsid w:val="00F10340"/>
    <w:rsid w:val="00F11D10"/>
    <w:rsid w:val="00F143B9"/>
    <w:rsid w:val="00F17B7C"/>
    <w:rsid w:val="00F22501"/>
    <w:rsid w:val="00F23424"/>
    <w:rsid w:val="00F24248"/>
    <w:rsid w:val="00F24787"/>
    <w:rsid w:val="00F24DB0"/>
    <w:rsid w:val="00F26F25"/>
    <w:rsid w:val="00F362FF"/>
    <w:rsid w:val="00F36A00"/>
    <w:rsid w:val="00F40367"/>
    <w:rsid w:val="00F41AB1"/>
    <w:rsid w:val="00F445EC"/>
    <w:rsid w:val="00F458C8"/>
    <w:rsid w:val="00F507E9"/>
    <w:rsid w:val="00F51610"/>
    <w:rsid w:val="00F54215"/>
    <w:rsid w:val="00F600F0"/>
    <w:rsid w:val="00F60EA1"/>
    <w:rsid w:val="00F725D9"/>
    <w:rsid w:val="00F7282A"/>
    <w:rsid w:val="00F74DC0"/>
    <w:rsid w:val="00F75FF7"/>
    <w:rsid w:val="00F76149"/>
    <w:rsid w:val="00F82A8F"/>
    <w:rsid w:val="00F8466E"/>
    <w:rsid w:val="00F84F59"/>
    <w:rsid w:val="00F85205"/>
    <w:rsid w:val="00F85636"/>
    <w:rsid w:val="00F85DA5"/>
    <w:rsid w:val="00F8631A"/>
    <w:rsid w:val="00F86DF5"/>
    <w:rsid w:val="00F86FF9"/>
    <w:rsid w:val="00F90A46"/>
    <w:rsid w:val="00F9320D"/>
    <w:rsid w:val="00F93636"/>
    <w:rsid w:val="00F96028"/>
    <w:rsid w:val="00FA1745"/>
    <w:rsid w:val="00FA2F69"/>
    <w:rsid w:val="00FA77F3"/>
    <w:rsid w:val="00FB4497"/>
    <w:rsid w:val="00FC0867"/>
    <w:rsid w:val="00FC3FD5"/>
    <w:rsid w:val="00FD0958"/>
    <w:rsid w:val="00FE6D89"/>
    <w:rsid w:val="00FE772A"/>
    <w:rsid w:val="00FF22CA"/>
    <w:rsid w:val="00FF2675"/>
    <w:rsid w:val="00FF4B5D"/>
    <w:rsid w:val="00FF65BD"/>
    <w:rsid w:val="03DE03E3"/>
    <w:rsid w:val="03E20534"/>
    <w:rsid w:val="0405563E"/>
    <w:rsid w:val="0418B5A9"/>
    <w:rsid w:val="0585D068"/>
    <w:rsid w:val="065B812E"/>
    <w:rsid w:val="07152857"/>
    <w:rsid w:val="0725EA1B"/>
    <w:rsid w:val="081248BB"/>
    <w:rsid w:val="08835FE4"/>
    <w:rsid w:val="092786D2"/>
    <w:rsid w:val="099FCA3B"/>
    <w:rsid w:val="0B72C5E3"/>
    <w:rsid w:val="0DA2EA0E"/>
    <w:rsid w:val="0E1B18F5"/>
    <w:rsid w:val="0E7B8C90"/>
    <w:rsid w:val="10F72E19"/>
    <w:rsid w:val="12059F3C"/>
    <w:rsid w:val="12BE0DB7"/>
    <w:rsid w:val="1329020F"/>
    <w:rsid w:val="16DD4C35"/>
    <w:rsid w:val="18BF2B22"/>
    <w:rsid w:val="19078A58"/>
    <w:rsid w:val="194120E2"/>
    <w:rsid w:val="199C7DA7"/>
    <w:rsid w:val="1ADFC9F5"/>
    <w:rsid w:val="1B61EB10"/>
    <w:rsid w:val="1C3C7076"/>
    <w:rsid w:val="1CA612BA"/>
    <w:rsid w:val="1CE30B80"/>
    <w:rsid w:val="1E2C9B92"/>
    <w:rsid w:val="1F013ECA"/>
    <w:rsid w:val="200A41BF"/>
    <w:rsid w:val="20B3ED5C"/>
    <w:rsid w:val="22B6E259"/>
    <w:rsid w:val="22CA7B10"/>
    <w:rsid w:val="230547FE"/>
    <w:rsid w:val="238FB782"/>
    <w:rsid w:val="239C04C3"/>
    <w:rsid w:val="2405405E"/>
    <w:rsid w:val="24C52C95"/>
    <w:rsid w:val="2528D8E9"/>
    <w:rsid w:val="25E17629"/>
    <w:rsid w:val="25E6467D"/>
    <w:rsid w:val="25EA4328"/>
    <w:rsid w:val="26B2B7DB"/>
    <w:rsid w:val="28238E8B"/>
    <w:rsid w:val="290E2A70"/>
    <w:rsid w:val="2921D952"/>
    <w:rsid w:val="2A933BE7"/>
    <w:rsid w:val="2BA49D1D"/>
    <w:rsid w:val="2C2F2178"/>
    <w:rsid w:val="2DF5B9B4"/>
    <w:rsid w:val="2E445D8B"/>
    <w:rsid w:val="2E91D7A0"/>
    <w:rsid w:val="2E9B1573"/>
    <w:rsid w:val="2EE8C46C"/>
    <w:rsid w:val="2F1B5194"/>
    <w:rsid w:val="30045367"/>
    <w:rsid w:val="30ED5917"/>
    <w:rsid w:val="313BD45E"/>
    <w:rsid w:val="322A2E4C"/>
    <w:rsid w:val="32F9DC67"/>
    <w:rsid w:val="336C246C"/>
    <w:rsid w:val="338CF6D3"/>
    <w:rsid w:val="3438625D"/>
    <w:rsid w:val="3461B496"/>
    <w:rsid w:val="35807B7E"/>
    <w:rsid w:val="3582EE8E"/>
    <w:rsid w:val="36189DC8"/>
    <w:rsid w:val="367FB99F"/>
    <w:rsid w:val="36C453B1"/>
    <w:rsid w:val="373631CD"/>
    <w:rsid w:val="38DEDC4F"/>
    <w:rsid w:val="39B1B6DA"/>
    <w:rsid w:val="3A424190"/>
    <w:rsid w:val="3B387793"/>
    <w:rsid w:val="3B62005E"/>
    <w:rsid w:val="3BDF88E2"/>
    <w:rsid w:val="3C188529"/>
    <w:rsid w:val="3C29F94C"/>
    <w:rsid w:val="3C946E72"/>
    <w:rsid w:val="3D85EA60"/>
    <w:rsid w:val="3E2F58DC"/>
    <w:rsid w:val="40B54835"/>
    <w:rsid w:val="40D515A4"/>
    <w:rsid w:val="4118280C"/>
    <w:rsid w:val="417C972D"/>
    <w:rsid w:val="455E1EF3"/>
    <w:rsid w:val="45B0B1B6"/>
    <w:rsid w:val="45CF8564"/>
    <w:rsid w:val="478C0606"/>
    <w:rsid w:val="4851BD4A"/>
    <w:rsid w:val="4853C69B"/>
    <w:rsid w:val="4991AB7C"/>
    <w:rsid w:val="499E9640"/>
    <w:rsid w:val="4D03F826"/>
    <w:rsid w:val="4D2CD784"/>
    <w:rsid w:val="4DC243CD"/>
    <w:rsid w:val="4E6CAF1B"/>
    <w:rsid w:val="4EF2B715"/>
    <w:rsid w:val="4F1D4187"/>
    <w:rsid w:val="4FE03CBF"/>
    <w:rsid w:val="5004836D"/>
    <w:rsid w:val="50142015"/>
    <w:rsid w:val="512D3C00"/>
    <w:rsid w:val="5229B5C7"/>
    <w:rsid w:val="53D6CF71"/>
    <w:rsid w:val="5517A4D5"/>
    <w:rsid w:val="56770CE2"/>
    <w:rsid w:val="56BAFD1A"/>
    <w:rsid w:val="58734EDC"/>
    <w:rsid w:val="595DAD58"/>
    <w:rsid w:val="59ACEEB2"/>
    <w:rsid w:val="5B1909A2"/>
    <w:rsid w:val="5B25BC85"/>
    <w:rsid w:val="5B385A99"/>
    <w:rsid w:val="5B567490"/>
    <w:rsid w:val="5C9BD364"/>
    <w:rsid w:val="5DA19A7C"/>
    <w:rsid w:val="5E500854"/>
    <w:rsid w:val="5E6C3B39"/>
    <w:rsid w:val="5FE1E1DE"/>
    <w:rsid w:val="607F403A"/>
    <w:rsid w:val="613EE26E"/>
    <w:rsid w:val="6474DA3A"/>
    <w:rsid w:val="64CB6C47"/>
    <w:rsid w:val="67C13C4F"/>
    <w:rsid w:val="680B1F56"/>
    <w:rsid w:val="6863E062"/>
    <w:rsid w:val="690449A2"/>
    <w:rsid w:val="6A97103A"/>
    <w:rsid w:val="6CF74F73"/>
    <w:rsid w:val="6D18E8F9"/>
    <w:rsid w:val="6DCB746F"/>
    <w:rsid w:val="6E097BA2"/>
    <w:rsid w:val="6E22C790"/>
    <w:rsid w:val="6E4D9C34"/>
    <w:rsid w:val="6F491266"/>
    <w:rsid w:val="6FD41909"/>
    <w:rsid w:val="7182909A"/>
    <w:rsid w:val="7182D5CD"/>
    <w:rsid w:val="718C1628"/>
    <w:rsid w:val="71B4C611"/>
    <w:rsid w:val="725F804B"/>
    <w:rsid w:val="7361CEEB"/>
    <w:rsid w:val="73F40363"/>
    <w:rsid w:val="7532FFE4"/>
    <w:rsid w:val="760B322C"/>
    <w:rsid w:val="76CBCA04"/>
    <w:rsid w:val="7815FC26"/>
    <w:rsid w:val="79C0BB8C"/>
    <w:rsid w:val="7AC6A515"/>
    <w:rsid w:val="7B5C2895"/>
    <w:rsid w:val="7B719706"/>
    <w:rsid w:val="7BCB1374"/>
    <w:rsid w:val="7C013999"/>
    <w:rsid w:val="7C128FC7"/>
    <w:rsid w:val="7E7446B7"/>
    <w:rsid w:val="7E8DD18A"/>
    <w:rsid w:val="7E9CF9AE"/>
    <w:rsid w:val="7EAA5D16"/>
    <w:rsid w:val="7F515BD3"/>
    <w:rsid w:val="7FA7B7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AD241F"/>
  <w15:chartTrackingRefBased/>
  <w15:docId w15:val="{AA4F0616-2917-5E4D-907E-C450B103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01605"/>
    <w:pPr>
      <w:spacing w:before="100" w:beforeAutospacing="1" w:after="100" w:afterAutospacing="1"/>
    </w:pPr>
    <w:rPr>
      <w:rFonts w:ascii="Times New Roman" w:eastAsia="Times New Roman" w:hAnsi="Times New Roman" w:cs="Times New Roman"/>
      <w:lang w:val="en-US"/>
    </w:rPr>
  </w:style>
  <w:style w:type="character" w:customStyle="1" w:styleId="contextualspellingandgrammarerror">
    <w:name w:val="contextualspellingandgrammarerror"/>
    <w:basedOn w:val="DefaultParagraphFont"/>
    <w:rsid w:val="00101605"/>
  </w:style>
  <w:style w:type="character" w:customStyle="1" w:styleId="normaltextrun">
    <w:name w:val="normaltextrun"/>
    <w:basedOn w:val="DefaultParagraphFont"/>
    <w:rsid w:val="00101605"/>
  </w:style>
  <w:style w:type="paragraph" w:styleId="FootnoteText">
    <w:name w:val="footnote text"/>
    <w:basedOn w:val="Normal"/>
    <w:link w:val="FootnoteTextChar"/>
    <w:uiPriority w:val="99"/>
    <w:unhideWhenUsed/>
    <w:rsid w:val="00101605"/>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10160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01605"/>
    <w:rPr>
      <w:vertAlign w:val="superscript"/>
    </w:rPr>
  </w:style>
  <w:style w:type="paragraph" w:styleId="Quote">
    <w:name w:val="Quote"/>
    <w:basedOn w:val="Normal"/>
    <w:next w:val="Normal"/>
    <w:link w:val="QuoteChar"/>
    <w:uiPriority w:val="29"/>
    <w:qFormat/>
    <w:rsid w:val="00101605"/>
    <w:pPr>
      <w:spacing w:before="200" w:after="160" w:line="259" w:lineRule="auto"/>
      <w:ind w:left="864" w:right="864"/>
      <w:jc w:val="center"/>
    </w:pPr>
    <w:rPr>
      <w:i/>
      <w:iCs/>
      <w:color w:val="404040" w:themeColor="text1" w:themeTint="BF"/>
      <w:sz w:val="22"/>
      <w:szCs w:val="22"/>
    </w:rPr>
  </w:style>
  <w:style w:type="character" w:customStyle="1" w:styleId="QuoteChar">
    <w:name w:val="Quote Char"/>
    <w:basedOn w:val="DefaultParagraphFont"/>
    <w:link w:val="Quote"/>
    <w:uiPriority w:val="29"/>
    <w:rsid w:val="00101605"/>
    <w:rPr>
      <w:i/>
      <w:iCs/>
      <w:color w:val="404040" w:themeColor="text1" w:themeTint="BF"/>
      <w:sz w:val="22"/>
      <w:szCs w:val="22"/>
    </w:rPr>
  </w:style>
  <w:style w:type="paragraph" w:styleId="EndnoteText">
    <w:name w:val="endnote text"/>
    <w:basedOn w:val="Normal"/>
    <w:link w:val="EndnoteTextChar"/>
    <w:uiPriority w:val="99"/>
    <w:semiHidden/>
    <w:unhideWhenUsed/>
    <w:rsid w:val="00101605"/>
    <w:rPr>
      <w:sz w:val="20"/>
      <w:szCs w:val="20"/>
    </w:rPr>
  </w:style>
  <w:style w:type="character" w:customStyle="1" w:styleId="EndnoteTextChar">
    <w:name w:val="Endnote Text Char"/>
    <w:basedOn w:val="DefaultParagraphFont"/>
    <w:link w:val="EndnoteText"/>
    <w:uiPriority w:val="99"/>
    <w:semiHidden/>
    <w:rsid w:val="00101605"/>
    <w:rPr>
      <w:sz w:val="20"/>
      <w:szCs w:val="20"/>
    </w:rPr>
  </w:style>
  <w:style w:type="character" w:styleId="EndnoteReference">
    <w:name w:val="endnote reference"/>
    <w:basedOn w:val="DefaultParagraphFont"/>
    <w:uiPriority w:val="99"/>
    <w:semiHidden/>
    <w:unhideWhenUsed/>
    <w:rsid w:val="00101605"/>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PageNumber">
    <w:name w:val="page number"/>
    <w:basedOn w:val="DefaultParagraphFont"/>
    <w:uiPriority w:val="99"/>
    <w:semiHidden/>
    <w:unhideWhenUsed/>
    <w:rsid w:val="000E453B"/>
  </w:style>
  <w:style w:type="character" w:styleId="LineNumber">
    <w:name w:val="line number"/>
    <w:basedOn w:val="DefaultParagraphFont"/>
    <w:uiPriority w:val="99"/>
    <w:semiHidden/>
    <w:unhideWhenUsed/>
    <w:rsid w:val="004D4F3D"/>
  </w:style>
  <w:style w:type="paragraph" w:styleId="NoSpacing">
    <w:name w:val="No Spacing"/>
    <w:link w:val="NoSpacingChar"/>
    <w:uiPriority w:val="1"/>
    <w:qFormat/>
    <w:rsid w:val="00435D31"/>
    <w:rPr>
      <w:rFonts w:eastAsiaTheme="minorEastAsia"/>
      <w:sz w:val="22"/>
      <w:szCs w:val="22"/>
      <w:lang w:val="en-US" w:eastAsia="zh-CN"/>
    </w:rPr>
  </w:style>
  <w:style w:type="character" w:customStyle="1" w:styleId="NoSpacingChar">
    <w:name w:val="No Spacing Char"/>
    <w:basedOn w:val="DefaultParagraphFont"/>
    <w:link w:val="NoSpacing"/>
    <w:uiPriority w:val="1"/>
    <w:rsid w:val="00435D31"/>
    <w:rPr>
      <w:rFonts w:eastAsiaTheme="minorEastAsia"/>
      <w:sz w:val="22"/>
      <w:szCs w:val="22"/>
      <w:lang w:val="en-US" w:eastAsia="zh-CN"/>
    </w:rPr>
  </w:style>
  <w:style w:type="paragraph" w:styleId="Title">
    <w:name w:val="Title"/>
    <w:basedOn w:val="Normal"/>
    <w:next w:val="Normal"/>
    <w:link w:val="TitleChar"/>
    <w:uiPriority w:val="10"/>
    <w:qFormat/>
    <w:rsid w:val="00435D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D3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B3C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3C53"/>
    <w:rPr>
      <w:rFonts w:ascii="Times New Roman" w:hAnsi="Times New Roman" w:cs="Times New Roman"/>
      <w:sz w:val="18"/>
      <w:szCs w:val="18"/>
    </w:rPr>
  </w:style>
  <w:style w:type="paragraph" w:styleId="Revision">
    <w:name w:val="Revision"/>
    <w:hidden/>
    <w:uiPriority w:val="99"/>
    <w:semiHidden/>
    <w:rsid w:val="006A626C"/>
  </w:style>
  <w:style w:type="paragraph" w:styleId="ListParagraph">
    <w:name w:val="List Paragraph"/>
    <w:basedOn w:val="Normal"/>
    <w:uiPriority w:val="34"/>
    <w:qFormat/>
    <w:rsid w:val="00D74B11"/>
    <w:pPr>
      <w:spacing w:after="160" w:line="259" w:lineRule="auto"/>
      <w:ind w:left="720"/>
      <w:contextualSpacing/>
    </w:pPr>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4806">
      <w:bodyDiv w:val="1"/>
      <w:marLeft w:val="0"/>
      <w:marRight w:val="0"/>
      <w:marTop w:val="0"/>
      <w:marBottom w:val="0"/>
      <w:divBdr>
        <w:top w:val="none" w:sz="0" w:space="0" w:color="auto"/>
        <w:left w:val="none" w:sz="0" w:space="0" w:color="auto"/>
        <w:bottom w:val="none" w:sz="0" w:space="0" w:color="auto"/>
        <w:right w:val="none" w:sz="0" w:space="0" w:color="auto"/>
      </w:divBdr>
    </w:div>
    <w:div w:id="159390102">
      <w:bodyDiv w:val="1"/>
      <w:marLeft w:val="0"/>
      <w:marRight w:val="0"/>
      <w:marTop w:val="0"/>
      <w:marBottom w:val="0"/>
      <w:divBdr>
        <w:top w:val="none" w:sz="0" w:space="0" w:color="auto"/>
        <w:left w:val="none" w:sz="0" w:space="0" w:color="auto"/>
        <w:bottom w:val="none" w:sz="0" w:space="0" w:color="auto"/>
        <w:right w:val="none" w:sz="0" w:space="0" w:color="auto"/>
      </w:divBdr>
    </w:div>
    <w:div w:id="236551543">
      <w:bodyDiv w:val="1"/>
      <w:marLeft w:val="0"/>
      <w:marRight w:val="0"/>
      <w:marTop w:val="0"/>
      <w:marBottom w:val="0"/>
      <w:divBdr>
        <w:top w:val="none" w:sz="0" w:space="0" w:color="auto"/>
        <w:left w:val="none" w:sz="0" w:space="0" w:color="auto"/>
        <w:bottom w:val="none" w:sz="0" w:space="0" w:color="auto"/>
        <w:right w:val="none" w:sz="0" w:space="0" w:color="auto"/>
      </w:divBdr>
    </w:div>
    <w:div w:id="450637837">
      <w:bodyDiv w:val="1"/>
      <w:marLeft w:val="0"/>
      <w:marRight w:val="0"/>
      <w:marTop w:val="0"/>
      <w:marBottom w:val="0"/>
      <w:divBdr>
        <w:top w:val="none" w:sz="0" w:space="0" w:color="auto"/>
        <w:left w:val="none" w:sz="0" w:space="0" w:color="auto"/>
        <w:bottom w:val="none" w:sz="0" w:space="0" w:color="auto"/>
        <w:right w:val="none" w:sz="0" w:space="0" w:color="auto"/>
      </w:divBdr>
    </w:div>
    <w:div w:id="461849810">
      <w:bodyDiv w:val="1"/>
      <w:marLeft w:val="0"/>
      <w:marRight w:val="0"/>
      <w:marTop w:val="0"/>
      <w:marBottom w:val="0"/>
      <w:divBdr>
        <w:top w:val="none" w:sz="0" w:space="0" w:color="auto"/>
        <w:left w:val="none" w:sz="0" w:space="0" w:color="auto"/>
        <w:bottom w:val="none" w:sz="0" w:space="0" w:color="auto"/>
        <w:right w:val="none" w:sz="0" w:space="0" w:color="auto"/>
      </w:divBdr>
    </w:div>
    <w:div w:id="614294990">
      <w:bodyDiv w:val="1"/>
      <w:marLeft w:val="0"/>
      <w:marRight w:val="0"/>
      <w:marTop w:val="0"/>
      <w:marBottom w:val="0"/>
      <w:divBdr>
        <w:top w:val="none" w:sz="0" w:space="0" w:color="auto"/>
        <w:left w:val="none" w:sz="0" w:space="0" w:color="auto"/>
        <w:bottom w:val="none" w:sz="0" w:space="0" w:color="auto"/>
        <w:right w:val="none" w:sz="0" w:space="0" w:color="auto"/>
      </w:divBdr>
    </w:div>
    <w:div w:id="788470826">
      <w:bodyDiv w:val="1"/>
      <w:marLeft w:val="0"/>
      <w:marRight w:val="0"/>
      <w:marTop w:val="0"/>
      <w:marBottom w:val="0"/>
      <w:divBdr>
        <w:top w:val="none" w:sz="0" w:space="0" w:color="auto"/>
        <w:left w:val="none" w:sz="0" w:space="0" w:color="auto"/>
        <w:bottom w:val="none" w:sz="0" w:space="0" w:color="auto"/>
        <w:right w:val="none" w:sz="0" w:space="0" w:color="auto"/>
      </w:divBdr>
    </w:div>
    <w:div w:id="918100883">
      <w:bodyDiv w:val="1"/>
      <w:marLeft w:val="0"/>
      <w:marRight w:val="0"/>
      <w:marTop w:val="0"/>
      <w:marBottom w:val="0"/>
      <w:divBdr>
        <w:top w:val="none" w:sz="0" w:space="0" w:color="auto"/>
        <w:left w:val="none" w:sz="0" w:space="0" w:color="auto"/>
        <w:bottom w:val="none" w:sz="0" w:space="0" w:color="auto"/>
        <w:right w:val="none" w:sz="0" w:space="0" w:color="auto"/>
      </w:divBdr>
    </w:div>
    <w:div w:id="1021011006">
      <w:bodyDiv w:val="1"/>
      <w:marLeft w:val="0"/>
      <w:marRight w:val="0"/>
      <w:marTop w:val="0"/>
      <w:marBottom w:val="0"/>
      <w:divBdr>
        <w:top w:val="none" w:sz="0" w:space="0" w:color="auto"/>
        <w:left w:val="none" w:sz="0" w:space="0" w:color="auto"/>
        <w:bottom w:val="none" w:sz="0" w:space="0" w:color="auto"/>
        <w:right w:val="none" w:sz="0" w:space="0" w:color="auto"/>
      </w:divBdr>
    </w:div>
    <w:div w:id="1642270646">
      <w:bodyDiv w:val="1"/>
      <w:marLeft w:val="0"/>
      <w:marRight w:val="0"/>
      <w:marTop w:val="0"/>
      <w:marBottom w:val="0"/>
      <w:divBdr>
        <w:top w:val="none" w:sz="0" w:space="0" w:color="auto"/>
        <w:left w:val="none" w:sz="0" w:space="0" w:color="auto"/>
        <w:bottom w:val="none" w:sz="0" w:space="0" w:color="auto"/>
        <w:right w:val="none" w:sz="0" w:space="0" w:color="auto"/>
      </w:divBdr>
    </w:div>
    <w:div w:id="1673412575">
      <w:bodyDiv w:val="1"/>
      <w:marLeft w:val="0"/>
      <w:marRight w:val="0"/>
      <w:marTop w:val="0"/>
      <w:marBottom w:val="0"/>
      <w:divBdr>
        <w:top w:val="none" w:sz="0" w:space="0" w:color="auto"/>
        <w:left w:val="none" w:sz="0" w:space="0" w:color="auto"/>
        <w:bottom w:val="none" w:sz="0" w:space="0" w:color="auto"/>
        <w:right w:val="none" w:sz="0" w:space="0" w:color="auto"/>
      </w:divBdr>
    </w:div>
    <w:div w:id="1724716337">
      <w:bodyDiv w:val="1"/>
      <w:marLeft w:val="0"/>
      <w:marRight w:val="0"/>
      <w:marTop w:val="0"/>
      <w:marBottom w:val="0"/>
      <w:divBdr>
        <w:top w:val="none" w:sz="0" w:space="0" w:color="auto"/>
        <w:left w:val="none" w:sz="0" w:space="0" w:color="auto"/>
        <w:bottom w:val="none" w:sz="0" w:space="0" w:color="auto"/>
        <w:right w:val="none" w:sz="0" w:space="0" w:color="auto"/>
      </w:divBdr>
    </w:div>
    <w:div w:id="1735464387">
      <w:bodyDiv w:val="1"/>
      <w:marLeft w:val="0"/>
      <w:marRight w:val="0"/>
      <w:marTop w:val="0"/>
      <w:marBottom w:val="0"/>
      <w:divBdr>
        <w:top w:val="none" w:sz="0" w:space="0" w:color="auto"/>
        <w:left w:val="none" w:sz="0" w:space="0" w:color="auto"/>
        <w:bottom w:val="none" w:sz="0" w:space="0" w:color="auto"/>
        <w:right w:val="none" w:sz="0" w:space="0" w:color="auto"/>
      </w:divBdr>
    </w:div>
    <w:div w:id="18911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D9FF9-16E9-45C4-953E-E9B9F3FA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3037</Words>
  <Characters>15613</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Is the current law on Conspiracy to commit Murder effective and fair?</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the current law on Conspiracy to commit Murder effective and fair?</dc:title>
  <dc:subject/>
  <dc:creator>chelsie.rapley</dc:creator>
  <cp:keywords/>
  <dc:description/>
  <cp:lastModifiedBy>Paul Burns</cp:lastModifiedBy>
  <cp:revision>6</cp:revision>
  <dcterms:created xsi:type="dcterms:W3CDTF">2019-01-31T17:48:00Z</dcterms:created>
  <dcterms:modified xsi:type="dcterms:W3CDTF">2019-02-01T17:50:00Z</dcterms:modified>
</cp:coreProperties>
</file>