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7537740"/>
        <w:docPartObj>
          <w:docPartGallery w:val="Cover Pages"/>
          <w:docPartUnique/>
        </w:docPartObj>
      </w:sdtPr>
      <w:sdtEndPr>
        <w:rPr>
          <w:b/>
          <w:u w:val="single"/>
        </w:rPr>
      </w:sdtEndPr>
      <w:sdtContent>
        <w:p w14:paraId="38588ED1" w14:textId="7A921340" w:rsidR="00C25D91" w:rsidRDefault="006846CF">
          <w:r>
            <w:rPr>
              <w:noProof/>
              <w:lang w:eastAsia="en-GB"/>
            </w:rPr>
            <mc:AlternateContent>
              <mc:Choice Requires="wps">
                <w:drawing>
                  <wp:anchor distT="0" distB="0" distL="114300" distR="114300" simplePos="0" relativeHeight="251659264" behindDoc="0" locked="0" layoutInCell="1" allowOverlap="1" wp14:anchorId="5D4199E7" wp14:editId="22BEA444">
                    <wp:simplePos x="0" y="0"/>
                    <wp:positionH relativeFrom="margin">
                      <wp:align>right</wp:align>
                    </wp:positionH>
                    <wp:positionV relativeFrom="page">
                      <wp:posOffset>760095</wp:posOffset>
                    </wp:positionV>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14:paraId="7F45B808" w14:textId="4E138A0A" w:rsidR="00C25D91" w:rsidRDefault="00C25D91">
                                    <w:pPr>
                                      <w:pStyle w:val="NoSpacing"/>
                                      <w:jc w:val="right"/>
                                      <w:rPr>
                                        <w:color w:val="FFFFFF" w:themeColor="background1"/>
                                        <w:sz w:val="24"/>
                                        <w:szCs w:val="24"/>
                                      </w:rPr>
                                    </w:pPr>
                                    <w:r>
                                      <w:rPr>
                                        <w:color w:val="FFFFFF" w:themeColor="background1"/>
                                        <w:sz w:val="24"/>
                                        <w:szCs w:val="24"/>
                                      </w:rPr>
                                      <w:t>2018</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D4199E7" id="Rectangle 132" o:spid="_x0000_s1026" style="position:absolute;margin-left:-4.4pt;margin-top:59.85pt;width:46.8pt;height:77.75pt;z-index:251659264;visibility:visible;mso-wrap-style:square;mso-width-percent:76;mso-height-percent:98;mso-wrap-distance-left:9pt;mso-wrap-distance-top:0;mso-wrap-distance-right:9pt;mso-wrap-distance-bottom:0;mso-position-horizontal:right;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" fillcolor="#4472c4 [3204]" stroked="f" strokeweight="1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8-01-01T00:00:00Z">
                              <w:dateFormat w:val="yyyy"/>
                              <w:lid w:val="en-US"/>
                              <w:storeMappedDataAs w:val="dateTime"/>
                              <w:calendar w:val="gregorian"/>
                            </w:date>
                          </w:sdtPr>
                          <w:sdtEndPr/>
                          <w:sdtContent>
                            <w:p w14:paraId="7F45B808" w14:textId="4E138A0A" w:rsidR="00C25D91" w:rsidRDefault="00C25D91">
                              <w:pPr>
                                <w:pStyle w:val="NoSpacing"/>
                                <w:jc w:val="right"/>
                                <w:rPr>
                                  <w:color w:val="FFFFFF" w:themeColor="background1"/>
                                  <w:sz w:val="24"/>
                                  <w:szCs w:val="24"/>
                                </w:rPr>
                              </w:pPr>
                              <w:r>
                                <w:rPr>
                                  <w:color w:val="FFFFFF" w:themeColor="background1"/>
                                  <w:sz w:val="24"/>
                                  <w:szCs w:val="24"/>
                                </w:rPr>
                                <w:t>2018</w:t>
                              </w:r>
                            </w:p>
                          </w:sdtContent>
                        </w:sdt>
                      </w:txbxContent>
                    </v:textbox>
                    <w10:wrap anchorx="margin" anchory="page"/>
                  </v:rect>
                </w:pict>
              </mc:Fallback>
            </mc:AlternateContent>
          </w:r>
        </w:p>
        <w:p w14:paraId="6BB9032E" w14:textId="7C12DC15" w:rsidR="00F13B71" w:rsidRPr="00C25D91" w:rsidRDefault="00C25D91" w:rsidP="00C25D91">
          <w:pPr>
            <w:rPr>
              <w:b/>
              <w:u w:val="single"/>
            </w:rPr>
          </w:pPr>
          <w:r>
            <w:rPr>
              <w:noProof/>
              <w:lang w:eastAsia="en-GB"/>
            </w:rPr>
            <mc:AlternateContent>
              <mc:Choice Requires="wps">
                <w:drawing>
                  <wp:anchor distT="0" distB="0" distL="182880" distR="182880" simplePos="0" relativeHeight="251660288" behindDoc="0" locked="0" layoutInCell="1" allowOverlap="1" wp14:anchorId="1942EA63" wp14:editId="2F662FFC">
                    <wp:simplePos x="0" y="0"/>
                    <wp:positionH relativeFrom="margin">
                      <wp:posOffset>504388</wp:posOffset>
                    </wp:positionH>
                    <wp:positionV relativeFrom="page">
                      <wp:posOffset>3804001</wp:posOffset>
                    </wp:positionV>
                    <wp:extent cx="4525010" cy="507111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525010" cy="5071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A79B6" w14:textId="5FFAD28C" w:rsidR="00C25D91" w:rsidRPr="00C25D91" w:rsidRDefault="005411E4" w:rsidP="00C25D91">
                                <w:pPr>
                                  <w:pStyle w:val="NoSpacing"/>
                                  <w:spacing w:before="40" w:after="560" w:line="216" w:lineRule="auto"/>
                                  <w:rPr>
                                    <w:color w:val="4472C4" w:themeColor="accent1"/>
                                    <w:sz w:val="72"/>
                                    <w:szCs w:val="72"/>
                                    <w:lang w:val="en-GB"/>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C25D91" w:rsidRPr="00C25D91">
                                      <w:rPr>
                                        <w:color w:val="4472C4" w:themeColor="accent1"/>
                                        <w:sz w:val="72"/>
                                        <w:szCs w:val="72"/>
                                      </w:rPr>
                                      <w:t>How can the law in England and Wales be reformed in order to regulate offensive online communications with respect to the right of freedom of expression?</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D5BF5C9" w14:textId="639AB98E" w:rsidR="00C25D91" w:rsidRPr="00C25D91" w:rsidRDefault="006C049C" w:rsidP="00C25D91">
                                    <w:pPr>
                                      <w:pStyle w:val="NoSpacing"/>
                                      <w:spacing w:before="40" w:after="40"/>
                                      <w:rPr>
                                        <w:caps/>
                                        <w:color w:val="1F4E79" w:themeColor="accent5" w:themeShade="80"/>
                                        <w:sz w:val="28"/>
                                        <w:szCs w:val="28"/>
                                        <w:lang w:val="fr-FR"/>
                                      </w:rPr>
                                    </w:pPr>
                                    <w:r>
                                      <w:rPr>
                                        <w:caps/>
                                        <w:color w:val="1F4E79" w:themeColor="accent5" w:themeShade="80"/>
                                        <w:sz w:val="28"/>
                                        <w:szCs w:val="28"/>
                                      </w:rPr>
                                      <w:t>Word count: 2496</w:t>
                                    </w:r>
                                  </w:p>
                                </w:sdtContent>
                              </w:sdt>
                              <w:sdt>
                                <w:sdtPr>
                                  <w:rPr>
                                    <w:caps/>
                                    <w:color w:val="5B9BD5" w:themeColor="accent5"/>
                                    <w:sz w:val="24"/>
                                    <w:szCs w:val="24"/>
                                    <w:lang w:val="fr-FR"/>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BF1027A" w14:textId="7DE780DA" w:rsidR="00C25D91" w:rsidRPr="00C25D91" w:rsidRDefault="00C25D91" w:rsidP="00C25D91">
                                    <w:pPr>
                                      <w:pStyle w:val="NoSpacing"/>
                                      <w:spacing w:before="80" w:after="40"/>
                                      <w:rPr>
                                        <w:caps/>
                                        <w:color w:val="5B9BD5" w:themeColor="accent5"/>
                                        <w:sz w:val="24"/>
                                        <w:szCs w:val="24"/>
                                        <w:lang w:val="fr-FR"/>
                                      </w:rPr>
                                    </w:pPr>
                                    <w:r>
                                      <w:rPr>
                                        <w:caps/>
                                        <w:color w:val="5B9BD5" w:themeColor="accent5"/>
                                        <w:sz w:val="24"/>
                                        <w:szCs w:val="24"/>
                                        <w:lang w:val="fr-FR"/>
                                      </w:rPr>
                                      <w:t xml:space="preserve">estelle </w:t>
                                    </w:r>
                                    <w:r w:rsidRPr="00C25D91">
                                      <w:rPr>
                                        <w:caps/>
                                        <w:color w:val="5B9BD5" w:themeColor="accent5"/>
                                        <w:sz w:val="24"/>
                                        <w:szCs w:val="24"/>
                                        <w:lang w:val="fr-FR"/>
                                      </w:rPr>
                                      <w:t>chambers</w:t>
                                    </w:r>
                                    <w:r>
                                      <w:rPr>
                                        <w:caps/>
                                        <w:color w:val="5B9BD5" w:themeColor="accent5"/>
                                        <w:sz w:val="24"/>
                                        <w:szCs w:val="24"/>
                                        <w:lang w:val="fr-FR"/>
                                      </w:rPr>
                                      <w:t>, Laura Carr, Charlotte Bushby, Rebecca Everson, Sarah Curran, Jaskaran Chatha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942EA63" id="_x0000_t202" coordsize="21600,21600" o:spt="202" path="m,l,21600r21600,l21600,xe">
                    <v:stroke joinstyle="miter"/>
                    <v:path gradientshapeok="t" o:connecttype="rect"/>
                  </v:shapetype>
                  <v:shape id="Text Box 131" o:spid="_x0000_s1027" type="#_x0000_t202" style="position:absolute;margin-left:39.7pt;margin-top:299.55pt;width:356.3pt;height:399.3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" filled="f" stroked="f" strokeweight=".5pt">
                    <v:textbox style="mso-fit-shape-to-text:t" inset="0,0,0,0">
                      <w:txbxContent>
                        <w:p w14:paraId="0B3A79B6" w14:textId="5FFAD28C" w:rsidR="00C25D91" w:rsidRPr="00C25D91" w:rsidRDefault="006846CF" w:rsidP="00C25D91">
                          <w:pPr>
                            <w:pStyle w:val="NoSpacing"/>
                            <w:spacing w:before="40" w:after="560" w:line="216" w:lineRule="auto"/>
                            <w:rPr>
                              <w:color w:val="4472C4" w:themeColor="accent1"/>
                              <w:sz w:val="72"/>
                              <w:szCs w:val="72"/>
                              <w:lang w:val="en-GB"/>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C25D91" w:rsidRPr="00C25D91">
                                <w:rPr>
                                  <w:color w:val="4472C4" w:themeColor="accent1"/>
                                  <w:sz w:val="72"/>
                                  <w:szCs w:val="72"/>
                                </w:rPr>
                                <w:t>How can the law in England and Wales be reformed in order to regulate offensive online communications with respect to the right of freedom of expression?</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D5BF5C9" w14:textId="639AB98E" w:rsidR="00C25D91" w:rsidRPr="00C25D91" w:rsidRDefault="006C049C" w:rsidP="00C25D91">
                              <w:pPr>
                                <w:pStyle w:val="NoSpacing"/>
                                <w:spacing w:before="40" w:after="40"/>
                                <w:rPr>
                                  <w:caps/>
                                  <w:color w:val="1F4E79" w:themeColor="accent5" w:themeShade="80"/>
                                  <w:sz w:val="28"/>
                                  <w:szCs w:val="28"/>
                                  <w:lang w:val="fr-FR"/>
                                </w:rPr>
                              </w:pPr>
                              <w:r>
                                <w:rPr>
                                  <w:caps/>
                                  <w:color w:val="1F4E79" w:themeColor="accent5" w:themeShade="80"/>
                                  <w:sz w:val="28"/>
                                  <w:szCs w:val="28"/>
                                </w:rPr>
                                <w:t>Word count: 2496</w:t>
                              </w:r>
                            </w:p>
                          </w:sdtContent>
                        </w:sdt>
                        <w:sdt>
                          <w:sdtPr>
                            <w:rPr>
                              <w:caps/>
                              <w:color w:val="5B9BD5" w:themeColor="accent5"/>
                              <w:sz w:val="24"/>
                              <w:szCs w:val="24"/>
                              <w:lang w:val="fr-FR"/>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BF1027A" w14:textId="7DE780DA" w:rsidR="00C25D91" w:rsidRPr="00C25D91" w:rsidRDefault="00C25D91" w:rsidP="00C25D91">
                              <w:pPr>
                                <w:pStyle w:val="NoSpacing"/>
                                <w:spacing w:before="80" w:after="40"/>
                                <w:rPr>
                                  <w:caps/>
                                  <w:color w:val="5B9BD5" w:themeColor="accent5"/>
                                  <w:sz w:val="24"/>
                                  <w:szCs w:val="24"/>
                                  <w:lang w:val="fr-FR"/>
                                </w:rPr>
                              </w:pPr>
                              <w:r>
                                <w:rPr>
                                  <w:caps/>
                                  <w:color w:val="5B9BD5" w:themeColor="accent5"/>
                                  <w:sz w:val="24"/>
                                  <w:szCs w:val="24"/>
                                  <w:lang w:val="fr-FR"/>
                                </w:rPr>
                                <w:t xml:space="preserve">estelle </w:t>
                              </w:r>
                              <w:r w:rsidRPr="00C25D91">
                                <w:rPr>
                                  <w:caps/>
                                  <w:color w:val="5B9BD5" w:themeColor="accent5"/>
                                  <w:sz w:val="24"/>
                                  <w:szCs w:val="24"/>
                                  <w:lang w:val="fr-FR"/>
                                </w:rPr>
                                <w:t>chambers</w:t>
                              </w:r>
                              <w:r>
                                <w:rPr>
                                  <w:caps/>
                                  <w:color w:val="5B9BD5" w:themeColor="accent5"/>
                                  <w:sz w:val="24"/>
                                  <w:szCs w:val="24"/>
                                  <w:lang w:val="fr-FR"/>
                                </w:rPr>
                                <w:t>, Laura Carr, Charlotte Bushby, Rebecca Everson, Sarah Curran, Jaskaran Chatha</w:t>
                              </w:r>
                            </w:p>
                          </w:sdtContent>
                        </w:sdt>
                      </w:txbxContent>
                    </v:textbox>
                    <w10:wrap type="square" anchorx="margin" anchory="page"/>
                  </v:shape>
                </w:pict>
              </mc:Fallback>
            </mc:AlternateContent>
          </w:r>
          <w:r>
            <w:rPr>
              <w:b/>
              <w:u w:val="single"/>
            </w:rPr>
            <w:br w:type="page"/>
          </w:r>
        </w:p>
        <w:bookmarkStart w:id="0" w:name="_GoBack" w:displacedByCustomXml="next"/>
        <w:bookmarkEnd w:id="0" w:displacedByCustomXml="next"/>
      </w:sdtContent>
    </w:sdt>
    <w:p w14:paraId="239EB598" w14:textId="41249EF6" w:rsidR="006350FA" w:rsidRPr="008C1753" w:rsidRDefault="006350FA" w:rsidP="008C1753">
      <w:pPr>
        <w:spacing w:after="200" w:line="360" w:lineRule="auto"/>
        <w:jc w:val="both"/>
        <w:rPr>
          <w:rFonts w:ascii="Times New Roman" w:hAnsi="Times New Roman" w:cs="Times New Roman"/>
          <w:b/>
        </w:rPr>
      </w:pPr>
      <w:r w:rsidRPr="008C1753">
        <w:rPr>
          <w:rFonts w:ascii="Times New Roman" w:hAnsi="Times New Roman" w:cs="Times New Roman"/>
          <w:b/>
        </w:rPr>
        <w:lastRenderedPageBreak/>
        <w:t>Introduction</w:t>
      </w:r>
    </w:p>
    <w:p w14:paraId="1AA946F9" w14:textId="7BAF78C0" w:rsidR="006350FA" w:rsidRPr="008C1753" w:rsidRDefault="006350FA" w:rsidP="008C1753">
      <w:pPr>
        <w:spacing w:after="200" w:line="360" w:lineRule="auto"/>
        <w:jc w:val="both"/>
        <w:rPr>
          <w:rFonts w:ascii="Times New Roman" w:hAnsi="Times New Roman" w:cs="Times New Roman"/>
        </w:rPr>
      </w:pPr>
      <w:r w:rsidRPr="008C1753">
        <w:rPr>
          <w:rFonts w:ascii="Times New Roman" w:hAnsi="Times New Roman" w:cs="Times New Roman"/>
        </w:rPr>
        <w:t>The evolution of social media in recent years has significantly changed the way society interacts and engages with each other. Research has shown that there has been a 21% increase in social media usage by UK adults from 2011 to 2017</w:t>
      </w:r>
      <w:r w:rsidRPr="008C1753">
        <w:rPr>
          <w:rFonts w:ascii="Times New Roman" w:hAnsi="Times New Roman" w:cs="Times New Roman"/>
          <w:vertAlign w:val="superscript"/>
        </w:rPr>
        <w:footnoteReference w:id="1"/>
      </w:r>
      <w:r w:rsidRPr="008C1753">
        <w:rPr>
          <w:rFonts w:ascii="Times New Roman" w:hAnsi="Times New Roman" w:cs="Times New Roman"/>
        </w:rPr>
        <w:t>. This drastic shift regarding the way we communicate can be said to bring many benefits; however, it can also impose serious legal issues. Such leg</w:t>
      </w:r>
      <w:r w:rsidR="000825C9" w:rsidRPr="008C1753">
        <w:rPr>
          <w:rFonts w:ascii="Times New Roman" w:hAnsi="Times New Roman" w:cs="Times New Roman"/>
        </w:rPr>
        <w:t>al issues include ‘revenge porn’, online blackmail and ‘trolling’</w:t>
      </w:r>
      <w:r w:rsidRPr="008C1753">
        <w:rPr>
          <w:rFonts w:ascii="Times New Roman" w:hAnsi="Times New Roman" w:cs="Times New Roman"/>
        </w:rPr>
        <w:t>. For the purpose of this inve</w:t>
      </w:r>
      <w:r w:rsidR="000825C9" w:rsidRPr="008C1753">
        <w:rPr>
          <w:rFonts w:ascii="Times New Roman" w:hAnsi="Times New Roman" w:cs="Times New Roman"/>
        </w:rPr>
        <w:t>stigation, the main focus of the</w:t>
      </w:r>
      <w:r w:rsidRPr="008C1753">
        <w:rPr>
          <w:rFonts w:ascii="Times New Roman" w:hAnsi="Times New Roman" w:cs="Times New Roman"/>
        </w:rPr>
        <w:t xml:space="preserve"> research will be on the area of offensive online communications.</w:t>
      </w:r>
    </w:p>
    <w:p w14:paraId="6B1489DF" w14:textId="0FCAF64E" w:rsidR="006350FA" w:rsidRPr="008C1753" w:rsidRDefault="006350FA" w:rsidP="008C1753">
      <w:pPr>
        <w:spacing w:after="200" w:line="360" w:lineRule="auto"/>
        <w:jc w:val="both"/>
        <w:rPr>
          <w:rFonts w:ascii="Times New Roman" w:hAnsi="Times New Roman" w:cs="Times New Roman"/>
        </w:rPr>
      </w:pPr>
      <w:r w:rsidRPr="008C1753">
        <w:rPr>
          <w:rFonts w:ascii="Times New Roman" w:hAnsi="Times New Roman" w:cs="Times New Roman"/>
        </w:rPr>
        <w:t>The investigation will cover the effectiveness of the current criminal law in terms of offensive online communications. In addition to this, the research will be highlighting any gaps within the current law in regard to overcoming this problem. When considering potential reforms, the</w:t>
      </w:r>
      <w:r w:rsidR="00524B5E" w:rsidRPr="008C1753">
        <w:rPr>
          <w:rFonts w:ascii="Times New Roman" w:hAnsi="Times New Roman" w:cs="Times New Roman"/>
        </w:rPr>
        <w:t xml:space="preserve"> right to freedom of expression will </w:t>
      </w:r>
      <w:r w:rsidRPr="008C1753">
        <w:rPr>
          <w:rFonts w:ascii="Times New Roman" w:hAnsi="Times New Roman" w:cs="Times New Roman"/>
        </w:rPr>
        <w:t>remain at the forefront of the research to prevent any alienation of human rights.</w:t>
      </w:r>
    </w:p>
    <w:p w14:paraId="7739A407" w14:textId="0F04F370" w:rsidR="006350FA" w:rsidRPr="008C1753" w:rsidRDefault="006350FA" w:rsidP="008C1753">
      <w:pPr>
        <w:spacing w:after="200" w:line="360" w:lineRule="auto"/>
        <w:jc w:val="both"/>
        <w:rPr>
          <w:rFonts w:ascii="Times New Roman" w:hAnsi="Times New Roman" w:cs="Times New Roman"/>
        </w:rPr>
      </w:pPr>
    </w:p>
    <w:p w14:paraId="0C5BA5F6" w14:textId="144E3CF3" w:rsidR="006350FA" w:rsidRPr="008C1753" w:rsidRDefault="00FD5488" w:rsidP="008C1753">
      <w:pPr>
        <w:spacing w:after="200" w:line="360" w:lineRule="auto"/>
        <w:jc w:val="both"/>
        <w:rPr>
          <w:rFonts w:ascii="Times New Roman" w:hAnsi="Times New Roman" w:cs="Times New Roman"/>
          <w:b/>
        </w:rPr>
      </w:pPr>
      <w:r w:rsidRPr="008C1753">
        <w:rPr>
          <w:rFonts w:ascii="Times New Roman" w:hAnsi="Times New Roman" w:cs="Times New Roman"/>
          <w:b/>
        </w:rPr>
        <w:t>How is the existing language in the Communications Act 2003 and the Malicious Communications Act 1988 in need of reform?</w:t>
      </w:r>
    </w:p>
    <w:p w14:paraId="4FD72FB3" w14:textId="17DAA836" w:rsidR="006350FA" w:rsidRPr="008C1753" w:rsidRDefault="002F731E" w:rsidP="008C1753">
      <w:pPr>
        <w:spacing w:after="200" w:line="360" w:lineRule="auto"/>
        <w:jc w:val="both"/>
        <w:rPr>
          <w:rFonts w:ascii="Times New Roman" w:hAnsi="Times New Roman" w:cs="Times New Roman"/>
        </w:rPr>
      </w:pPr>
      <w:r w:rsidRPr="008C1753">
        <w:rPr>
          <w:rFonts w:ascii="Times New Roman" w:hAnsi="Times New Roman" w:cs="Times New Roman"/>
        </w:rPr>
        <w:t xml:space="preserve">Many </w:t>
      </w:r>
      <w:r w:rsidR="00F34CCC" w:rsidRPr="008C1753">
        <w:rPr>
          <w:rFonts w:ascii="Times New Roman" w:hAnsi="Times New Roman" w:cs="Times New Roman"/>
        </w:rPr>
        <w:t>legal writers and official bodies such a</w:t>
      </w:r>
      <w:r w:rsidR="006350FA" w:rsidRPr="008C1753">
        <w:rPr>
          <w:rFonts w:ascii="Times New Roman" w:hAnsi="Times New Roman" w:cs="Times New Roman"/>
        </w:rPr>
        <w:t>s the Law Commission and the Crown Prosecution Service (CPS)</w:t>
      </w:r>
      <w:r w:rsidR="00F34CCC" w:rsidRPr="008C1753">
        <w:rPr>
          <w:rFonts w:ascii="Times New Roman" w:hAnsi="Times New Roman" w:cs="Times New Roman"/>
        </w:rPr>
        <w:t xml:space="preserve"> </w:t>
      </w:r>
      <w:r w:rsidR="00701575" w:rsidRPr="008C1753">
        <w:rPr>
          <w:rFonts w:ascii="Times New Roman" w:hAnsi="Times New Roman" w:cs="Times New Roman"/>
        </w:rPr>
        <w:t xml:space="preserve">have </w:t>
      </w:r>
      <w:r w:rsidR="00F34CCC" w:rsidRPr="008C1753">
        <w:rPr>
          <w:rFonts w:ascii="Times New Roman" w:hAnsi="Times New Roman" w:cs="Times New Roman"/>
        </w:rPr>
        <w:t>acknowledge</w:t>
      </w:r>
      <w:r w:rsidR="00701575" w:rsidRPr="008C1753">
        <w:rPr>
          <w:rFonts w:ascii="Times New Roman" w:hAnsi="Times New Roman" w:cs="Times New Roman"/>
        </w:rPr>
        <w:t xml:space="preserve">d </w:t>
      </w:r>
      <w:r w:rsidR="00F34CCC" w:rsidRPr="008C1753">
        <w:rPr>
          <w:rFonts w:ascii="Times New Roman" w:hAnsi="Times New Roman" w:cs="Times New Roman"/>
        </w:rPr>
        <w:t>the problems the archaic nature of the Malicious Communications Act 1988</w:t>
      </w:r>
      <w:r w:rsidR="00F34CCC" w:rsidRPr="008C1753">
        <w:rPr>
          <w:rStyle w:val="FootnoteReference"/>
          <w:rFonts w:ascii="Times New Roman" w:hAnsi="Times New Roman" w:cs="Times New Roman"/>
        </w:rPr>
        <w:footnoteReference w:id="2"/>
      </w:r>
      <w:r w:rsidR="00F34CCC" w:rsidRPr="008C1753">
        <w:rPr>
          <w:rFonts w:ascii="Times New Roman" w:hAnsi="Times New Roman" w:cs="Times New Roman"/>
        </w:rPr>
        <w:t xml:space="preserve"> and the Communications Act 2003</w:t>
      </w:r>
      <w:r w:rsidR="00701575" w:rsidRPr="008C1753">
        <w:rPr>
          <w:rStyle w:val="FootnoteReference"/>
          <w:rFonts w:ascii="Times New Roman" w:hAnsi="Times New Roman" w:cs="Times New Roman"/>
        </w:rPr>
        <w:footnoteReference w:id="3"/>
      </w:r>
      <w:r w:rsidR="00701575" w:rsidRPr="008C1753">
        <w:rPr>
          <w:rFonts w:ascii="Times New Roman" w:hAnsi="Times New Roman" w:cs="Times New Roman"/>
        </w:rPr>
        <w:t xml:space="preserve"> create in criminalising offensive online communications. </w:t>
      </w:r>
      <w:r w:rsidR="00561678" w:rsidRPr="008C1753">
        <w:rPr>
          <w:rFonts w:ascii="Times New Roman" w:hAnsi="Times New Roman" w:cs="Times New Roman"/>
        </w:rPr>
        <w:t>This concern has heightened recently as</w:t>
      </w:r>
      <w:r w:rsidR="006350FA" w:rsidRPr="008C1753">
        <w:rPr>
          <w:rFonts w:ascii="Times New Roman" w:hAnsi="Times New Roman" w:cs="Times New Roman"/>
        </w:rPr>
        <w:t xml:space="preserve"> more people access social media</w:t>
      </w:r>
      <w:r w:rsidR="007A7D08" w:rsidRPr="008C1753">
        <w:rPr>
          <w:rStyle w:val="FootnoteReference"/>
          <w:rFonts w:ascii="Times New Roman" w:hAnsi="Times New Roman" w:cs="Times New Roman"/>
        </w:rPr>
        <w:footnoteReference w:id="4"/>
      </w:r>
      <w:r w:rsidR="007A7D08" w:rsidRPr="008C1753">
        <w:rPr>
          <w:rFonts w:ascii="Times New Roman" w:hAnsi="Times New Roman" w:cs="Times New Roman"/>
        </w:rPr>
        <w:t xml:space="preserve">. </w:t>
      </w:r>
      <w:r w:rsidR="00701575" w:rsidRPr="008C1753">
        <w:rPr>
          <w:rFonts w:ascii="Times New Roman" w:hAnsi="Times New Roman" w:cs="Times New Roman"/>
        </w:rPr>
        <w:t>Despite this, there has been no statutory reform and instead judges and the CPS are left to interpret the ambig</w:t>
      </w:r>
      <w:r w:rsidR="00DD51D5">
        <w:rPr>
          <w:rFonts w:ascii="Times New Roman" w:hAnsi="Times New Roman" w:cs="Times New Roman"/>
        </w:rPr>
        <w:t>uous and outdated terms in the A</w:t>
      </w:r>
      <w:r w:rsidR="00701575" w:rsidRPr="008C1753">
        <w:rPr>
          <w:rFonts w:ascii="Times New Roman" w:hAnsi="Times New Roman" w:cs="Times New Roman"/>
        </w:rPr>
        <w:t>cts</w:t>
      </w:r>
      <w:r w:rsidR="006C049C" w:rsidRPr="008C1753">
        <w:rPr>
          <w:rFonts w:ascii="Times New Roman" w:hAnsi="Times New Roman" w:cs="Times New Roman"/>
        </w:rPr>
        <w:t>. This suggests</w:t>
      </w:r>
      <w:r w:rsidR="00701575" w:rsidRPr="008C1753">
        <w:rPr>
          <w:rFonts w:ascii="Times New Roman" w:hAnsi="Times New Roman" w:cs="Times New Roman"/>
        </w:rPr>
        <w:t xml:space="preserve"> the law is ‘fragmented’</w:t>
      </w:r>
      <w:r w:rsidR="00701575" w:rsidRPr="008C1753">
        <w:rPr>
          <w:rStyle w:val="FootnoteReference"/>
          <w:rFonts w:ascii="Times New Roman" w:hAnsi="Times New Roman" w:cs="Times New Roman"/>
        </w:rPr>
        <w:footnoteReference w:id="5"/>
      </w:r>
      <w:r w:rsidR="000B2703" w:rsidRPr="008C1753">
        <w:rPr>
          <w:rFonts w:ascii="Times New Roman" w:hAnsi="Times New Roman" w:cs="Times New Roman"/>
        </w:rPr>
        <w:t>, due to the ‘scattergun’ approach used by parliament when creating the law.</w:t>
      </w:r>
      <w:r w:rsidR="006350FA" w:rsidRPr="008C1753">
        <w:rPr>
          <w:rFonts w:ascii="Times New Roman" w:hAnsi="Times New Roman" w:cs="Times New Roman"/>
        </w:rPr>
        <w:t xml:space="preserve"> Academics across the field agree that this is a highly relevant issue as an increasing number of </w:t>
      </w:r>
      <w:r w:rsidR="006350FA" w:rsidRPr="008C1753">
        <w:rPr>
          <w:rFonts w:ascii="Times New Roman" w:hAnsi="Times New Roman" w:cs="Times New Roman"/>
        </w:rPr>
        <w:lastRenderedPageBreak/>
        <w:t>defendants are self-represented and inappropriate technical and obsolete language only further alienates the public from our system, which damages the profession.</w:t>
      </w:r>
      <w:r w:rsidR="006350FA" w:rsidRPr="008C1753">
        <w:rPr>
          <w:rFonts w:ascii="Times New Roman" w:hAnsi="Times New Roman" w:cs="Times New Roman"/>
          <w:vertAlign w:val="superscript"/>
        </w:rPr>
        <w:footnoteReference w:id="6"/>
      </w:r>
    </w:p>
    <w:p w14:paraId="0C754F6C" w14:textId="77777777" w:rsidR="00C953F2" w:rsidRPr="008C1753" w:rsidRDefault="00A41915"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In their </w:t>
      </w:r>
      <w:r w:rsidR="0037296A" w:rsidRPr="008C1753">
        <w:rPr>
          <w:rFonts w:ascii="Times New Roman" w:hAnsi="Times New Roman" w:cs="Times New Roman"/>
        </w:rPr>
        <w:t xml:space="preserve">2013 </w:t>
      </w:r>
      <w:r w:rsidRPr="008C1753">
        <w:rPr>
          <w:rFonts w:ascii="Times New Roman" w:hAnsi="Times New Roman" w:cs="Times New Roman"/>
        </w:rPr>
        <w:t xml:space="preserve">guidelines on </w:t>
      </w:r>
      <w:r w:rsidR="0037296A" w:rsidRPr="008C1753">
        <w:rPr>
          <w:rFonts w:ascii="Times New Roman" w:hAnsi="Times New Roman" w:cs="Times New Roman"/>
        </w:rPr>
        <w:t>‘P</w:t>
      </w:r>
      <w:r w:rsidRPr="008C1753">
        <w:rPr>
          <w:rFonts w:ascii="Times New Roman" w:hAnsi="Times New Roman" w:cs="Times New Roman"/>
        </w:rPr>
        <w:t>rosecuting cases involving communications sent via social media</w:t>
      </w:r>
      <w:r w:rsidR="0037296A" w:rsidRPr="008C1753">
        <w:rPr>
          <w:rFonts w:ascii="Times New Roman" w:hAnsi="Times New Roman" w:cs="Times New Roman"/>
        </w:rPr>
        <w:t>’</w:t>
      </w:r>
      <w:r w:rsidRPr="008C1753">
        <w:rPr>
          <w:rStyle w:val="FootnoteReference"/>
          <w:rFonts w:ascii="Times New Roman" w:hAnsi="Times New Roman" w:cs="Times New Roman"/>
        </w:rPr>
        <w:footnoteReference w:id="7"/>
      </w:r>
      <w:r w:rsidRPr="008C1753">
        <w:rPr>
          <w:rFonts w:ascii="Times New Roman" w:hAnsi="Times New Roman" w:cs="Times New Roman"/>
        </w:rPr>
        <w:t>, the CPS stress the need to interpret the meaning of terms such as ‘grossly offensive’</w:t>
      </w:r>
      <w:r w:rsidR="003935E3" w:rsidRPr="008C1753">
        <w:rPr>
          <w:rFonts w:ascii="Times New Roman" w:hAnsi="Times New Roman" w:cs="Times New Roman"/>
        </w:rPr>
        <w:t xml:space="preserve"> in compliance with the </w:t>
      </w:r>
      <w:r w:rsidR="00832B1D" w:rsidRPr="008C1753">
        <w:rPr>
          <w:rFonts w:ascii="Times New Roman" w:hAnsi="Times New Roman" w:cs="Times New Roman"/>
        </w:rPr>
        <w:t xml:space="preserve">right to </w:t>
      </w:r>
      <w:r w:rsidR="003935E3" w:rsidRPr="008C1753">
        <w:rPr>
          <w:rFonts w:ascii="Times New Roman" w:hAnsi="Times New Roman" w:cs="Times New Roman"/>
        </w:rPr>
        <w:t xml:space="preserve">freedom of expression. </w:t>
      </w:r>
      <w:r w:rsidR="00690EBD" w:rsidRPr="008C1753">
        <w:rPr>
          <w:rFonts w:ascii="Times New Roman" w:hAnsi="Times New Roman" w:cs="Times New Roman"/>
        </w:rPr>
        <w:t>I</w:t>
      </w:r>
      <w:r w:rsidR="003935E3" w:rsidRPr="008C1753">
        <w:rPr>
          <w:rFonts w:ascii="Times New Roman" w:hAnsi="Times New Roman" w:cs="Times New Roman"/>
        </w:rPr>
        <w:t>t was</w:t>
      </w:r>
      <w:r w:rsidR="0037296A" w:rsidRPr="008C1753">
        <w:rPr>
          <w:rFonts w:ascii="Times New Roman" w:hAnsi="Times New Roman" w:cs="Times New Roman"/>
        </w:rPr>
        <w:t xml:space="preserve"> </w:t>
      </w:r>
      <w:r w:rsidR="003935E3" w:rsidRPr="008C1753">
        <w:rPr>
          <w:rFonts w:ascii="Times New Roman" w:hAnsi="Times New Roman" w:cs="Times New Roman"/>
        </w:rPr>
        <w:t xml:space="preserve">decided in </w:t>
      </w:r>
      <w:r w:rsidR="003935E3" w:rsidRPr="008C1753">
        <w:rPr>
          <w:rFonts w:ascii="Times New Roman" w:hAnsi="Times New Roman" w:cs="Times New Roman"/>
          <w:i/>
        </w:rPr>
        <w:t>Connolly v DPP</w:t>
      </w:r>
      <w:r w:rsidR="003935E3" w:rsidRPr="008C1753">
        <w:rPr>
          <w:rStyle w:val="FootnoteReference"/>
          <w:rFonts w:ascii="Times New Roman" w:hAnsi="Times New Roman" w:cs="Times New Roman"/>
        </w:rPr>
        <w:footnoteReference w:id="8"/>
      </w:r>
      <w:r w:rsidR="00320D77" w:rsidRPr="008C1753">
        <w:rPr>
          <w:rFonts w:ascii="Times New Roman" w:hAnsi="Times New Roman" w:cs="Times New Roman"/>
        </w:rPr>
        <w:t xml:space="preserve"> that ‘grossly’ should be given its </w:t>
      </w:r>
      <w:r w:rsidR="00832B1D" w:rsidRPr="008C1753">
        <w:rPr>
          <w:rFonts w:ascii="Times New Roman" w:hAnsi="Times New Roman" w:cs="Times New Roman"/>
        </w:rPr>
        <w:t>‘</w:t>
      </w:r>
      <w:r w:rsidR="00320D77" w:rsidRPr="008C1753">
        <w:rPr>
          <w:rFonts w:ascii="Times New Roman" w:hAnsi="Times New Roman" w:cs="Times New Roman"/>
        </w:rPr>
        <w:t>ordinary</w:t>
      </w:r>
      <w:r w:rsidR="00832B1D" w:rsidRPr="008C1753">
        <w:rPr>
          <w:rFonts w:ascii="Times New Roman" w:hAnsi="Times New Roman" w:cs="Times New Roman"/>
        </w:rPr>
        <w:t>’</w:t>
      </w:r>
      <w:r w:rsidR="00832B1D" w:rsidRPr="008C1753">
        <w:rPr>
          <w:rStyle w:val="FootnoteReference"/>
          <w:rFonts w:ascii="Times New Roman" w:hAnsi="Times New Roman" w:cs="Times New Roman"/>
        </w:rPr>
        <w:footnoteReference w:id="9"/>
      </w:r>
      <w:r w:rsidR="00320D77" w:rsidRPr="008C1753">
        <w:rPr>
          <w:rFonts w:ascii="Times New Roman" w:hAnsi="Times New Roman" w:cs="Times New Roman"/>
        </w:rPr>
        <w:t xml:space="preserve">meaning, as well as words included in the 2003 act such as ‘indecent’ and ‘obscene’. </w:t>
      </w:r>
      <w:r w:rsidR="00832B1D" w:rsidRPr="008C1753">
        <w:rPr>
          <w:rFonts w:ascii="Times New Roman" w:hAnsi="Times New Roman" w:cs="Times New Roman"/>
        </w:rPr>
        <w:t xml:space="preserve">Although the courts </w:t>
      </w:r>
      <w:r w:rsidR="006350FA" w:rsidRPr="008C1753">
        <w:rPr>
          <w:rFonts w:ascii="Times New Roman" w:hAnsi="Times New Roman" w:cs="Times New Roman"/>
        </w:rPr>
        <w:t>declared</w:t>
      </w:r>
      <w:r w:rsidR="00832B1D" w:rsidRPr="008C1753">
        <w:rPr>
          <w:rFonts w:ascii="Times New Roman" w:hAnsi="Times New Roman" w:cs="Times New Roman"/>
        </w:rPr>
        <w:t xml:space="preserve"> this, there remains an element of ambiguity in what the ‘ordinary’ meaning is. Considering the </w:t>
      </w:r>
      <w:r w:rsidR="000D4295" w:rsidRPr="008C1753">
        <w:rPr>
          <w:rFonts w:ascii="Times New Roman" w:hAnsi="Times New Roman" w:cs="Times New Roman"/>
        </w:rPr>
        <w:t>context</w:t>
      </w:r>
      <w:r w:rsidR="00832B1D" w:rsidRPr="008C1753">
        <w:rPr>
          <w:rFonts w:ascii="Times New Roman" w:hAnsi="Times New Roman" w:cs="Times New Roman"/>
        </w:rPr>
        <w:t xml:space="preserve"> of the acts, with the 1988 A</w:t>
      </w:r>
      <w:r w:rsidR="000D4295" w:rsidRPr="008C1753">
        <w:rPr>
          <w:rFonts w:ascii="Times New Roman" w:hAnsi="Times New Roman" w:cs="Times New Roman"/>
        </w:rPr>
        <w:t>ct created for postal communications and the 2003 Act for broadcasts, it is questionable whether the ordinary meaning of grossly offensive remains the same in relation to the internet and social media</w:t>
      </w:r>
      <w:r w:rsidR="00690EBD" w:rsidRPr="008C1753">
        <w:rPr>
          <w:rFonts w:ascii="Times New Roman" w:hAnsi="Times New Roman" w:cs="Times New Roman"/>
        </w:rPr>
        <w:t xml:space="preserve"> or whether the standard differs</w:t>
      </w:r>
      <w:r w:rsidR="000D4295" w:rsidRPr="008C1753">
        <w:rPr>
          <w:rFonts w:ascii="Times New Roman" w:hAnsi="Times New Roman" w:cs="Times New Roman"/>
        </w:rPr>
        <w:t>.</w:t>
      </w:r>
      <w:r w:rsidR="00690EBD" w:rsidRPr="008C1753">
        <w:rPr>
          <w:rFonts w:ascii="Times New Roman" w:hAnsi="Times New Roman" w:cs="Times New Roman"/>
        </w:rPr>
        <w:t xml:space="preserve"> </w:t>
      </w:r>
      <w:r w:rsidR="000D4295" w:rsidRPr="008C1753">
        <w:rPr>
          <w:rFonts w:ascii="Times New Roman" w:hAnsi="Times New Roman" w:cs="Times New Roman"/>
        </w:rPr>
        <w:t xml:space="preserve"> Furthermore, t</w:t>
      </w:r>
      <w:r w:rsidR="0037296A" w:rsidRPr="008C1753">
        <w:rPr>
          <w:rFonts w:ascii="Times New Roman" w:hAnsi="Times New Roman" w:cs="Times New Roman"/>
        </w:rPr>
        <w:t>his lack of clarity means it can never be clear when a comment said online crosses the line from being ‘merely offensive’</w:t>
      </w:r>
      <w:r w:rsidR="0037296A" w:rsidRPr="008C1753">
        <w:rPr>
          <w:rStyle w:val="FootnoteReference"/>
          <w:rFonts w:ascii="Times New Roman" w:hAnsi="Times New Roman" w:cs="Times New Roman"/>
        </w:rPr>
        <w:footnoteReference w:id="10"/>
      </w:r>
      <w:r w:rsidR="0037296A" w:rsidRPr="008C1753">
        <w:rPr>
          <w:rFonts w:ascii="Times New Roman" w:hAnsi="Times New Roman" w:cs="Times New Roman"/>
        </w:rPr>
        <w:t xml:space="preserve"> to something that is ‘so grossly offensive it should be criminalised’</w:t>
      </w:r>
      <w:r w:rsidR="0037296A" w:rsidRPr="008C1753">
        <w:rPr>
          <w:rStyle w:val="FootnoteReference"/>
          <w:rFonts w:ascii="Times New Roman" w:hAnsi="Times New Roman" w:cs="Times New Roman"/>
        </w:rPr>
        <w:footnoteReference w:id="11"/>
      </w:r>
      <w:r w:rsidR="0027764C" w:rsidRPr="008C1753">
        <w:rPr>
          <w:rFonts w:ascii="Times New Roman" w:hAnsi="Times New Roman" w:cs="Times New Roman"/>
        </w:rPr>
        <w:t xml:space="preserve"> </w:t>
      </w:r>
      <w:r w:rsidR="005B1B82" w:rsidRPr="008C1753">
        <w:rPr>
          <w:rFonts w:ascii="Times New Roman" w:hAnsi="Times New Roman" w:cs="Times New Roman"/>
        </w:rPr>
        <w:t>meaning</w:t>
      </w:r>
      <w:r w:rsidR="0027764C" w:rsidRPr="008C1753">
        <w:rPr>
          <w:rFonts w:ascii="Times New Roman" w:hAnsi="Times New Roman" w:cs="Times New Roman"/>
        </w:rPr>
        <w:t xml:space="preserve"> there is a lack of certainty in the law.</w:t>
      </w:r>
    </w:p>
    <w:p w14:paraId="7FD70481" w14:textId="7EF05FB2" w:rsidR="00C953F2" w:rsidRPr="008C1753" w:rsidRDefault="0027764C"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 </w:t>
      </w:r>
      <w:r w:rsidR="00320D77" w:rsidRPr="008C1753">
        <w:rPr>
          <w:rFonts w:ascii="Times New Roman" w:hAnsi="Times New Roman" w:cs="Times New Roman"/>
        </w:rPr>
        <w:t xml:space="preserve">Although the CPS have attempted to </w:t>
      </w:r>
      <w:r w:rsidRPr="008C1753">
        <w:rPr>
          <w:rFonts w:ascii="Times New Roman" w:hAnsi="Times New Roman" w:cs="Times New Roman"/>
        </w:rPr>
        <w:t xml:space="preserve">improve this </w:t>
      </w:r>
      <w:r w:rsidR="00320D77" w:rsidRPr="008C1753">
        <w:rPr>
          <w:rFonts w:ascii="Times New Roman" w:hAnsi="Times New Roman" w:cs="Times New Roman"/>
        </w:rPr>
        <w:t>understanding</w:t>
      </w:r>
      <w:r w:rsidR="0037296A" w:rsidRPr="008C1753">
        <w:rPr>
          <w:rFonts w:ascii="Times New Roman" w:hAnsi="Times New Roman" w:cs="Times New Roman"/>
        </w:rPr>
        <w:t xml:space="preserve"> it remains questionable whether it is effective in practice, with many </w:t>
      </w:r>
      <w:r w:rsidR="005B1B82" w:rsidRPr="008C1753">
        <w:rPr>
          <w:rFonts w:ascii="Times New Roman" w:hAnsi="Times New Roman" w:cs="Times New Roman"/>
        </w:rPr>
        <w:t xml:space="preserve">academic </w:t>
      </w:r>
      <w:r w:rsidR="0037296A" w:rsidRPr="008C1753">
        <w:rPr>
          <w:rFonts w:ascii="Times New Roman" w:hAnsi="Times New Roman" w:cs="Times New Roman"/>
        </w:rPr>
        <w:t>writers including L</w:t>
      </w:r>
      <w:r w:rsidR="00C953F2" w:rsidRPr="008C1753">
        <w:rPr>
          <w:rFonts w:ascii="Times New Roman" w:hAnsi="Times New Roman" w:cs="Times New Roman"/>
        </w:rPr>
        <w:t>aura Bliss, as well as the Law C</w:t>
      </w:r>
      <w:r w:rsidR="0037296A" w:rsidRPr="008C1753">
        <w:rPr>
          <w:rFonts w:ascii="Times New Roman" w:hAnsi="Times New Roman" w:cs="Times New Roman"/>
        </w:rPr>
        <w:t>ommission</w:t>
      </w:r>
      <w:r w:rsidR="005B1B82" w:rsidRPr="008C1753">
        <w:rPr>
          <w:rFonts w:ascii="Times New Roman" w:hAnsi="Times New Roman" w:cs="Times New Roman"/>
        </w:rPr>
        <w:t xml:space="preserve">, </w:t>
      </w:r>
      <w:r w:rsidR="0037296A" w:rsidRPr="008C1753">
        <w:rPr>
          <w:rFonts w:ascii="Times New Roman" w:hAnsi="Times New Roman" w:cs="Times New Roman"/>
        </w:rPr>
        <w:t xml:space="preserve">criticising the current law. </w:t>
      </w:r>
      <w:r w:rsidR="00286368" w:rsidRPr="008C1753">
        <w:rPr>
          <w:rFonts w:ascii="Times New Roman" w:hAnsi="Times New Roman" w:cs="Times New Roman"/>
        </w:rPr>
        <w:t xml:space="preserve">This is </w:t>
      </w:r>
      <w:r w:rsidR="00CC533C" w:rsidRPr="008C1753">
        <w:rPr>
          <w:rFonts w:ascii="Times New Roman" w:hAnsi="Times New Roman" w:cs="Times New Roman"/>
        </w:rPr>
        <w:t xml:space="preserve">shown through the different outcomes of cases such as the unreported case of </w:t>
      </w:r>
      <w:r w:rsidR="00CC533C" w:rsidRPr="008C1753">
        <w:rPr>
          <w:rFonts w:ascii="Times New Roman" w:hAnsi="Times New Roman" w:cs="Times New Roman"/>
          <w:i/>
        </w:rPr>
        <w:t>R v Woods</w:t>
      </w:r>
      <w:r w:rsidR="00CC533C" w:rsidRPr="008C1753">
        <w:rPr>
          <w:rFonts w:ascii="Times New Roman" w:hAnsi="Times New Roman" w:cs="Times New Roman"/>
        </w:rPr>
        <w:t xml:space="preserve"> in 2012</w:t>
      </w:r>
      <w:r w:rsidR="00CE73F8" w:rsidRPr="008C1753">
        <w:rPr>
          <w:rStyle w:val="FootnoteReference"/>
          <w:rFonts w:ascii="Times New Roman" w:hAnsi="Times New Roman" w:cs="Times New Roman"/>
        </w:rPr>
        <w:footnoteReference w:id="12"/>
      </w:r>
      <w:r w:rsidR="00CC533C" w:rsidRPr="008C1753">
        <w:rPr>
          <w:rFonts w:ascii="Times New Roman" w:hAnsi="Times New Roman" w:cs="Times New Roman"/>
        </w:rPr>
        <w:t xml:space="preserve"> </w:t>
      </w:r>
      <w:r w:rsidR="009C5808" w:rsidRPr="008C1753">
        <w:rPr>
          <w:rFonts w:ascii="Times New Roman" w:hAnsi="Times New Roman" w:cs="Times New Roman"/>
        </w:rPr>
        <w:t xml:space="preserve">when the defendant made comments online about missing April Jones, </w:t>
      </w:r>
      <w:r w:rsidR="00CC533C" w:rsidRPr="008C1753">
        <w:rPr>
          <w:rFonts w:ascii="Times New Roman" w:hAnsi="Times New Roman" w:cs="Times New Roman"/>
        </w:rPr>
        <w:t xml:space="preserve">and </w:t>
      </w:r>
      <w:r w:rsidR="009C5808" w:rsidRPr="008C1753">
        <w:rPr>
          <w:rFonts w:ascii="Times New Roman" w:hAnsi="Times New Roman" w:cs="Times New Roman"/>
        </w:rPr>
        <w:t xml:space="preserve">the homophobic comments made by the defendant in </w:t>
      </w:r>
      <w:r w:rsidR="009C5808" w:rsidRPr="008C1753">
        <w:rPr>
          <w:rFonts w:ascii="Times New Roman" w:hAnsi="Times New Roman" w:cs="Times New Roman"/>
          <w:i/>
        </w:rPr>
        <w:t>Thomas</w:t>
      </w:r>
      <w:r w:rsidR="006C049C" w:rsidRPr="008C1753">
        <w:rPr>
          <w:rStyle w:val="FootnoteReference"/>
          <w:rFonts w:ascii="Times New Roman" w:hAnsi="Times New Roman" w:cs="Times New Roman"/>
        </w:rPr>
        <w:footnoteReference w:id="13"/>
      </w:r>
      <w:r w:rsidR="009C5808" w:rsidRPr="008C1753">
        <w:rPr>
          <w:rFonts w:ascii="Times New Roman" w:hAnsi="Times New Roman" w:cs="Times New Roman"/>
        </w:rPr>
        <w:t>. Thomas was not convicted which emphasises the lack of clarity as to ‘what amounts to a grossly offensive comment’</w:t>
      </w:r>
      <w:r w:rsidR="009C5808" w:rsidRPr="008C1753">
        <w:rPr>
          <w:rStyle w:val="FootnoteReference"/>
          <w:rFonts w:ascii="Times New Roman" w:hAnsi="Times New Roman" w:cs="Times New Roman"/>
        </w:rPr>
        <w:footnoteReference w:id="14"/>
      </w:r>
      <w:r w:rsidR="009C5808" w:rsidRPr="008C1753">
        <w:rPr>
          <w:rFonts w:ascii="Times New Roman" w:hAnsi="Times New Roman" w:cs="Times New Roman"/>
        </w:rPr>
        <w:t>.</w:t>
      </w:r>
    </w:p>
    <w:p w14:paraId="5EAFE3CE" w14:textId="6D1C8C1E" w:rsidR="007F4AA6" w:rsidRPr="008C1753" w:rsidRDefault="009C580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 It seems apparent that reform of the law on offensive communications is necessary </w:t>
      </w:r>
      <w:r w:rsidR="00D313AC" w:rsidRPr="008C1753">
        <w:rPr>
          <w:rFonts w:ascii="Times New Roman" w:hAnsi="Times New Roman" w:cs="Times New Roman"/>
        </w:rPr>
        <w:t xml:space="preserve">to be effective in modern society, </w:t>
      </w:r>
      <w:r w:rsidRPr="008C1753">
        <w:rPr>
          <w:rFonts w:ascii="Times New Roman" w:hAnsi="Times New Roman" w:cs="Times New Roman"/>
        </w:rPr>
        <w:t xml:space="preserve">with many arguing that ‘guidelines are no substitute for clearer </w:t>
      </w:r>
      <w:r w:rsidRPr="008C1753">
        <w:rPr>
          <w:rFonts w:ascii="Times New Roman" w:hAnsi="Times New Roman" w:cs="Times New Roman"/>
        </w:rPr>
        <w:lastRenderedPageBreak/>
        <w:t>law’</w:t>
      </w:r>
      <w:r w:rsidRPr="008C1753">
        <w:rPr>
          <w:rStyle w:val="FootnoteReference"/>
          <w:rFonts w:ascii="Times New Roman" w:hAnsi="Times New Roman" w:cs="Times New Roman"/>
        </w:rPr>
        <w:footnoteReference w:id="15"/>
      </w:r>
      <w:r w:rsidR="003E26DC" w:rsidRPr="008C1753">
        <w:rPr>
          <w:rFonts w:ascii="Times New Roman" w:hAnsi="Times New Roman" w:cs="Times New Roman"/>
        </w:rPr>
        <w:t xml:space="preserve">. </w:t>
      </w:r>
      <w:r w:rsidR="003E26DC" w:rsidRPr="008C1753">
        <w:rPr>
          <w:rFonts w:ascii="Times New Roman" w:eastAsia="Times New Roman" w:hAnsi="Times New Roman" w:cs="Times New Roman"/>
          <w:color w:val="000000"/>
          <w:shd w:val="clear" w:color="auto" w:fill="FFFFFF"/>
        </w:rPr>
        <w:t>The Law Commission has for years encouraged the codification of the criminal law</w:t>
      </w:r>
      <w:r w:rsidR="003E26DC" w:rsidRPr="008C1753">
        <w:rPr>
          <w:rStyle w:val="FootnoteReference"/>
          <w:rFonts w:ascii="Times New Roman" w:eastAsia="Times New Roman" w:hAnsi="Times New Roman" w:cs="Times New Roman"/>
          <w:color w:val="000000"/>
          <w:shd w:val="clear" w:color="auto" w:fill="FFFFFF"/>
        </w:rPr>
        <w:footnoteReference w:id="16"/>
      </w:r>
      <w:r w:rsidR="003E26DC" w:rsidRPr="008C1753">
        <w:rPr>
          <w:rFonts w:ascii="Times New Roman" w:eastAsia="Times New Roman" w:hAnsi="Times New Roman" w:cs="Times New Roman"/>
          <w:color w:val="000000"/>
          <w:shd w:val="clear" w:color="auto" w:fill="FFFFFF"/>
        </w:rPr>
        <w:t xml:space="preserve">, </w:t>
      </w:r>
      <w:r w:rsidR="007C3A22" w:rsidRPr="008C1753">
        <w:rPr>
          <w:rFonts w:ascii="Times New Roman" w:hAnsi="Times New Roman" w:cs="Times New Roman"/>
        </w:rPr>
        <w:t xml:space="preserve">describing </w:t>
      </w:r>
      <w:r w:rsidR="003E26DC" w:rsidRPr="008C1753">
        <w:rPr>
          <w:rFonts w:ascii="Times New Roman" w:hAnsi="Times New Roman" w:cs="Times New Roman"/>
        </w:rPr>
        <w:t>it</w:t>
      </w:r>
      <w:r w:rsidR="007C3A22" w:rsidRPr="008C1753">
        <w:rPr>
          <w:rFonts w:ascii="Times New Roman" w:hAnsi="Times New Roman" w:cs="Times New Roman"/>
        </w:rPr>
        <w:t xml:space="preserve"> as ‘vague and unclear’</w:t>
      </w:r>
      <w:r w:rsidR="007C3A22" w:rsidRPr="008C1753">
        <w:rPr>
          <w:rStyle w:val="FootnoteReference"/>
          <w:rFonts w:ascii="Times New Roman" w:hAnsi="Times New Roman" w:cs="Times New Roman"/>
        </w:rPr>
        <w:footnoteReference w:id="17"/>
      </w:r>
      <w:r w:rsidR="007C3A22" w:rsidRPr="008C1753">
        <w:rPr>
          <w:rFonts w:ascii="Times New Roman" w:hAnsi="Times New Roman" w:cs="Times New Roman"/>
        </w:rPr>
        <w:t>.</w:t>
      </w:r>
    </w:p>
    <w:p w14:paraId="74B3D599" w14:textId="29AC1296" w:rsidR="00FD5488" w:rsidRPr="008C1753" w:rsidRDefault="00FD5488" w:rsidP="008C1753">
      <w:pPr>
        <w:spacing w:after="200" w:line="360" w:lineRule="auto"/>
        <w:jc w:val="both"/>
        <w:rPr>
          <w:rFonts w:ascii="Times New Roman" w:hAnsi="Times New Roman" w:cs="Times New Roman"/>
          <w:b/>
        </w:rPr>
      </w:pPr>
      <w:r w:rsidRPr="008C1753">
        <w:rPr>
          <w:rFonts w:ascii="Times New Roman" w:hAnsi="Times New Roman" w:cs="Times New Roman"/>
          <w:b/>
        </w:rPr>
        <w:t xml:space="preserve">Are the </w:t>
      </w:r>
      <w:proofErr w:type="spellStart"/>
      <w:r w:rsidRPr="008C1753">
        <w:rPr>
          <w:rFonts w:ascii="Times New Roman" w:hAnsi="Times New Roman" w:cs="Times New Roman"/>
          <w:b/>
        </w:rPr>
        <w:t>me</w:t>
      </w:r>
      <w:r w:rsidR="006C049C" w:rsidRPr="008C1753">
        <w:rPr>
          <w:rFonts w:ascii="Times New Roman" w:hAnsi="Times New Roman" w:cs="Times New Roman"/>
          <w:b/>
        </w:rPr>
        <w:t>ns</w:t>
      </w:r>
      <w:proofErr w:type="spellEnd"/>
      <w:r w:rsidR="006C049C" w:rsidRPr="008C1753">
        <w:rPr>
          <w:rFonts w:ascii="Times New Roman" w:hAnsi="Times New Roman" w:cs="Times New Roman"/>
          <w:b/>
        </w:rPr>
        <w:t xml:space="preserve"> rea elements clear in the Malicious Communications Act 1988 and the Communications Act</w:t>
      </w:r>
      <w:r w:rsidRPr="008C1753">
        <w:rPr>
          <w:rFonts w:ascii="Times New Roman" w:hAnsi="Times New Roman" w:cs="Times New Roman"/>
          <w:b/>
        </w:rPr>
        <w:t xml:space="preserve"> 2003?</w:t>
      </w:r>
    </w:p>
    <w:p w14:paraId="2507EF3D" w14:textId="12641F8C" w:rsidR="00FD5488" w:rsidRPr="008C1753" w:rsidRDefault="00FD5488" w:rsidP="008C1753">
      <w:pPr>
        <w:spacing w:after="200" w:line="360" w:lineRule="auto"/>
        <w:jc w:val="both"/>
        <w:rPr>
          <w:rFonts w:ascii="Times New Roman" w:hAnsi="Times New Roman" w:cs="Times New Roman"/>
        </w:rPr>
      </w:pPr>
      <w:r w:rsidRPr="008C1753">
        <w:rPr>
          <w:rFonts w:ascii="Times New Roman" w:hAnsi="Times New Roman" w:cs="Times New Roman"/>
        </w:rPr>
        <w:t xml:space="preserve">For a defendant to be prosecuted </w:t>
      </w:r>
      <w:r w:rsidR="00B46409" w:rsidRPr="008C1753">
        <w:rPr>
          <w:rFonts w:ascii="Times New Roman" w:hAnsi="Times New Roman" w:cs="Times New Roman"/>
        </w:rPr>
        <w:t>of an</w:t>
      </w:r>
      <w:r w:rsidRPr="008C1753">
        <w:rPr>
          <w:rFonts w:ascii="Times New Roman" w:hAnsi="Times New Roman" w:cs="Times New Roman"/>
        </w:rPr>
        <w:t xml:space="preserve"> offensive online communication,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 </w:t>
      </w:r>
      <w:r w:rsidRPr="008C1753">
        <w:rPr>
          <w:rFonts w:ascii="Times New Roman" w:hAnsi="Times New Roman" w:cs="Times New Roman"/>
        </w:rPr>
        <w:t>element of intention must be proven. In criminal cases, the concept of intention can be</w:t>
      </w:r>
      <w:r w:rsidR="00B46409" w:rsidRPr="008C1753">
        <w:rPr>
          <w:rFonts w:ascii="Times New Roman" w:hAnsi="Times New Roman" w:cs="Times New Roman"/>
        </w:rPr>
        <w:t xml:space="preserve"> described in two distinct ways</w:t>
      </w:r>
      <w:r w:rsidRPr="008C1753">
        <w:rPr>
          <w:rFonts w:ascii="Times New Roman" w:hAnsi="Times New Roman" w:cs="Times New Roman"/>
        </w:rPr>
        <w:t xml:space="preserve"> through the clarification in cases. Firstly, as oblique intent; this is where the consequence of the defendant’s action is “virtually certain</w:t>
      </w:r>
      <w:proofErr w:type="gramStart"/>
      <w:r w:rsidRPr="008C1753">
        <w:rPr>
          <w:rFonts w:ascii="Times New Roman" w:hAnsi="Times New Roman" w:cs="Times New Roman"/>
        </w:rPr>
        <w:t>”</w:t>
      </w:r>
      <w:r w:rsidRPr="008C1753">
        <w:rPr>
          <w:rFonts w:ascii="Times New Roman" w:hAnsi="Times New Roman" w:cs="Times New Roman"/>
          <w:vertAlign w:val="superscript"/>
        </w:rPr>
        <w:t xml:space="preserve"> </w:t>
      </w:r>
      <w:proofErr w:type="gramEnd"/>
      <w:r w:rsidRPr="008C1753">
        <w:rPr>
          <w:rFonts w:ascii="Times New Roman" w:hAnsi="Times New Roman" w:cs="Times New Roman"/>
          <w:vertAlign w:val="superscript"/>
        </w:rPr>
        <w:footnoteReference w:id="18"/>
      </w:r>
      <w:r w:rsidRPr="008C1753">
        <w:rPr>
          <w:rFonts w:ascii="Times New Roman" w:hAnsi="Times New Roman" w:cs="Times New Roman"/>
        </w:rPr>
        <w:t>. Secondly as direct intent, meaning the defendant wants to complete a desired aim or purpose</w:t>
      </w:r>
      <w:r w:rsidRPr="008C1753">
        <w:rPr>
          <w:rFonts w:ascii="Times New Roman" w:hAnsi="Times New Roman" w:cs="Times New Roman"/>
          <w:vertAlign w:val="superscript"/>
        </w:rPr>
        <w:footnoteReference w:id="19"/>
      </w:r>
      <w:r w:rsidRPr="008C1753">
        <w:rPr>
          <w:rFonts w:ascii="Times New Roman" w:hAnsi="Times New Roman" w:cs="Times New Roman"/>
        </w:rPr>
        <w:t xml:space="preserve">. </w:t>
      </w:r>
    </w:p>
    <w:p w14:paraId="3C71B0C8" w14:textId="77777777"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In addition to this, offences can be described as either a basic intent crime or a specific intent crime. Like these previous concepts of intention, these terms have been defined using common law. The main difference between the two is crimes which only have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as intention is of specific intent, whereas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could be recklessness, which is “D taking an unjustifiable risk of a particular consequence occurring”</w:t>
      </w:r>
      <w:r w:rsidRPr="008C1753">
        <w:rPr>
          <w:rFonts w:ascii="Times New Roman" w:hAnsi="Times New Roman" w:cs="Times New Roman"/>
          <w:vertAlign w:val="superscript"/>
        </w:rPr>
        <w:footnoteReference w:id="20"/>
      </w:r>
      <w:r w:rsidRPr="008C1753">
        <w:rPr>
          <w:rFonts w:ascii="Times New Roman" w:hAnsi="Times New Roman" w:cs="Times New Roman"/>
        </w:rPr>
        <w:t xml:space="preserve"> or intention for basic intent crimes.</w:t>
      </w:r>
      <w:r w:rsidRPr="008C1753">
        <w:rPr>
          <w:rFonts w:ascii="Times New Roman" w:hAnsi="Times New Roman" w:cs="Times New Roman"/>
          <w:vertAlign w:val="superscript"/>
        </w:rPr>
        <w:footnoteReference w:id="21"/>
      </w:r>
      <w:r w:rsidRPr="008C1753">
        <w:rPr>
          <w:rFonts w:ascii="Times New Roman" w:hAnsi="Times New Roman" w:cs="Times New Roman"/>
        </w:rPr>
        <w:t xml:space="preserve"> </w:t>
      </w:r>
    </w:p>
    <w:p w14:paraId="7097B648" w14:textId="56A58C85"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The issue </w:t>
      </w:r>
      <w:r w:rsidR="00B46409" w:rsidRPr="008C1753">
        <w:rPr>
          <w:rFonts w:ascii="Times New Roman" w:hAnsi="Times New Roman" w:cs="Times New Roman"/>
        </w:rPr>
        <w:t>surrounding</w:t>
      </w:r>
      <w:r w:rsidRPr="008C1753">
        <w:rPr>
          <w:rFonts w:ascii="Times New Roman" w:hAnsi="Times New Roman" w:cs="Times New Roman"/>
        </w:rPr>
        <w:t xml:space="preserve">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elements in the Malicious Communications Act 1988</w:t>
      </w:r>
      <w:r w:rsidRPr="008C1753">
        <w:rPr>
          <w:rFonts w:ascii="Times New Roman" w:hAnsi="Times New Roman" w:cs="Times New Roman"/>
          <w:vertAlign w:val="superscript"/>
          <w:lang w:val="en-US"/>
        </w:rPr>
        <w:footnoteReference w:id="22"/>
      </w:r>
      <w:r w:rsidRPr="008C1753">
        <w:rPr>
          <w:rFonts w:ascii="Times New Roman" w:hAnsi="Times New Roman" w:cs="Times New Roman"/>
        </w:rPr>
        <w:t xml:space="preserve"> and the Communications Act 2003</w:t>
      </w:r>
      <w:r w:rsidRPr="008C1753">
        <w:rPr>
          <w:rFonts w:ascii="Times New Roman" w:hAnsi="Times New Roman" w:cs="Times New Roman"/>
          <w:vertAlign w:val="superscript"/>
          <w:lang w:val="en-US"/>
        </w:rPr>
        <w:footnoteReference w:id="23"/>
      </w:r>
      <w:r w:rsidRPr="008C1753">
        <w:rPr>
          <w:rFonts w:ascii="Times New Roman" w:hAnsi="Times New Roman" w:cs="Times New Roman"/>
        </w:rPr>
        <w:t xml:space="preserve"> is that </w:t>
      </w:r>
      <w:r w:rsidR="00B46409" w:rsidRPr="008C1753">
        <w:rPr>
          <w:rFonts w:ascii="Times New Roman" w:hAnsi="Times New Roman" w:cs="Times New Roman"/>
        </w:rPr>
        <w:t>the meaning is unclear</w:t>
      </w:r>
      <w:r w:rsidRPr="008C1753">
        <w:rPr>
          <w:rFonts w:ascii="Times New Roman" w:hAnsi="Times New Roman" w:cs="Times New Roman"/>
        </w:rPr>
        <w:t>. In the Malicious Communications Act, it is stated that the defendant must have the intention to “cause distress or anxiety”</w:t>
      </w:r>
      <w:r w:rsidRPr="008C1753">
        <w:rPr>
          <w:rFonts w:ascii="Times New Roman" w:hAnsi="Times New Roman" w:cs="Times New Roman"/>
          <w:vertAlign w:val="superscript"/>
          <w:lang w:val="en-US"/>
        </w:rPr>
        <w:t xml:space="preserve"> </w:t>
      </w:r>
      <w:r w:rsidRPr="008C1753">
        <w:rPr>
          <w:rFonts w:ascii="Times New Roman" w:hAnsi="Times New Roman" w:cs="Times New Roman"/>
          <w:vertAlign w:val="superscript"/>
          <w:lang w:val="en-US"/>
        </w:rPr>
        <w:footnoteReference w:id="24"/>
      </w:r>
      <w:r w:rsidRPr="008C1753">
        <w:rPr>
          <w:rFonts w:ascii="Times New Roman" w:hAnsi="Times New Roman" w:cs="Times New Roman"/>
          <w:lang w:val="en-US"/>
        </w:rPr>
        <w:t xml:space="preserve"> when sending an online communication. This idea is confirmed in </w:t>
      </w:r>
      <w:r w:rsidRPr="008C1753">
        <w:rPr>
          <w:rFonts w:ascii="Times New Roman" w:hAnsi="Times New Roman" w:cs="Times New Roman"/>
          <w:i/>
          <w:lang w:val="en-US"/>
        </w:rPr>
        <w:t>Chambers</w:t>
      </w:r>
      <w:r w:rsidRPr="008C1753">
        <w:rPr>
          <w:rFonts w:ascii="Times New Roman" w:hAnsi="Times New Roman" w:cs="Times New Roman"/>
          <w:vertAlign w:val="superscript"/>
        </w:rPr>
        <w:footnoteReference w:id="25"/>
      </w:r>
      <w:r w:rsidRPr="008C1753">
        <w:rPr>
          <w:rFonts w:ascii="Times New Roman" w:hAnsi="Times New Roman" w:cs="Times New Roman"/>
          <w:lang w:val="en-US"/>
        </w:rPr>
        <w:t>, in which the defendant must have “acted with a specific purpose in mind</w:t>
      </w:r>
      <w:r w:rsidR="006F54B9" w:rsidRPr="008C1753">
        <w:rPr>
          <w:rFonts w:ascii="Times New Roman" w:hAnsi="Times New Roman" w:cs="Times New Roman"/>
          <w:lang w:val="en-US"/>
        </w:rPr>
        <w:t>”</w:t>
      </w:r>
      <w:r w:rsidRPr="008C1753">
        <w:rPr>
          <w:rFonts w:ascii="Times New Roman" w:hAnsi="Times New Roman" w:cs="Times New Roman"/>
          <w:vertAlign w:val="superscript"/>
        </w:rPr>
        <w:footnoteReference w:id="26"/>
      </w:r>
      <w:r w:rsidRPr="008C1753">
        <w:rPr>
          <w:rFonts w:ascii="Times New Roman" w:hAnsi="Times New Roman" w:cs="Times New Roman"/>
        </w:rPr>
        <w:t xml:space="preserve">. Therefore, it must be proven that the defendant is trying to send the communication with the thought of </w:t>
      </w:r>
      <w:r w:rsidR="00B46409" w:rsidRPr="008C1753">
        <w:rPr>
          <w:rFonts w:ascii="Times New Roman" w:hAnsi="Times New Roman" w:cs="Times New Roman"/>
        </w:rPr>
        <w:t>the recipient</w:t>
      </w:r>
      <w:r w:rsidRPr="008C1753">
        <w:rPr>
          <w:rFonts w:ascii="Times New Roman" w:hAnsi="Times New Roman" w:cs="Times New Roman"/>
        </w:rPr>
        <w:t xml:space="preserve"> being disturbed by the message. Even if the person does not feel this way, the </w:t>
      </w:r>
      <w:r w:rsidRPr="008C1753">
        <w:rPr>
          <w:rFonts w:ascii="Times New Roman" w:hAnsi="Times New Roman" w:cs="Times New Roman"/>
        </w:rPr>
        <w:lastRenderedPageBreak/>
        <w:t>defendant could still be charged, as “the sender of the grossly offensive message must intend it to cause distress or anxiety to its immediate or eventual recipient”</w:t>
      </w:r>
      <w:r w:rsidRPr="008C1753">
        <w:rPr>
          <w:rFonts w:ascii="Times New Roman" w:hAnsi="Times New Roman" w:cs="Times New Roman"/>
          <w:vertAlign w:val="superscript"/>
        </w:rPr>
        <w:footnoteReference w:id="27"/>
      </w:r>
      <w:r w:rsidR="00DD51D5">
        <w:rPr>
          <w:rFonts w:ascii="Times New Roman" w:hAnsi="Times New Roman" w:cs="Times New Roman"/>
        </w:rPr>
        <w:t>,</w:t>
      </w:r>
      <w:r w:rsidR="00B46409" w:rsidRPr="008C1753">
        <w:rPr>
          <w:rFonts w:ascii="Times New Roman" w:hAnsi="Times New Roman" w:cs="Times New Roman"/>
        </w:rPr>
        <w:t xml:space="preserve"> </w:t>
      </w:r>
      <w:r w:rsidR="00DD51D5">
        <w:rPr>
          <w:rFonts w:ascii="Times New Roman" w:hAnsi="Times New Roman" w:cs="Times New Roman"/>
        </w:rPr>
        <w:t>t</w:t>
      </w:r>
      <w:r w:rsidR="00B46409" w:rsidRPr="008C1753">
        <w:rPr>
          <w:rFonts w:ascii="Times New Roman" w:hAnsi="Times New Roman" w:cs="Times New Roman"/>
        </w:rPr>
        <w:t xml:space="preserve">hus </w:t>
      </w:r>
      <w:r w:rsidRPr="008C1753">
        <w:rPr>
          <w:rFonts w:ascii="Times New Roman" w:hAnsi="Times New Roman" w:cs="Times New Roman"/>
        </w:rPr>
        <w:t>making it not a ‘constitutional element’</w:t>
      </w:r>
      <w:r w:rsidRPr="008C1753">
        <w:rPr>
          <w:rFonts w:ascii="Times New Roman" w:hAnsi="Times New Roman" w:cs="Times New Roman"/>
          <w:vertAlign w:val="superscript"/>
        </w:rPr>
        <w:footnoteReference w:id="28"/>
      </w:r>
      <w:r w:rsidRPr="008C1753">
        <w:rPr>
          <w:rFonts w:ascii="Times New Roman" w:hAnsi="Times New Roman" w:cs="Times New Roman"/>
        </w:rPr>
        <w:t xml:space="preserve"> of the crime. However in the relevant section of </w:t>
      </w:r>
      <w:r w:rsidR="00B46409" w:rsidRPr="008C1753">
        <w:rPr>
          <w:rFonts w:ascii="Times New Roman" w:hAnsi="Times New Roman" w:cs="Times New Roman"/>
        </w:rPr>
        <w:t xml:space="preserve">the </w:t>
      </w:r>
      <w:r w:rsidRPr="008C1753">
        <w:rPr>
          <w:rFonts w:ascii="Times New Roman" w:hAnsi="Times New Roman" w:cs="Times New Roman"/>
        </w:rPr>
        <w:t>Communications Act</w:t>
      </w:r>
      <w:r w:rsidRPr="008C1753">
        <w:rPr>
          <w:rFonts w:ascii="Times New Roman" w:hAnsi="Times New Roman" w:cs="Times New Roman"/>
          <w:vertAlign w:val="superscript"/>
        </w:rPr>
        <w:footnoteReference w:id="29"/>
      </w:r>
      <w:r w:rsidRPr="008C1753">
        <w:rPr>
          <w:rFonts w:ascii="Times New Roman" w:hAnsi="Times New Roman" w:cs="Times New Roman"/>
        </w:rPr>
        <w:t>, it do</w:t>
      </w:r>
      <w:r w:rsidR="00B46409" w:rsidRPr="008C1753">
        <w:rPr>
          <w:rFonts w:ascii="Times New Roman" w:hAnsi="Times New Roman" w:cs="Times New Roman"/>
        </w:rPr>
        <w:t xml:space="preserve">es not mention intention at all. Therefore, in </w:t>
      </w:r>
      <w:r w:rsidR="00B46409" w:rsidRPr="008C1753">
        <w:rPr>
          <w:rFonts w:ascii="Times New Roman" w:hAnsi="Times New Roman" w:cs="Times New Roman"/>
          <w:i/>
        </w:rPr>
        <w:t>Collins</w:t>
      </w:r>
      <w:r w:rsidR="00B46409" w:rsidRPr="008C1753">
        <w:rPr>
          <w:rFonts w:ascii="Times New Roman" w:hAnsi="Times New Roman" w:cs="Times New Roman"/>
          <w:vertAlign w:val="superscript"/>
          <w:lang w:val="en-US"/>
        </w:rPr>
        <w:footnoteReference w:id="30"/>
      </w:r>
      <w:r w:rsidR="00B46409" w:rsidRPr="008C1753">
        <w:rPr>
          <w:rFonts w:ascii="Times New Roman" w:hAnsi="Times New Roman" w:cs="Times New Roman"/>
        </w:rPr>
        <w:t xml:space="preserve">, it needed to be clarified that intent was a necessary </w:t>
      </w:r>
      <w:proofErr w:type="spellStart"/>
      <w:r w:rsidR="00B46409" w:rsidRPr="008C1753">
        <w:rPr>
          <w:rFonts w:ascii="Times New Roman" w:hAnsi="Times New Roman" w:cs="Times New Roman"/>
          <w:i/>
        </w:rPr>
        <w:t>mens</w:t>
      </w:r>
      <w:proofErr w:type="spellEnd"/>
      <w:r w:rsidR="00B46409" w:rsidRPr="008C1753">
        <w:rPr>
          <w:rFonts w:ascii="Times New Roman" w:hAnsi="Times New Roman" w:cs="Times New Roman"/>
          <w:i/>
        </w:rPr>
        <w:t xml:space="preserve"> rea </w:t>
      </w:r>
      <w:r w:rsidR="00B46409" w:rsidRPr="008C1753">
        <w:rPr>
          <w:rFonts w:ascii="Times New Roman" w:hAnsi="Times New Roman" w:cs="Times New Roman"/>
        </w:rPr>
        <w:t>element.</w:t>
      </w:r>
    </w:p>
    <w:p w14:paraId="0738C8E4" w14:textId="702E9ECD"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Despite both acts needing intention to be a necessary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element, the intention is different in </w:t>
      </w:r>
      <w:r w:rsidR="00B46409" w:rsidRPr="008C1753">
        <w:rPr>
          <w:rFonts w:ascii="Times New Roman" w:hAnsi="Times New Roman" w:cs="Times New Roman"/>
        </w:rPr>
        <w:t>each</w:t>
      </w:r>
      <w:r w:rsidRPr="008C1753">
        <w:rPr>
          <w:rFonts w:ascii="Times New Roman" w:hAnsi="Times New Roman" w:cs="Times New Roman"/>
        </w:rPr>
        <w:t xml:space="preserve"> act. </w:t>
      </w:r>
      <w:r w:rsidRPr="008C1753">
        <w:rPr>
          <w:rFonts w:ascii="Times New Roman" w:hAnsi="Times New Roman" w:cs="Times New Roman"/>
          <w:i/>
        </w:rPr>
        <w:t>Chambers</w:t>
      </w:r>
      <w:r w:rsidR="00B46409" w:rsidRPr="008C1753">
        <w:rPr>
          <w:rFonts w:ascii="Times New Roman" w:hAnsi="Times New Roman" w:cs="Times New Roman"/>
        </w:rPr>
        <w:t xml:space="preserve"> mentions the Malicious Communications A</w:t>
      </w:r>
      <w:r w:rsidRPr="008C1753">
        <w:rPr>
          <w:rFonts w:ascii="Times New Roman" w:hAnsi="Times New Roman" w:cs="Times New Roman"/>
        </w:rPr>
        <w:t>ct is “a specific intent [crime, whilst] no express provision is made in [the Communications Act] section 127(1</w:t>
      </w:r>
      <w:proofErr w:type="gramStart"/>
      <w:r w:rsidRPr="008C1753">
        <w:rPr>
          <w:rFonts w:ascii="Times New Roman" w:hAnsi="Times New Roman" w:cs="Times New Roman"/>
        </w:rPr>
        <w:t>)(</w:t>
      </w:r>
      <w:proofErr w:type="gramEnd"/>
      <w:r w:rsidRPr="008C1753">
        <w:rPr>
          <w:rFonts w:ascii="Times New Roman" w:hAnsi="Times New Roman" w:cs="Times New Roman"/>
        </w:rPr>
        <w:t xml:space="preserve">a) for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It is therefore an offence of basic intent.”</w:t>
      </w:r>
      <w:r w:rsidRPr="008C1753">
        <w:rPr>
          <w:rFonts w:ascii="Times New Roman" w:hAnsi="Times New Roman" w:cs="Times New Roman"/>
          <w:vertAlign w:val="superscript"/>
        </w:rPr>
        <w:footnoteReference w:id="31"/>
      </w:r>
      <w:r w:rsidRPr="008C1753">
        <w:rPr>
          <w:rFonts w:ascii="Times New Roman" w:hAnsi="Times New Roman" w:cs="Times New Roman"/>
        </w:rPr>
        <w:t xml:space="preserve"> This suggests that recklessness can be a contributing factor, to be charged under the communications act, which is </w:t>
      </w:r>
      <w:r w:rsidR="006C049C" w:rsidRPr="008C1753">
        <w:rPr>
          <w:rFonts w:ascii="Times New Roman" w:hAnsi="Times New Roman" w:cs="Times New Roman"/>
        </w:rPr>
        <w:t>not stated in the statute like ‘intention’</w:t>
      </w:r>
      <w:r w:rsidR="00B46409" w:rsidRPr="008C1753">
        <w:rPr>
          <w:rFonts w:ascii="Times New Roman" w:hAnsi="Times New Roman" w:cs="Times New Roman"/>
        </w:rPr>
        <w:t xml:space="preserve"> is</w:t>
      </w:r>
      <w:r w:rsidRPr="008C1753">
        <w:rPr>
          <w:rFonts w:ascii="Times New Roman" w:hAnsi="Times New Roman" w:cs="Times New Roman"/>
        </w:rPr>
        <w:t xml:space="preserve">. By clearly stating this, it can help distinguish what offences can be charged under which act as there is much confusion due to the overlap of the two. Additionally, as there is some distinction between the two intents through the common law, it can be argued that the Malicious Communication Act requires direct intent because the </w:t>
      </w:r>
      <w:r w:rsidR="00B46409" w:rsidRPr="008C1753">
        <w:rPr>
          <w:rFonts w:ascii="Times New Roman" w:hAnsi="Times New Roman" w:cs="Times New Roman"/>
        </w:rPr>
        <w:t>‘</w:t>
      </w:r>
      <w:r w:rsidRPr="008C1753">
        <w:rPr>
          <w:rFonts w:ascii="Times New Roman" w:hAnsi="Times New Roman" w:cs="Times New Roman"/>
        </w:rPr>
        <w:t>intention</w:t>
      </w:r>
      <w:r w:rsidR="00B46409" w:rsidRPr="008C1753">
        <w:rPr>
          <w:rFonts w:ascii="Times New Roman" w:hAnsi="Times New Roman" w:cs="Times New Roman"/>
        </w:rPr>
        <w:t>’</w:t>
      </w:r>
      <w:r w:rsidRPr="008C1753">
        <w:rPr>
          <w:rFonts w:ascii="Times New Roman" w:hAnsi="Times New Roman" w:cs="Times New Roman"/>
        </w:rPr>
        <w:t xml:space="preserve"> is necessary </w:t>
      </w:r>
      <w:r w:rsidR="00B46409" w:rsidRPr="008C1753">
        <w:rPr>
          <w:rFonts w:ascii="Times New Roman" w:hAnsi="Times New Roman" w:cs="Times New Roman"/>
        </w:rPr>
        <w:t>for a crime to occur. Furthermore, o</w:t>
      </w:r>
      <w:r w:rsidRPr="008C1753">
        <w:rPr>
          <w:rFonts w:ascii="Times New Roman" w:hAnsi="Times New Roman" w:cs="Times New Roman"/>
        </w:rPr>
        <w:t xml:space="preserve">blique intent is the element in the Communications Act as recklessness can be in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w:t>
      </w:r>
    </w:p>
    <w:p w14:paraId="287F997D" w14:textId="416CBB83"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Academic </w:t>
      </w:r>
      <w:proofErr w:type="spellStart"/>
      <w:r w:rsidRPr="008C1753">
        <w:rPr>
          <w:rFonts w:ascii="Times New Roman" w:hAnsi="Times New Roman" w:cs="Times New Roman"/>
        </w:rPr>
        <w:t>Chara</w:t>
      </w:r>
      <w:proofErr w:type="spellEnd"/>
      <w:r w:rsidRPr="008C1753">
        <w:rPr>
          <w:rFonts w:ascii="Times New Roman" w:hAnsi="Times New Roman" w:cs="Times New Roman"/>
        </w:rPr>
        <w:t xml:space="preserve"> </w:t>
      </w:r>
      <w:proofErr w:type="spellStart"/>
      <w:r w:rsidRPr="008C1753">
        <w:rPr>
          <w:rFonts w:ascii="Times New Roman" w:hAnsi="Times New Roman" w:cs="Times New Roman"/>
        </w:rPr>
        <w:t>Bakalis</w:t>
      </w:r>
      <w:proofErr w:type="spellEnd"/>
      <w:r w:rsidRPr="008C1753">
        <w:rPr>
          <w:rFonts w:ascii="Times New Roman" w:hAnsi="Times New Roman" w:cs="Times New Roman"/>
        </w:rPr>
        <w:t xml:space="preserve"> discusses the consequences </w:t>
      </w:r>
      <w:r w:rsidR="00B46409" w:rsidRPr="008C1753">
        <w:rPr>
          <w:rFonts w:ascii="Times New Roman" w:hAnsi="Times New Roman" w:cs="Times New Roman"/>
        </w:rPr>
        <w:t xml:space="preserve">of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00B46409" w:rsidRPr="008C1753">
        <w:rPr>
          <w:rFonts w:ascii="Times New Roman" w:hAnsi="Times New Roman" w:cs="Times New Roman"/>
        </w:rPr>
        <w:t xml:space="preserve"> elements</w:t>
      </w:r>
      <w:r w:rsidRPr="008C1753">
        <w:rPr>
          <w:rFonts w:ascii="Times New Roman" w:hAnsi="Times New Roman" w:cs="Times New Roman"/>
        </w:rPr>
        <w:t xml:space="preserve"> of both acts in detail. When discussing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for the Malicious Communications Act, </w:t>
      </w:r>
      <w:proofErr w:type="spellStart"/>
      <w:r w:rsidRPr="008C1753">
        <w:rPr>
          <w:rFonts w:ascii="Times New Roman" w:hAnsi="Times New Roman" w:cs="Times New Roman"/>
        </w:rPr>
        <w:t>Bakalis</w:t>
      </w:r>
      <w:proofErr w:type="spellEnd"/>
      <w:r w:rsidRPr="008C1753">
        <w:rPr>
          <w:rFonts w:ascii="Times New Roman" w:hAnsi="Times New Roman" w:cs="Times New Roman"/>
        </w:rPr>
        <w:t xml:space="preserve"> highlights that the </w:t>
      </w:r>
      <w:proofErr w:type="spellStart"/>
      <w:r w:rsidRPr="008C1753">
        <w:rPr>
          <w:rFonts w:ascii="Times New Roman" w:hAnsi="Times New Roman" w:cs="Times New Roman"/>
          <w:i/>
        </w:rPr>
        <w:t>actus</w:t>
      </w:r>
      <w:proofErr w:type="spellEnd"/>
      <w:r w:rsidRPr="008C1753">
        <w:rPr>
          <w:rFonts w:ascii="Times New Roman" w:hAnsi="Times New Roman" w:cs="Times New Roman"/>
          <w:i/>
        </w:rPr>
        <w:t xml:space="preserve"> </w:t>
      </w:r>
      <w:proofErr w:type="spellStart"/>
      <w:proofErr w:type="gramStart"/>
      <w:r w:rsidRPr="008C1753">
        <w:rPr>
          <w:rFonts w:ascii="Times New Roman" w:hAnsi="Times New Roman" w:cs="Times New Roman"/>
          <w:i/>
        </w:rPr>
        <w:t>reus</w:t>
      </w:r>
      <w:proofErr w:type="spellEnd"/>
      <w:proofErr w:type="gramEnd"/>
      <w:r w:rsidRPr="008C1753">
        <w:rPr>
          <w:rFonts w:ascii="Times New Roman" w:hAnsi="Times New Roman" w:cs="Times New Roman"/>
        </w:rPr>
        <w:t xml:space="preserve"> is broad, and for the act to be concise,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needs to be able to narrow this down. Nevertheless, due to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being intention, it does not correctly </w:t>
      </w:r>
      <w:r w:rsidR="00AB15EA" w:rsidRPr="008C1753">
        <w:rPr>
          <w:rFonts w:ascii="Times New Roman" w:hAnsi="Times New Roman" w:cs="Times New Roman"/>
        </w:rPr>
        <w:t>limit</w:t>
      </w:r>
      <w:r w:rsidRPr="008C1753">
        <w:rPr>
          <w:rFonts w:ascii="Times New Roman" w:hAnsi="Times New Roman" w:cs="Times New Roman"/>
        </w:rPr>
        <w:t xml:space="preserve"> the offence, as a defendant can just state that they did not mean to create “distress or anxiety”. Therefore, the Malicious Communications Act is not fulfilling its aim, when it comes to </w:t>
      </w:r>
      <w:r w:rsidR="00AB15EA" w:rsidRPr="008C1753">
        <w:rPr>
          <w:rFonts w:ascii="Times New Roman" w:hAnsi="Times New Roman" w:cs="Times New Roman"/>
        </w:rPr>
        <w:t>regulating</w:t>
      </w:r>
      <w:r w:rsidRPr="008C1753">
        <w:rPr>
          <w:rFonts w:ascii="Times New Roman" w:hAnsi="Times New Roman" w:cs="Times New Roman"/>
        </w:rPr>
        <w:t xml:space="preserve"> online communications. Furthermore, </w:t>
      </w:r>
      <w:proofErr w:type="spellStart"/>
      <w:r w:rsidRPr="008C1753">
        <w:rPr>
          <w:rFonts w:ascii="Times New Roman" w:hAnsi="Times New Roman" w:cs="Times New Roman"/>
        </w:rPr>
        <w:t>Bakalis</w:t>
      </w:r>
      <w:proofErr w:type="spellEnd"/>
      <w:r w:rsidRPr="008C1753">
        <w:rPr>
          <w:rFonts w:ascii="Times New Roman" w:hAnsi="Times New Roman" w:cs="Times New Roman"/>
        </w:rPr>
        <w:t xml:space="preserve"> discusses the importance of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element in the Communications Act, by using an example of an “online but private conversation of two racists on holocaust denial as the discussion could plausibly be characterised as ‘grossly offensive’”</w:t>
      </w:r>
      <w:r w:rsidRPr="008C1753">
        <w:rPr>
          <w:rFonts w:ascii="Times New Roman" w:hAnsi="Times New Roman" w:cs="Times New Roman"/>
          <w:vertAlign w:val="superscript"/>
        </w:rPr>
        <w:footnoteReference w:id="32"/>
      </w:r>
      <w:r w:rsidRPr="008C1753">
        <w:rPr>
          <w:rFonts w:ascii="Times New Roman" w:hAnsi="Times New Roman" w:cs="Times New Roman"/>
        </w:rPr>
        <w:t xml:space="preserve">. As the conversation was private and the comments were not used to create disgust amongst a wider audience, this would not be a crime as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w:t>
      </w:r>
      <w:r w:rsidRPr="008C1753">
        <w:rPr>
          <w:rFonts w:ascii="Times New Roman" w:hAnsi="Times New Roman" w:cs="Times New Roman"/>
        </w:rPr>
        <w:lastRenderedPageBreak/>
        <w:t xml:space="preserve">would not be </w:t>
      </w:r>
      <w:r w:rsidR="006E712E" w:rsidRPr="008C1753">
        <w:rPr>
          <w:rFonts w:ascii="Times New Roman" w:hAnsi="Times New Roman" w:cs="Times New Roman"/>
        </w:rPr>
        <w:t>present</w:t>
      </w:r>
      <w:r w:rsidRPr="008C1753">
        <w:rPr>
          <w:rFonts w:ascii="Times New Roman" w:hAnsi="Times New Roman" w:cs="Times New Roman"/>
        </w:rPr>
        <w:t>.</w:t>
      </w:r>
      <w:r w:rsidRPr="008C1753">
        <w:rPr>
          <w:rFonts w:ascii="Times New Roman" w:hAnsi="Times New Roman" w:cs="Times New Roman"/>
          <w:vertAlign w:val="superscript"/>
        </w:rPr>
        <w:footnoteReference w:id="33"/>
      </w:r>
      <w:r w:rsidRPr="008C1753">
        <w:rPr>
          <w:rFonts w:ascii="Times New Roman" w:hAnsi="Times New Roman" w:cs="Times New Roman"/>
        </w:rPr>
        <w:t xml:space="preserve"> This illustrates the need for a clearer definition of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element within the legislation, which could withstand evolution of social media.</w:t>
      </w:r>
    </w:p>
    <w:p w14:paraId="42300EE7" w14:textId="4CB7BF1E"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Finally, the need to prove intention could become difficult in the essence of online communication cases, involving children and young adults. It is already hard to prove intention, but it becomes more difficult if a serious crime occurs and the person prosecuted is not </w:t>
      </w:r>
      <w:r w:rsidR="006E712E" w:rsidRPr="008C1753">
        <w:rPr>
          <w:rFonts w:ascii="Times New Roman" w:hAnsi="Times New Roman" w:cs="Times New Roman"/>
        </w:rPr>
        <w:t xml:space="preserve">fully </w:t>
      </w:r>
      <w:r w:rsidRPr="008C1753">
        <w:rPr>
          <w:rFonts w:ascii="Times New Roman" w:hAnsi="Times New Roman" w:cs="Times New Roman"/>
        </w:rPr>
        <w:t>capable of understanding words that “cause distress or anxiety”</w:t>
      </w:r>
      <w:r w:rsidRPr="008C1753">
        <w:rPr>
          <w:rFonts w:ascii="Times New Roman" w:hAnsi="Times New Roman" w:cs="Times New Roman"/>
          <w:vertAlign w:val="superscript"/>
        </w:rPr>
        <w:footnoteReference w:id="34"/>
      </w:r>
      <w:r w:rsidRPr="008C1753">
        <w:rPr>
          <w:rFonts w:ascii="Times New Roman" w:hAnsi="Times New Roman" w:cs="Times New Roman"/>
        </w:rPr>
        <w:t xml:space="preserve">. Many young people use offensive language online towards other individuals, due to </w:t>
      </w:r>
      <w:r w:rsidR="006E712E" w:rsidRPr="008C1753">
        <w:rPr>
          <w:rFonts w:ascii="Times New Roman" w:hAnsi="Times New Roman" w:cs="Times New Roman"/>
        </w:rPr>
        <w:t xml:space="preserve">the accessibility of </w:t>
      </w:r>
      <w:r w:rsidR="006C049C" w:rsidRPr="008C1753">
        <w:rPr>
          <w:rFonts w:ascii="Times New Roman" w:hAnsi="Times New Roman" w:cs="Times New Roman"/>
        </w:rPr>
        <w:t>social media</w:t>
      </w:r>
      <w:r w:rsidRPr="008C1753">
        <w:rPr>
          <w:rFonts w:ascii="Times New Roman" w:hAnsi="Times New Roman" w:cs="Times New Roman"/>
          <w:vertAlign w:val="superscript"/>
        </w:rPr>
        <w:footnoteReference w:id="35"/>
      </w:r>
      <w:r w:rsidRPr="008C1753">
        <w:rPr>
          <w:rFonts w:ascii="Times New Roman" w:hAnsi="Times New Roman" w:cs="Times New Roman"/>
        </w:rPr>
        <w:t xml:space="preserve">. One case which highlights this, which occurred in America, was </w:t>
      </w:r>
      <w:r w:rsidRPr="008C1753">
        <w:rPr>
          <w:rFonts w:ascii="Times New Roman" w:hAnsi="Times New Roman" w:cs="Times New Roman"/>
          <w:i/>
        </w:rPr>
        <w:t>Logan v Sycamore Community School</w:t>
      </w:r>
      <w:r w:rsidR="00D76A9F" w:rsidRPr="008C1753">
        <w:rPr>
          <w:rFonts w:ascii="Times New Roman" w:hAnsi="Times New Roman" w:cs="Times New Roman"/>
          <w:vertAlign w:val="superscript"/>
        </w:rPr>
        <w:footnoteReference w:id="36"/>
      </w:r>
      <w:r w:rsidRPr="008C1753">
        <w:rPr>
          <w:rFonts w:ascii="Times New Roman" w:hAnsi="Times New Roman" w:cs="Times New Roman"/>
        </w:rPr>
        <w:t xml:space="preserve">. </w:t>
      </w:r>
      <w:r w:rsidR="00D76A9F" w:rsidRPr="008C1753">
        <w:rPr>
          <w:rFonts w:ascii="Times New Roman" w:hAnsi="Times New Roman" w:cs="Times New Roman"/>
        </w:rPr>
        <w:t>From this case it can be determined that i</w:t>
      </w:r>
      <w:r w:rsidRPr="008C1753">
        <w:rPr>
          <w:rFonts w:ascii="Times New Roman" w:hAnsi="Times New Roman" w:cs="Times New Roman"/>
        </w:rPr>
        <w:t xml:space="preserve">t is </w:t>
      </w:r>
      <w:r w:rsidR="00D76A9F" w:rsidRPr="008C1753">
        <w:rPr>
          <w:rFonts w:ascii="Times New Roman" w:hAnsi="Times New Roman" w:cs="Times New Roman"/>
        </w:rPr>
        <w:t>difficult</w:t>
      </w:r>
      <w:r w:rsidRPr="008C1753">
        <w:rPr>
          <w:rFonts w:ascii="Times New Roman" w:hAnsi="Times New Roman" w:cs="Times New Roman"/>
        </w:rPr>
        <w:t xml:space="preserve"> to </w:t>
      </w:r>
      <w:r w:rsidR="00D76A9F" w:rsidRPr="008C1753">
        <w:rPr>
          <w:rFonts w:ascii="Times New Roman" w:hAnsi="Times New Roman" w:cs="Times New Roman"/>
        </w:rPr>
        <w:t>judge whether</w:t>
      </w:r>
      <w:r w:rsidRPr="008C1753">
        <w:rPr>
          <w:rFonts w:ascii="Times New Roman" w:hAnsi="Times New Roman" w:cs="Times New Roman"/>
        </w:rPr>
        <w:t xml:space="preserve"> the </w:t>
      </w:r>
      <w:r w:rsidR="00D76A9F" w:rsidRPr="008C1753">
        <w:rPr>
          <w:rFonts w:ascii="Times New Roman" w:hAnsi="Times New Roman" w:cs="Times New Roman"/>
        </w:rPr>
        <w:t>defendants</w:t>
      </w:r>
      <w:r w:rsidRPr="008C1753">
        <w:rPr>
          <w:rFonts w:ascii="Times New Roman" w:hAnsi="Times New Roman" w:cs="Times New Roman"/>
        </w:rPr>
        <w:t xml:space="preserve"> </w:t>
      </w:r>
      <w:r w:rsidR="00D76A9F" w:rsidRPr="008C1753">
        <w:rPr>
          <w:rFonts w:ascii="Times New Roman" w:hAnsi="Times New Roman" w:cs="Times New Roman"/>
        </w:rPr>
        <w:t>intended</w:t>
      </w:r>
      <w:r w:rsidR="006E712E" w:rsidRPr="008C1753">
        <w:rPr>
          <w:rFonts w:ascii="Times New Roman" w:hAnsi="Times New Roman" w:cs="Times New Roman"/>
        </w:rPr>
        <w:t xml:space="preserve"> to say those words in an offensive</w:t>
      </w:r>
      <w:r w:rsidRPr="008C1753">
        <w:rPr>
          <w:rFonts w:ascii="Times New Roman" w:hAnsi="Times New Roman" w:cs="Times New Roman"/>
        </w:rPr>
        <w:t xml:space="preserve"> manner</w:t>
      </w:r>
      <w:r w:rsidR="006E712E" w:rsidRPr="008C1753">
        <w:rPr>
          <w:rFonts w:ascii="Times New Roman" w:hAnsi="Times New Roman" w:cs="Times New Roman"/>
        </w:rPr>
        <w:t>,</w:t>
      </w:r>
      <w:r w:rsidRPr="008C1753">
        <w:rPr>
          <w:rFonts w:ascii="Times New Roman" w:hAnsi="Times New Roman" w:cs="Times New Roman"/>
        </w:rPr>
        <w:t xml:space="preserve"> </w:t>
      </w:r>
      <w:r w:rsidR="006E712E" w:rsidRPr="008C1753">
        <w:rPr>
          <w:rFonts w:ascii="Times New Roman" w:hAnsi="Times New Roman" w:cs="Times New Roman"/>
        </w:rPr>
        <w:t>as</w:t>
      </w:r>
      <w:r w:rsidRPr="008C1753">
        <w:rPr>
          <w:rFonts w:ascii="Times New Roman" w:hAnsi="Times New Roman" w:cs="Times New Roman"/>
        </w:rPr>
        <w:t xml:space="preserve"> they were </w:t>
      </w:r>
      <w:r w:rsidR="006E712E" w:rsidRPr="008C1753">
        <w:rPr>
          <w:rFonts w:ascii="Times New Roman" w:hAnsi="Times New Roman" w:cs="Times New Roman"/>
        </w:rPr>
        <w:t>young adults</w:t>
      </w:r>
      <w:r w:rsidRPr="008C1753">
        <w:rPr>
          <w:rFonts w:ascii="Times New Roman" w:hAnsi="Times New Roman" w:cs="Times New Roman"/>
        </w:rPr>
        <w:t>. The case was settled and led to the “Jessica Logan Act”, being implemented into Ohio state law</w:t>
      </w:r>
      <w:r w:rsidRPr="008C1753">
        <w:rPr>
          <w:rFonts w:ascii="Times New Roman" w:hAnsi="Times New Roman" w:cs="Times New Roman"/>
          <w:vertAlign w:val="superscript"/>
        </w:rPr>
        <w:footnoteReference w:id="37"/>
      </w:r>
      <w:r w:rsidRPr="008C1753">
        <w:rPr>
          <w:rFonts w:ascii="Times New Roman" w:hAnsi="Times New Roman" w:cs="Times New Roman"/>
        </w:rPr>
        <w:t>.</w:t>
      </w:r>
      <w:r w:rsidR="006C049C" w:rsidRPr="008C1753">
        <w:rPr>
          <w:rFonts w:ascii="Times New Roman" w:hAnsi="Times New Roman" w:cs="Times New Roman"/>
        </w:rPr>
        <w:t xml:space="preserve"> This law revises the laws within schools regarding harassment through an electronic act.</w:t>
      </w:r>
      <w:r w:rsidRPr="008C1753">
        <w:rPr>
          <w:rFonts w:ascii="Times New Roman" w:hAnsi="Times New Roman" w:cs="Times New Roman"/>
        </w:rPr>
        <w:t xml:space="preserve"> In areas of the world which online offensive communications are also a major issue, legislation is being introduced to adjust with the advances to prevent situations like the example from occurring. This, however, is not occurring in England and Wales and shows that reform</w:t>
      </w:r>
      <w:r w:rsidR="006C049C" w:rsidRPr="008C1753">
        <w:rPr>
          <w:rFonts w:ascii="Times New Roman" w:hAnsi="Times New Roman" w:cs="Times New Roman"/>
        </w:rPr>
        <w:t>s</w:t>
      </w:r>
      <w:r w:rsidRPr="008C1753">
        <w:rPr>
          <w:rFonts w:ascii="Times New Roman" w:hAnsi="Times New Roman" w:cs="Times New Roman"/>
        </w:rPr>
        <w:t xml:space="preserve"> regarding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006C049C" w:rsidRPr="008C1753">
        <w:rPr>
          <w:rFonts w:ascii="Times New Roman" w:hAnsi="Times New Roman" w:cs="Times New Roman"/>
        </w:rPr>
        <w:t>, are urgent, primarily due to the last update being in 2003.</w:t>
      </w:r>
    </w:p>
    <w:p w14:paraId="59686399" w14:textId="12A38924" w:rsidR="00FD5488" w:rsidRPr="008C1753" w:rsidRDefault="00FD5488" w:rsidP="008C1753">
      <w:pPr>
        <w:spacing w:after="200" w:line="360" w:lineRule="auto"/>
        <w:jc w:val="both"/>
        <w:rPr>
          <w:rFonts w:ascii="Times New Roman" w:hAnsi="Times New Roman" w:cs="Times New Roman"/>
        </w:rPr>
      </w:pPr>
    </w:p>
    <w:p w14:paraId="48CA6CD3" w14:textId="2C2FF659" w:rsidR="00FD5488" w:rsidRPr="008C1753" w:rsidRDefault="00F45EC4" w:rsidP="008C1753">
      <w:pPr>
        <w:spacing w:after="200" w:line="360" w:lineRule="auto"/>
        <w:jc w:val="both"/>
        <w:rPr>
          <w:rFonts w:ascii="Times New Roman" w:hAnsi="Times New Roman" w:cs="Times New Roman"/>
          <w:b/>
        </w:rPr>
      </w:pPr>
      <w:r w:rsidRPr="008C1753">
        <w:rPr>
          <w:rFonts w:ascii="Times New Roman" w:hAnsi="Times New Roman" w:cs="Times New Roman"/>
          <w:b/>
        </w:rPr>
        <w:t>W</w:t>
      </w:r>
      <w:r w:rsidR="00FD5488" w:rsidRPr="008C1753">
        <w:rPr>
          <w:rFonts w:ascii="Times New Roman" w:hAnsi="Times New Roman" w:cs="Times New Roman"/>
          <w:b/>
        </w:rPr>
        <w:t>ill reforming the law restrict freedom of expression?</w:t>
      </w:r>
    </w:p>
    <w:p w14:paraId="751B5468" w14:textId="1C67C973" w:rsidR="00FD5488" w:rsidRPr="008C1753" w:rsidRDefault="00F45EC4" w:rsidP="008C1753">
      <w:pPr>
        <w:spacing w:after="200" w:line="360" w:lineRule="auto"/>
        <w:jc w:val="both"/>
        <w:rPr>
          <w:rFonts w:ascii="Times New Roman" w:hAnsi="Times New Roman" w:cs="Times New Roman"/>
          <w:color w:val="000000"/>
        </w:rPr>
      </w:pPr>
      <w:r w:rsidRPr="008C1753">
        <w:rPr>
          <w:rFonts w:ascii="Times New Roman" w:hAnsi="Times New Roman" w:cs="Times New Roman"/>
        </w:rPr>
        <w:t xml:space="preserve">Although many academic writers state that current legislation needs to be reformed, </w:t>
      </w:r>
      <w:r w:rsidR="000825C9" w:rsidRPr="008C1753">
        <w:rPr>
          <w:rFonts w:ascii="Times New Roman" w:hAnsi="Times New Roman" w:cs="Times New Roman"/>
        </w:rPr>
        <w:t xml:space="preserve">a possible reason why this has not occurred is the fear of breaching the freedom of </w:t>
      </w:r>
      <w:proofErr w:type="spellStart"/>
      <w:r w:rsidR="000825C9" w:rsidRPr="008C1753">
        <w:rPr>
          <w:rFonts w:ascii="Times New Roman" w:hAnsi="Times New Roman" w:cs="Times New Roman"/>
        </w:rPr>
        <w:t>expresson</w:t>
      </w:r>
      <w:proofErr w:type="spellEnd"/>
      <w:r w:rsidR="000825C9" w:rsidRPr="008C1753">
        <w:rPr>
          <w:rFonts w:ascii="Times New Roman" w:hAnsi="Times New Roman" w:cs="Times New Roman"/>
        </w:rPr>
        <w:t xml:space="preserve">. </w:t>
      </w:r>
      <w:r w:rsidR="00FD5488" w:rsidRPr="008C1753">
        <w:rPr>
          <w:rFonts w:ascii="Times New Roman" w:hAnsi="Times New Roman" w:cs="Times New Roman"/>
        </w:rPr>
        <w:t>The freedom of expression proposed by Article 10 of the European Convention on Human Rights</w:t>
      </w:r>
      <w:r w:rsidR="00CB3833" w:rsidRPr="008C1753">
        <w:rPr>
          <w:rStyle w:val="FootnoteReference"/>
          <w:rFonts w:ascii="Times New Roman" w:hAnsi="Times New Roman" w:cs="Times New Roman"/>
        </w:rPr>
        <w:footnoteReference w:id="38"/>
      </w:r>
      <w:r w:rsidR="00FD5488" w:rsidRPr="008C1753">
        <w:rPr>
          <w:rFonts w:ascii="Times New Roman" w:hAnsi="Times New Roman" w:cs="Times New Roman"/>
        </w:rPr>
        <w:t xml:space="preserve"> is protected by common law and is arguably one of the most important fundamental freedoms that stabilises democratic society.  This includes the ‘</w:t>
      </w:r>
      <w:r w:rsidR="00FD5488" w:rsidRPr="008C1753">
        <w:rPr>
          <w:rFonts w:ascii="Times New Roman" w:hAnsi="Times New Roman" w:cs="Times New Roman"/>
          <w:color w:val="000000"/>
        </w:rPr>
        <w:t>freedom to hold opinions and to receive and impart information and ideas without interference by public authority and regardless of frontiers’</w:t>
      </w:r>
      <w:r w:rsidR="00FD5488" w:rsidRPr="008C1753">
        <w:rPr>
          <w:rStyle w:val="FootnoteReference"/>
          <w:rFonts w:ascii="Times New Roman" w:hAnsi="Times New Roman" w:cs="Times New Roman"/>
          <w:color w:val="000000"/>
        </w:rPr>
        <w:footnoteReference w:id="39"/>
      </w:r>
      <w:r w:rsidR="00FD5488" w:rsidRPr="008C1753">
        <w:rPr>
          <w:rFonts w:ascii="Times New Roman" w:hAnsi="Times New Roman" w:cs="Times New Roman"/>
          <w:color w:val="000000"/>
        </w:rPr>
        <w:t xml:space="preserve">. </w:t>
      </w:r>
    </w:p>
    <w:p w14:paraId="3482150A" w14:textId="77777777" w:rsidR="00FD5488" w:rsidRPr="008C1753" w:rsidRDefault="00FD5488" w:rsidP="008C1753">
      <w:pPr>
        <w:spacing w:after="200" w:line="360" w:lineRule="auto"/>
        <w:ind w:firstLine="720"/>
        <w:jc w:val="both"/>
        <w:rPr>
          <w:rFonts w:ascii="Times New Roman" w:hAnsi="Times New Roman" w:cs="Times New Roman"/>
          <w:color w:val="000000"/>
        </w:rPr>
      </w:pPr>
      <w:r w:rsidRPr="008C1753">
        <w:rPr>
          <w:rFonts w:ascii="Times New Roman" w:hAnsi="Times New Roman" w:cs="Times New Roman"/>
          <w:color w:val="000000"/>
        </w:rPr>
        <w:lastRenderedPageBreak/>
        <w:t xml:space="preserve">Although the act exercises that this right is universal, meaning it applies to everyone, there are however restrictions which are executed by the law. These restrictions ‘are necessary in a democratic society, in the interests of national security, territorial integrity or public safety, for the prevention of disorder or crime. </w:t>
      </w:r>
      <w:r w:rsidRPr="008C1753">
        <w:rPr>
          <w:rStyle w:val="FootnoteReference"/>
          <w:rFonts w:ascii="Times New Roman" w:hAnsi="Times New Roman" w:cs="Times New Roman"/>
          <w:color w:val="000000"/>
        </w:rPr>
        <w:footnoteReference w:id="40"/>
      </w:r>
      <w:r w:rsidRPr="008C1753">
        <w:rPr>
          <w:rFonts w:ascii="Times New Roman" w:hAnsi="Times New Roman" w:cs="Times New Roman"/>
          <w:color w:val="000000"/>
        </w:rPr>
        <w:t xml:space="preserve"> When trying to justify the freedom of expression, numerous factors are to be considered. For example, these may include ‘the identity of the speaker, the context of the speech and its purpose, as well as the actual words spoken or written’.</w:t>
      </w:r>
      <w:r w:rsidRPr="008C1753">
        <w:rPr>
          <w:rStyle w:val="FootnoteReference"/>
          <w:rFonts w:ascii="Times New Roman" w:hAnsi="Times New Roman" w:cs="Times New Roman"/>
          <w:color w:val="000000"/>
        </w:rPr>
        <w:footnoteReference w:id="41"/>
      </w:r>
    </w:p>
    <w:p w14:paraId="7D6DF2D3" w14:textId="77777777"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color w:val="000000"/>
        </w:rPr>
        <w:t>Regarding the Malicious Communications Act a person will therefore be found guilty if they send ‘</w:t>
      </w:r>
      <w:r w:rsidRPr="008C1753">
        <w:rPr>
          <w:rFonts w:ascii="Times New Roman" w:hAnsi="Times New Roman" w:cs="Times New Roman"/>
        </w:rPr>
        <w:t>any letter, email, photograph or recording which is indecent, grossly offensive or which conveys a threat is an offence if the sender intends to cause distress or anxiety to the recipient’</w:t>
      </w:r>
      <w:r w:rsidRPr="008C1753">
        <w:rPr>
          <w:rStyle w:val="FootnoteReference"/>
          <w:rFonts w:ascii="Times New Roman" w:hAnsi="Times New Roman" w:cs="Times New Roman"/>
        </w:rPr>
        <w:footnoteReference w:id="42"/>
      </w:r>
      <w:r w:rsidRPr="008C1753">
        <w:rPr>
          <w:rFonts w:ascii="Times New Roman" w:hAnsi="Times New Roman" w:cs="Times New Roman"/>
        </w:rPr>
        <w:t>.  Once convicted under this act it could be said that an individual’s right to the freedom to expression was breached. However, it is important to note that Article 10 of the Human Rights Act is a ‘qualified right’ meaning that it is used in proportion within society to achieve its telos.</w:t>
      </w:r>
    </w:p>
    <w:p w14:paraId="7E0992D1" w14:textId="257F7D73" w:rsidR="00FD5488" w:rsidRPr="008C1753" w:rsidRDefault="00FD5488" w:rsidP="008C1753">
      <w:pPr>
        <w:spacing w:after="200" w:line="360" w:lineRule="auto"/>
        <w:jc w:val="both"/>
        <w:rPr>
          <w:rFonts w:ascii="Times New Roman" w:hAnsi="Times New Roman" w:cs="Times New Roman"/>
        </w:rPr>
      </w:pPr>
      <w:r w:rsidRPr="008C1753">
        <w:rPr>
          <w:rFonts w:ascii="Times New Roman" w:hAnsi="Times New Roman" w:cs="Times New Roman"/>
        </w:rPr>
        <w:tab/>
        <w:t xml:space="preserve">The same principle applies under the Communications Act 2003. The case </w:t>
      </w:r>
      <w:r w:rsidRPr="008C1753">
        <w:rPr>
          <w:rFonts w:ascii="Times New Roman" w:hAnsi="Times New Roman" w:cs="Times New Roman"/>
          <w:i/>
        </w:rPr>
        <w:t xml:space="preserve">of R v </w:t>
      </w:r>
      <w:proofErr w:type="spellStart"/>
      <w:r w:rsidRPr="008C1753">
        <w:rPr>
          <w:rFonts w:ascii="Times New Roman" w:hAnsi="Times New Roman" w:cs="Times New Roman"/>
          <w:i/>
        </w:rPr>
        <w:t>Chabloz</w:t>
      </w:r>
      <w:proofErr w:type="spellEnd"/>
      <w:r w:rsidR="00D817B8" w:rsidRPr="008C1753">
        <w:rPr>
          <w:rStyle w:val="FootnoteReference"/>
          <w:rFonts w:ascii="Times New Roman" w:hAnsi="Times New Roman" w:cs="Times New Roman"/>
        </w:rPr>
        <w:footnoteReference w:id="43"/>
      </w:r>
      <w:r w:rsidRPr="008C1753">
        <w:rPr>
          <w:rFonts w:ascii="Times New Roman" w:hAnsi="Times New Roman" w:cs="Times New Roman"/>
          <w:i/>
        </w:rPr>
        <w:t xml:space="preserve"> </w:t>
      </w:r>
      <w:r w:rsidRPr="008C1753">
        <w:rPr>
          <w:rFonts w:ascii="Times New Roman" w:hAnsi="Times New Roman" w:cs="Times New Roman"/>
        </w:rPr>
        <w:t xml:space="preserve">can be used to illustrate how the freedom of expression can somewhat be limited when meeting the demands of the law. The Defendant in this case made several anti-Semitic comments online. Prosecuted under s.127, </w:t>
      </w:r>
      <w:proofErr w:type="spellStart"/>
      <w:r w:rsidRPr="008C1753">
        <w:rPr>
          <w:rFonts w:ascii="Times New Roman" w:hAnsi="Times New Roman" w:cs="Times New Roman"/>
        </w:rPr>
        <w:t>Chabloz</w:t>
      </w:r>
      <w:proofErr w:type="spellEnd"/>
      <w:r w:rsidRPr="008C1753">
        <w:rPr>
          <w:rFonts w:ascii="Times New Roman" w:hAnsi="Times New Roman" w:cs="Times New Roman"/>
        </w:rPr>
        <w:t xml:space="preserve"> attempted to use Article 10 as her defence which ‘illustrate(s) the continued difficulties the criminal justice system experiences’</w:t>
      </w:r>
      <w:r w:rsidRPr="008C1753">
        <w:rPr>
          <w:rStyle w:val="FootnoteReference"/>
          <w:rFonts w:ascii="Times New Roman" w:hAnsi="Times New Roman" w:cs="Times New Roman"/>
        </w:rPr>
        <w:footnoteReference w:id="44"/>
      </w:r>
      <w:r w:rsidRPr="008C1753">
        <w:rPr>
          <w:rFonts w:ascii="Times New Roman" w:hAnsi="Times New Roman" w:cs="Times New Roman"/>
        </w:rPr>
        <w:t xml:space="preserve"> in understanding when the law should limit an individual’s freedom of expression.  Article 10 is not an absolute right and can be r</w:t>
      </w:r>
      <w:r w:rsidR="000B2703" w:rsidRPr="008C1753">
        <w:rPr>
          <w:rFonts w:ascii="Times New Roman" w:hAnsi="Times New Roman" w:cs="Times New Roman"/>
        </w:rPr>
        <w:t>estricted if certain criteria are</w:t>
      </w:r>
      <w:r w:rsidRPr="008C1753">
        <w:rPr>
          <w:rFonts w:ascii="Times New Roman" w:hAnsi="Times New Roman" w:cs="Times New Roman"/>
        </w:rPr>
        <w:t xml:space="preserve"> met but it remains unclear as to when the law should intervene.</w:t>
      </w:r>
    </w:p>
    <w:p w14:paraId="50525A08" w14:textId="11AD580F"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A specific case, similar to </w:t>
      </w:r>
      <w:proofErr w:type="spellStart"/>
      <w:r w:rsidRPr="008C1753">
        <w:rPr>
          <w:rFonts w:ascii="Times New Roman" w:hAnsi="Times New Roman" w:cs="Times New Roman"/>
          <w:i/>
        </w:rPr>
        <w:t>Chabloz</w:t>
      </w:r>
      <w:proofErr w:type="spellEnd"/>
      <w:r w:rsidRPr="008C1753">
        <w:rPr>
          <w:rFonts w:ascii="Times New Roman" w:hAnsi="Times New Roman" w:cs="Times New Roman"/>
        </w:rPr>
        <w:t xml:space="preserve">, is </w:t>
      </w:r>
      <w:r w:rsidRPr="008C1753">
        <w:rPr>
          <w:rFonts w:ascii="Times New Roman" w:hAnsi="Times New Roman" w:cs="Times New Roman"/>
          <w:i/>
        </w:rPr>
        <w:t>Collins</w:t>
      </w:r>
      <w:r w:rsidR="000B2703" w:rsidRPr="008C1753">
        <w:rPr>
          <w:rFonts w:ascii="Times New Roman" w:hAnsi="Times New Roman" w:cs="Times New Roman"/>
        </w:rPr>
        <w:t xml:space="preserve">, as mentioned </w:t>
      </w:r>
      <w:r w:rsidR="00CE73F8" w:rsidRPr="008C1753">
        <w:rPr>
          <w:rFonts w:ascii="Times New Roman" w:hAnsi="Times New Roman" w:cs="Times New Roman"/>
        </w:rPr>
        <w:t>prior</w:t>
      </w:r>
      <w:r w:rsidRPr="008C1753">
        <w:rPr>
          <w:rFonts w:ascii="Times New Roman" w:hAnsi="Times New Roman" w:cs="Times New Roman"/>
        </w:rPr>
        <w:t>. This case involved a man who made several phone calls to Westminster offices. ‘</w:t>
      </w:r>
      <w:bookmarkStart w:id="1" w:name="para2"/>
      <w:r w:rsidRPr="008C1753">
        <w:rPr>
          <w:rFonts w:ascii="Times New Roman" w:hAnsi="Times New Roman" w:cs="Times New Roman"/>
        </w:rPr>
        <w:t xml:space="preserve">In these telephone calls and recorded messages the respondent, who held strong views on immigration and asylum policy and the provision of public support to immigrants and applicants for asylum, ranted and shouted and made reference to "Wogs", "Pakis", "Black bastards" and (according to the </w:t>
      </w:r>
      <w:r w:rsidRPr="008C1753">
        <w:rPr>
          <w:rFonts w:ascii="Times New Roman" w:hAnsi="Times New Roman" w:cs="Times New Roman"/>
        </w:rPr>
        <w:lastRenderedPageBreak/>
        <w:t>statement of facts agreed between the parties for purposes of this appeal but not the case stated by the Justices) "Niggers"</w:t>
      </w:r>
      <w:bookmarkEnd w:id="1"/>
      <w:r w:rsidRPr="008C1753">
        <w:rPr>
          <w:rFonts w:ascii="Times New Roman" w:hAnsi="Times New Roman" w:cs="Times New Roman"/>
          <w:i/>
          <w:vertAlign w:val="superscript"/>
        </w:rPr>
        <w:footnoteReference w:id="45"/>
      </w:r>
      <w:r w:rsidRPr="008C1753">
        <w:rPr>
          <w:rFonts w:ascii="Times New Roman" w:hAnsi="Times New Roman" w:cs="Times New Roman"/>
        </w:rPr>
        <w:t>. When prosecuted, he tried to use Article 10 to his defence, but was unsuccessful because the need to protect public safety overruled the qualified right to freedom of expression.</w:t>
      </w:r>
    </w:p>
    <w:p w14:paraId="0254B35C" w14:textId="6F30B778" w:rsidR="00FD5488" w:rsidRPr="008C1753" w:rsidRDefault="00FD5488"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 xml:space="preserve">If the Malicious Communications Act and the Communications Act are to be reformed, there needs to be clarity in what is deemed freedom of expression and offensive language. Academics such as </w:t>
      </w:r>
      <w:proofErr w:type="spellStart"/>
      <w:r w:rsidRPr="008C1753">
        <w:rPr>
          <w:rFonts w:ascii="Times New Roman" w:hAnsi="Times New Roman" w:cs="Times New Roman"/>
        </w:rPr>
        <w:t>Chara</w:t>
      </w:r>
      <w:proofErr w:type="spellEnd"/>
      <w:r w:rsidRPr="008C1753">
        <w:rPr>
          <w:rFonts w:ascii="Times New Roman" w:hAnsi="Times New Roman" w:cs="Times New Roman"/>
        </w:rPr>
        <w:t xml:space="preserve"> </w:t>
      </w:r>
      <w:proofErr w:type="spellStart"/>
      <w:r w:rsidRPr="008C1753">
        <w:rPr>
          <w:rFonts w:ascii="Times New Roman" w:hAnsi="Times New Roman" w:cs="Times New Roman"/>
        </w:rPr>
        <w:t>Bakalis</w:t>
      </w:r>
      <w:proofErr w:type="spellEnd"/>
      <w:r w:rsidRPr="008C1753">
        <w:rPr>
          <w:rFonts w:ascii="Times New Roman" w:hAnsi="Times New Roman" w:cs="Times New Roman"/>
        </w:rPr>
        <w:t xml:space="preserve"> reiterates this as she states “the underlying purpose of each piece of legislation will need to be articulated and subsequently examined to determine whether the mischief it is protecting does indeed fall into the Article 10(2) exceptions.”</w:t>
      </w:r>
      <w:r w:rsidRPr="008C1753">
        <w:rPr>
          <w:rStyle w:val="FootnoteReference"/>
          <w:rFonts w:ascii="Times New Roman" w:hAnsi="Times New Roman" w:cs="Times New Roman"/>
        </w:rPr>
        <w:footnoteReference w:id="46"/>
      </w:r>
      <w:r w:rsidRPr="008C1753">
        <w:rPr>
          <w:rFonts w:ascii="Times New Roman" w:hAnsi="Times New Roman" w:cs="Times New Roman"/>
        </w:rPr>
        <w:t xml:space="preserve"> As freedom of expression is</w:t>
      </w:r>
      <w:r w:rsidR="00F45EC4" w:rsidRPr="008C1753">
        <w:rPr>
          <w:rFonts w:ascii="Times New Roman" w:hAnsi="Times New Roman" w:cs="Times New Roman"/>
        </w:rPr>
        <w:t xml:space="preserve"> such a fundamental right, it</w:t>
      </w:r>
      <w:r w:rsidRPr="008C1753">
        <w:rPr>
          <w:rFonts w:ascii="Times New Roman" w:hAnsi="Times New Roman" w:cs="Times New Roman"/>
        </w:rPr>
        <w:t xml:space="preserve"> should always </w:t>
      </w:r>
      <w:r w:rsidR="00F45EC4" w:rsidRPr="008C1753">
        <w:rPr>
          <w:rFonts w:ascii="Times New Roman" w:hAnsi="Times New Roman" w:cs="Times New Roman"/>
        </w:rPr>
        <w:t xml:space="preserve">be </w:t>
      </w:r>
      <w:r w:rsidRPr="008C1753">
        <w:rPr>
          <w:rFonts w:ascii="Times New Roman" w:hAnsi="Times New Roman" w:cs="Times New Roman"/>
        </w:rPr>
        <w:t>considered in order to stabilise a democratic society.</w:t>
      </w:r>
    </w:p>
    <w:p w14:paraId="0E8EEB25" w14:textId="7822BAFE" w:rsidR="00F13B71" w:rsidRPr="008C1753" w:rsidRDefault="00F13B71" w:rsidP="008C1753">
      <w:pPr>
        <w:spacing w:after="200" w:line="360" w:lineRule="auto"/>
        <w:jc w:val="both"/>
        <w:rPr>
          <w:rFonts w:ascii="Times New Roman" w:hAnsi="Times New Roman" w:cs="Times New Roman"/>
        </w:rPr>
      </w:pPr>
    </w:p>
    <w:p w14:paraId="39E76458" w14:textId="03618B0D" w:rsidR="00F13B71" w:rsidRPr="008C1753" w:rsidRDefault="00F13B71" w:rsidP="008C1753">
      <w:pPr>
        <w:spacing w:after="200" w:line="360" w:lineRule="auto"/>
        <w:jc w:val="both"/>
        <w:rPr>
          <w:rFonts w:ascii="Times New Roman" w:hAnsi="Times New Roman" w:cs="Times New Roman"/>
          <w:b/>
        </w:rPr>
      </w:pPr>
      <w:r w:rsidRPr="008C1753">
        <w:rPr>
          <w:rFonts w:ascii="Times New Roman" w:hAnsi="Times New Roman" w:cs="Times New Roman"/>
          <w:b/>
        </w:rPr>
        <w:t>Conclusion</w:t>
      </w:r>
    </w:p>
    <w:p w14:paraId="5552D859" w14:textId="32A85B8C" w:rsidR="0067196D" w:rsidRPr="008C1753" w:rsidRDefault="00F13B71" w:rsidP="008C1753">
      <w:pPr>
        <w:spacing w:after="200" w:line="360" w:lineRule="auto"/>
        <w:jc w:val="both"/>
        <w:rPr>
          <w:rFonts w:ascii="Times New Roman" w:hAnsi="Times New Roman" w:cs="Times New Roman"/>
        </w:rPr>
      </w:pPr>
      <w:r w:rsidRPr="008C1753">
        <w:rPr>
          <w:rFonts w:ascii="Times New Roman" w:hAnsi="Times New Roman" w:cs="Times New Roman"/>
        </w:rPr>
        <w:t>After careful consideration and extensive research on this topic</w:t>
      </w:r>
      <w:r w:rsidR="00BA396E" w:rsidRPr="008C1753">
        <w:rPr>
          <w:rFonts w:ascii="Times New Roman" w:hAnsi="Times New Roman" w:cs="Times New Roman"/>
        </w:rPr>
        <w:t>,</w:t>
      </w:r>
      <w:r w:rsidRPr="008C1753">
        <w:rPr>
          <w:rFonts w:ascii="Times New Roman" w:hAnsi="Times New Roman" w:cs="Times New Roman"/>
        </w:rPr>
        <w:t xml:space="preserve"> it is clear that reforms are necessary in order to codify and consolidate the law</w:t>
      </w:r>
      <w:r w:rsidR="0067196D" w:rsidRPr="008C1753">
        <w:rPr>
          <w:rFonts w:ascii="Times New Roman" w:hAnsi="Times New Roman" w:cs="Times New Roman"/>
        </w:rPr>
        <w:t xml:space="preserve">. As a result, this will help regulate offensive online communications. </w:t>
      </w:r>
    </w:p>
    <w:p w14:paraId="39D1905A" w14:textId="7A9F1F5B" w:rsidR="00F13B71" w:rsidRPr="008C1753" w:rsidRDefault="0067196D" w:rsidP="008C1753">
      <w:pPr>
        <w:spacing w:after="200" w:line="360" w:lineRule="auto"/>
        <w:jc w:val="both"/>
        <w:rPr>
          <w:rFonts w:ascii="Times New Roman" w:hAnsi="Times New Roman" w:cs="Times New Roman"/>
        </w:rPr>
      </w:pPr>
      <w:r w:rsidRPr="008C1753">
        <w:rPr>
          <w:rFonts w:ascii="Times New Roman" w:hAnsi="Times New Roman" w:cs="Times New Roman"/>
        </w:rPr>
        <w:tab/>
        <w:t xml:space="preserve">A </w:t>
      </w:r>
      <w:r w:rsidR="003F370B" w:rsidRPr="008C1753">
        <w:rPr>
          <w:rFonts w:ascii="Times New Roman" w:hAnsi="Times New Roman" w:cs="Times New Roman"/>
        </w:rPr>
        <w:t>way that could be suggested to consolidate</w:t>
      </w:r>
      <w:r w:rsidRPr="008C1753">
        <w:rPr>
          <w:rFonts w:ascii="Times New Roman" w:hAnsi="Times New Roman" w:cs="Times New Roman"/>
        </w:rPr>
        <w:t xml:space="preserve"> the law would be to combine the relevant areas of the two existing Acts to create a single piece of legislation</w:t>
      </w:r>
      <w:r w:rsidR="000411F7" w:rsidRPr="008C1753">
        <w:rPr>
          <w:rFonts w:ascii="Times New Roman" w:hAnsi="Times New Roman" w:cs="Times New Roman"/>
        </w:rPr>
        <w:t xml:space="preserve">. This would make the law regarding offensive online communications more accessible. </w:t>
      </w:r>
      <w:r w:rsidR="00EE4F5A" w:rsidRPr="008C1753">
        <w:rPr>
          <w:rFonts w:ascii="Times New Roman" w:hAnsi="Times New Roman" w:cs="Times New Roman"/>
        </w:rPr>
        <w:t>Therefore, removing</w:t>
      </w:r>
      <w:r w:rsidR="000411F7" w:rsidRPr="008C1753">
        <w:rPr>
          <w:rFonts w:ascii="Times New Roman" w:hAnsi="Times New Roman" w:cs="Times New Roman"/>
        </w:rPr>
        <w:t xml:space="preserve"> the ‘scattergun’ approach used by parliament when creating the current law, making it easier to prosecute in future.</w:t>
      </w:r>
      <w:r w:rsidR="00CE75FF" w:rsidRPr="008C1753">
        <w:rPr>
          <w:rFonts w:ascii="Times New Roman" w:hAnsi="Times New Roman" w:cs="Times New Roman"/>
        </w:rPr>
        <w:t xml:space="preserve"> However, this single piece of legislation could prove to be too narrow as it has the potential to brush over signifi</w:t>
      </w:r>
      <w:r w:rsidR="00F249CE">
        <w:rPr>
          <w:rFonts w:ascii="Times New Roman" w:hAnsi="Times New Roman" w:cs="Times New Roman"/>
        </w:rPr>
        <w:t>cant parts of the two existing A</w:t>
      </w:r>
      <w:r w:rsidR="00CE75FF" w:rsidRPr="008C1753">
        <w:rPr>
          <w:rFonts w:ascii="Times New Roman" w:hAnsi="Times New Roman" w:cs="Times New Roman"/>
        </w:rPr>
        <w:t>cts. To prevent this, a significant amount of time should be allocated reviewing the proposed reform.</w:t>
      </w:r>
    </w:p>
    <w:p w14:paraId="7FA05AF5" w14:textId="3E420B9E" w:rsidR="003F370B" w:rsidRPr="008C1753" w:rsidRDefault="003F370B" w:rsidP="008C1753">
      <w:pPr>
        <w:spacing w:after="200" w:line="360" w:lineRule="auto"/>
        <w:jc w:val="both"/>
        <w:rPr>
          <w:rFonts w:ascii="Times New Roman" w:hAnsi="Times New Roman" w:cs="Times New Roman"/>
        </w:rPr>
      </w:pPr>
      <w:r w:rsidRPr="008C1753">
        <w:rPr>
          <w:rFonts w:ascii="Times New Roman" w:hAnsi="Times New Roman" w:cs="Times New Roman"/>
        </w:rPr>
        <w:tab/>
        <w:t>As well as consolidating the law, codification of the law is also necessary. This would relate to the use of archaic vocabulary in the current legislation, such as ‘grossly offensive’ and ‘obscene’. The use of these words is outdated in modern society</w:t>
      </w:r>
      <w:r w:rsidR="00BA396E" w:rsidRPr="008C1753">
        <w:rPr>
          <w:rFonts w:ascii="Times New Roman" w:hAnsi="Times New Roman" w:cs="Times New Roman"/>
        </w:rPr>
        <w:t>. To update the law, more articulated vocabulary should replace the archaic phrasing used previously</w:t>
      </w:r>
      <w:r w:rsidR="00D76A9F" w:rsidRPr="008C1753">
        <w:rPr>
          <w:rFonts w:ascii="Times New Roman" w:hAnsi="Times New Roman" w:cs="Times New Roman"/>
        </w:rPr>
        <w:t>, with defini</w:t>
      </w:r>
      <w:r w:rsidR="00F249CE">
        <w:rPr>
          <w:rFonts w:ascii="Times New Roman" w:hAnsi="Times New Roman" w:cs="Times New Roman"/>
        </w:rPr>
        <w:t>tions included in the reformed A</w:t>
      </w:r>
      <w:r w:rsidR="00D76A9F" w:rsidRPr="008C1753">
        <w:rPr>
          <w:rFonts w:ascii="Times New Roman" w:hAnsi="Times New Roman" w:cs="Times New Roman"/>
        </w:rPr>
        <w:t xml:space="preserve">ct. </w:t>
      </w:r>
    </w:p>
    <w:p w14:paraId="3D1C5005" w14:textId="3B4F88E6" w:rsidR="00CE75FF" w:rsidRPr="008C1753" w:rsidRDefault="00CE75FF" w:rsidP="008C1753">
      <w:pPr>
        <w:spacing w:after="200" w:line="360" w:lineRule="auto"/>
        <w:jc w:val="both"/>
        <w:rPr>
          <w:rFonts w:ascii="Times New Roman" w:hAnsi="Times New Roman" w:cs="Times New Roman"/>
        </w:rPr>
      </w:pPr>
      <w:r w:rsidRPr="008C1753">
        <w:rPr>
          <w:rFonts w:ascii="Times New Roman" w:hAnsi="Times New Roman" w:cs="Times New Roman"/>
        </w:rPr>
        <w:lastRenderedPageBreak/>
        <w:tab/>
        <w:t xml:space="preserve">Another important element to consider is the transparency of the </w:t>
      </w:r>
      <w:proofErr w:type="spellStart"/>
      <w:r w:rsidRPr="008C1753">
        <w:rPr>
          <w:rFonts w:ascii="Times New Roman" w:hAnsi="Times New Roman" w:cs="Times New Roman"/>
          <w:i/>
        </w:rPr>
        <w:t>mens</w:t>
      </w:r>
      <w:proofErr w:type="spellEnd"/>
      <w:r w:rsidRPr="008C1753">
        <w:rPr>
          <w:rFonts w:ascii="Times New Roman" w:hAnsi="Times New Roman" w:cs="Times New Roman"/>
          <w:i/>
        </w:rPr>
        <w:t xml:space="preserve"> rea</w:t>
      </w:r>
      <w:r w:rsidRPr="008C1753">
        <w:rPr>
          <w:rFonts w:ascii="Times New Roman" w:hAnsi="Times New Roman" w:cs="Times New Roman"/>
        </w:rPr>
        <w:t xml:space="preserve"> in the reformed legislation. For the two separate offences, intention and/or recklessness should be clearly specified</w:t>
      </w:r>
      <w:r w:rsidR="000B2703" w:rsidRPr="008C1753">
        <w:rPr>
          <w:rFonts w:ascii="Times New Roman" w:hAnsi="Times New Roman" w:cs="Times New Roman"/>
        </w:rPr>
        <w:t xml:space="preserve">. The new law should try to identify what actions, or lack of them, would determine the culpability of the crime. </w:t>
      </w:r>
    </w:p>
    <w:p w14:paraId="411507AA" w14:textId="7543BC8A" w:rsidR="00BA396E" w:rsidRPr="008C1753" w:rsidRDefault="00EE4F5A" w:rsidP="008C1753">
      <w:pPr>
        <w:spacing w:after="200" w:line="360" w:lineRule="auto"/>
        <w:jc w:val="both"/>
        <w:rPr>
          <w:rFonts w:ascii="Times New Roman" w:hAnsi="Times New Roman" w:cs="Times New Roman"/>
        </w:rPr>
      </w:pPr>
      <w:r w:rsidRPr="008C1753">
        <w:rPr>
          <w:rFonts w:ascii="Times New Roman" w:hAnsi="Times New Roman" w:cs="Times New Roman"/>
        </w:rPr>
        <w:tab/>
        <w:t xml:space="preserve">The freedom of expression should not be ignored </w:t>
      </w:r>
      <w:r w:rsidR="006F54B9" w:rsidRPr="008C1753">
        <w:rPr>
          <w:rFonts w:ascii="Times New Roman" w:hAnsi="Times New Roman" w:cs="Times New Roman"/>
        </w:rPr>
        <w:t>when reforming</w:t>
      </w:r>
      <w:r w:rsidRPr="008C1753">
        <w:rPr>
          <w:rFonts w:ascii="Times New Roman" w:hAnsi="Times New Roman" w:cs="Times New Roman"/>
        </w:rPr>
        <w:t xml:space="preserve"> this law, as it is vital to </w:t>
      </w:r>
      <w:r w:rsidR="00BA396E" w:rsidRPr="008C1753">
        <w:rPr>
          <w:rFonts w:ascii="Times New Roman" w:hAnsi="Times New Roman" w:cs="Times New Roman"/>
        </w:rPr>
        <w:t>human</w:t>
      </w:r>
      <w:r w:rsidR="006F54B9" w:rsidRPr="008C1753">
        <w:rPr>
          <w:rFonts w:ascii="Times New Roman" w:hAnsi="Times New Roman" w:cs="Times New Roman"/>
        </w:rPr>
        <w:t xml:space="preserve"> rights. </w:t>
      </w:r>
      <w:r w:rsidR="004D6067" w:rsidRPr="008C1753">
        <w:rPr>
          <w:rFonts w:ascii="Times New Roman" w:hAnsi="Times New Roman" w:cs="Times New Roman"/>
        </w:rPr>
        <w:t xml:space="preserve">A clear distinction should be made in order to clarify when an expression becomes a criminal offence. The inclusion of this right in the reformed law should highlight key aspects of the human rights act, </w:t>
      </w:r>
      <w:r w:rsidR="00CE75FF" w:rsidRPr="008C1753">
        <w:rPr>
          <w:rFonts w:ascii="Times New Roman" w:hAnsi="Times New Roman" w:cs="Times New Roman"/>
        </w:rPr>
        <w:t>making it</w:t>
      </w:r>
      <w:r w:rsidR="004D6067" w:rsidRPr="008C1753">
        <w:rPr>
          <w:rFonts w:ascii="Times New Roman" w:hAnsi="Times New Roman" w:cs="Times New Roman"/>
        </w:rPr>
        <w:t xml:space="preserve"> clear when offensive online communications is no longer an opinion, but a criminal act. </w:t>
      </w:r>
      <w:r w:rsidR="001C71B3" w:rsidRPr="008C1753">
        <w:rPr>
          <w:rFonts w:ascii="Times New Roman" w:hAnsi="Times New Roman" w:cs="Times New Roman"/>
        </w:rPr>
        <w:tab/>
      </w:r>
    </w:p>
    <w:p w14:paraId="7ACCA79A" w14:textId="4C762D2E" w:rsidR="001C71B3" w:rsidRPr="008C1753" w:rsidRDefault="00CE75FF" w:rsidP="008C1753">
      <w:pPr>
        <w:spacing w:after="200" w:line="360" w:lineRule="auto"/>
        <w:ind w:firstLine="720"/>
        <w:jc w:val="both"/>
        <w:rPr>
          <w:rFonts w:ascii="Times New Roman" w:hAnsi="Times New Roman" w:cs="Times New Roman"/>
        </w:rPr>
      </w:pPr>
      <w:r w:rsidRPr="008C1753">
        <w:rPr>
          <w:rFonts w:ascii="Times New Roman" w:hAnsi="Times New Roman" w:cs="Times New Roman"/>
        </w:rPr>
        <w:t>With the suggested reforms taken into consideration, it is likely that it will become easier to regulate offensive online communications with respect to the freedom of expression.</w:t>
      </w:r>
    </w:p>
    <w:p w14:paraId="25F37090" w14:textId="0626411C" w:rsidR="00EE4F5A" w:rsidRPr="00AB4B7D" w:rsidRDefault="00EE4F5A" w:rsidP="00C25D91">
      <w:pPr>
        <w:spacing w:line="360" w:lineRule="auto"/>
        <w:jc w:val="both"/>
        <w:rPr>
          <w:rFonts w:cstheme="minorHAnsi"/>
        </w:rPr>
      </w:pPr>
      <w:r w:rsidRPr="00AB4B7D">
        <w:rPr>
          <w:rFonts w:cstheme="minorHAnsi"/>
        </w:rPr>
        <w:tab/>
        <w:t xml:space="preserve"> </w:t>
      </w:r>
    </w:p>
    <w:p w14:paraId="582C79A8" w14:textId="3D441978" w:rsidR="000411F7" w:rsidRPr="00AB4B7D" w:rsidRDefault="000411F7" w:rsidP="00C25D91">
      <w:pPr>
        <w:spacing w:line="360" w:lineRule="auto"/>
        <w:jc w:val="both"/>
        <w:rPr>
          <w:rFonts w:cstheme="minorHAnsi"/>
        </w:rPr>
      </w:pPr>
      <w:r w:rsidRPr="00AB4B7D">
        <w:rPr>
          <w:rFonts w:cstheme="minorHAnsi"/>
        </w:rPr>
        <w:tab/>
      </w:r>
    </w:p>
    <w:p w14:paraId="4CE37476" w14:textId="77777777" w:rsidR="00FD5488" w:rsidRPr="00AB4B7D" w:rsidRDefault="00FD5488" w:rsidP="00C25D91">
      <w:pPr>
        <w:spacing w:line="360" w:lineRule="auto"/>
        <w:jc w:val="both"/>
        <w:rPr>
          <w:rFonts w:cstheme="minorHAnsi"/>
        </w:rPr>
      </w:pPr>
    </w:p>
    <w:p w14:paraId="4CF7A581" w14:textId="77777777" w:rsidR="00FD5488" w:rsidRPr="00AB4B7D" w:rsidRDefault="00FD5488" w:rsidP="00C25D91">
      <w:pPr>
        <w:spacing w:line="360" w:lineRule="auto"/>
        <w:jc w:val="both"/>
        <w:rPr>
          <w:rFonts w:cstheme="minorHAnsi"/>
        </w:rPr>
      </w:pPr>
    </w:p>
    <w:p w14:paraId="53951DD4" w14:textId="77777777" w:rsidR="00FD5488" w:rsidRPr="00AB4B7D" w:rsidRDefault="00FD5488" w:rsidP="00C25D91">
      <w:pPr>
        <w:spacing w:line="360" w:lineRule="auto"/>
        <w:jc w:val="both"/>
        <w:rPr>
          <w:rFonts w:cstheme="minorHAnsi"/>
        </w:rPr>
      </w:pPr>
    </w:p>
    <w:p w14:paraId="1AA6314C" w14:textId="77777777" w:rsidR="00FD5488" w:rsidRPr="00AB4B7D" w:rsidRDefault="00FD5488" w:rsidP="00C25D91">
      <w:pPr>
        <w:spacing w:line="360" w:lineRule="auto"/>
        <w:jc w:val="both"/>
        <w:rPr>
          <w:rFonts w:cstheme="minorHAnsi"/>
        </w:rPr>
      </w:pPr>
    </w:p>
    <w:p w14:paraId="74BDFDEF" w14:textId="77777777" w:rsidR="00FD5488" w:rsidRPr="00AB4B7D" w:rsidRDefault="00FD5488" w:rsidP="00C25D91">
      <w:pPr>
        <w:spacing w:line="360" w:lineRule="auto"/>
        <w:jc w:val="both"/>
        <w:rPr>
          <w:rFonts w:cstheme="minorHAnsi"/>
        </w:rPr>
      </w:pPr>
    </w:p>
    <w:p w14:paraId="37C3A50C" w14:textId="77777777" w:rsidR="00FD5488" w:rsidRPr="00AB4B7D" w:rsidRDefault="00FD5488" w:rsidP="00C25D91">
      <w:pPr>
        <w:spacing w:line="360" w:lineRule="auto"/>
        <w:jc w:val="both"/>
        <w:rPr>
          <w:rFonts w:cstheme="minorHAnsi"/>
        </w:rPr>
      </w:pPr>
    </w:p>
    <w:p w14:paraId="679F9480" w14:textId="77777777" w:rsidR="00FD5488" w:rsidRPr="00AB4B7D" w:rsidRDefault="00FD5488" w:rsidP="00C25D91">
      <w:pPr>
        <w:spacing w:line="360" w:lineRule="auto"/>
        <w:jc w:val="both"/>
        <w:rPr>
          <w:rFonts w:cstheme="minorHAnsi"/>
        </w:rPr>
      </w:pPr>
    </w:p>
    <w:p w14:paraId="7010D5DA" w14:textId="77777777" w:rsidR="00FD5488" w:rsidRPr="00AB4B7D" w:rsidRDefault="00FD5488" w:rsidP="00C25D91">
      <w:pPr>
        <w:spacing w:line="360" w:lineRule="auto"/>
        <w:jc w:val="both"/>
        <w:rPr>
          <w:rFonts w:cstheme="minorHAnsi"/>
        </w:rPr>
      </w:pPr>
    </w:p>
    <w:p w14:paraId="50E906DA" w14:textId="77777777" w:rsidR="00FD5488" w:rsidRPr="00AB4B7D" w:rsidRDefault="00FD5488" w:rsidP="00C25D91">
      <w:pPr>
        <w:spacing w:line="360" w:lineRule="auto"/>
        <w:jc w:val="both"/>
        <w:rPr>
          <w:rFonts w:cstheme="minorHAnsi"/>
        </w:rPr>
      </w:pPr>
    </w:p>
    <w:p w14:paraId="1A2765CF" w14:textId="30A4F5F2" w:rsidR="00C25D91" w:rsidRPr="00AB4B7D" w:rsidRDefault="00C25D91" w:rsidP="00C25D91">
      <w:pPr>
        <w:spacing w:line="360" w:lineRule="auto"/>
        <w:ind w:firstLine="720"/>
        <w:jc w:val="both"/>
        <w:rPr>
          <w:rFonts w:cstheme="minorHAnsi"/>
        </w:rPr>
      </w:pPr>
    </w:p>
    <w:p w14:paraId="437C0008" w14:textId="77777777" w:rsidR="00C25D91" w:rsidRPr="00AB4B7D" w:rsidRDefault="00C25D91" w:rsidP="00C25D91">
      <w:pPr>
        <w:spacing w:line="360" w:lineRule="auto"/>
        <w:jc w:val="both"/>
        <w:rPr>
          <w:rFonts w:cstheme="minorHAnsi"/>
        </w:rPr>
      </w:pPr>
      <w:r w:rsidRPr="00AB4B7D">
        <w:rPr>
          <w:rFonts w:cstheme="minorHAnsi"/>
        </w:rPr>
        <w:br w:type="page"/>
      </w:r>
    </w:p>
    <w:p w14:paraId="1D7596A9" w14:textId="7BC32C88" w:rsidR="00C25D91" w:rsidRPr="00AB4B7D" w:rsidRDefault="00C25D91" w:rsidP="00AB4B7D">
      <w:pPr>
        <w:spacing w:line="360" w:lineRule="auto"/>
        <w:rPr>
          <w:rFonts w:cstheme="minorHAnsi"/>
          <w:b/>
          <w:u w:val="single"/>
        </w:rPr>
      </w:pPr>
      <w:r w:rsidRPr="00AB4B7D">
        <w:rPr>
          <w:rFonts w:cstheme="minorHAnsi"/>
          <w:b/>
          <w:u w:val="single"/>
        </w:rPr>
        <w:lastRenderedPageBreak/>
        <w:t>Bibliography</w:t>
      </w:r>
    </w:p>
    <w:p w14:paraId="7E444DBB" w14:textId="77777777" w:rsidR="00AB4B7D" w:rsidRPr="00AB4B7D" w:rsidRDefault="00AB4B7D" w:rsidP="00AB4B7D">
      <w:pPr>
        <w:spacing w:line="360" w:lineRule="auto"/>
        <w:rPr>
          <w:rFonts w:cstheme="minorHAnsi"/>
          <w:b/>
          <w:u w:val="single"/>
        </w:rPr>
      </w:pPr>
    </w:p>
    <w:p w14:paraId="2A139699" w14:textId="4AA7F37C" w:rsidR="00AB4B7D" w:rsidRPr="008C1753" w:rsidRDefault="00C25D91" w:rsidP="00AB4B7D">
      <w:pPr>
        <w:spacing w:line="360" w:lineRule="auto"/>
        <w:rPr>
          <w:rFonts w:cstheme="minorHAnsi"/>
          <w:i/>
        </w:rPr>
      </w:pPr>
      <w:r w:rsidRPr="008C1753">
        <w:rPr>
          <w:rFonts w:cstheme="minorHAnsi"/>
          <w:i/>
        </w:rPr>
        <w:t>Table of cases</w:t>
      </w:r>
    </w:p>
    <w:p w14:paraId="0F36983E" w14:textId="0B40CDA5" w:rsidR="00C25D91" w:rsidRPr="00AB4B7D" w:rsidRDefault="00C25D91" w:rsidP="00AB4B7D">
      <w:pPr>
        <w:spacing w:line="360" w:lineRule="auto"/>
        <w:rPr>
          <w:rFonts w:cstheme="minorHAnsi"/>
          <w:u w:val="single"/>
        </w:rPr>
      </w:pPr>
      <w:r w:rsidRPr="00AB4B7D">
        <w:rPr>
          <w:rFonts w:cstheme="minorHAnsi"/>
          <w:u w:val="single"/>
        </w:rPr>
        <w:t>UK Jurisdiction</w:t>
      </w:r>
    </w:p>
    <w:p w14:paraId="3C7B2A3C" w14:textId="77777777" w:rsidR="00C25D91" w:rsidRPr="00AB4B7D" w:rsidRDefault="00C25D91" w:rsidP="00AB4B7D">
      <w:pPr>
        <w:spacing w:line="360" w:lineRule="auto"/>
        <w:rPr>
          <w:rFonts w:cstheme="minorHAnsi"/>
        </w:rPr>
      </w:pPr>
      <w:r w:rsidRPr="00AB4B7D">
        <w:rPr>
          <w:rFonts w:cstheme="minorHAnsi"/>
        </w:rPr>
        <w:t>Chambers v DDP [2012] EWHC 2157</w:t>
      </w:r>
    </w:p>
    <w:p w14:paraId="5C1023FA" w14:textId="77777777" w:rsidR="00C25D91" w:rsidRPr="00AB4B7D" w:rsidRDefault="00C25D91" w:rsidP="00AB4B7D">
      <w:pPr>
        <w:spacing w:line="360" w:lineRule="auto"/>
        <w:rPr>
          <w:rFonts w:cstheme="minorHAnsi"/>
        </w:rPr>
      </w:pPr>
      <w:r w:rsidRPr="00AB4B7D">
        <w:rPr>
          <w:rFonts w:cstheme="minorHAnsi"/>
        </w:rPr>
        <w:t>Collins v DDP [2006] 1 W.L.R 2223 UKHL</w:t>
      </w:r>
    </w:p>
    <w:p w14:paraId="72410209" w14:textId="77777777" w:rsidR="00C25D91" w:rsidRPr="00AB4B7D" w:rsidRDefault="00C25D91" w:rsidP="00AB4B7D">
      <w:pPr>
        <w:spacing w:line="360" w:lineRule="auto"/>
        <w:rPr>
          <w:rFonts w:cstheme="minorHAnsi"/>
        </w:rPr>
      </w:pPr>
      <w:r w:rsidRPr="00AB4B7D">
        <w:rPr>
          <w:rFonts w:cstheme="minorHAnsi"/>
        </w:rPr>
        <w:t>Connolly v DDP [2007] EWHC 237; [2008] 1 W.L.R 276</w:t>
      </w:r>
    </w:p>
    <w:p w14:paraId="42F819C4" w14:textId="2589A682" w:rsidR="00C25D91" w:rsidRPr="00AB4B7D" w:rsidRDefault="00C25D91" w:rsidP="00AB4B7D">
      <w:pPr>
        <w:spacing w:line="360" w:lineRule="auto"/>
        <w:rPr>
          <w:rFonts w:cstheme="minorHAnsi"/>
          <w:lang w:val="de-DE"/>
        </w:rPr>
      </w:pPr>
      <w:r w:rsidRPr="00AB4B7D">
        <w:rPr>
          <w:rFonts w:cstheme="minorHAnsi"/>
          <w:lang w:val="de-DE"/>
        </w:rPr>
        <w:t>Nedrick v R [1986] 3 All ER 47</w:t>
      </w:r>
    </w:p>
    <w:p w14:paraId="2CC5A012" w14:textId="77777777" w:rsidR="00AB4B7D" w:rsidRPr="00AB4B7D" w:rsidRDefault="00AB4B7D" w:rsidP="00AB4B7D">
      <w:pPr>
        <w:spacing w:line="360" w:lineRule="auto"/>
        <w:rPr>
          <w:rFonts w:cstheme="minorHAnsi"/>
          <w:lang w:val="de-DE"/>
        </w:rPr>
      </w:pPr>
    </w:p>
    <w:p w14:paraId="43014FD7" w14:textId="77777777" w:rsidR="00C25D91" w:rsidRPr="00AB4B7D" w:rsidRDefault="00C25D91" w:rsidP="00AB4B7D">
      <w:pPr>
        <w:spacing w:line="360" w:lineRule="auto"/>
        <w:rPr>
          <w:rFonts w:cstheme="minorHAnsi"/>
          <w:u w:val="single"/>
        </w:rPr>
      </w:pPr>
      <w:r w:rsidRPr="00AB4B7D">
        <w:rPr>
          <w:rFonts w:cstheme="minorHAnsi"/>
          <w:u w:val="single"/>
        </w:rPr>
        <w:t>Other Jurisdiction</w:t>
      </w:r>
    </w:p>
    <w:p w14:paraId="2460CA91" w14:textId="77777777" w:rsidR="00C25D91" w:rsidRPr="00AB4B7D" w:rsidRDefault="00C25D91" w:rsidP="00AB4B7D">
      <w:pPr>
        <w:spacing w:line="360" w:lineRule="auto"/>
        <w:rPr>
          <w:rFonts w:cstheme="minorHAnsi"/>
        </w:rPr>
      </w:pPr>
      <w:r w:rsidRPr="00AB4B7D">
        <w:rPr>
          <w:rFonts w:cstheme="minorHAnsi"/>
        </w:rPr>
        <w:t>Logan v. Sycamore Community School Bd. Of Educ., 780 F. Supp. 2d 594 (S.D. Ohio 2011)</w:t>
      </w:r>
    </w:p>
    <w:p w14:paraId="609418F5" w14:textId="2F3A6138" w:rsidR="00AB4B7D" w:rsidRPr="00AB4B7D" w:rsidRDefault="00AB4B7D" w:rsidP="00AB4B7D">
      <w:pPr>
        <w:spacing w:line="360" w:lineRule="auto"/>
        <w:rPr>
          <w:rFonts w:cstheme="minorHAnsi"/>
          <w:b/>
          <w:u w:val="single"/>
        </w:rPr>
      </w:pPr>
    </w:p>
    <w:p w14:paraId="3047DFE3" w14:textId="4951C234" w:rsidR="00C25D91" w:rsidRPr="008C1753" w:rsidRDefault="00C25D91" w:rsidP="00AB4B7D">
      <w:pPr>
        <w:spacing w:line="360" w:lineRule="auto"/>
        <w:rPr>
          <w:rFonts w:cstheme="minorHAnsi"/>
          <w:i/>
        </w:rPr>
      </w:pPr>
      <w:r w:rsidRPr="008C1753">
        <w:rPr>
          <w:rFonts w:cstheme="minorHAnsi"/>
          <w:i/>
        </w:rPr>
        <w:t>Table of Legislation</w:t>
      </w:r>
    </w:p>
    <w:p w14:paraId="5064DEAE" w14:textId="77777777" w:rsidR="00C25D91" w:rsidRPr="00AB4B7D" w:rsidRDefault="00C25D91" w:rsidP="00AB4B7D">
      <w:pPr>
        <w:spacing w:line="360" w:lineRule="auto"/>
        <w:rPr>
          <w:rFonts w:cstheme="minorHAnsi"/>
          <w:u w:val="single"/>
        </w:rPr>
      </w:pPr>
      <w:r w:rsidRPr="00AB4B7D">
        <w:rPr>
          <w:rFonts w:cstheme="minorHAnsi"/>
          <w:u w:val="single"/>
        </w:rPr>
        <w:t>UK Jurisdiction</w:t>
      </w:r>
    </w:p>
    <w:p w14:paraId="48BFA389" w14:textId="77777777" w:rsidR="00C25D91" w:rsidRPr="00AB4B7D" w:rsidRDefault="00C25D91" w:rsidP="00AB4B7D">
      <w:pPr>
        <w:spacing w:line="360" w:lineRule="auto"/>
        <w:rPr>
          <w:rFonts w:cstheme="minorHAnsi"/>
        </w:rPr>
      </w:pPr>
      <w:r w:rsidRPr="00AB4B7D">
        <w:rPr>
          <w:rFonts w:cstheme="minorHAnsi"/>
        </w:rPr>
        <w:t>Communications Act 2003</w:t>
      </w:r>
    </w:p>
    <w:p w14:paraId="7AF18EF1" w14:textId="77777777" w:rsidR="00C25D91" w:rsidRPr="00AB4B7D" w:rsidRDefault="00C25D91" w:rsidP="00AB4B7D">
      <w:pPr>
        <w:spacing w:line="360" w:lineRule="auto"/>
        <w:rPr>
          <w:rFonts w:cstheme="minorHAnsi"/>
        </w:rPr>
      </w:pPr>
      <w:r w:rsidRPr="00AB4B7D">
        <w:rPr>
          <w:rFonts w:cstheme="minorHAnsi"/>
        </w:rPr>
        <w:t>Human Rights Act 1998</w:t>
      </w:r>
    </w:p>
    <w:p w14:paraId="20059B07" w14:textId="77777777" w:rsidR="00C25D91" w:rsidRPr="00AB4B7D" w:rsidRDefault="00C25D91" w:rsidP="00AB4B7D">
      <w:pPr>
        <w:spacing w:line="360" w:lineRule="auto"/>
        <w:rPr>
          <w:rFonts w:cstheme="minorHAnsi"/>
        </w:rPr>
      </w:pPr>
      <w:r w:rsidRPr="00AB4B7D">
        <w:rPr>
          <w:rFonts w:cstheme="minorHAnsi"/>
        </w:rPr>
        <w:t>Malicious Communications Act 1988</w:t>
      </w:r>
    </w:p>
    <w:p w14:paraId="24687C34" w14:textId="77777777" w:rsidR="00AB4B7D" w:rsidRPr="00AB4B7D" w:rsidRDefault="00AB4B7D" w:rsidP="00AB4B7D">
      <w:pPr>
        <w:spacing w:line="360" w:lineRule="auto"/>
        <w:rPr>
          <w:rFonts w:cstheme="minorHAnsi"/>
          <w:u w:val="single"/>
        </w:rPr>
      </w:pPr>
    </w:p>
    <w:p w14:paraId="12192F8A" w14:textId="501DDB07" w:rsidR="00C25D91" w:rsidRPr="00AB4B7D" w:rsidRDefault="00C25D91" w:rsidP="00AB4B7D">
      <w:pPr>
        <w:spacing w:line="360" w:lineRule="auto"/>
        <w:rPr>
          <w:rFonts w:cstheme="minorHAnsi"/>
          <w:u w:val="single"/>
        </w:rPr>
      </w:pPr>
      <w:r w:rsidRPr="00AB4B7D">
        <w:rPr>
          <w:rFonts w:cstheme="minorHAnsi"/>
          <w:u w:val="single"/>
        </w:rPr>
        <w:t>European treaties</w:t>
      </w:r>
    </w:p>
    <w:p w14:paraId="6B418C5C" w14:textId="77777777" w:rsidR="00C25D91" w:rsidRPr="00AB4B7D" w:rsidRDefault="00C25D91" w:rsidP="00AB4B7D">
      <w:pPr>
        <w:spacing w:line="360" w:lineRule="auto"/>
        <w:rPr>
          <w:rFonts w:cstheme="minorHAnsi"/>
        </w:rPr>
      </w:pPr>
      <w:r w:rsidRPr="00AB4B7D">
        <w:rPr>
          <w:rFonts w:cstheme="minorHAnsi"/>
        </w:rPr>
        <w:t>Convention for the Protection of Human Rights and Fundamental Freedoms</w:t>
      </w:r>
    </w:p>
    <w:p w14:paraId="3BA7B4DF" w14:textId="77777777" w:rsidR="00AB4B7D" w:rsidRPr="00AB4B7D" w:rsidRDefault="00AB4B7D" w:rsidP="00AB4B7D">
      <w:pPr>
        <w:spacing w:line="360" w:lineRule="auto"/>
        <w:rPr>
          <w:rFonts w:cstheme="minorHAnsi"/>
          <w:u w:val="single"/>
        </w:rPr>
      </w:pPr>
    </w:p>
    <w:p w14:paraId="4CB28D59" w14:textId="57719681" w:rsidR="00C25D91" w:rsidRPr="00AB4B7D" w:rsidRDefault="00C25D91" w:rsidP="00AB4B7D">
      <w:pPr>
        <w:spacing w:line="360" w:lineRule="auto"/>
        <w:rPr>
          <w:rFonts w:cstheme="minorHAnsi"/>
          <w:u w:val="single"/>
        </w:rPr>
      </w:pPr>
      <w:r w:rsidRPr="00AB4B7D">
        <w:rPr>
          <w:rFonts w:cstheme="minorHAnsi"/>
          <w:u w:val="single"/>
        </w:rPr>
        <w:t>Other Jurisdiction</w:t>
      </w:r>
    </w:p>
    <w:p w14:paraId="78E566C5" w14:textId="77777777" w:rsidR="00C25D91" w:rsidRPr="00AB4B7D" w:rsidRDefault="00C25D91" w:rsidP="00AB4B7D">
      <w:pPr>
        <w:spacing w:line="360" w:lineRule="auto"/>
        <w:rPr>
          <w:rFonts w:cstheme="minorHAnsi"/>
        </w:rPr>
      </w:pPr>
      <w:r w:rsidRPr="00AB4B7D">
        <w:rPr>
          <w:rFonts w:cstheme="minorHAnsi"/>
        </w:rPr>
        <w:t>Substitute House Bill Number 116, 129th General Assembly, (Ohio 2012)</w:t>
      </w:r>
    </w:p>
    <w:p w14:paraId="49432049" w14:textId="77777777" w:rsidR="00AB4B7D" w:rsidRPr="00AB4B7D" w:rsidRDefault="00AB4B7D" w:rsidP="00AB4B7D">
      <w:pPr>
        <w:spacing w:line="360" w:lineRule="auto"/>
        <w:rPr>
          <w:rFonts w:cstheme="minorHAnsi"/>
          <w:b/>
          <w:u w:val="single"/>
        </w:rPr>
      </w:pPr>
    </w:p>
    <w:p w14:paraId="13A492CC" w14:textId="1CB52137" w:rsidR="00C25D91" w:rsidRDefault="008C1753" w:rsidP="00AB4B7D">
      <w:pPr>
        <w:spacing w:line="360" w:lineRule="auto"/>
        <w:rPr>
          <w:rFonts w:cstheme="minorHAnsi"/>
          <w:b/>
          <w:u w:val="single"/>
        </w:rPr>
      </w:pPr>
      <w:r>
        <w:rPr>
          <w:rFonts w:cstheme="minorHAnsi"/>
          <w:b/>
          <w:u w:val="single"/>
        </w:rPr>
        <w:t xml:space="preserve">Secondary Sources </w:t>
      </w:r>
    </w:p>
    <w:p w14:paraId="021398AD" w14:textId="395FE4C2" w:rsidR="008C1753" w:rsidRDefault="008C1753" w:rsidP="00AB4B7D">
      <w:pPr>
        <w:spacing w:line="360" w:lineRule="auto"/>
        <w:rPr>
          <w:rFonts w:cstheme="minorHAnsi"/>
          <w:i/>
        </w:rPr>
      </w:pPr>
      <w:r>
        <w:rPr>
          <w:rFonts w:cstheme="minorHAnsi"/>
          <w:i/>
        </w:rPr>
        <w:t xml:space="preserve">Articles </w:t>
      </w:r>
    </w:p>
    <w:p w14:paraId="41563473" w14:textId="37E90396" w:rsidR="008C1753" w:rsidRDefault="008C1753" w:rsidP="008C1753">
      <w:pPr>
        <w:spacing w:line="360" w:lineRule="auto"/>
        <w:rPr>
          <w:rFonts w:cstheme="minorHAnsi"/>
        </w:rPr>
      </w:pPr>
      <w:r w:rsidRPr="00AB4B7D">
        <w:rPr>
          <w:rFonts w:cstheme="minorHAnsi"/>
        </w:rPr>
        <w:t>Arden M, 'Criminal law at the crossroads: the impact of human rights from the Law Commission's perspective and the need for a code' [1999] 1(1) Criminal Law Review</w:t>
      </w:r>
    </w:p>
    <w:p w14:paraId="013B741A" w14:textId="77777777" w:rsidR="008C1753" w:rsidRDefault="008C1753" w:rsidP="008C1753">
      <w:pPr>
        <w:spacing w:line="360" w:lineRule="auto"/>
        <w:rPr>
          <w:rFonts w:cstheme="minorHAnsi"/>
        </w:rPr>
      </w:pPr>
    </w:p>
    <w:p w14:paraId="5D919465" w14:textId="77777777" w:rsidR="008C1753" w:rsidRPr="00AB4B7D" w:rsidRDefault="008C1753" w:rsidP="008C1753">
      <w:pPr>
        <w:spacing w:line="360" w:lineRule="auto"/>
        <w:rPr>
          <w:rFonts w:cstheme="minorHAnsi"/>
        </w:rPr>
      </w:pPr>
      <w:proofErr w:type="spellStart"/>
      <w:r w:rsidRPr="00AB4B7D">
        <w:rPr>
          <w:rFonts w:cstheme="minorHAnsi"/>
        </w:rPr>
        <w:t>Bakalis</w:t>
      </w:r>
      <w:proofErr w:type="spellEnd"/>
      <w:r w:rsidRPr="00AB4B7D">
        <w:rPr>
          <w:rFonts w:cstheme="minorHAnsi"/>
        </w:rPr>
        <w:t xml:space="preserve"> C, “Rethinking </w:t>
      </w:r>
      <w:proofErr w:type="spellStart"/>
      <w:r w:rsidRPr="00AB4B7D">
        <w:rPr>
          <w:rFonts w:cstheme="minorHAnsi"/>
        </w:rPr>
        <w:t>cyberhate</w:t>
      </w:r>
      <w:proofErr w:type="spellEnd"/>
      <w:r w:rsidRPr="00AB4B7D">
        <w:rPr>
          <w:rFonts w:cstheme="minorHAnsi"/>
        </w:rPr>
        <w:t xml:space="preserve"> laws” (2017) Information &amp; Communications Technology Law, 27(1) 86-110</w:t>
      </w:r>
    </w:p>
    <w:p w14:paraId="34F6C1E1" w14:textId="60E1BE6B" w:rsidR="008C1753" w:rsidRDefault="008C1753" w:rsidP="008C1753">
      <w:pPr>
        <w:spacing w:line="360" w:lineRule="auto"/>
        <w:rPr>
          <w:rFonts w:cstheme="minorHAnsi"/>
        </w:rPr>
      </w:pPr>
      <w:r w:rsidRPr="00AB4B7D">
        <w:rPr>
          <w:rFonts w:cstheme="minorHAnsi"/>
        </w:rPr>
        <w:lastRenderedPageBreak/>
        <w:t xml:space="preserve">Bliss L, “Social Media; ‘A theme park just for fools’ – R v Alison </w:t>
      </w:r>
      <w:proofErr w:type="spellStart"/>
      <w:r w:rsidRPr="00AB4B7D">
        <w:rPr>
          <w:rFonts w:cstheme="minorHAnsi"/>
        </w:rPr>
        <w:t>Chabloz</w:t>
      </w:r>
      <w:proofErr w:type="spellEnd"/>
      <w:r w:rsidRPr="00AB4B7D">
        <w:rPr>
          <w:rFonts w:cstheme="minorHAnsi"/>
        </w:rPr>
        <w:t>” (2018) J. Crim. L. 82(4), 301-304</w:t>
      </w:r>
    </w:p>
    <w:p w14:paraId="4F52F8D2" w14:textId="77777777" w:rsidR="008C1753" w:rsidRPr="00AB4B7D" w:rsidRDefault="008C1753" w:rsidP="008C1753">
      <w:pPr>
        <w:spacing w:line="360" w:lineRule="auto"/>
        <w:rPr>
          <w:rFonts w:cstheme="minorHAnsi"/>
        </w:rPr>
      </w:pPr>
    </w:p>
    <w:p w14:paraId="7978B0BF" w14:textId="0D72DB13" w:rsidR="008C1753" w:rsidRDefault="001125FF" w:rsidP="008C1753">
      <w:pPr>
        <w:spacing w:line="360" w:lineRule="auto"/>
        <w:rPr>
          <w:rFonts w:cstheme="minorHAnsi"/>
        </w:rPr>
      </w:pPr>
      <w:r>
        <w:rPr>
          <w:rFonts w:cstheme="minorHAnsi"/>
        </w:rPr>
        <w:t>Bliss L, “The C</w:t>
      </w:r>
      <w:r w:rsidR="008C1753" w:rsidRPr="00AB4B7D">
        <w:rPr>
          <w:rFonts w:cstheme="minorHAnsi"/>
        </w:rPr>
        <w:t>rown Prosecution guidelines and grossly offensive comments: an analysis” (2017) Journal of Media Law 9(2), 173-188</w:t>
      </w:r>
    </w:p>
    <w:p w14:paraId="20605C7B" w14:textId="77777777" w:rsidR="008C1753" w:rsidRDefault="008C1753" w:rsidP="008C1753">
      <w:pPr>
        <w:spacing w:line="360" w:lineRule="auto"/>
        <w:rPr>
          <w:rFonts w:cstheme="minorHAnsi"/>
        </w:rPr>
      </w:pPr>
    </w:p>
    <w:p w14:paraId="05173145" w14:textId="03B31DE1" w:rsidR="008C1753" w:rsidRDefault="008C1753" w:rsidP="008C1753">
      <w:pPr>
        <w:spacing w:line="360" w:lineRule="auto"/>
        <w:rPr>
          <w:rFonts w:cstheme="minorHAnsi"/>
        </w:rPr>
      </w:pPr>
      <w:proofErr w:type="spellStart"/>
      <w:r w:rsidRPr="00AB4B7D">
        <w:rPr>
          <w:rFonts w:cstheme="minorHAnsi"/>
        </w:rPr>
        <w:t>Eugenicos</w:t>
      </w:r>
      <w:proofErr w:type="spellEnd"/>
      <w:r w:rsidRPr="00AB4B7D">
        <w:rPr>
          <w:rFonts w:cstheme="minorHAnsi"/>
        </w:rPr>
        <w:t xml:space="preserve"> AM, 'Should we reform the Offences against the Person Act 1861?' [2017] 81(1) Journal of Criminal Law</w:t>
      </w:r>
    </w:p>
    <w:p w14:paraId="098DE7EE" w14:textId="77777777" w:rsidR="008C1753" w:rsidRDefault="008C1753" w:rsidP="008C1753">
      <w:pPr>
        <w:spacing w:line="360" w:lineRule="auto"/>
        <w:rPr>
          <w:rFonts w:cstheme="minorHAnsi"/>
        </w:rPr>
      </w:pPr>
    </w:p>
    <w:p w14:paraId="3A5E8FD8" w14:textId="468310FD" w:rsidR="008C1753" w:rsidRDefault="008C1753" w:rsidP="008C1753">
      <w:pPr>
        <w:spacing w:line="360" w:lineRule="auto"/>
        <w:rPr>
          <w:rFonts w:cstheme="minorHAnsi"/>
        </w:rPr>
      </w:pPr>
      <w:r w:rsidRPr="00AB4B7D">
        <w:rPr>
          <w:rFonts w:cstheme="minorHAnsi"/>
        </w:rPr>
        <w:t>Shields K and Jones K, “Tackling online trolling” (2016) Criminal Law &amp; Justice Weekly 180(37)</w:t>
      </w:r>
    </w:p>
    <w:p w14:paraId="4A1654A4" w14:textId="77777777" w:rsidR="008C1753" w:rsidRPr="00AB4B7D" w:rsidRDefault="008C1753" w:rsidP="008C1753">
      <w:pPr>
        <w:spacing w:line="360" w:lineRule="auto"/>
        <w:rPr>
          <w:rFonts w:cstheme="minorHAnsi"/>
        </w:rPr>
      </w:pPr>
    </w:p>
    <w:p w14:paraId="30AFA675" w14:textId="0C1E8070" w:rsidR="008C1753" w:rsidRPr="00AB4B7D" w:rsidRDefault="008C1753" w:rsidP="008C1753">
      <w:pPr>
        <w:spacing w:line="360" w:lineRule="auto"/>
        <w:rPr>
          <w:rFonts w:cstheme="minorHAnsi"/>
        </w:rPr>
      </w:pPr>
      <w:r>
        <w:rPr>
          <w:rFonts w:cstheme="minorHAnsi"/>
        </w:rPr>
        <w:t>Watkins D</w:t>
      </w:r>
      <w:r w:rsidRPr="00AB4B7D">
        <w:rPr>
          <w:rFonts w:cstheme="minorHAnsi"/>
        </w:rPr>
        <w:t xml:space="preserve">, 'Where do I stand? Assessing children's capabilities under English law' [2016] 28(1) Child and Family Law Quarterly 25-44 </w:t>
      </w:r>
    </w:p>
    <w:p w14:paraId="2ED7AD49" w14:textId="231F95F3" w:rsidR="008C1753" w:rsidRDefault="008C1753" w:rsidP="00AB4B7D">
      <w:pPr>
        <w:spacing w:line="360" w:lineRule="auto"/>
        <w:rPr>
          <w:rFonts w:cstheme="minorHAnsi"/>
          <w:i/>
        </w:rPr>
      </w:pPr>
    </w:p>
    <w:p w14:paraId="0DC8493F" w14:textId="1CCD738D" w:rsidR="008C1753" w:rsidRDefault="008C1753" w:rsidP="00AB4B7D">
      <w:pPr>
        <w:spacing w:line="360" w:lineRule="auto"/>
        <w:rPr>
          <w:rFonts w:cstheme="minorHAnsi"/>
          <w:i/>
        </w:rPr>
      </w:pPr>
      <w:r>
        <w:rPr>
          <w:rFonts w:cstheme="minorHAnsi"/>
          <w:i/>
        </w:rPr>
        <w:t xml:space="preserve">Books </w:t>
      </w:r>
    </w:p>
    <w:p w14:paraId="3010DCD3" w14:textId="77777777" w:rsidR="008C1753" w:rsidRPr="00AB4B7D" w:rsidRDefault="008C1753" w:rsidP="008C1753">
      <w:pPr>
        <w:spacing w:line="360" w:lineRule="auto"/>
        <w:rPr>
          <w:rFonts w:cstheme="minorHAnsi"/>
        </w:rPr>
      </w:pPr>
      <w:r w:rsidRPr="00AB4B7D">
        <w:rPr>
          <w:rFonts w:cstheme="minorHAnsi"/>
        </w:rPr>
        <w:t xml:space="preserve">Storey T, Unlocking Criminal Law (6 </w:t>
      </w:r>
      <w:proofErr w:type="spellStart"/>
      <w:r w:rsidRPr="00AB4B7D">
        <w:rPr>
          <w:rFonts w:cstheme="minorHAnsi"/>
        </w:rPr>
        <w:t>edn</w:t>
      </w:r>
      <w:proofErr w:type="spellEnd"/>
      <w:r w:rsidRPr="00AB4B7D">
        <w:rPr>
          <w:rFonts w:cstheme="minorHAnsi"/>
        </w:rPr>
        <w:t xml:space="preserve">, Routledge 2017) </w:t>
      </w:r>
    </w:p>
    <w:p w14:paraId="10D69F73" w14:textId="14AFAD3C" w:rsidR="008C1753" w:rsidRDefault="008C1753" w:rsidP="00AB4B7D">
      <w:pPr>
        <w:spacing w:line="360" w:lineRule="auto"/>
        <w:rPr>
          <w:rFonts w:cstheme="minorHAnsi"/>
          <w:i/>
        </w:rPr>
      </w:pPr>
    </w:p>
    <w:p w14:paraId="3295A1F3" w14:textId="76A57688" w:rsidR="008C1753" w:rsidRDefault="008C1753" w:rsidP="00AB4B7D">
      <w:pPr>
        <w:spacing w:line="360" w:lineRule="auto"/>
        <w:rPr>
          <w:rFonts w:cstheme="minorHAnsi"/>
          <w:i/>
        </w:rPr>
      </w:pPr>
      <w:r>
        <w:rPr>
          <w:rFonts w:cstheme="minorHAnsi"/>
          <w:i/>
        </w:rPr>
        <w:t xml:space="preserve">Reports </w:t>
      </w:r>
    </w:p>
    <w:p w14:paraId="44C137BE" w14:textId="77777777" w:rsidR="008C1753" w:rsidRPr="008C1753" w:rsidRDefault="008C1753" w:rsidP="00AB4B7D">
      <w:pPr>
        <w:spacing w:line="360" w:lineRule="auto"/>
        <w:rPr>
          <w:rFonts w:cstheme="minorHAnsi"/>
          <w:i/>
        </w:rPr>
      </w:pPr>
    </w:p>
    <w:p w14:paraId="3E33B757" w14:textId="77777777" w:rsidR="00C25D91" w:rsidRPr="00AB4B7D" w:rsidRDefault="00C25D91" w:rsidP="00AB4B7D">
      <w:pPr>
        <w:spacing w:line="360" w:lineRule="auto"/>
        <w:rPr>
          <w:rFonts w:cstheme="minorHAnsi"/>
        </w:rPr>
      </w:pPr>
      <w:r w:rsidRPr="00AB4B7D">
        <w:rPr>
          <w:rFonts w:cstheme="minorHAnsi"/>
        </w:rPr>
        <w:t>Crown Prosecution Service, “Social Media – Guidelines on prosecuting cases involving communications sent via social media” (revised 21 August 2018)</w:t>
      </w:r>
    </w:p>
    <w:p w14:paraId="55E7CFE0" w14:textId="5691020D" w:rsidR="00C25D91" w:rsidRDefault="00C25D91" w:rsidP="00AB4B7D">
      <w:pPr>
        <w:spacing w:line="360" w:lineRule="auto"/>
        <w:rPr>
          <w:rFonts w:cstheme="minorHAnsi"/>
        </w:rPr>
      </w:pPr>
      <w:r w:rsidRPr="00AB4B7D">
        <w:rPr>
          <w:rFonts w:cstheme="minorHAnsi"/>
        </w:rPr>
        <w:t>'Freedom of expression Legal Framework' (Equality and Human Ri</w:t>
      </w:r>
      <w:r w:rsidR="008C1753">
        <w:rPr>
          <w:rFonts w:cstheme="minorHAnsi"/>
        </w:rPr>
        <w:t>ghts Commission, 25th May 2016) &lt;</w:t>
      </w:r>
      <w:hyperlink r:id="rId9" w:history="1">
        <w:r w:rsidR="008C1753" w:rsidRPr="005257B6">
          <w:rPr>
            <w:rStyle w:val="Hyperlink"/>
            <w:rFonts w:cstheme="minorHAnsi"/>
          </w:rPr>
          <w:t>https://www.equalityhumanrights.com/sites/default/files/20150318_foe_legal_framework_guidance_revised_final.pdf</w:t>
        </w:r>
      </w:hyperlink>
      <w:proofErr w:type="gramStart"/>
      <w:r w:rsidR="008C1753">
        <w:rPr>
          <w:rFonts w:cstheme="minorHAnsi"/>
        </w:rPr>
        <w:t xml:space="preserve">&gt; </w:t>
      </w:r>
      <w:r w:rsidRPr="00AB4B7D">
        <w:rPr>
          <w:rFonts w:cstheme="minorHAnsi"/>
        </w:rPr>
        <w:t xml:space="preserve"> accessed</w:t>
      </w:r>
      <w:proofErr w:type="gramEnd"/>
      <w:r w:rsidRPr="00AB4B7D">
        <w:rPr>
          <w:rFonts w:cstheme="minorHAnsi"/>
        </w:rPr>
        <w:t xml:space="preserve"> 14 November 2018</w:t>
      </w:r>
    </w:p>
    <w:p w14:paraId="14089F4B" w14:textId="29D3A94F" w:rsidR="008C1753" w:rsidRDefault="008C1753" w:rsidP="00AB4B7D">
      <w:pPr>
        <w:spacing w:line="360" w:lineRule="auto"/>
        <w:rPr>
          <w:rFonts w:cstheme="minorHAnsi"/>
        </w:rPr>
      </w:pPr>
    </w:p>
    <w:p w14:paraId="4C87BF53" w14:textId="77777777" w:rsidR="008C1753" w:rsidRPr="00AB4B7D" w:rsidRDefault="008C1753" w:rsidP="008C1753">
      <w:pPr>
        <w:spacing w:line="360" w:lineRule="auto"/>
        <w:rPr>
          <w:rFonts w:cstheme="minorHAnsi"/>
        </w:rPr>
      </w:pPr>
      <w:r w:rsidRPr="00AB4B7D">
        <w:rPr>
          <w:rFonts w:cstheme="minorHAnsi"/>
        </w:rPr>
        <w:t>Law Commission, “Abusive and Offensive Online Communications: A Scoping Report” (Law Com No 381, 2018) 113, para 5.95</w:t>
      </w:r>
    </w:p>
    <w:p w14:paraId="0EC3BA08" w14:textId="77777777" w:rsidR="008C1753" w:rsidRPr="00AB4B7D" w:rsidRDefault="008C1753" w:rsidP="008C1753">
      <w:pPr>
        <w:spacing w:line="360" w:lineRule="auto"/>
        <w:rPr>
          <w:rFonts w:cstheme="minorHAnsi"/>
        </w:rPr>
      </w:pPr>
      <w:r w:rsidRPr="00AB4B7D">
        <w:rPr>
          <w:rFonts w:cstheme="minorHAnsi"/>
        </w:rPr>
        <w:t>Office for national statistics, 'Social Networking by age group, 2011 to 2017' (Office for National Statistics, 24 August 2017) &lt;https://www.ons.gov.uk/peoplepopulationandcommunity/householdcharacteristics/home</w:t>
      </w:r>
      <w:r w:rsidRPr="00AB4B7D">
        <w:rPr>
          <w:rFonts w:cstheme="minorHAnsi"/>
        </w:rPr>
        <w:lastRenderedPageBreak/>
        <w:t>internetandsocialmediausage/adhocs/007401socialnetworkingbyagegroup2011to2017&gt; accessed 6 November 2018</w:t>
      </w:r>
    </w:p>
    <w:p w14:paraId="381303DB" w14:textId="77777777" w:rsidR="008C1753" w:rsidRDefault="008C1753" w:rsidP="00AB4B7D">
      <w:pPr>
        <w:spacing w:line="360" w:lineRule="auto"/>
        <w:rPr>
          <w:rFonts w:cstheme="minorHAnsi"/>
        </w:rPr>
      </w:pPr>
    </w:p>
    <w:p w14:paraId="421DA2CA" w14:textId="05FB097C" w:rsidR="008C1753" w:rsidRDefault="008C1753" w:rsidP="00AB4B7D">
      <w:pPr>
        <w:spacing w:line="360" w:lineRule="auto"/>
        <w:rPr>
          <w:rFonts w:cstheme="minorHAnsi"/>
        </w:rPr>
      </w:pPr>
    </w:p>
    <w:p w14:paraId="0AA79552" w14:textId="3ADF8032" w:rsidR="008C1753" w:rsidRPr="008C1753" w:rsidRDefault="008C1753" w:rsidP="00AB4B7D">
      <w:pPr>
        <w:spacing w:line="360" w:lineRule="auto"/>
        <w:rPr>
          <w:rFonts w:cstheme="minorHAnsi"/>
          <w:i/>
        </w:rPr>
      </w:pPr>
      <w:r>
        <w:rPr>
          <w:rFonts w:cstheme="minorHAnsi"/>
          <w:i/>
        </w:rPr>
        <w:t>Websites and Blogs</w:t>
      </w:r>
    </w:p>
    <w:p w14:paraId="0DDFC455" w14:textId="77777777" w:rsidR="008C1753" w:rsidRPr="00AB4B7D" w:rsidRDefault="008C1753" w:rsidP="00AB4B7D">
      <w:pPr>
        <w:spacing w:line="360" w:lineRule="auto"/>
        <w:rPr>
          <w:rFonts w:cstheme="minorHAnsi"/>
        </w:rPr>
      </w:pPr>
    </w:p>
    <w:p w14:paraId="391E99CB" w14:textId="7C02B27A" w:rsidR="00C25D91" w:rsidRDefault="00C25D91" w:rsidP="00AB4B7D">
      <w:pPr>
        <w:spacing w:line="360" w:lineRule="auto"/>
        <w:rPr>
          <w:rFonts w:cstheme="minorHAnsi"/>
        </w:rPr>
      </w:pPr>
      <w:r w:rsidRPr="00AB4B7D">
        <w:rPr>
          <w:rFonts w:cstheme="minorHAnsi"/>
        </w:rPr>
        <w:t xml:space="preserve">Hunt Q, 'Striking a balance - Malicious Communication Act and free speech' (Criminal Defence Barrister Blog, 28 May) </w:t>
      </w:r>
      <w:hyperlink r:id="rId10" w:history="1">
        <w:r w:rsidR="008C1753" w:rsidRPr="005257B6">
          <w:rPr>
            <w:rStyle w:val="Hyperlink"/>
            <w:rFonts w:cstheme="minorHAnsi"/>
          </w:rPr>
          <w:t>http://www.bestcriminaldefencebarrister.co.uk/criminal-defence-barrister-blog/2018/striking-a-balance-malicious-communication-act-and-free-speech.aspx</w:t>
        </w:r>
      </w:hyperlink>
      <w:r w:rsidR="008C1753">
        <w:rPr>
          <w:rFonts w:cstheme="minorHAnsi"/>
        </w:rPr>
        <w:t xml:space="preserve"> </w:t>
      </w:r>
      <w:r w:rsidRPr="00AB4B7D">
        <w:rPr>
          <w:rFonts w:cstheme="minorHAnsi"/>
        </w:rPr>
        <w:t xml:space="preserve"> accessed 14 November 2018</w:t>
      </w:r>
    </w:p>
    <w:p w14:paraId="0E8DE689" w14:textId="77777777" w:rsidR="008C1753" w:rsidRPr="00AB4B7D" w:rsidRDefault="008C1753" w:rsidP="00AB4B7D">
      <w:pPr>
        <w:spacing w:line="360" w:lineRule="auto"/>
        <w:rPr>
          <w:rFonts w:cstheme="minorHAnsi"/>
        </w:rPr>
      </w:pPr>
    </w:p>
    <w:p w14:paraId="7416FAEB" w14:textId="77777777" w:rsidR="00FD5488" w:rsidRPr="00AB4B7D" w:rsidRDefault="00FD5488" w:rsidP="00C25D91">
      <w:pPr>
        <w:spacing w:line="360" w:lineRule="auto"/>
        <w:ind w:firstLine="720"/>
        <w:jc w:val="both"/>
        <w:rPr>
          <w:rFonts w:cstheme="minorHAnsi"/>
        </w:rPr>
      </w:pPr>
    </w:p>
    <w:sectPr w:rsidR="00FD5488" w:rsidRPr="00AB4B7D" w:rsidSect="006846CF">
      <w:headerReference w:type="default" r:id="rId11"/>
      <w:footerReference w:type="default" r:id="rId12"/>
      <w:headerReference w:type="first" r:id="rId13"/>
      <w:pgSz w:w="11900" w:h="16840"/>
      <w:pgMar w:top="1440" w:right="1440" w:bottom="1440" w:left="1440" w:header="720" w:footer="720" w:gutter="0"/>
      <w:pgNumType w:start="10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58E50" w14:textId="77777777" w:rsidR="00683139" w:rsidRDefault="00683139" w:rsidP="00F34CCC">
      <w:r>
        <w:separator/>
      </w:r>
    </w:p>
  </w:endnote>
  <w:endnote w:type="continuationSeparator" w:id="0">
    <w:p w14:paraId="00ABC066" w14:textId="77777777" w:rsidR="00683139" w:rsidRDefault="00683139" w:rsidP="00F3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 w:name="DengXian Light">
    <w:altName w:val="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942330"/>
      <w:docPartObj>
        <w:docPartGallery w:val="Page Numbers (Bottom of Page)"/>
        <w:docPartUnique/>
      </w:docPartObj>
    </w:sdtPr>
    <w:sdtEndPr>
      <w:rPr>
        <w:noProof/>
      </w:rPr>
    </w:sdtEndPr>
    <w:sdtContent>
      <w:p w14:paraId="582F888D" w14:textId="66D2EEF6" w:rsidR="006846CF" w:rsidRDefault="006846CF">
        <w:pPr>
          <w:pStyle w:val="Footer"/>
          <w:jc w:val="center"/>
        </w:pPr>
        <w:r>
          <w:fldChar w:fldCharType="begin"/>
        </w:r>
        <w:r>
          <w:instrText xml:space="preserve"> PAGE   \* MERGEFORMAT </w:instrText>
        </w:r>
        <w:r>
          <w:fldChar w:fldCharType="separate"/>
        </w:r>
        <w:r w:rsidR="005411E4">
          <w:rPr>
            <w:noProof/>
          </w:rPr>
          <w:t>111</w:t>
        </w:r>
        <w:r>
          <w:rPr>
            <w:noProof/>
          </w:rPr>
          <w:fldChar w:fldCharType="end"/>
        </w:r>
      </w:p>
    </w:sdtContent>
  </w:sdt>
  <w:p w14:paraId="40CCAC81" w14:textId="6E68E6F5" w:rsidR="006846CF" w:rsidRDefault="005411E4" w:rsidP="005411E4">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B3532" w14:textId="77777777" w:rsidR="00683139" w:rsidRDefault="00683139" w:rsidP="00F34CCC">
      <w:r>
        <w:separator/>
      </w:r>
    </w:p>
  </w:footnote>
  <w:footnote w:type="continuationSeparator" w:id="0">
    <w:p w14:paraId="2F629753" w14:textId="77777777" w:rsidR="00683139" w:rsidRDefault="00683139" w:rsidP="00F34CCC">
      <w:r>
        <w:continuationSeparator/>
      </w:r>
    </w:p>
  </w:footnote>
  <w:footnote w:id="1">
    <w:p w14:paraId="3FAD9BFA" w14:textId="753C64EA" w:rsidR="006350FA" w:rsidRPr="008C1753" w:rsidRDefault="006350FA" w:rsidP="008C1753">
      <w:pPr>
        <w:jc w:val="both"/>
        <w:rPr>
          <w:rFonts w:ascii="Times New Roman" w:hAnsi="Times New Roman" w:cs="Times New Roman"/>
          <w:sz w:val="20"/>
          <w:szCs w:val="20"/>
          <w:lang w:eastAsia="en-GB"/>
        </w:rPr>
      </w:pPr>
      <w:r w:rsidRPr="008C1753">
        <w:rPr>
          <w:rStyle w:val="FootnoteReference"/>
          <w:rFonts w:ascii="Times New Roman" w:hAnsi="Times New Roman" w:cs="Times New Roman"/>
          <w:sz w:val="20"/>
          <w:szCs w:val="20"/>
        </w:rPr>
        <w:footnoteRef/>
      </w:r>
      <w:r w:rsidRPr="008C1753">
        <w:rPr>
          <w:rFonts w:ascii="Times New Roman" w:hAnsi="Times New Roman" w:cs="Times New Roman"/>
          <w:sz w:val="20"/>
          <w:szCs w:val="20"/>
        </w:rPr>
        <w:t xml:space="preserve"> </w:t>
      </w:r>
      <w:r w:rsidRPr="008C1753">
        <w:rPr>
          <w:rFonts w:ascii="Times New Roman" w:hAnsi="Times New Roman" w:cs="Times New Roman"/>
          <w:color w:val="212529"/>
          <w:sz w:val="20"/>
          <w:szCs w:val="20"/>
          <w:lang w:eastAsia="en-GB"/>
        </w:rPr>
        <w:t>Office for national statistics,</w:t>
      </w:r>
      <w:r w:rsidRPr="008C1753">
        <w:rPr>
          <w:rFonts w:ascii="Times New Roman" w:hAnsi="Times New Roman" w:cs="Times New Roman"/>
          <w:color w:val="212529"/>
          <w:sz w:val="20"/>
          <w:szCs w:val="20"/>
          <w:shd w:val="clear" w:color="auto" w:fill="FFFFFF"/>
          <w:lang w:eastAsia="en-GB"/>
        </w:rPr>
        <w:t xml:space="preserve"> </w:t>
      </w:r>
      <w:r w:rsidRPr="008C1753">
        <w:rPr>
          <w:rFonts w:ascii="Times New Roman" w:hAnsi="Times New Roman" w:cs="Times New Roman"/>
          <w:color w:val="212529"/>
          <w:sz w:val="20"/>
          <w:szCs w:val="20"/>
          <w:lang w:eastAsia="en-GB"/>
        </w:rPr>
        <w:t>'Social Networking by age group, 2011 to 2017'</w:t>
      </w:r>
      <w:r w:rsidRPr="008C1753">
        <w:rPr>
          <w:rFonts w:ascii="Times New Roman" w:hAnsi="Times New Roman" w:cs="Times New Roman"/>
          <w:color w:val="212529"/>
          <w:sz w:val="20"/>
          <w:szCs w:val="20"/>
          <w:shd w:val="clear" w:color="auto" w:fill="FFFFFF"/>
          <w:lang w:eastAsia="en-GB"/>
        </w:rPr>
        <w:t xml:space="preserve"> </w:t>
      </w:r>
      <w:r w:rsidRPr="008C1753">
        <w:rPr>
          <w:rFonts w:ascii="Times New Roman" w:hAnsi="Times New Roman" w:cs="Times New Roman"/>
          <w:color w:val="212529"/>
          <w:sz w:val="20"/>
          <w:szCs w:val="20"/>
          <w:lang w:eastAsia="en-GB"/>
        </w:rPr>
        <w:t>(</w:t>
      </w:r>
      <w:r w:rsidRPr="008C1753">
        <w:rPr>
          <w:rFonts w:ascii="Times New Roman" w:hAnsi="Times New Roman" w:cs="Times New Roman"/>
          <w:i/>
          <w:iCs/>
          <w:color w:val="212529"/>
          <w:sz w:val="20"/>
          <w:szCs w:val="20"/>
          <w:lang w:eastAsia="en-GB"/>
        </w:rPr>
        <w:t>Office for National Statistics</w:t>
      </w:r>
      <w:r w:rsidRPr="008C1753">
        <w:rPr>
          <w:rFonts w:ascii="Times New Roman" w:hAnsi="Times New Roman" w:cs="Times New Roman"/>
          <w:color w:val="212529"/>
          <w:sz w:val="20"/>
          <w:szCs w:val="20"/>
          <w:lang w:eastAsia="en-GB"/>
        </w:rPr>
        <w:t>,</w:t>
      </w:r>
      <w:r w:rsidRPr="008C1753">
        <w:rPr>
          <w:rFonts w:ascii="Times New Roman" w:hAnsi="Times New Roman" w:cs="Times New Roman"/>
          <w:color w:val="212529"/>
          <w:sz w:val="20"/>
          <w:szCs w:val="20"/>
          <w:shd w:val="clear" w:color="auto" w:fill="FFFFFF"/>
          <w:lang w:eastAsia="en-GB"/>
        </w:rPr>
        <w:t xml:space="preserve"> </w:t>
      </w:r>
      <w:r w:rsidRPr="008C1753">
        <w:rPr>
          <w:rFonts w:ascii="Times New Roman" w:hAnsi="Times New Roman" w:cs="Times New Roman"/>
          <w:color w:val="212529"/>
          <w:sz w:val="20"/>
          <w:szCs w:val="20"/>
          <w:lang w:eastAsia="en-GB"/>
        </w:rPr>
        <w:t>24 August 2017)</w:t>
      </w:r>
      <w:r w:rsidR="00FA6BFF">
        <w:rPr>
          <w:rFonts w:ascii="Times New Roman" w:hAnsi="Times New Roman" w:cs="Times New Roman"/>
          <w:color w:val="212529"/>
          <w:sz w:val="20"/>
          <w:szCs w:val="20"/>
          <w:lang w:eastAsia="en-GB"/>
        </w:rPr>
        <w:t xml:space="preserve"> </w:t>
      </w:r>
      <w:r w:rsidRPr="008C1753">
        <w:rPr>
          <w:rFonts w:ascii="Times New Roman" w:hAnsi="Times New Roman" w:cs="Times New Roman"/>
          <w:color w:val="212529"/>
          <w:sz w:val="20"/>
          <w:szCs w:val="20"/>
          <w:lang w:eastAsia="en-GB"/>
        </w:rPr>
        <w:t>&lt;https://www.ons.gov.uk/peoplepopulationandcommunity/householdcharacteristics/homeinternetandsocialmediausage/adhocs/007401socialnetworkingbyagegroup2011to2017&gt;</w:t>
      </w:r>
      <w:r w:rsidRPr="008C1753">
        <w:rPr>
          <w:rFonts w:ascii="Times New Roman" w:hAnsi="Times New Roman" w:cs="Times New Roman"/>
          <w:color w:val="212529"/>
          <w:sz w:val="20"/>
          <w:szCs w:val="20"/>
          <w:shd w:val="clear" w:color="auto" w:fill="FFFFFF"/>
          <w:lang w:eastAsia="en-GB"/>
        </w:rPr>
        <w:t xml:space="preserve"> </w:t>
      </w:r>
      <w:r w:rsidRPr="008C1753">
        <w:rPr>
          <w:rFonts w:ascii="Times New Roman" w:hAnsi="Times New Roman" w:cs="Times New Roman"/>
          <w:color w:val="212529"/>
          <w:sz w:val="20"/>
          <w:szCs w:val="20"/>
          <w:lang w:eastAsia="en-GB"/>
        </w:rPr>
        <w:t>accessed 6 November 2018</w:t>
      </w:r>
    </w:p>
  </w:footnote>
  <w:footnote w:id="2">
    <w:p w14:paraId="502A1675" w14:textId="7EC84638" w:rsidR="00F34CCC" w:rsidRPr="008C1753" w:rsidRDefault="00F34CCC"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Malicious Communications Act 1998, s.1</w:t>
      </w:r>
    </w:p>
  </w:footnote>
  <w:footnote w:id="3">
    <w:p w14:paraId="61C5EF55" w14:textId="17280518" w:rsidR="00701575" w:rsidRPr="008C1753" w:rsidRDefault="00701575"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Communications Act 2003, s.127</w:t>
      </w:r>
    </w:p>
  </w:footnote>
  <w:footnote w:id="4">
    <w:p w14:paraId="22694746" w14:textId="54E56213" w:rsidR="007A7D08" w:rsidRPr="008C1753" w:rsidRDefault="007A7D0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CE73F8" w:rsidRPr="008C1753">
        <w:rPr>
          <w:rFonts w:ascii="Times New Roman" w:hAnsi="Times New Roman" w:cs="Times New Roman"/>
        </w:rPr>
        <w:t>n.1</w:t>
      </w:r>
      <w:r w:rsidR="006C049C" w:rsidRPr="008C1753">
        <w:rPr>
          <w:rFonts w:ascii="Times New Roman" w:hAnsi="Times New Roman" w:cs="Times New Roman"/>
        </w:rPr>
        <w:t xml:space="preserve"> Refer back to the statistics stated in the introduction</w:t>
      </w:r>
    </w:p>
  </w:footnote>
  <w:footnote w:id="5">
    <w:p w14:paraId="0D9E6653" w14:textId="305E284D" w:rsidR="00701575" w:rsidRPr="008C1753" w:rsidRDefault="00701575"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proofErr w:type="spellStart"/>
      <w:r w:rsidRPr="008C1753">
        <w:rPr>
          <w:rFonts w:ascii="Times New Roman" w:hAnsi="Times New Roman" w:cs="Times New Roman"/>
        </w:rPr>
        <w:t>Chara</w:t>
      </w:r>
      <w:proofErr w:type="spellEnd"/>
      <w:r w:rsidRPr="008C1753">
        <w:rPr>
          <w:rFonts w:ascii="Times New Roman" w:hAnsi="Times New Roman" w:cs="Times New Roman"/>
        </w:rPr>
        <w:t xml:space="preserve"> </w:t>
      </w:r>
      <w:proofErr w:type="spellStart"/>
      <w:r w:rsidRPr="008C1753">
        <w:rPr>
          <w:rFonts w:ascii="Times New Roman" w:hAnsi="Times New Roman" w:cs="Times New Roman"/>
        </w:rPr>
        <w:t>Bakalis</w:t>
      </w:r>
      <w:proofErr w:type="spellEnd"/>
      <w:r w:rsidRPr="008C1753">
        <w:rPr>
          <w:rFonts w:ascii="Times New Roman" w:hAnsi="Times New Roman" w:cs="Times New Roman"/>
        </w:rPr>
        <w:t xml:space="preserve">, “Rethinking </w:t>
      </w:r>
      <w:proofErr w:type="spellStart"/>
      <w:r w:rsidRPr="008C1753">
        <w:rPr>
          <w:rFonts w:ascii="Times New Roman" w:hAnsi="Times New Roman" w:cs="Times New Roman"/>
        </w:rPr>
        <w:t>cyberhate</w:t>
      </w:r>
      <w:proofErr w:type="spellEnd"/>
      <w:r w:rsidRPr="008C1753">
        <w:rPr>
          <w:rFonts w:ascii="Times New Roman" w:hAnsi="Times New Roman" w:cs="Times New Roman"/>
        </w:rPr>
        <w:t xml:space="preserve"> laws” (2017)</w:t>
      </w:r>
      <w:r w:rsidR="00FA6BFF">
        <w:rPr>
          <w:rFonts w:ascii="Times New Roman" w:hAnsi="Times New Roman" w:cs="Times New Roman"/>
        </w:rPr>
        <w:t xml:space="preserve"> </w:t>
      </w:r>
      <w:r w:rsidR="00FA6BFF" w:rsidRPr="008C1753">
        <w:rPr>
          <w:rFonts w:ascii="Times New Roman" w:hAnsi="Times New Roman" w:cs="Times New Roman"/>
        </w:rPr>
        <w:t xml:space="preserve">27(1) </w:t>
      </w:r>
      <w:r w:rsidRPr="008C1753">
        <w:rPr>
          <w:rFonts w:ascii="Times New Roman" w:hAnsi="Times New Roman" w:cs="Times New Roman"/>
        </w:rPr>
        <w:t xml:space="preserve"> Information &amp; Communications Technology Law</w:t>
      </w:r>
      <w:r w:rsidR="003E0E7B" w:rsidRPr="008C1753">
        <w:rPr>
          <w:rFonts w:ascii="Times New Roman" w:hAnsi="Times New Roman" w:cs="Times New Roman"/>
        </w:rPr>
        <w:t xml:space="preserve"> </w:t>
      </w:r>
      <w:r w:rsidR="003D771D" w:rsidRPr="008C1753">
        <w:rPr>
          <w:rFonts w:ascii="Times New Roman" w:hAnsi="Times New Roman" w:cs="Times New Roman"/>
        </w:rPr>
        <w:t>86-110</w:t>
      </w:r>
    </w:p>
  </w:footnote>
  <w:footnote w:id="6">
    <w:p w14:paraId="741540B5" w14:textId="15FB24C7" w:rsidR="006350FA" w:rsidRPr="008C1753" w:rsidRDefault="006350FA" w:rsidP="008C1753">
      <w:pPr>
        <w:jc w:val="both"/>
        <w:rPr>
          <w:rFonts w:ascii="Times New Roman" w:eastAsia="Times New Roman" w:hAnsi="Times New Roman" w:cs="Times New Roman"/>
          <w:sz w:val="20"/>
          <w:szCs w:val="20"/>
        </w:rPr>
      </w:pPr>
      <w:r w:rsidRPr="008C1753">
        <w:rPr>
          <w:rStyle w:val="FootnoteReference"/>
          <w:rFonts w:ascii="Times New Roman" w:hAnsi="Times New Roman" w:cs="Times New Roman"/>
          <w:sz w:val="20"/>
          <w:szCs w:val="20"/>
        </w:rPr>
        <w:footnoteRef/>
      </w:r>
      <w:r w:rsidRPr="008C1753">
        <w:rPr>
          <w:rFonts w:ascii="Times New Roman" w:hAnsi="Times New Roman" w:cs="Times New Roman"/>
          <w:sz w:val="20"/>
          <w:szCs w:val="20"/>
        </w:rPr>
        <w:t xml:space="preserve"> </w:t>
      </w:r>
      <w:r w:rsidRPr="008C1753">
        <w:rPr>
          <w:rFonts w:ascii="Times New Roman" w:eastAsia="Times New Roman" w:hAnsi="Times New Roman" w:cs="Times New Roman"/>
          <w:color w:val="212529"/>
          <w:sz w:val="20"/>
          <w:szCs w:val="20"/>
        </w:rPr>
        <w:t xml:space="preserve">Alexandra-Maria </w:t>
      </w:r>
      <w:proofErr w:type="spellStart"/>
      <w:r w:rsidRPr="008C1753">
        <w:rPr>
          <w:rFonts w:ascii="Times New Roman" w:eastAsia="Times New Roman" w:hAnsi="Times New Roman" w:cs="Times New Roman"/>
          <w:color w:val="212529"/>
          <w:sz w:val="20"/>
          <w:szCs w:val="20"/>
        </w:rPr>
        <w:t>Eugenicos</w:t>
      </w:r>
      <w:proofErr w:type="spellEnd"/>
      <w:r w:rsidRPr="008C1753">
        <w:rPr>
          <w:rFonts w:ascii="Times New Roman" w:eastAsia="Times New Roman" w:hAnsi="Times New Roman" w:cs="Times New Roman"/>
          <w:color w:val="212529"/>
          <w:sz w:val="20"/>
          <w:szCs w:val="20"/>
        </w:rPr>
        <w:t>,</w:t>
      </w:r>
      <w:r w:rsidRPr="008C1753">
        <w:rPr>
          <w:rFonts w:ascii="Times New Roman" w:eastAsia="Times New Roman" w:hAnsi="Times New Roman" w:cs="Times New Roman"/>
          <w:color w:val="212529"/>
          <w:sz w:val="20"/>
          <w:szCs w:val="20"/>
          <w:shd w:val="clear" w:color="auto" w:fill="FFFFFF"/>
        </w:rPr>
        <w:t> </w:t>
      </w:r>
      <w:r w:rsidRPr="008C1753">
        <w:rPr>
          <w:rFonts w:ascii="Times New Roman" w:eastAsia="Times New Roman" w:hAnsi="Times New Roman" w:cs="Times New Roman"/>
          <w:color w:val="212529"/>
          <w:sz w:val="20"/>
          <w:szCs w:val="20"/>
        </w:rPr>
        <w:t xml:space="preserve">'Should we reform the Offences </w:t>
      </w:r>
      <w:proofErr w:type="gramStart"/>
      <w:r w:rsidRPr="008C1753">
        <w:rPr>
          <w:rFonts w:ascii="Times New Roman" w:eastAsia="Times New Roman" w:hAnsi="Times New Roman" w:cs="Times New Roman"/>
          <w:color w:val="212529"/>
          <w:sz w:val="20"/>
          <w:szCs w:val="20"/>
        </w:rPr>
        <w:t>Against</w:t>
      </w:r>
      <w:proofErr w:type="gramEnd"/>
      <w:r w:rsidRPr="008C1753">
        <w:rPr>
          <w:rFonts w:ascii="Times New Roman" w:eastAsia="Times New Roman" w:hAnsi="Times New Roman" w:cs="Times New Roman"/>
          <w:color w:val="212529"/>
          <w:sz w:val="20"/>
          <w:szCs w:val="20"/>
        </w:rPr>
        <w:t xml:space="preserve"> the Person Act 1861?'</w:t>
      </w:r>
      <w:r w:rsidRPr="008C1753">
        <w:rPr>
          <w:rFonts w:ascii="Times New Roman" w:eastAsia="Times New Roman" w:hAnsi="Times New Roman" w:cs="Times New Roman"/>
          <w:color w:val="212529"/>
          <w:sz w:val="20"/>
          <w:szCs w:val="20"/>
          <w:shd w:val="clear" w:color="auto" w:fill="FFFFFF"/>
        </w:rPr>
        <w:t> </w:t>
      </w:r>
      <w:r w:rsidR="00FA6BFF">
        <w:rPr>
          <w:rFonts w:ascii="Times New Roman" w:eastAsia="Times New Roman" w:hAnsi="Times New Roman" w:cs="Times New Roman"/>
          <w:color w:val="212529"/>
          <w:sz w:val="20"/>
          <w:szCs w:val="20"/>
        </w:rPr>
        <w:t>(2017)</w:t>
      </w:r>
      <w:r w:rsidRPr="008C1753">
        <w:rPr>
          <w:rFonts w:ascii="Times New Roman" w:eastAsia="Times New Roman" w:hAnsi="Times New Roman" w:cs="Times New Roman"/>
          <w:color w:val="212529"/>
          <w:sz w:val="20"/>
          <w:szCs w:val="20"/>
          <w:shd w:val="clear" w:color="auto" w:fill="FFFFFF"/>
        </w:rPr>
        <w:t> </w:t>
      </w:r>
      <w:r w:rsidRPr="008C1753">
        <w:rPr>
          <w:rFonts w:ascii="Times New Roman" w:eastAsia="Times New Roman" w:hAnsi="Times New Roman" w:cs="Times New Roman"/>
          <w:color w:val="212529"/>
          <w:sz w:val="20"/>
          <w:szCs w:val="20"/>
        </w:rPr>
        <w:t>81(1)</w:t>
      </w:r>
      <w:r w:rsidR="00FA6BFF">
        <w:rPr>
          <w:rFonts w:ascii="Times New Roman" w:eastAsia="Times New Roman" w:hAnsi="Times New Roman" w:cs="Times New Roman"/>
          <w:color w:val="212529"/>
          <w:sz w:val="20"/>
          <w:szCs w:val="20"/>
        </w:rPr>
        <w:t xml:space="preserve"> </w:t>
      </w:r>
      <w:r w:rsidRPr="008C1753">
        <w:rPr>
          <w:rFonts w:ascii="Times New Roman" w:eastAsia="Times New Roman" w:hAnsi="Times New Roman" w:cs="Times New Roman"/>
          <w:color w:val="212529"/>
          <w:sz w:val="20"/>
          <w:szCs w:val="20"/>
        </w:rPr>
        <w:t>Journal of Criminal Law</w:t>
      </w:r>
    </w:p>
  </w:footnote>
  <w:footnote w:id="7">
    <w:p w14:paraId="6705393A" w14:textId="167BC6A1" w:rsidR="00A41915" w:rsidRPr="008C1753" w:rsidRDefault="00A41915"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750E31" w:rsidRPr="008C1753">
        <w:rPr>
          <w:rFonts w:ascii="Times New Roman" w:hAnsi="Times New Roman" w:cs="Times New Roman"/>
        </w:rPr>
        <w:t>Crown Prosecution Service, “Social Media – Guidelines on prosecuting cases involving communications sent via social media” (revised 21 August 2018)</w:t>
      </w:r>
    </w:p>
  </w:footnote>
  <w:footnote w:id="8">
    <w:p w14:paraId="4944D528" w14:textId="0FCC346C" w:rsidR="003935E3" w:rsidRPr="008C1753" w:rsidRDefault="003935E3"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DE06CA" w:rsidRPr="008C1753">
        <w:rPr>
          <w:rFonts w:ascii="Times New Roman" w:hAnsi="Times New Roman" w:cs="Times New Roman"/>
        </w:rPr>
        <w:t>Connolly v DPP (2007) EWHC 237;</w:t>
      </w:r>
      <w:r w:rsidR="00320D77" w:rsidRPr="008C1753">
        <w:rPr>
          <w:rFonts w:ascii="Times New Roman" w:hAnsi="Times New Roman" w:cs="Times New Roman"/>
        </w:rPr>
        <w:t xml:space="preserve"> (2008) 1 W.L.R. 276</w:t>
      </w:r>
    </w:p>
  </w:footnote>
  <w:footnote w:id="9">
    <w:p w14:paraId="42441D1C" w14:textId="0D7E3E5A" w:rsidR="00832B1D" w:rsidRPr="008C1753" w:rsidRDefault="00832B1D"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CE73F8" w:rsidRPr="008C1753">
        <w:rPr>
          <w:rFonts w:ascii="Times New Roman" w:hAnsi="Times New Roman" w:cs="Times New Roman"/>
        </w:rPr>
        <w:t xml:space="preserve"> Ibid [3]</w:t>
      </w:r>
    </w:p>
  </w:footnote>
  <w:footnote w:id="10">
    <w:p w14:paraId="4C234BBC" w14:textId="60869590" w:rsidR="0037296A" w:rsidRPr="008C1753" w:rsidRDefault="0037296A"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Laura Bliss, “The crown Prosecution guidelines and grossly offensive comments: an analysis”</w:t>
      </w:r>
      <w:r w:rsidR="0027764C" w:rsidRPr="008C1753">
        <w:rPr>
          <w:rFonts w:ascii="Times New Roman" w:hAnsi="Times New Roman" w:cs="Times New Roman"/>
        </w:rPr>
        <w:t xml:space="preserve"> (2017)</w:t>
      </w:r>
      <w:r w:rsidR="00FA6BFF">
        <w:rPr>
          <w:rFonts w:ascii="Times New Roman" w:hAnsi="Times New Roman" w:cs="Times New Roman"/>
        </w:rPr>
        <w:t xml:space="preserve"> </w:t>
      </w:r>
      <w:r w:rsidR="00FA6BFF" w:rsidRPr="008C1753">
        <w:rPr>
          <w:rFonts w:ascii="Times New Roman" w:hAnsi="Times New Roman" w:cs="Times New Roman"/>
        </w:rPr>
        <w:t>9(2</w:t>
      </w:r>
      <w:r w:rsidR="00FA6BFF">
        <w:rPr>
          <w:rFonts w:ascii="Times New Roman" w:hAnsi="Times New Roman" w:cs="Times New Roman"/>
        </w:rPr>
        <w:t>)</w:t>
      </w:r>
      <w:r w:rsidR="0027764C" w:rsidRPr="008C1753">
        <w:rPr>
          <w:rFonts w:ascii="Times New Roman" w:hAnsi="Times New Roman" w:cs="Times New Roman"/>
        </w:rPr>
        <w:t xml:space="preserve"> </w:t>
      </w:r>
      <w:r w:rsidR="009B33E0" w:rsidRPr="008C1753">
        <w:rPr>
          <w:rFonts w:ascii="Times New Roman" w:hAnsi="Times New Roman" w:cs="Times New Roman"/>
        </w:rPr>
        <w:t>J</w:t>
      </w:r>
      <w:r w:rsidR="0027764C" w:rsidRPr="008C1753">
        <w:rPr>
          <w:rFonts w:ascii="Times New Roman" w:hAnsi="Times New Roman" w:cs="Times New Roman"/>
        </w:rPr>
        <w:t>ournal of Media Law 173-188</w:t>
      </w:r>
    </w:p>
  </w:footnote>
  <w:footnote w:id="11">
    <w:p w14:paraId="0AE97321" w14:textId="682790A4" w:rsidR="0037296A" w:rsidRPr="008C1753" w:rsidRDefault="0037296A"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27764C" w:rsidRPr="008C1753">
        <w:rPr>
          <w:rFonts w:ascii="Times New Roman" w:hAnsi="Times New Roman" w:cs="Times New Roman"/>
        </w:rPr>
        <w:t>ibid</w:t>
      </w:r>
    </w:p>
  </w:footnote>
  <w:footnote w:id="12">
    <w:p w14:paraId="162BF6C1" w14:textId="05E00938" w:rsidR="00CE73F8" w:rsidRPr="008C1753" w:rsidRDefault="00CE73F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Pr="008C1753">
        <w:rPr>
          <w:rFonts w:ascii="Times New Roman" w:hAnsi="Times New Roman" w:cs="Times New Roman"/>
          <w:i/>
        </w:rPr>
        <w:t xml:space="preserve">R v Woods </w:t>
      </w:r>
      <w:r w:rsidRPr="008C1753">
        <w:rPr>
          <w:rFonts w:ascii="Times New Roman" w:hAnsi="Times New Roman" w:cs="Times New Roman"/>
        </w:rPr>
        <w:t>case stated</w:t>
      </w:r>
      <w:r w:rsidR="00C25D91" w:rsidRPr="008C1753">
        <w:rPr>
          <w:rFonts w:ascii="Times New Roman" w:hAnsi="Times New Roman" w:cs="Times New Roman"/>
        </w:rPr>
        <w:t xml:space="preserve"> in n.10</w:t>
      </w:r>
    </w:p>
  </w:footnote>
  <w:footnote w:id="13">
    <w:p w14:paraId="669425F9" w14:textId="335EAA10" w:rsidR="006C049C" w:rsidRPr="008C1753" w:rsidRDefault="006C049C"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Pr="008C1753">
        <w:rPr>
          <w:rFonts w:ascii="Times New Roman" w:hAnsi="Times New Roman" w:cs="Times New Roman"/>
          <w:i/>
        </w:rPr>
        <w:t>R v Thomas</w:t>
      </w:r>
      <w:r w:rsidRPr="008C1753">
        <w:rPr>
          <w:rFonts w:ascii="Times New Roman" w:hAnsi="Times New Roman" w:cs="Times New Roman"/>
        </w:rPr>
        <w:t xml:space="preserve"> case stated in n.10</w:t>
      </w:r>
    </w:p>
  </w:footnote>
  <w:footnote w:id="14">
    <w:p w14:paraId="76EAF426" w14:textId="7A22ABAC" w:rsidR="009C5808" w:rsidRPr="008C1753" w:rsidRDefault="009C580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C25D91" w:rsidRPr="008C1753">
        <w:rPr>
          <w:rFonts w:ascii="Times New Roman" w:hAnsi="Times New Roman" w:cs="Times New Roman"/>
        </w:rPr>
        <w:t>n.10</w:t>
      </w:r>
    </w:p>
  </w:footnote>
  <w:footnote w:id="15">
    <w:p w14:paraId="1F5E50B1" w14:textId="68A57ECC" w:rsidR="009C5808" w:rsidRPr="008C1753" w:rsidRDefault="009C580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Kat Shields and Katie Jones, “Tackling online trolling”</w:t>
      </w:r>
      <w:r w:rsidR="00750E31" w:rsidRPr="008C1753">
        <w:rPr>
          <w:rFonts w:ascii="Times New Roman" w:hAnsi="Times New Roman" w:cs="Times New Roman"/>
        </w:rPr>
        <w:t xml:space="preserve"> </w:t>
      </w:r>
      <w:r w:rsidRPr="008C1753">
        <w:rPr>
          <w:rFonts w:ascii="Times New Roman" w:hAnsi="Times New Roman" w:cs="Times New Roman"/>
        </w:rPr>
        <w:t>(2016)</w:t>
      </w:r>
      <w:r w:rsidR="00FA6BFF">
        <w:rPr>
          <w:rFonts w:ascii="Times New Roman" w:hAnsi="Times New Roman" w:cs="Times New Roman"/>
        </w:rPr>
        <w:t xml:space="preserve"> </w:t>
      </w:r>
      <w:r w:rsidR="00FA6BFF" w:rsidRPr="008C1753">
        <w:rPr>
          <w:rFonts w:ascii="Times New Roman" w:hAnsi="Times New Roman" w:cs="Times New Roman"/>
        </w:rPr>
        <w:t>180(37)</w:t>
      </w:r>
      <w:r w:rsidRPr="008C1753">
        <w:rPr>
          <w:rFonts w:ascii="Times New Roman" w:hAnsi="Times New Roman" w:cs="Times New Roman"/>
        </w:rPr>
        <w:t xml:space="preserve"> Criminal Law &amp; Justice Weekly </w:t>
      </w:r>
    </w:p>
  </w:footnote>
  <w:footnote w:id="16">
    <w:p w14:paraId="4DF99769" w14:textId="3B2D2A1E" w:rsidR="003E26DC" w:rsidRPr="008C1753" w:rsidRDefault="003E26DC" w:rsidP="008C1753">
      <w:pPr>
        <w:jc w:val="both"/>
        <w:rPr>
          <w:rFonts w:ascii="Times New Roman" w:eastAsia="Times New Roman" w:hAnsi="Times New Roman" w:cs="Times New Roman"/>
          <w:color w:val="212529"/>
          <w:sz w:val="20"/>
          <w:szCs w:val="20"/>
        </w:rPr>
      </w:pPr>
      <w:r w:rsidRPr="008C1753">
        <w:rPr>
          <w:rStyle w:val="FootnoteReference"/>
          <w:rFonts w:ascii="Times New Roman" w:hAnsi="Times New Roman" w:cs="Times New Roman"/>
          <w:sz w:val="20"/>
          <w:szCs w:val="20"/>
        </w:rPr>
        <w:footnoteRef/>
      </w:r>
      <w:r w:rsidRPr="008C1753">
        <w:rPr>
          <w:rFonts w:ascii="Times New Roman" w:hAnsi="Times New Roman" w:cs="Times New Roman"/>
          <w:sz w:val="20"/>
          <w:szCs w:val="20"/>
        </w:rPr>
        <w:t xml:space="preserve"> </w:t>
      </w:r>
      <w:r w:rsidRPr="008C1753">
        <w:rPr>
          <w:rFonts w:ascii="Times New Roman" w:eastAsia="Times New Roman" w:hAnsi="Times New Roman" w:cs="Times New Roman"/>
          <w:color w:val="212529"/>
          <w:sz w:val="20"/>
          <w:szCs w:val="20"/>
        </w:rPr>
        <w:t>Mary Arden,</w:t>
      </w:r>
      <w:r w:rsidRPr="008C1753">
        <w:rPr>
          <w:rFonts w:ascii="Times New Roman" w:eastAsia="Times New Roman" w:hAnsi="Times New Roman" w:cs="Times New Roman"/>
          <w:color w:val="212529"/>
          <w:sz w:val="20"/>
          <w:szCs w:val="20"/>
          <w:shd w:val="clear" w:color="auto" w:fill="FFFFFF"/>
        </w:rPr>
        <w:t> </w:t>
      </w:r>
      <w:r w:rsidRPr="008C1753">
        <w:rPr>
          <w:rFonts w:ascii="Times New Roman" w:eastAsia="Times New Roman" w:hAnsi="Times New Roman" w:cs="Times New Roman"/>
          <w:color w:val="212529"/>
          <w:sz w:val="20"/>
          <w:szCs w:val="20"/>
        </w:rPr>
        <w:t>'Criminal law at the crossroads: the impact of human rights from the Law Commission's perspective and the need for a code'</w:t>
      </w:r>
      <w:r w:rsidRPr="008C1753">
        <w:rPr>
          <w:rFonts w:ascii="Times New Roman" w:eastAsia="Times New Roman" w:hAnsi="Times New Roman" w:cs="Times New Roman"/>
          <w:color w:val="212529"/>
          <w:sz w:val="20"/>
          <w:szCs w:val="20"/>
          <w:shd w:val="clear" w:color="auto" w:fill="FFFFFF"/>
        </w:rPr>
        <w:t> </w:t>
      </w:r>
      <w:r w:rsidR="00FA6BFF">
        <w:rPr>
          <w:rFonts w:ascii="Times New Roman" w:eastAsia="Times New Roman" w:hAnsi="Times New Roman" w:cs="Times New Roman"/>
          <w:color w:val="212529"/>
          <w:sz w:val="20"/>
          <w:szCs w:val="20"/>
        </w:rPr>
        <w:t>(1999]</w:t>
      </w:r>
      <w:r w:rsidRPr="008C1753">
        <w:rPr>
          <w:rFonts w:ascii="Times New Roman" w:eastAsia="Times New Roman" w:hAnsi="Times New Roman" w:cs="Times New Roman"/>
          <w:color w:val="212529"/>
          <w:sz w:val="20"/>
          <w:szCs w:val="20"/>
          <w:shd w:val="clear" w:color="auto" w:fill="FFFFFF"/>
        </w:rPr>
        <w:t> </w:t>
      </w:r>
      <w:r w:rsidRPr="008C1753">
        <w:rPr>
          <w:rFonts w:ascii="Times New Roman" w:eastAsia="Times New Roman" w:hAnsi="Times New Roman" w:cs="Times New Roman"/>
          <w:color w:val="212529"/>
          <w:sz w:val="20"/>
          <w:szCs w:val="20"/>
        </w:rPr>
        <w:t>1(1)</w:t>
      </w:r>
      <w:r w:rsidRPr="008C1753">
        <w:rPr>
          <w:rFonts w:ascii="Times New Roman" w:eastAsia="Times New Roman" w:hAnsi="Times New Roman" w:cs="Times New Roman"/>
          <w:color w:val="212529"/>
          <w:sz w:val="20"/>
          <w:szCs w:val="20"/>
          <w:shd w:val="clear" w:color="auto" w:fill="FFFFFF"/>
        </w:rPr>
        <w:t> </w:t>
      </w:r>
      <w:r w:rsidRPr="008C1753">
        <w:rPr>
          <w:rFonts w:ascii="Times New Roman" w:eastAsia="Times New Roman" w:hAnsi="Times New Roman" w:cs="Times New Roman"/>
          <w:color w:val="212529"/>
          <w:sz w:val="20"/>
          <w:szCs w:val="20"/>
        </w:rPr>
        <w:t>Criminal Law Review</w:t>
      </w:r>
    </w:p>
  </w:footnote>
  <w:footnote w:id="17">
    <w:p w14:paraId="41387B66" w14:textId="61921507" w:rsidR="007C3A22" w:rsidRPr="008C1753" w:rsidRDefault="007C3A22"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690EBD" w:rsidRPr="008C1753">
        <w:rPr>
          <w:rFonts w:ascii="Times New Roman" w:hAnsi="Times New Roman" w:cs="Times New Roman"/>
        </w:rPr>
        <w:t>Law Commission, “Abusive and Offensive Online Communications: A Scoping Report” (Law Com No 381, 2018) 113, para 5.95</w:t>
      </w:r>
    </w:p>
  </w:footnote>
  <w:footnote w:id="18">
    <w:p w14:paraId="6831FF08" w14:textId="1BB3881D"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Pr="008C1753">
        <w:rPr>
          <w:rFonts w:ascii="Times New Roman" w:hAnsi="Times New Roman" w:cs="Times New Roman"/>
          <w:i/>
        </w:rPr>
        <w:t xml:space="preserve">R v </w:t>
      </w:r>
      <w:proofErr w:type="spellStart"/>
      <w:r w:rsidRPr="008C1753">
        <w:rPr>
          <w:rFonts w:ascii="Times New Roman" w:hAnsi="Times New Roman" w:cs="Times New Roman"/>
          <w:i/>
        </w:rPr>
        <w:t>Nedrick</w:t>
      </w:r>
      <w:proofErr w:type="spellEnd"/>
      <w:r w:rsidR="00FA6BFF">
        <w:rPr>
          <w:rFonts w:ascii="Times New Roman" w:hAnsi="Times New Roman" w:cs="Times New Roman"/>
        </w:rPr>
        <w:t xml:space="preserve"> [1986] 3 All ER 47 -</w:t>
      </w:r>
      <w:r w:rsidRPr="008C1753">
        <w:rPr>
          <w:rFonts w:ascii="Times New Roman" w:hAnsi="Times New Roman" w:cs="Times New Roman"/>
        </w:rPr>
        <w:t xml:space="preserve"> Case was used to provide a test for a distinction between direct intent and oblique intent</w:t>
      </w:r>
    </w:p>
  </w:footnote>
  <w:footnote w:id="19">
    <w:p w14:paraId="6111B4D7" w14:textId="6D9087D6"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T</w:t>
      </w:r>
      <w:r w:rsidR="00CE73F8" w:rsidRPr="008C1753">
        <w:rPr>
          <w:rFonts w:ascii="Times New Roman" w:hAnsi="Times New Roman" w:cs="Times New Roman"/>
        </w:rPr>
        <w:t>ony</w:t>
      </w:r>
      <w:r w:rsidRPr="008C1753">
        <w:rPr>
          <w:rFonts w:ascii="Times New Roman" w:hAnsi="Times New Roman" w:cs="Times New Roman"/>
        </w:rPr>
        <w:t xml:space="preserve"> Storey, Unlocking Criminal </w:t>
      </w:r>
      <w:r w:rsidR="00CE73F8" w:rsidRPr="008C1753">
        <w:rPr>
          <w:rFonts w:ascii="Times New Roman" w:hAnsi="Times New Roman" w:cs="Times New Roman"/>
        </w:rPr>
        <w:t xml:space="preserve">Law (6 </w:t>
      </w:r>
      <w:proofErr w:type="spellStart"/>
      <w:r w:rsidR="00CE73F8" w:rsidRPr="008C1753">
        <w:rPr>
          <w:rFonts w:ascii="Times New Roman" w:hAnsi="Times New Roman" w:cs="Times New Roman"/>
        </w:rPr>
        <w:t>edn</w:t>
      </w:r>
      <w:proofErr w:type="spellEnd"/>
      <w:r w:rsidR="00CE73F8" w:rsidRPr="008C1753">
        <w:rPr>
          <w:rFonts w:ascii="Times New Roman" w:hAnsi="Times New Roman" w:cs="Times New Roman"/>
        </w:rPr>
        <w:t>, Routledge 2017) 62</w:t>
      </w:r>
    </w:p>
  </w:footnote>
  <w:footnote w:id="20">
    <w:p w14:paraId="7F537B43" w14:textId="387D5D1F"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CE73F8" w:rsidRPr="008C1753">
        <w:rPr>
          <w:rFonts w:ascii="Times New Roman" w:hAnsi="Times New Roman" w:cs="Times New Roman"/>
        </w:rPr>
        <w:t xml:space="preserve"> Ibid 67</w:t>
      </w:r>
    </w:p>
  </w:footnote>
  <w:footnote w:id="21">
    <w:p w14:paraId="40ACAD67" w14:textId="0361920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CE73F8" w:rsidRPr="008C1753">
        <w:rPr>
          <w:rFonts w:ascii="Times New Roman" w:hAnsi="Times New Roman" w:cs="Times New Roman"/>
        </w:rPr>
        <w:t xml:space="preserve"> Ibid 296</w:t>
      </w:r>
    </w:p>
  </w:footnote>
  <w:footnote w:id="22">
    <w:p w14:paraId="3B853032" w14:textId="34BEF7D4"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CE73F8" w:rsidRPr="008C1753">
        <w:rPr>
          <w:rFonts w:ascii="Times New Roman" w:hAnsi="Times New Roman" w:cs="Times New Roman"/>
        </w:rPr>
        <w:t>n.2</w:t>
      </w:r>
    </w:p>
  </w:footnote>
  <w:footnote w:id="23">
    <w:p w14:paraId="7F96B797" w14:textId="4103ECD1" w:rsidR="00FD5488" w:rsidRPr="008C1753" w:rsidRDefault="00FD5488" w:rsidP="008C1753">
      <w:pPr>
        <w:pStyle w:val="FootnoteText"/>
        <w:jc w:val="both"/>
        <w:rPr>
          <w:rFonts w:ascii="Times New Roman" w:hAnsi="Times New Roman" w:cs="Times New Roman"/>
          <w:lang w:val="en-US"/>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CE73F8" w:rsidRPr="008C1753">
        <w:rPr>
          <w:rFonts w:ascii="Times New Roman" w:hAnsi="Times New Roman" w:cs="Times New Roman"/>
        </w:rPr>
        <w:t>n.3</w:t>
      </w:r>
    </w:p>
  </w:footnote>
  <w:footnote w:id="24">
    <w:p w14:paraId="540E1C5B" w14:textId="6F6D7C1E" w:rsidR="00FD5488" w:rsidRPr="008C1753" w:rsidRDefault="00FD5488" w:rsidP="008C1753">
      <w:pPr>
        <w:pStyle w:val="FootnoteText"/>
        <w:jc w:val="both"/>
        <w:rPr>
          <w:rFonts w:ascii="Times New Roman" w:hAnsi="Times New Roman" w:cs="Times New Roman"/>
          <w:lang w:val="en-US"/>
        </w:rPr>
      </w:pPr>
      <w:r w:rsidRPr="008C1753">
        <w:rPr>
          <w:rStyle w:val="FootnoteReference"/>
          <w:rFonts w:ascii="Times New Roman" w:hAnsi="Times New Roman" w:cs="Times New Roman"/>
        </w:rPr>
        <w:footnoteRef/>
      </w:r>
      <w:r w:rsidR="00CE73F8" w:rsidRPr="008C1753">
        <w:rPr>
          <w:rFonts w:ascii="Times New Roman" w:hAnsi="Times New Roman" w:cs="Times New Roman"/>
        </w:rPr>
        <w:t xml:space="preserve"> n.2</w:t>
      </w:r>
      <w:r w:rsidRPr="008C1753">
        <w:rPr>
          <w:rFonts w:ascii="Times New Roman" w:hAnsi="Times New Roman" w:cs="Times New Roman"/>
        </w:rPr>
        <w:t xml:space="preserve"> [s.1(1b)]</w:t>
      </w:r>
    </w:p>
  </w:footnote>
  <w:footnote w:id="25">
    <w:p w14:paraId="3C62BCAE" w14:textId="7777777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Pr="008C1753">
        <w:rPr>
          <w:rFonts w:ascii="Times New Roman" w:hAnsi="Times New Roman" w:cs="Times New Roman"/>
          <w:i/>
        </w:rPr>
        <w:t>DDP v Chambers</w:t>
      </w:r>
      <w:r w:rsidRPr="008C1753">
        <w:rPr>
          <w:rFonts w:ascii="Times New Roman" w:hAnsi="Times New Roman" w:cs="Times New Roman"/>
        </w:rPr>
        <w:t xml:space="preserve"> [2012] EWHC 2157</w:t>
      </w:r>
    </w:p>
  </w:footnote>
  <w:footnote w:id="26">
    <w:p w14:paraId="32ED2F16" w14:textId="154C076F"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53652D" w:rsidRPr="008C1753">
        <w:rPr>
          <w:rFonts w:ascii="Times New Roman" w:hAnsi="Times New Roman" w:cs="Times New Roman"/>
        </w:rPr>
        <w:t xml:space="preserve"> i</w:t>
      </w:r>
      <w:r w:rsidRPr="008C1753">
        <w:rPr>
          <w:rFonts w:ascii="Times New Roman" w:hAnsi="Times New Roman" w:cs="Times New Roman"/>
        </w:rPr>
        <w:t>bid [36]</w:t>
      </w:r>
    </w:p>
  </w:footnote>
  <w:footnote w:id="27">
    <w:p w14:paraId="50342A98" w14:textId="7777777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Pr="008C1753">
        <w:rPr>
          <w:rFonts w:ascii="Times New Roman" w:hAnsi="Times New Roman" w:cs="Times New Roman"/>
          <w:i/>
        </w:rPr>
        <w:t>Collins v DDP</w:t>
      </w:r>
      <w:r w:rsidRPr="008C1753">
        <w:rPr>
          <w:rFonts w:ascii="Times New Roman" w:hAnsi="Times New Roman" w:cs="Times New Roman"/>
        </w:rPr>
        <w:t xml:space="preserve"> [2006] 1 WLR 2223 (UKHL) [26]</w:t>
      </w:r>
    </w:p>
  </w:footnote>
  <w:footnote w:id="28">
    <w:p w14:paraId="7C52ED9F" w14:textId="7777777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Q Hunt, 'Striking a balance - Malicious Communication Act and free speech' (Criminal Defence Barrister Blog, 28 May) &lt;http://www.bestcriminaldefencebarrister.co.uk/criminal-defence-barrister-blog/2018/striking-a-balance-malicious-communication-act-and-free-speech.aspx&gt; accessed 14 November 2018 </w:t>
      </w:r>
    </w:p>
  </w:footnote>
  <w:footnote w:id="29">
    <w:p w14:paraId="1472D5E4" w14:textId="289DCCE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CE73F8" w:rsidRPr="008C1753">
        <w:rPr>
          <w:rFonts w:ascii="Times New Roman" w:hAnsi="Times New Roman" w:cs="Times New Roman"/>
        </w:rPr>
        <w:t xml:space="preserve"> n.2</w:t>
      </w:r>
    </w:p>
  </w:footnote>
  <w:footnote w:id="30">
    <w:p w14:paraId="0ADFA002" w14:textId="4080851E" w:rsidR="00B46409" w:rsidRPr="008C1753" w:rsidRDefault="00B46409" w:rsidP="008C1753">
      <w:pPr>
        <w:pStyle w:val="FootnoteText"/>
        <w:jc w:val="both"/>
        <w:rPr>
          <w:rFonts w:ascii="Times New Roman" w:hAnsi="Times New Roman" w:cs="Times New Roman"/>
          <w:lang w:val="en-US"/>
        </w:rPr>
      </w:pPr>
      <w:r w:rsidRPr="008C1753">
        <w:rPr>
          <w:rStyle w:val="FootnoteReference"/>
          <w:rFonts w:ascii="Times New Roman" w:hAnsi="Times New Roman" w:cs="Times New Roman"/>
        </w:rPr>
        <w:footnoteRef/>
      </w:r>
      <w:r w:rsidR="006C049C" w:rsidRPr="008C1753">
        <w:rPr>
          <w:rFonts w:ascii="Times New Roman" w:hAnsi="Times New Roman" w:cs="Times New Roman"/>
        </w:rPr>
        <w:t xml:space="preserve"> n.27</w:t>
      </w:r>
    </w:p>
  </w:footnote>
  <w:footnote w:id="31">
    <w:p w14:paraId="2F976F5B" w14:textId="46298320"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6C049C" w:rsidRPr="008C1753">
        <w:rPr>
          <w:rFonts w:ascii="Times New Roman" w:hAnsi="Times New Roman" w:cs="Times New Roman"/>
        </w:rPr>
        <w:t xml:space="preserve"> n.25</w:t>
      </w:r>
      <w:r w:rsidRPr="008C1753">
        <w:rPr>
          <w:rFonts w:ascii="Times New Roman" w:hAnsi="Times New Roman" w:cs="Times New Roman"/>
        </w:rPr>
        <w:t xml:space="preserve"> [36]</w:t>
      </w:r>
    </w:p>
  </w:footnote>
  <w:footnote w:id="32">
    <w:p w14:paraId="5F97BFDD" w14:textId="0457AA8F"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CE73F8" w:rsidRPr="008C1753">
        <w:rPr>
          <w:rFonts w:ascii="Times New Roman" w:hAnsi="Times New Roman" w:cs="Times New Roman"/>
        </w:rPr>
        <w:t>n.5</w:t>
      </w:r>
    </w:p>
  </w:footnote>
  <w:footnote w:id="33">
    <w:p w14:paraId="5BA857E7" w14:textId="7777777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ibid</w:t>
      </w:r>
    </w:p>
  </w:footnote>
  <w:footnote w:id="34">
    <w:p w14:paraId="644111DB" w14:textId="591B087D"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CE73F8" w:rsidRPr="008C1753">
        <w:rPr>
          <w:rFonts w:ascii="Times New Roman" w:hAnsi="Times New Roman" w:cs="Times New Roman"/>
        </w:rPr>
        <w:t xml:space="preserve"> n.2</w:t>
      </w:r>
    </w:p>
  </w:footnote>
  <w:footnote w:id="35">
    <w:p w14:paraId="2F56EFB4" w14:textId="040B833A"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D Watkins, 'Where do I stand? Assessing children's c</w:t>
      </w:r>
      <w:r w:rsidR="00FA6BFF">
        <w:rPr>
          <w:rFonts w:ascii="Times New Roman" w:hAnsi="Times New Roman" w:cs="Times New Roman"/>
        </w:rPr>
        <w:t>apabilities under English law' (2016)</w:t>
      </w:r>
      <w:r w:rsidRPr="008C1753">
        <w:rPr>
          <w:rFonts w:ascii="Times New Roman" w:hAnsi="Times New Roman" w:cs="Times New Roman"/>
        </w:rPr>
        <w:t xml:space="preserve"> 28(1) Child and Family Law Quarterly 25-44 </w:t>
      </w:r>
    </w:p>
  </w:footnote>
  <w:footnote w:id="36">
    <w:p w14:paraId="64B675E8" w14:textId="6127B75A" w:rsidR="00D76A9F" w:rsidRPr="008C1753" w:rsidRDefault="00D76A9F" w:rsidP="008C1753">
      <w:pPr>
        <w:pStyle w:val="FootnoteText"/>
        <w:jc w:val="both"/>
        <w:rPr>
          <w:rFonts w:ascii="Times New Roman" w:hAnsi="Times New Roman" w:cs="Times New Roman"/>
        </w:rPr>
      </w:pPr>
      <w:r w:rsidRPr="008C1753">
        <w:rPr>
          <w:rStyle w:val="FootnoteReference"/>
          <w:rFonts w:ascii="Times New Roman" w:hAnsi="Times New Roman" w:cs="Times New Roman"/>
          <w:i/>
        </w:rPr>
        <w:footnoteRef/>
      </w:r>
      <w:r w:rsidRPr="008C1753">
        <w:rPr>
          <w:rFonts w:ascii="Times New Roman" w:hAnsi="Times New Roman" w:cs="Times New Roman"/>
          <w:i/>
        </w:rPr>
        <w:t xml:space="preserve"> Logan v. Sycamore Community School Bd. Of Educ</w:t>
      </w:r>
      <w:r w:rsidRPr="008C1753">
        <w:rPr>
          <w:rFonts w:ascii="Times New Roman" w:hAnsi="Times New Roman" w:cs="Times New Roman"/>
        </w:rPr>
        <w:t>., 780 F.</w:t>
      </w:r>
      <w:r w:rsidR="00FA6BFF">
        <w:rPr>
          <w:rFonts w:ascii="Times New Roman" w:hAnsi="Times New Roman" w:cs="Times New Roman"/>
        </w:rPr>
        <w:t xml:space="preserve"> Supp. 2d 594 (S.D. Ohio 2011) - f</w:t>
      </w:r>
      <w:r w:rsidRPr="008C1753">
        <w:rPr>
          <w:rFonts w:ascii="Times New Roman" w:hAnsi="Times New Roman" w:cs="Times New Roman"/>
        </w:rPr>
        <w:t xml:space="preserve">acts of this case can be found in the </w:t>
      </w:r>
      <w:r w:rsidR="000825C9" w:rsidRPr="008C1753">
        <w:rPr>
          <w:rFonts w:ascii="Times New Roman" w:hAnsi="Times New Roman" w:cs="Times New Roman"/>
        </w:rPr>
        <w:t>judgement</w:t>
      </w:r>
    </w:p>
  </w:footnote>
  <w:footnote w:id="37">
    <w:p w14:paraId="086C66F6" w14:textId="7777777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Substitute House Bill Number 116, 129</w:t>
      </w:r>
      <w:r w:rsidRPr="008C1753">
        <w:rPr>
          <w:rFonts w:ascii="Times New Roman" w:hAnsi="Times New Roman" w:cs="Times New Roman"/>
          <w:vertAlign w:val="superscript"/>
        </w:rPr>
        <w:t>th</w:t>
      </w:r>
      <w:r w:rsidRPr="008C1753">
        <w:rPr>
          <w:rFonts w:ascii="Times New Roman" w:hAnsi="Times New Roman" w:cs="Times New Roman"/>
        </w:rPr>
        <w:t xml:space="preserve"> General Assembly, (Ohio 2012)</w:t>
      </w:r>
    </w:p>
  </w:footnote>
  <w:footnote w:id="38">
    <w:p w14:paraId="6BAA515C" w14:textId="03DFD945" w:rsidR="00CB3833" w:rsidRPr="008C1753" w:rsidRDefault="00CB3833"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1C71B3" w:rsidRPr="008C1753">
        <w:rPr>
          <w:rFonts w:ascii="Times New Roman" w:hAnsi="Times New Roman" w:cs="Times New Roman"/>
        </w:rPr>
        <w:t xml:space="preserve"> Convention for the Protection of Human Ri</w:t>
      </w:r>
      <w:r w:rsidR="00FA6BFF">
        <w:rPr>
          <w:rFonts w:ascii="Times New Roman" w:hAnsi="Times New Roman" w:cs="Times New Roman"/>
        </w:rPr>
        <w:t>ghts and Fundamental Freedoms, A</w:t>
      </w:r>
      <w:r w:rsidR="001C71B3" w:rsidRPr="008C1753">
        <w:rPr>
          <w:rFonts w:ascii="Times New Roman" w:hAnsi="Times New Roman" w:cs="Times New Roman"/>
        </w:rPr>
        <w:t>rticle 10</w:t>
      </w:r>
    </w:p>
  </w:footnote>
  <w:footnote w:id="39">
    <w:p w14:paraId="16B8C060" w14:textId="52DD539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Huma</w:t>
      </w:r>
      <w:r w:rsidR="001125FF">
        <w:rPr>
          <w:rFonts w:ascii="Times New Roman" w:hAnsi="Times New Roman" w:cs="Times New Roman"/>
        </w:rPr>
        <w:t xml:space="preserve">n Rights Act 1998 Article 10 s </w:t>
      </w:r>
      <w:r w:rsidRPr="008C1753">
        <w:rPr>
          <w:rFonts w:ascii="Times New Roman" w:hAnsi="Times New Roman" w:cs="Times New Roman"/>
        </w:rPr>
        <w:t>1</w:t>
      </w:r>
    </w:p>
  </w:footnote>
  <w:footnote w:id="40">
    <w:p w14:paraId="48B8DAEC" w14:textId="36BC4C2B"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00CE73F8" w:rsidRPr="008C1753">
        <w:rPr>
          <w:rFonts w:ascii="Times New Roman" w:hAnsi="Times New Roman" w:cs="Times New Roman"/>
        </w:rPr>
        <w:t xml:space="preserve"> i</w:t>
      </w:r>
      <w:r w:rsidRPr="008C1753">
        <w:rPr>
          <w:rFonts w:ascii="Times New Roman" w:hAnsi="Times New Roman" w:cs="Times New Roman"/>
        </w:rPr>
        <w:t>bid ss.2</w:t>
      </w:r>
    </w:p>
  </w:footnote>
  <w:footnote w:id="41">
    <w:p w14:paraId="76B3647A" w14:textId="7777777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Pr="008C1753">
        <w:rPr>
          <w:rFonts w:ascii="Times New Roman" w:hAnsi="Times New Roman" w:cs="Times New Roman"/>
          <w:color w:val="212529"/>
        </w:rPr>
        <w:t>'Freedom of expression Legal Framework' (</w:t>
      </w:r>
      <w:r w:rsidRPr="008C1753">
        <w:rPr>
          <w:rStyle w:val="Emphasis"/>
          <w:rFonts w:ascii="Times New Roman" w:hAnsi="Times New Roman" w:cs="Times New Roman"/>
          <w:color w:val="212529"/>
        </w:rPr>
        <w:t>Equality and Human Rights Commission</w:t>
      </w:r>
      <w:r w:rsidRPr="008C1753">
        <w:rPr>
          <w:rFonts w:ascii="Times New Roman" w:hAnsi="Times New Roman" w:cs="Times New Roman"/>
          <w:color w:val="212529"/>
        </w:rPr>
        <w:t>, 25th May 2016) &lt;https://www.equalityhumanrights.com/sites/default/files/20150318_foe_legal_framework_guidance_revised_final.pdf&gt; accessed 14 November 2018</w:t>
      </w:r>
    </w:p>
  </w:footnote>
  <w:footnote w:id="42">
    <w:p w14:paraId="5B2286DE" w14:textId="193A45AA"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CE73F8" w:rsidRPr="008C1753">
        <w:rPr>
          <w:rFonts w:ascii="Times New Roman" w:hAnsi="Times New Roman" w:cs="Times New Roman"/>
        </w:rPr>
        <w:t>n.2</w:t>
      </w:r>
    </w:p>
  </w:footnote>
  <w:footnote w:id="43">
    <w:p w14:paraId="6473FC3D" w14:textId="402BB811" w:rsidR="00D817B8" w:rsidRPr="008C1753" w:rsidRDefault="00D817B8" w:rsidP="008C1753">
      <w:pPr>
        <w:pStyle w:val="FootnoteText"/>
        <w:jc w:val="both"/>
        <w:rPr>
          <w:rFonts w:ascii="Times New Roman" w:hAnsi="Times New Roman" w:cs="Times New Roman"/>
        </w:rPr>
      </w:pPr>
      <w:r w:rsidRPr="008C1753">
        <w:rPr>
          <w:rStyle w:val="FootnoteReference"/>
          <w:rFonts w:ascii="Times New Roman" w:hAnsi="Times New Roman" w:cs="Times New Roman"/>
          <w:i/>
        </w:rPr>
        <w:footnoteRef/>
      </w:r>
      <w:r w:rsidRPr="008C1753">
        <w:rPr>
          <w:rFonts w:ascii="Times New Roman" w:hAnsi="Times New Roman" w:cs="Times New Roman"/>
          <w:i/>
        </w:rPr>
        <w:t xml:space="preserve">R v </w:t>
      </w:r>
      <w:proofErr w:type="spellStart"/>
      <w:r w:rsidRPr="008C1753">
        <w:rPr>
          <w:rFonts w:ascii="Times New Roman" w:hAnsi="Times New Roman" w:cs="Times New Roman"/>
          <w:i/>
        </w:rPr>
        <w:t>Chabloz</w:t>
      </w:r>
      <w:proofErr w:type="spellEnd"/>
      <w:r w:rsidRPr="008C1753">
        <w:rPr>
          <w:rFonts w:ascii="Times New Roman" w:hAnsi="Times New Roman" w:cs="Times New Roman"/>
        </w:rPr>
        <w:t xml:space="preserve"> case cited in article “Social Media; ‘A theme park just for fools’ – R v Alison </w:t>
      </w:r>
      <w:proofErr w:type="spellStart"/>
      <w:r w:rsidRPr="008C1753">
        <w:rPr>
          <w:rFonts w:ascii="Times New Roman" w:hAnsi="Times New Roman" w:cs="Times New Roman"/>
        </w:rPr>
        <w:t>Chabloz</w:t>
      </w:r>
      <w:proofErr w:type="spellEnd"/>
      <w:r w:rsidRPr="008C1753">
        <w:rPr>
          <w:rFonts w:ascii="Times New Roman" w:hAnsi="Times New Roman" w:cs="Times New Roman"/>
        </w:rPr>
        <w:t>”</w:t>
      </w:r>
      <w:r w:rsidR="006C049C" w:rsidRPr="008C1753">
        <w:rPr>
          <w:rFonts w:ascii="Times New Roman" w:hAnsi="Times New Roman" w:cs="Times New Roman"/>
        </w:rPr>
        <w:t xml:space="preserve"> (n.44)</w:t>
      </w:r>
    </w:p>
  </w:footnote>
  <w:footnote w:id="44">
    <w:p w14:paraId="569CD7E0" w14:textId="77777777"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Laura Bliss, “Social Media; ‘A theme park just for fools’ – R v Alison </w:t>
      </w:r>
      <w:proofErr w:type="spellStart"/>
      <w:r w:rsidRPr="008C1753">
        <w:rPr>
          <w:rFonts w:ascii="Times New Roman" w:hAnsi="Times New Roman" w:cs="Times New Roman"/>
        </w:rPr>
        <w:t>Chabloz</w:t>
      </w:r>
      <w:proofErr w:type="spellEnd"/>
      <w:r w:rsidRPr="008C1753">
        <w:rPr>
          <w:rFonts w:ascii="Times New Roman" w:hAnsi="Times New Roman" w:cs="Times New Roman"/>
        </w:rPr>
        <w:t>” (2018) J. Crim. L. 82(4), 301-304</w:t>
      </w:r>
    </w:p>
  </w:footnote>
  <w:footnote w:id="45">
    <w:p w14:paraId="5A12956C" w14:textId="075D3E07" w:rsidR="00FD5488" w:rsidRPr="008C1753" w:rsidRDefault="00FD5488" w:rsidP="008C1753">
      <w:pPr>
        <w:pStyle w:val="FootnoteText"/>
        <w:jc w:val="both"/>
        <w:rPr>
          <w:rFonts w:ascii="Times New Roman" w:hAnsi="Times New Roman" w:cs="Times New Roman"/>
          <w:color w:val="000000"/>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6C049C" w:rsidRPr="008C1753">
        <w:rPr>
          <w:rFonts w:ascii="Times New Roman" w:hAnsi="Times New Roman" w:cs="Times New Roman"/>
          <w:color w:val="000000"/>
        </w:rPr>
        <w:t>n.27</w:t>
      </w:r>
      <w:r w:rsidRPr="008C1753">
        <w:rPr>
          <w:rFonts w:ascii="Times New Roman" w:hAnsi="Times New Roman" w:cs="Times New Roman"/>
          <w:color w:val="000000"/>
        </w:rPr>
        <w:t xml:space="preserve"> </w:t>
      </w:r>
      <w:r w:rsidR="00CB3833" w:rsidRPr="008C1753">
        <w:rPr>
          <w:rFonts w:ascii="Times New Roman" w:hAnsi="Times New Roman" w:cs="Times New Roman"/>
          <w:color w:val="000000"/>
        </w:rPr>
        <w:t>[</w:t>
      </w:r>
      <w:r w:rsidRPr="008C1753">
        <w:rPr>
          <w:rFonts w:ascii="Times New Roman" w:hAnsi="Times New Roman" w:cs="Times New Roman"/>
          <w:color w:val="000000"/>
        </w:rPr>
        <w:t>40</w:t>
      </w:r>
      <w:r w:rsidR="00CB3833" w:rsidRPr="008C1753">
        <w:rPr>
          <w:rFonts w:ascii="Times New Roman" w:hAnsi="Times New Roman" w:cs="Times New Roman"/>
          <w:color w:val="000000"/>
        </w:rPr>
        <w:t>]</w:t>
      </w:r>
    </w:p>
  </w:footnote>
  <w:footnote w:id="46">
    <w:p w14:paraId="15FB4367" w14:textId="0E62E9E3" w:rsidR="00FD5488" w:rsidRPr="008C1753" w:rsidRDefault="00FD5488" w:rsidP="008C1753">
      <w:pPr>
        <w:pStyle w:val="FootnoteText"/>
        <w:jc w:val="both"/>
        <w:rPr>
          <w:rFonts w:ascii="Times New Roman" w:hAnsi="Times New Roman" w:cs="Times New Roman"/>
        </w:rPr>
      </w:pPr>
      <w:r w:rsidRPr="008C1753">
        <w:rPr>
          <w:rStyle w:val="FootnoteReference"/>
          <w:rFonts w:ascii="Times New Roman" w:hAnsi="Times New Roman" w:cs="Times New Roman"/>
        </w:rPr>
        <w:footnoteRef/>
      </w:r>
      <w:r w:rsidRPr="008C1753">
        <w:rPr>
          <w:rFonts w:ascii="Times New Roman" w:hAnsi="Times New Roman" w:cs="Times New Roman"/>
        </w:rPr>
        <w:t xml:space="preserve"> </w:t>
      </w:r>
      <w:r w:rsidR="00CE73F8" w:rsidRPr="008C1753">
        <w:rPr>
          <w:rFonts w:ascii="Times New Roman" w:hAnsi="Times New Roman" w:cs="Times New Roman"/>
        </w:rPr>
        <w:t>n.5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A9DB" w14:textId="03121D4A" w:rsidR="006846CF" w:rsidRPr="00E00358" w:rsidRDefault="00E00358" w:rsidP="00E00358">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FBDB" w14:textId="53913C39" w:rsidR="006846CF" w:rsidRPr="006846CF" w:rsidRDefault="006846CF" w:rsidP="006846CF">
    <w:pPr>
      <w:jc w:val="center"/>
      <w:rPr>
        <w:rFonts w:ascii="Times New Roman" w:hAnsi="Times New Roman" w:cs="Times New Roman"/>
        <w:b/>
        <w:i/>
      </w:rPr>
    </w:pPr>
    <w:r w:rsidRPr="00BE42DA">
      <w:rPr>
        <w:rFonts w:ascii="Times New Roman" w:hAnsi="Times New Roman" w:cs="Times New Roman"/>
        <w:b/>
        <w:i/>
      </w:rPr>
      <w:t>Volume 2 Issue 1 Student Journal of Professional Practice and Academic Research</w:t>
    </w:r>
  </w:p>
  <w:p w14:paraId="0CF10657" w14:textId="77777777" w:rsidR="006846CF" w:rsidRDefault="00684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D4F2D"/>
    <w:multiLevelType w:val="hybridMultilevel"/>
    <w:tmpl w:val="6486F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0A"/>
    <w:rsid w:val="000411F7"/>
    <w:rsid w:val="000704B9"/>
    <w:rsid w:val="000825C9"/>
    <w:rsid w:val="000B2703"/>
    <w:rsid w:val="000D4295"/>
    <w:rsid w:val="00101F74"/>
    <w:rsid w:val="001125FF"/>
    <w:rsid w:val="0014249D"/>
    <w:rsid w:val="001A24B4"/>
    <w:rsid w:val="001C71B3"/>
    <w:rsid w:val="001E69C6"/>
    <w:rsid w:val="002338DB"/>
    <w:rsid w:val="00276261"/>
    <w:rsid w:val="0027764C"/>
    <w:rsid w:val="00286368"/>
    <w:rsid w:val="002F05E4"/>
    <w:rsid w:val="002F4952"/>
    <w:rsid w:val="002F731E"/>
    <w:rsid w:val="00320D77"/>
    <w:rsid w:val="00363BD5"/>
    <w:rsid w:val="0037296A"/>
    <w:rsid w:val="003935E3"/>
    <w:rsid w:val="0039417C"/>
    <w:rsid w:val="003D0E2F"/>
    <w:rsid w:val="003D771D"/>
    <w:rsid w:val="003E0E7B"/>
    <w:rsid w:val="003E26DC"/>
    <w:rsid w:val="003F370B"/>
    <w:rsid w:val="004D6067"/>
    <w:rsid w:val="005232EE"/>
    <w:rsid w:val="00524B5E"/>
    <w:rsid w:val="0053652D"/>
    <w:rsid w:val="005411E4"/>
    <w:rsid w:val="00557132"/>
    <w:rsid w:val="00561678"/>
    <w:rsid w:val="0058706D"/>
    <w:rsid w:val="005B1B82"/>
    <w:rsid w:val="00602664"/>
    <w:rsid w:val="00604853"/>
    <w:rsid w:val="006350FA"/>
    <w:rsid w:val="0067196D"/>
    <w:rsid w:val="00683139"/>
    <w:rsid w:val="006846CF"/>
    <w:rsid w:val="00686225"/>
    <w:rsid w:val="00690EBD"/>
    <w:rsid w:val="006C049C"/>
    <w:rsid w:val="006E712E"/>
    <w:rsid w:val="006F26E1"/>
    <w:rsid w:val="006F54B9"/>
    <w:rsid w:val="00701575"/>
    <w:rsid w:val="00750E31"/>
    <w:rsid w:val="00763185"/>
    <w:rsid w:val="007A7D08"/>
    <w:rsid w:val="007C3A22"/>
    <w:rsid w:val="007F4AA6"/>
    <w:rsid w:val="00832B1D"/>
    <w:rsid w:val="0087495A"/>
    <w:rsid w:val="0088477E"/>
    <w:rsid w:val="008C1753"/>
    <w:rsid w:val="008F7255"/>
    <w:rsid w:val="009048E8"/>
    <w:rsid w:val="009B33E0"/>
    <w:rsid w:val="009C5808"/>
    <w:rsid w:val="00A41915"/>
    <w:rsid w:val="00AB15EA"/>
    <w:rsid w:val="00AB4B7D"/>
    <w:rsid w:val="00AF6598"/>
    <w:rsid w:val="00B46409"/>
    <w:rsid w:val="00BA396E"/>
    <w:rsid w:val="00C25D91"/>
    <w:rsid w:val="00C953F2"/>
    <w:rsid w:val="00CB3833"/>
    <w:rsid w:val="00CC533C"/>
    <w:rsid w:val="00CE73F8"/>
    <w:rsid w:val="00CE75FF"/>
    <w:rsid w:val="00D3028A"/>
    <w:rsid w:val="00D313AC"/>
    <w:rsid w:val="00D5465E"/>
    <w:rsid w:val="00D76A9F"/>
    <w:rsid w:val="00D817B8"/>
    <w:rsid w:val="00DD51D5"/>
    <w:rsid w:val="00DE06CA"/>
    <w:rsid w:val="00E00358"/>
    <w:rsid w:val="00E6386B"/>
    <w:rsid w:val="00EE4F5A"/>
    <w:rsid w:val="00EF460C"/>
    <w:rsid w:val="00F13B71"/>
    <w:rsid w:val="00F249CE"/>
    <w:rsid w:val="00F34CCC"/>
    <w:rsid w:val="00F45EC4"/>
    <w:rsid w:val="00F75E7F"/>
    <w:rsid w:val="00F83987"/>
    <w:rsid w:val="00FA6BFF"/>
    <w:rsid w:val="00FB1DD0"/>
    <w:rsid w:val="00FD5488"/>
    <w:rsid w:val="00FD7B3F"/>
    <w:rsid w:val="00FE05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3A9C3"/>
  <w14:defaultImageDpi w14:val="32767"/>
  <w15:chartTrackingRefBased/>
  <w15:docId w15:val="{2F90754C-E120-754E-8144-41E3FA1D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60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34CCC"/>
    <w:pPr>
      <w:tabs>
        <w:tab w:val="center" w:pos="4680"/>
        <w:tab w:val="right" w:pos="9360"/>
      </w:tabs>
    </w:pPr>
  </w:style>
  <w:style w:type="character" w:customStyle="1" w:styleId="HeaderChar">
    <w:name w:val="Header Char"/>
    <w:basedOn w:val="DefaultParagraphFont"/>
    <w:link w:val="Header"/>
    <w:uiPriority w:val="99"/>
    <w:rsid w:val="00F34CCC"/>
  </w:style>
  <w:style w:type="paragraph" w:styleId="Footer">
    <w:name w:val="footer"/>
    <w:basedOn w:val="Normal"/>
    <w:link w:val="FooterChar"/>
    <w:uiPriority w:val="99"/>
    <w:unhideWhenUsed/>
    <w:rsid w:val="00F34CCC"/>
    <w:pPr>
      <w:tabs>
        <w:tab w:val="center" w:pos="4680"/>
        <w:tab w:val="right" w:pos="9360"/>
      </w:tabs>
    </w:pPr>
  </w:style>
  <w:style w:type="character" w:customStyle="1" w:styleId="FooterChar">
    <w:name w:val="Footer Char"/>
    <w:basedOn w:val="DefaultParagraphFont"/>
    <w:link w:val="Footer"/>
    <w:uiPriority w:val="99"/>
    <w:rsid w:val="00F34CCC"/>
  </w:style>
  <w:style w:type="paragraph" w:styleId="FootnoteText">
    <w:name w:val="footnote text"/>
    <w:basedOn w:val="Normal"/>
    <w:link w:val="FootnoteTextChar"/>
    <w:uiPriority w:val="99"/>
    <w:unhideWhenUsed/>
    <w:rsid w:val="00F34CCC"/>
    <w:rPr>
      <w:sz w:val="20"/>
      <w:szCs w:val="20"/>
    </w:rPr>
  </w:style>
  <w:style w:type="character" w:customStyle="1" w:styleId="FootnoteTextChar">
    <w:name w:val="Footnote Text Char"/>
    <w:basedOn w:val="DefaultParagraphFont"/>
    <w:link w:val="FootnoteText"/>
    <w:uiPriority w:val="99"/>
    <w:rsid w:val="00F34CCC"/>
    <w:rPr>
      <w:sz w:val="20"/>
      <w:szCs w:val="20"/>
    </w:rPr>
  </w:style>
  <w:style w:type="character" w:styleId="FootnoteReference">
    <w:name w:val="footnote reference"/>
    <w:basedOn w:val="DefaultParagraphFont"/>
    <w:uiPriority w:val="99"/>
    <w:unhideWhenUsed/>
    <w:rsid w:val="00F34CCC"/>
    <w:rPr>
      <w:vertAlign w:val="superscript"/>
    </w:rPr>
  </w:style>
  <w:style w:type="character" w:styleId="Hyperlink">
    <w:name w:val="Hyperlink"/>
    <w:basedOn w:val="DefaultParagraphFont"/>
    <w:uiPriority w:val="99"/>
    <w:unhideWhenUsed/>
    <w:rsid w:val="00FD5488"/>
    <w:rPr>
      <w:color w:val="0563C1" w:themeColor="hyperlink"/>
      <w:u w:val="single"/>
    </w:rPr>
  </w:style>
  <w:style w:type="character" w:styleId="Emphasis">
    <w:name w:val="Emphasis"/>
    <w:basedOn w:val="DefaultParagraphFont"/>
    <w:uiPriority w:val="20"/>
    <w:qFormat/>
    <w:rsid w:val="00FD5488"/>
    <w:rPr>
      <w:i/>
      <w:iCs/>
    </w:rPr>
  </w:style>
  <w:style w:type="paragraph" w:styleId="ListParagraph">
    <w:name w:val="List Paragraph"/>
    <w:basedOn w:val="Normal"/>
    <w:uiPriority w:val="34"/>
    <w:qFormat/>
    <w:rsid w:val="000411F7"/>
    <w:pPr>
      <w:ind w:left="720"/>
      <w:contextualSpacing/>
    </w:pPr>
  </w:style>
  <w:style w:type="paragraph" w:styleId="NoSpacing">
    <w:name w:val="No Spacing"/>
    <w:link w:val="NoSpacingChar"/>
    <w:uiPriority w:val="1"/>
    <w:qFormat/>
    <w:rsid w:val="00C25D91"/>
    <w:rPr>
      <w:rFonts w:eastAsiaTheme="minorEastAsia"/>
      <w:sz w:val="22"/>
      <w:szCs w:val="22"/>
      <w:lang w:val="en-US"/>
    </w:rPr>
  </w:style>
  <w:style w:type="character" w:customStyle="1" w:styleId="NoSpacingChar">
    <w:name w:val="No Spacing Char"/>
    <w:basedOn w:val="DefaultParagraphFont"/>
    <w:link w:val="NoSpacing"/>
    <w:uiPriority w:val="1"/>
    <w:rsid w:val="00C25D91"/>
    <w:rPr>
      <w:rFonts w:eastAsiaTheme="minorEastAsia"/>
      <w:sz w:val="22"/>
      <w:szCs w:val="22"/>
      <w:lang w:val="en-US"/>
    </w:rPr>
  </w:style>
  <w:style w:type="character" w:styleId="FollowedHyperlink">
    <w:name w:val="FollowedHyperlink"/>
    <w:basedOn w:val="DefaultParagraphFont"/>
    <w:uiPriority w:val="99"/>
    <w:semiHidden/>
    <w:unhideWhenUsed/>
    <w:rsid w:val="008C1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5818">
      <w:bodyDiv w:val="1"/>
      <w:marLeft w:val="0"/>
      <w:marRight w:val="0"/>
      <w:marTop w:val="0"/>
      <w:marBottom w:val="0"/>
      <w:divBdr>
        <w:top w:val="none" w:sz="0" w:space="0" w:color="auto"/>
        <w:left w:val="none" w:sz="0" w:space="0" w:color="auto"/>
        <w:bottom w:val="none" w:sz="0" w:space="0" w:color="auto"/>
        <w:right w:val="none" w:sz="0" w:space="0" w:color="auto"/>
      </w:divBdr>
    </w:div>
    <w:div w:id="396590534">
      <w:bodyDiv w:val="1"/>
      <w:marLeft w:val="0"/>
      <w:marRight w:val="0"/>
      <w:marTop w:val="0"/>
      <w:marBottom w:val="0"/>
      <w:divBdr>
        <w:top w:val="none" w:sz="0" w:space="0" w:color="auto"/>
        <w:left w:val="none" w:sz="0" w:space="0" w:color="auto"/>
        <w:bottom w:val="none" w:sz="0" w:space="0" w:color="auto"/>
        <w:right w:val="none" w:sz="0" w:space="0" w:color="auto"/>
      </w:divBdr>
      <w:divsChild>
        <w:div w:id="831943148">
          <w:marLeft w:val="0"/>
          <w:marRight w:val="0"/>
          <w:marTop w:val="0"/>
          <w:marBottom w:val="0"/>
          <w:divBdr>
            <w:top w:val="none" w:sz="0" w:space="0" w:color="auto"/>
            <w:left w:val="none" w:sz="0" w:space="0" w:color="auto"/>
            <w:bottom w:val="none" w:sz="0" w:space="0" w:color="auto"/>
            <w:right w:val="none" w:sz="0" w:space="0" w:color="auto"/>
          </w:divBdr>
          <w:divsChild>
            <w:div w:id="954824211">
              <w:marLeft w:val="0"/>
              <w:marRight w:val="0"/>
              <w:marTop w:val="0"/>
              <w:marBottom w:val="0"/>
              <w:divBdr>
                <w:top w:val="none" w:sz="0" w:space="0" w:color="auto"/>
                <w:left w:val="none" w:sz="0" w:space="0" w:color="auto"/>
                <w:bottom w:val="none" w:sz="0" w:space="0" w:color="auto"/>
                <w:right w:val="none" w:sz="0" w:space="0" w:color="auto"/>
              </w:divBdr>
              <w:divsChild>
                <w:div w:id="1636327018">
                  <w:marLeft w:val="0"/>
                  <w:marRight w:val="0"/>
                  <w:marTop w:val="0"/>
                  <w:marBottom w:val="0"/>
                  <w:divBdr>
                    <w:top w:val="none" w:sz="0" w:space="0" w:color="auto"/>
                    <w:left w:val="none" w:sz="0" w:space="0" w:color="auto"/>
                    <w:bottom w:val="none" w:sz="0" w:space="0" w:color="auto"/>
                    <w:right w:val="none" w:sz="0" w:space="0" w:color="auto"/>
                  </w:divBdr>
                </w:div>
              </w:divsChild>
            </w:div>
            <w:div w:id="882256255">
              <w:marLeft w:val="0"/>
              <w:marRight w:val="0"/>
              <w:marTop w:val="0"/>
              <w:marBottom w:val="0"/>
              <w:divBdr>
                <w:top w:val="none" w:sz="0" w:space="0" w:color="auto"/>
                <w:left w:val="none" w:sz="0" w:space="0" w:color="auto"/>
                <w:bottom w:val="none" w:sz="0" w:space="0" w:color="auto"/>
                <w:right w:val="none" w:sz="0" w:space="0" w:color="auto"/>
              </w:divBdr>
              <w:divsChild>
                <w:div w:id="1359235952">
                  <w:marLeft w:val="0"/>
                  <w:marRight w:val="0"/>
                  <w:marTop w:val="0"/>
                  <w:marBottom w:val="0"/>
                  <w:divBdr>
                    <w:top w:val="none" w:sz="0" w:space="0" w:color="auto"/>
                    <w:left w:val="none" w:sz="0" w:space="0" w:color="auto"/>
                    <w:bottom w:val="none" w:sz="0" w:space="0" w:color="auto"/>
                    <w:right w:val="none" w:sz="0" w:space="0" w:color="auto"/>
                  </w:divBdr>
                </w:div>
              </w:divsChild>
            </w:div>
            <w:div w:id="960575250">
              <w:marLeft w:val="0"/>
              <w:marRight w:val="0"/>
              <w:marTop w:val="0"/>
              <w:marBottom w:val="0"/>
              <w:divBdr>
                <w:top w:val="none" w:sz="0" w:space="0" w:color="auto"/>
                <w:left w:val="none" w:sz="0" w:space="0" w:color="auto"/>
                <w:bottom w:val="none" w:sz="0" w:space="0" w:color="auto"/>
                <w:right w:val="none" w:sz="0" w:space="0" w:color="auto"/>
              </w:divBdr>
              <w:divsChild>
                <w:div w:id="142360485">
                  <w:marLeft w:val="0"/>
                  <w:marRight w:val="0"/>
                  <w:marTop w:val="0"/>
                  <w:marBottom w:val="0"/>
                  <w:divBdr>
                    <w:top w:val="none" w:sz="0" w:space="0" w:color="auto"/>
                    <w:left w:val="none" w:sz="0" w:space="0" w:color="auto"/>
                    <w:bottom w:val="none" w:sz="0" w:space="0" w:color="auto"/>
                    <w:right w:val="none" w:sz="0" w:space="0" w:color="auto"/>
                  </w:divBdr>
                </w:div>
              </w:divsChild>
            </w:div>
            <w:div w:id="391972385">
              <w:marLeft w:val="0"/>
              <w:marRight w:val="0"/>
              <w:marTop w:val="0"/>
              <w:marBottom w:val="0"/>
              <w:divBdr>
                <w:top w:val="none" w:sz="0" w:space="0" w:color="auto"/>
                <w:left w:val="none" w:sz="0" w:space="0" w:color="auto"/>
                <w:bottom w:val="none" w:sz="0" w:space="0" w:color="auto"/>
                <w:right w:val="none" w:sz="0" w:space="0" w:color="auto"/>
              </w:divBdr>
              <w:divsChild>
                <w:div w:id="1461345063">
                  <w:marLeft w:val="0"/>
                  <w:marRight w:val="0"/>
                  <w:marTop w:val="0"/>
                  <w:marBottom w:val="0"/>
                  <w:divBdr>
                    <w:top w:val="none" w:sz="0" w:space="0" w:color="auto"/>
                    <w:left w:val="none" w:sz="0" w:space="0" w:color="auto"/>
                    <w:bottom w:val="none" w:sz="0" w:space="0" w:color="auto"/>
                    <w:right w:val="none" w:sz="0" w:space="0" w:color="auto"/>
                  </w:divBdr>
                </w:div>
              </w:divsChild>
            </w:div>
            <w:div w:id="1778795032">
              <w:marLeft w:val="0"/>
              <w:marRight w:val="0"/>
              <w:marTop w:val="0"/>
              <w:marBottom w:val="0"/>
              <w:divBdr>
                <w:top w:val="none" w:sz="0" w:space="0" w:color="auto"/>
                <w:left w:val="none" w:sz="0" w:space="0" w:color="auto"/>
                <w:bottom w:val="none" w:sz="0" w:space="0" w:color="auto"/>
                <w:right w:val="none" w:sz="0" w:space="0" w:color="auto"/>
              </w:divBdr>
              <w:divsChild>
                <w:div w:id="972709419">
                  <w:marLeft w:val="0"/>
                  <w:marRight w:val="0"/>
                  <w:marTop w:val="0"/>
                  <w:marBottom w:val="0"/>
                  <w:divBdr>
                    <w:top w:val="none" w:sz="0" w:space="0" w:color="auto"/>
                    <w:left w:val="none" w:sz="0" w:space="0" w:color="auto"/>
                    <w:bottom w:val="none" w:sz="0" w:space="0" w:color="auto"/>
                    <w:right w:val="none" w:sz="0" w:space="0" w:color="auto"/>
                  </w:divBdr>
                </w:div>
                <w:div w:id="1114246494">
                  <w:marLeft w:val="0"/>
                  <w:marRight w:val="0"/>
                  <w:marTop w:val="0"/>
                  <w:marBottom w:val="0"/>
                  <w:divBdr>
                    <w:top w:val="none" w:sz="0" w:space="0" w:color="auto"/>
                    <w:left w:val="none" w:sz="0" w:space="0" w:color="auto"/>
                    <w:bottom w:val="none" w:sz="0" w:space="0" w:color="auto"/>
                    <w:right w:val="none" w:sz="0" w:space="0" w:color="auto"/>
                  </w:divBdr>
                </w:div>
              </w:divsChild>
            </w:div>
            <w:div w:id="1984845287">
              <w:marLeft w:val="0"/>
              <w:marRight w:val="0"/>
              <w:marTop w:val="0"/>
              <w:marBottom w:val="0"/>
              <w:divBdr>
                <w:top w:val="none" w:sz="0" w:space="0" w:color="auto"/>
                <w:left w:val="none" w:sz="0" w:space="0" w:color="auto"/>
                <w:bottom w:val="none" w:sz="0" w:space="0" w:color="auto"/>
                <w:right w:val="none" w:sz="0" w:space="0" w:color="auto"/>
              </w:divBdr>
              <w:divsChild>
                <w:div w:id="979841934">
                  <w:marLeft w:val="0"/>
                  <w:marRight w:val="0"/>
                  <w:marTop w:val="0"/>
                  <w:marBottom w:val="0"/>
                  <w:divBdr>
                    <w:top w:val="none" w:sz="0" w:space="0" w:color="auto"/>
                    <w:left w:val="none" w:sz="0" w:space="0" w:color="auto"/>
                    <w:bottom w:val="none" w:sz="0" w:space="0" w:color="auto"/>
                    <w:right w:val="none" w:sz="0" w:space="0" w:color="auto"/>
                  </w:divBdr>
                </w:div>
              </w:divsChild>
            </w:div>
            <w:div w:id="1667443683">
              <w:marLeft w:val="0"/>
              <w:marRight w:val="0"/>
              <w:marTop w:val="0"/>
              <w:marBottom w:val="0"/>
              <w:divBdr>
                <w:top w:val="none" w:sz="0" w:space="0" w:color="auto"/>
                <w:left w:val="none" w:sz="0" w:space="0" w:color="auto"/>
                <w:bottom w:val="none" w:sz="0" w:space="0" w:color="auto"/>
                <w:right w:val="none" w:sz="0" w:space="0" w:color="auto"/>
              </w:divBdr>
              <w:divsChild>
                <w:div w:id="8103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80131">
      <w:bodyDiv w:val="1"/>
      <w:marLeft w:val="0"/>
      <w:marRight w:val="0"/>
      <w:marTop w:val="0"/>
      <w:marBottom w:val="0"/>
      <w:divBdr>
        <w:top w:val="none" w:sz="0" w:space="0" w:color="auto"/>
        <w:left w:val="none" w:sz="0" w:space="0" w:color="auto"/>
        <w:bottom w:val="none" w:sz="0" w:space="0" w:color="auto"/>
        <w:right w:val="none" w:sz="0" w:space="0" w:color="auto"/>
      </w:divBdr>
    </w:div>
    <w:div w:id="700252545">
      <w:bodyDiv w:val="1"/>
      <w:marLeft w:val="0"/>
      <w:marRight w:val="0"/>
      <w:marTop w:val="0"/>
      <w:marBottom w:val="0"/>
      <w:divBdr>
        <w:top w:val="none" w:sz="0" w:space="0" w:color="auto"/>
        <w:left w:val="none" w:sz="0" w:space="0" w:color="auto"/>
        <w:bottom w:val="none" w:sz="0" w:space="0" w:color="auto"/>
        <w:right w:val="none" w:sz="0" w:space="0" w:color="auto"/>
      </w:divBdr>
    </w:div>
    <w:div w:id="968633028">
      <w:bodyDiv w:val="1"/>
      <w:marLeft w:val="0"/>
      <w:marRight w:val="0"/>
      <w:marTop w:val="0"/>
      <w:marBottom w:val="0"/>
      <w:divBdr>
        <w:top w:val="none" w:sz="0" w:space="0" w:color="auto"/>
        <w:left w:val="none" w:sz="0" w:space="0" w:color="auto"/>
        <w:bottom w:val="none" w:sz="0" w:space="0" w:color="auto"/>
        <w:right w:val="none" w:sz="0" w:space="0" w:color="auto"/>
      </w:divBdr>
    </w:div>
    <w:div w:id="193589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estcriminaldefencebarrister.co.uk/criminal-defence-barrister-blog/2018/striking-a-balance-malicious-communication-act-and-free-speech.aspx" TargetMode="External"/><Relationship Id="rId4" Type="http://schemas.openxmlformats.org/officeDocument/2006/relationships/styles" Target="styles.xml"/><Relationship Id="rId9" Type="http://schemas.openxmlformats.org/officeDocument/2006/relationships/hyperlink" Target="https://www.equalityhumanrights.com/sites/default/files/20150318_foe_legal_framework_guidance_revised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3AF3E0-C0B7-4C1A-9107-DF1B8338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2844</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How can the law in England and Wales be reformed in order to regulate offensive online communications with respect to the right of freedom of expression?</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the law in England and Wales be reformed in order to regulate offensive online communications with respect to the right of freedom of expression?</dc:title>
  <dc:subject>Word count: 2496</dc:subject>
  <dc:creator>estelle chambers, Laura Carr, Charlotte Bushby, Rebecca Everson, Sarah Curran, Jaskaran Chatha</dc:creator>
  <cp:keywords/>
  <dc:description/>
  <cp:lastModifiedBy>Paul Burns</cp:lastModifiedBy>
  <cp:revision>6</cp:revision>
  <dcterms:created xsi:type="dcterms:W3CDTF">2019-01-31T17:52:00Z</dcterms:created>
  <dcterms:modified xsi:type="dcterms:W3CDTF">2019-02-01T17:50:00Z</dcterms:modified>
</cp:coreProperties>
</file>