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4C7D75" w14:textId="049D4D7A" w:rsidR="007706AC" w:rsidRDefault="007706AC" w:rsidP="005169B8">
      <w:pPr>
        <w:spacing w:line="360" w:lineRule="auto"/>
        <w:jc w:val="center"/>
        <w:rPr>
          <w:b/>
          <w:sz w:val="24"/>
          <w:szCs w:val="24"/>
        </w:rPr>
      </w:pPr>
      <w:r w:rsidRPr="005169B8">
        <w:rPr>
          <w:b/>
          <w:sz w:val="24"/>
          <w:szCs w:val="24"/>
        </w:rPr>
        <w:t>The law relating to Proscription of terrorist organisations as set out in the Terrorism Act 2000</w:t>
      </w:r>
    </w:p>
    <w:p w14:paraId="21B2067B" w14:textId="38D1D007" w:rsidR="005169B8" w:rsidRDefault="005169B8" w:rsidP="005169B8">
      <w:pPr>
        <w:spacing w:line="360" w:lineRule="auto"/>
        <w:jc w:val="center"/>
        <w:rPr>
          <w:i/>
          <w:sz w:val="24"/>
          <w:szCs w:val="24"/>
        </w:rPr>
      </w:pPr>
      <w:r>
        <w:rPr>
          <w:i/>
          <w:sz w:val="24"/>
          <w:szCs w:val="24"/>
        </w:rPr>
        <w:t>Jacob Tron, Northumbria University</w:t>
      </w:r>
    </w:p>
    <w:p w14:paraId="642678C7" w14:textId="77777777" w:rsidR="005169B8" w:rsidRPr="005169B8" w:rsidRDefault="005169B8" w:rsidP="005169B8">
      <w:pPr>
        <w:spacing w:line="360" w:lineRule="auto"/>
        <w:jc w:val="center"/>
        <w:rPr>
          <w:i/>
          <w:sz w:val="24"/>
          <w:szCs w:val="24"/>
        </w:rPr>
      </w:pPr>
    </w:p>
    <w:p w14:paraId="3F3BEBC9" w14:textId="13E05081" w:rsidR="002D774B" w:rsidRDefault="00803C5A" w:rsidP="005169B8">
      <w:pPr>
        <w:spacing w:line="360" w:lineRule="auto"/>
        <w:jc w:val="both"/>
        <w:rPr>
          <w:sz w:val="24"/>
          <w:szCs w:val="24"/>
        </w:rPr>
      </w:pPr>
      <w:r w:rsidRPr="005169B8">
        <w:rPr>
          <w:sz w:val="24"/>
          <w:szCs w:val="24"/>
        </w:rPr>
        <w:t xml:space="preserve"> </w:t>
      </w:r>
      <w:r w:rsidR="002D774B" w:rsidRPr="005169B8">
        <w:rPr>
          <w:sz w:val="24"/>
          <w:szCs w:val="24"/>
        </w:rPr>
        <w:t>“</w:t>
      </w:r>
      <w:r w:rsidR="002D774B" w:rsidRPr="005169B8">
        <w:rPr>
          <w:i/>
          <w:sz w:val="24"/>
          <w:szCs w:val="24"/>
        </w:rPr>
        <w:t xml:space="preserve">One man’s terrorist </w:t>
      </w:r>
      <w:r w:rsidR="00261ACD">
        <w:rPr>
          <w:i/>
          <w:sz w:val="24"/>
          <w:szCs w:val="24"/>
        </w:rPr>
        <w:t xml:space="preserve">is </w:t>
      </w:r>
      <w:r w:rsidR="002D774B" w:rsidRPr="005169B8">
        <w:rPr>
          <w:i/>
          <w:sz w:val="24"/>
          <w:szCs w:val="24"/>
        </w:rPr>
        <w:t>another man’s freedom fighter”-</w:t>
      </w:r>
      <w:r w:rsidR="002D774B" w:rsidRPr="005169B8">
        <w:rPr>
          <w:sz w:val="24"/>
          <w:szCs w:val="24"/>
        </w:rPr>
        <w:t xml:space="preserve"> How well does the current law relating to proscription of terrorist organisations protect the public and does this law encroach on an </w:t>
      </w:r>
      <w:r w:rsidR="0008723B" w:rsidRPr="005169B8">
        <w:rPr>
          <w:sz w:val="24"/>
          <w:szCs w:val="24"/>
        </w:rPr>
        <w:t>individual’s</w:t>
      </w:r>
      <w:r w:rsidR="002D774B" w:rsidRPr="005169B8">
        <w:rPr>
          <w:sz w:val="24"/>
          <w:szCs w:val="24"/>
        </w:rPr>
        <w:t xml:space="preserve"> Human Rights?</w:t>
      </w:r>
    </w:p>
    <w:p w14:paraId="63591652" w14:textId="77777777" w:rsidR="005169B8" w:rsidRPr="005169B8" w:rsidRDefault="005169B8" w:rsidP="005169B8">
      <w:pPr>
        <w:spacing w:line="360" w:lineRule="auto"/>
        <w:jc w:val="both"/>
        <w:rPr>
          <w:i/>
          <w:sz w:val="24"/>
          <w:szCs w:val="24"/>
        </w:rPr>
      </w:pPr>
    </w:p>
    <w:p w14:paraId="5CC9D3D2" w14:textId="6AB2DBEF" w:rsidR="00CD5642" w:rsidRPr="005169B8" w:rsidRDefault="00852DDE" w:rsidP="005169B8">
      <w:pPr>
        <w:spacing w:line="360" w:lineRule="auto"/>
        <w:jc w:val="both"/>
        <w:rPr>
          <w:sz w:val="24"/>
          <w:szCs w:val="24"/>
        </w:rPr>
      </w:pPr>
      <w:r w:rsidRPr="005169B8">
        <w:rPr>
          <w:sz w:val="24"/>
          <w:szCs w:val="24"/>
        </w:rPr>
        <w:t>The ability to proscribe a</w:t>
      </w:r>
      <w:r w:rsidR="007E1D05" w:rsidRPr="005169B8">
        <w:rPr>
          <w:sz w:val="24"/>
          <w:szCs w:val="24"/>
        </w:rPr>
        <w:t>n organisation</w:t>
      </w:r>
      <w:r w:rsidRPr="005169B8">
        <w:rPr>
          <w:sz w:val="24"/>
          <w:szCs w:val="24"/>
        </w:rPr>
        <w:t xml:space="preserve"> </w:t>
      </w:r>
      <w:r w:rsidR="00A2178A" w:rsidRPr="005169B8">
        <w:rPr>
          <w:sz w:val="24"/>
          <w:szCs w:val="24"/>
        </w:rPr>
        <w:t xml:space="preserve">resides with the Home Secretary </w:t>
      </w:r>
      <w:r w:rsidRPr="005169B8">
        <w:rPr>
          <w:sz w:val="24"/>
          <w:szCs w:val="24"/>
        </w:rPr>
        <w:t xml:space="preserve">under </w:t>
      </w:r>
      <w:r w:rsidR="00B23D40" w:rsidRPr="005169B8">
        <w:rPr>
          <w:sz w:val="24"/>
          <w:szCs w:val="24"/>
        </w:rPr>
        <w:t>s.3</w:t>
      </w:r>
      <w:r w:rsidRPr="005169B8">
        <w:rPr>
          <w:sz w:val="24"/>
          <w:szCs w:val="24"/>
        </w:rPr>
        <w:t xml:space="preserve"> of the </w:t>
      </w:r>
      <w:r w:rsidR="00A2178A" w:rsidRPr="005169B8">
        <w:rPr>
          <w:sz w:val="24"/>
          <w:szCs w:val="24"/>
        </w:rPr>
        <w:t>Te</w:t>
      </w:r>
      <w:r w:rsidRPr="005169B8">
        <w:rPr>
          <w:sz w:val="24"/>
          <w:szCs w:val="24"/>
        </w:rPr>
        <w:t xml:space="preserve">rrorism </w:t>
      </w:r>
      <w:r w:rsidR="00A2178A" w:rsidRPr="005169B8">
        <w:rPr>
          <w:sz w:val="24"/>
          <w:szCs w:val="24"/>
        </w:rPr>
        <w:t>A</w:t>
      </w:r>
      <w:r w:rsidRPr="005169B8">
        <w:rPr>
          <w:sz w:val="24"/>
          <w:szCs w:val="24"/>
        </w:rPr>
        <w:t>ct 2000</w:t>
      </w:r>
      <w:r w:rsidR="00A2178A" w:rsidRPr="005169B8">
        <w:rPr>
          <w:sz w:val="24"/>
          <w:szCs w:val="24"/>
        </w:rPr>
        <w:t>.</w:t>
      </w:r>
      <w:r w:rsidRPr="005169B8">
        <w:rPr>
          <w:sz w:val="24"/>
          <w:szCs w:val="24"/>
        </w:rPr>
        <w:t xml:space="preserve"> </w:t>
      </w:r>
      <w:r w:rsidR="007E1D05" w:rsidRPr="005169B8">
        <w:rPr>
          <w:sz w:val="24"/>
          <w:szCs w:val="24"/>
        </w:rPr>
        <w:t>T</w:t>
      </w:r>
      <w:r w:rsidRPr="005169B8">
        <w:rPr>
          <w:sz w:val="24"/>
          <w:szCs w:val="24"/>
        </w:rPr>
        <w:t xml:space="preserve">his power allows the </w:t>
      </w:r>
      <w:r w:rsidR="007E1D05" w:rsidRPr="005169B8">
        <w:rPr>
          <w:sz w:val="24"/>
          <w:szCs w:val="24"/>
        </w:rPr>
        <w:t>H</w:t>
      </w:r>
      <w:r w:rsidRPr="005169B8">
        <w:rPr>
          <w:sz w:val="24"/>
          <w:szCs w:val="24"/>
        </w:rPr>
        <w:t xml:space="preserve">ome </w:t>
      </w:r>
      <w:r w:rsidR="007E1D05" w:rsidRPr="005169B8">
        <w:rPr>
          <w:sz w:val="24"/>
          <w:szCs w:val="24"/>
        </w:rPr>
        <w:t>S</w:t>
      </w:r>
      <w:r w:rsidRPr="005169B8">
        <w:rPr>
          <w:sz w:val="24"/>
          <w:szCs w:val="24"/>
        </w:rPr>
        <w:t xml:space="preserve">ecretary to proscribe and deproscribe any group who he believes </w:t>
      </w:r>
      <w:r w:rsidR="00075952" w:rsidRPr="005169B8">
        <w:rPr>
          <w:sz w:val="24"/>
          <w:szCs w:val="24"/>
        </w:rPr>
        <w:t>is</w:t>
      </w:r>
      <w:r w:rsidRPr="005169B8">
        <w:rPr>
          <w:sz w:val="24"/>
          <w:szCs w:val="24"/>
        </w:rPr>
        <w:t xml:space="preserve"> “concerned with terrorism”</w:t>
      </w:r>
      <w:r w:rsidR="007E1D05" w:rsidRPr="005169B8">
        <w:rPr>
          <w:sz w:val="24"/>
          <w:szCs w:val="24"/>
        </w:rPr>
        <w:t>.</w:t>
      </w:r>
      <w:r w:rsidR="007E1D05" w:rsidRPr="005169B8">
        <w:rPr>
          <w:rStyle w:val="FootnoteReference"/>
          <w:sz w:val="24"/>
          <w:szCs w:val="24"/>
        </w:rPr>
        <w:footnoteReference w:id="1"/>
      </w:r>
      <w:r w:rsidRPr="005169B8">
        <w:rPr>
          <w:sz w:val="24"/>
          <w:szCs w:val="24"/>
        </w:rPr>
        <w:t xml:space="preserve"> Fenwick claims that </w:t>
      </w:r>
      <w:r w:rsidR="00241598" w:rsidRPr="005169B8">
        <w:rPr>
          <w:sz w:val="24"/>
          <w:szCs w:val="24"/>
        </w:rPr>
        <w:t xml:space="preserve">this is the </w:t>
      </w:r>
      <w:r w:rsidR="00BD6277" w:rsidRPr="005169B8">
        <w:rPr>
          <w:sz w:val="24"/>
          <w:szCs w:val="24"/>
        </w:rPr>
        <w:t>G</w:t>
      </w:r>
      <w:r w:rsidR="00F755FB" w:rsidRPr="005169B8">
        <w:rPr>
          <w:sz w:val="24"/>
          <w:szCs w:val="24"/>
        </w:rPr>
        <w:t>overnment’s</w:t>
      </w:r>
      <w:r w:rsidR="00241598" w:rsidRPr="005169B8">
        <w:rPr>
          <w:sz w:val="24"/>
          <w:szCs w:val="24"/>
        </w:rPr>
        <w:t xml:space="preserve"> contribution “towards making the UK a hostile environment for terrorists</w:t>
      </w:r>
      <w:r w:rsidR="007E1D05" w:rsidRPr="005169B8">
        <w:rPr>
          <w:sz w:val="24"/>
          <w:szCs w:val="24"/>
        </w:rPr>
        <w:t>.</w:t>
      </w:r>
      <w:r w:rsidR="00241598" w:rsidRPr="005169B8">
        <w:rPr>
          <w:sz w:val="24"/>
          <w:szCs w:val="24"/>
        </w:rPr>
        <w:t>”</w:t>
      </w:r>
      <w:r w:rsidR="00F6603A" w:rsidRPr="005169B8">
        <w:rPr>
          <w:rStyle w:val="FootnoteReference"/>
          <w:sz w:val="24"/>
          <w:szCs w:val="24"/>
        </w:rPr>
        <w:footnoteReference w:id="2"/>
      </w:r>
      <w:r w:rsidR="00241598" w:rsidRPr="005169B8">
        <w:rPr>
          <w:sz w:val="24"/>
          <w:szCs w:val="24"/>
        </w:rPr>
        <w:t xml:space="preserve"> This over</w:t>
      </w:r>
      <w:r w:rsidR="007E1D05" w:rsidRPr="005169B8">
        <w:rPr>
          <w:sz w:val="24"/>
          <w:szCs w:val="24"/>
        </w:rPr>
        <w:t>-</w:t>
      </w:r>
      <w:r w:rsidR="00241598" w:rsidRPr="005169B8">
        <w:rPr>
          <w:sz w:val="24"/>
          <w:szCs w:val="24"/>
        </w:rPr>
        <w:t xml:space="preserve">arching power gives greater </w:t>
      </w:r>
      <w:r w:rsidR="007E1D05" w:rsidRPr="005169B8">
        <w:rPr>
          <w:sz w:val="24"/>
          <w:szCs w:val="24"/>
        </w:rPr>
        <w:t>responsibility</w:t>
      </w:r>
      <w:r w:rsidR="00241598" w:rsidRPr="005169B8">
        <w:rPr>
          <w:sz w:val="24"/>
          <w:szCs w:val="24"/>
        </w:rPr>
        <w:t xml:space="preserve"> to the police in cases of suspected terrorist activity, allowing for the already wide definition of a terrorist from section one of the </w:t>
      </w:r>
      <w:r w:rsidR="00B23D40" w:rsidRPr="005169B8">
        <w:rPr>
          <w:sz w:val="24"/>
          <w:szCs w:val="24"/>
        </w:rPr>
        <w:t>A</w:t>
      </w:r>
      <w:r w:rsidR="00241598" w:rsidRPr="005169B8">
        <w:rPr>
          <w:sz w:val="24"/>
          <w:szCs w:val="24"/>
        </w:rPr>
        <w:t>ct to be applied to those who may</w:t>
      </w:r>
      <w:r w:rsidR="007E1D05" w:rsidRPr="005169B8">
        <w:rPr>
          <w:sz w:val="24"/>
          <w:szCs w:val="24"/>
        </w:rPr>
        <w:t xml:space="preserve">, </w:t>
      </w:r>
      <w:r w:rsidR="00241598" w:rsidRPr="005169B8">
        <w:rPr>
          <w:sz w:val="24"/>
          <w:szCs w:val="24"/>
        </w:rPr>
        <w:t xml:space="preserve">in some </w:t>
      </w:r>
      <w:r w:rsidR="00CE4078" w:rsidRPr="005169B8">
        <w:rPr>
          <w:sz w:val="24"/>
          <w:szCs w:val="24"/>
        </w:rPr>
        <w:t>w</w:t>
      </w:r>
      <w:r w:rsidR="007E1D05" w:rsidRPr="005169B8">
        <w:rPr>
          <w:sz w:val="24"/>
          <w:szCs w:val="24"/>
        </w:rPr>
        <w:t>ay</w:t>
      </w:r>
      <w:r w:rsidR="00241598" w:rsidRPr="005169B8">
        <w:rPr>
          <w:sz w:val="24"/>
          <w:szCs w:val="24"/>
        </w:rPr>
        <w:t xml:space="preserve"> </w:t>
      </w:r>
      <w:r w:rsidR="00CE4078" w:rsidRPr="005169B8">
        <w:rPr>
          <w:sz w:val="24"/>
          <w:szCs w:val="24"/>
        </w:rPr>
        <w:t xml:space="preserve">be </w:t>
      </w:r>
      <w:r w:rsidR="00241598" w:rsidRPr="005169B8">
        <w:rPr>
          <w:sz w:val="24"/>
          <w:szCs w:val="24"/>
        </w:rPr>
        <w:t>associated with the group. Proscription was originally added during the 1960s during the unrest in Northern Ireland</w:t>
      </w:r>
      <w:r w:rsidR="00F6603A" w:rsidRPr="005169B8">
        <w:rPr>
          <w:rStyle w:val="FootnoteReference"/>
          <w:sz w:val="24"/>
          <w:szCs w:val="24"/>
        </w:rPr>
        <w:footnoteReference w:id="3"/>
      </w:r>
      <w:r w:rsidR="00CD5642" w:rsidRPr="005169B8">
        <w:rPr>
          <w:sz w:val="24"/>
          <w:szCs w:val="24"/>
        </w:rPr>
        <w:t>, but aspects of what would now be classed as proscription</w:t>
      </w:r>
      <w:r w:rsidR="00CE4078" w:rsidRPr="005169B8">
        <w:rPr>
          <w:sz w:val="24"/>
          <w:szCs w:val="24"/>
        </w:rPr>
        <w:t xml:space="preserve"> offences</w:t>
      </w:r>
      <w:r w:rsidR="00CD5642" w:rsidRPr="005169B8">
        <w:rPr>
          <w:sz w:val="24"/>
          <w:szCs w:val="24"/>
        </w:rPr>
        <w:t xml:space="preserve"> </w:t>
      </w:r>
      <w:r w:rsidR="00CE4078" w:rsidRPr="005169B8">
        <w:rPr>
          <w:sz w:val="24"/>
          <w:szCs w:val="24"/>
        </w:rPr>
        <w:t xml:space="preserve">originate from </w:t>
      </w:r>
      <w:r w:rsidR="00CD5642" w:rsidRPr="005169B8">
        <w:rPr>
          <w:sz w:val="24"/>
          <w:szCs w:val="24"/>
        </w:rPr>
        <w:t xml:space="preserve">the 1930s and the </w:t>
      </w:r>
      <w:r w:rsidR="00F755FB" w:rsidRPr="005169B8">
        <w:rPr>
          <w:sz w:val="24"/>
          <w:szCs w:val="24"/>
        </w:rPr>
        <w:t>P</w:t>
      </w:r>
      <w:r w:rsidR="00CD5642" w:rsidRPr="005169B8">
        <w:rPr>
          <w:sz w:val="24"/>
          <w:szCs w:val="24"/>
        </w:rPr>
        <w:t xml:space="preserve">ublic </w:t>
      </w:r>
      <w:r w:rsidR="00F755FB" w:rsidRPr="005169B8">
        <w:rPr>
          <w:sz w:val="24"/>
          <w:szCs w:val="24"/>
        </w:rPr>
        <w:t>O</w:t>
      </w:r>
      <w:r w:rsidR="00CD5642" w:rsidRPr="005169B8">
        <w:rPr>
          <w:sz w:val="24"/>
          <w:szCs w:val="24"/>
        </w:rPr>
        <w:t xml:space="preserve">rder </w:t>
      </w:r>
      <w:r w:rsidR="00F755FB" w:rsidRPr="005169B8">
        <w:rPr>
          <w:sz w:val="24"/>
          <w:szCs w:val="24"/>
        </w:rPr>
        <w:t>A</w:t>
      </w:r>
      <w:r w:rsidR="00CD5642" w:rsidRPr="005169B8">
        <w:rPr>
          <w:sz w:val="24"/>
          <w:szCs w:val="24"/>
        </w:rPr>
        <w:t>ct 1936</w:t>
      </w:r>
      <w:r w:rsidR="00F755FB" w:rsidRPr="005169B8">
        <w:rPr>
          <w:rStyle w:val="FootnoteReference"/>
          <w:sz w:val="24"/>
          <w:szCs w:val="24"/>
        </w:rPr>
        <w:footnoteReference w:id="4"/>
      </w:r>
      <w:r w:rsidR="00CD5642" w:rsidRPr="005169B8">
        <w:rPr>
          <w:sz w:val="24"/>
          <w:szCs w:val="24"/>
        </w:rPr>
        <w:t xml:space="preserve">. </w:t>
      </w:r>
      <w:r w:rsidR="00307FBA" w:rsidRPr="005169B8">
        <w:rPr>
          <w:sz w:val="24"/>
          <w:szCs w:val="24"/>
        </w:rPr>
        <w:t xml:space="preserve"> </w:t>
      </w:r>
      <w:r w:rsidR="00EB6B9B" w:rsidRPr="005169B8">
        <w:rPr>
          <w:sz w:val="24"/>
          <w:szCs w:val="24"/>
        </w:rPr>
        <w:t>In the recent year’s</w:t>
      </w:r>
      <w:r w:rsidR="00DB4F31" w:rsidRPr="005169B8">
        <w:rPr>
          <w:sz w:val="24"/>
          <w:szCs w:val="24"/>
        </w:rPr>
        <w:t>,</w:t>
      </w:r>
      <w:r w:rsidR="00EB6B9B" w:rsidRPr="005169B8">
        <w:rPr>
          <w:sz w:val="24"/>
          <w:szCs w:val="24"/>
        </w:rPr>
        <w:t xml:space="preserve"> attacks are still being carried out by terrorist groups</w:t>
      </w:r>
      <w:r w:rsidR="00DB4F31" w:rsidRPr="005169B8">
        <w:rPr>
          <w:sz w:val="24"/>
          <w:szCs w:val="24"/>
        </w:rPr>
        <w:t>,</w:t>
      </w:r>
      <w:r w:rsidR="00EB6B9B" w:rsidRPr="005169B8">
        <w:rPr>
          <w:sz w:val="24"/>
          <w:szCs w:val="24"/>
        </w:rPr>
        <w:t xml:space="preserve"> killing hundreds and inciting fear throughout the world. </w:t>
      </w:r>
      <w:r w:rsidR="00DB4F31" w:rsidRPr="005169B8">
        <w:rPr>
          <w:sz w:val="24"/>
          <w:szCs w:val="24"/>
        </w:rPr>
        <w:t xml:space="preserve">Proscription is as vital today as it was in the 1960s, shown in the attacks carried out in America, New Zealand and the UK </w:t>
      </w:r>
      <w:r w:rsidR="00BC0875" w:rsidRPr="005169B8">
        <w:rPr>
          <w:sz w:val="24"/>
          <w:szCs w:val="24"/>
        </w:rPr>
        <w:t>itself.</w:t>
      </w:r>
      <w:r w:rsidR="00EB6B9B" w:rsidRPr="005169B8">
        <w:rPr>
          <w:sz w:val="24"/>
          <w:szCs w:val="24"/>
        </w:rPr>
        <w:t xml:space="preserve"> </w:t>
      </w:r>
      <w:r w:rsidR="00BC0875" w:rsidRPr="005169B8">
        <w:rPr>
          <w:sz w:val="24"/>
          <w:szCs w:val="24"/>
        </w:rPr>
        <w:t>Terrorist acts</w:t>
      </w:r>
      <w:r w:rsidR="003D1B7F" w:rsidRPr="005169B8">
        <w:rPr>
          <w:sz w:val="24"/>
          <w:szCs w:val="24"/>
        </w:rPr>
        <w:t>,</w:t>
      </w:r>
      <w:r w:rsidR="00BC0875" w:rsidRPr="005169B8">
        <w:rPr>
          <w:sz w:val="24"/>
          <w:szCs w:val="24"/>
        </w:rPr>
        <w:t xml:space="preserve"> </w:t>
      </w:r>
      <w:r w:rsidR="00307FBA" w:rsidRPr="005169B8">
        <w:rPr>
          <w:sz w:val="24"/>
          <w:szCs w:val="24"/>
        </w:rPr>
        <w:t xml:space="preserve">such as the </w:t>
      </w:r>
      <w:r w:rsidR="00DB4F31" w:rsidRPr="005169B8">
        <w:rPr>
          <w:sz w:val="24"/>
          <w:szCs w:val="24"/>
        </w:rPr>
        <w:t>Charlestown shootings</w:t>
      </w:r>
      <w:r w:rsidR="00BC0875" w:rsidRPr="005169B8">
        <w:rPr>
          <w:sz w:val="24"/>
          <w:szCs w:val="24"/>
        </w:rPr>
        <w:t xml:space="preserve"> in South Carolina, USA</w:t>
      </w:r>
      <w:r w:rsidR="003D1B7F" w:rsidRPr="005169B8">
        <w:rPr>
          <w:sz w:val="24"/>
          <w:szCs w:val="24"/>
        </w:rPr>
        <w:t>,</w:t>
      </w:r>
      <w:r w:rsidR="00DB4F31" w:rsidRPr="005169B8">
        <w:rPr>
          <w:sz w:val="24"/>
          <w:szCs w:val="24"/>
        </w:rPr>
        <w:t xml:space="preserve"> in 2015, the </w:t>
      </w:r>
      <w:r w:rsidR="00307FBA" w:rsidRPr="005169B8">
        <w:rPr>
          <w:sz w:val="24"/>
          <w:szCs w:val="24"/>
        </w:rPr>
        <w:t xml:space="preserve">Manchester arena bombing </w:t>
      </w:r>
      <w:r w:rsidR="00EB6B9B" w:rsidRPr="005169B8">
        <w:rPr>
          <w:sz w:val="24"/>
          <w:szCs w:val="24"/>
        </w:rPr>
        <w:t xml:space="preserve">in 2017 </w:t>
      </w:r>
      <w:r w:rsidR="00307FBA" w:rsidRPr="005169B8">
        <w:rPr>
          <w:sz w:val="24"/>
          <w:szCs w:val="24"/>
        </w:rPr>
        <w:t>and the attacks in Churchtown, New Zealand</w:t>
      </w:r>
      <w:r w:rsidR="00EB6B9B" w:rsidRPr="005169B8">
        <w:rPr>
          <w:sz w:val="24"/>
          <w:szCs w:val="24"/>
        </w:rPr>
        <w:t xml:space="preserve"> in 2019</w:t>
      </w:r>
      <w:r w:rsidR="003D1B7F" w:rsidRPr="005169B8">
        <w:rPr>
          <w:sz w:val="24"/>
          <w:szCs w:val="24"/>
        </w:rPr>
        <w:t>,</w:t>
      </w:r>
      <w:r w:rsidR="00EB6B9B" w:rsidRPr="005169B8">
        <w:rPr>
          <w:sz w:val="24"/>
          <w:szCs w:val="24"/>
        </w:rPr>
        <w:t xml:space="preserve"> </w:t>
      </w:r>
      <w:r w:rsidR="00BC0875" w:rsidRPr="005169B8">
        <w:rPr>
          <w:sz w:val="24"/>
          <w:szCs w:val="24"/>
        </w:rPr>
        <w:t xml:space="preserve">indicate that groups of all different forms carry out acts of terrorism which must be recognised in our own legal system to maximise protection for British citizens. </w:t>
      </w:r>
    </w:p>
    <w:p w14:paraId="59852FB2" w14:textId="6BBA2200" w:rsidR="00852DDE" w:rsidRDefault="00CD5642" w:rsidP="005169B8">
      <w:pPr>
        <w:spacing w:line="360" w:lineRule="auto"/>
        <w:jc w:val="both"/>
        <w:rPr>
          <w:sz w:val="24"/>
          <w:szCs w:val="24"/>
        </w:rPr>
      </w:pPr>
      <w:r w:rsidRPr="005169B8">
        <w:rPr>
          <w:sz w:val="24"/>
          <w:szCs w:val="24"/>
        </w:rPr>
        <w:lastRenderedPageBreak/>
        <w:t>A question which remains is whether proscription is wholly effective in the war against terrorism</w:t>
      </w:r>
      <w:r w:rsidR="00F755FB" w:rsidRPr="005169B8">
        <w:rPr>
          <w:sz w:val="24"/>
          <w:szCs w:val="24"/>
        </w:rPr>
        <w:t>.</w:t>
      </w:r>
      <w:r w:rsidR="00B60CC1" w:rsidRPr="005169B8">
        <w:rPr>
          <w:sz w:val="24"/>
          <w:szCs w:val="24"/>
        </w:rPr>
        <w:t xml:space="preserve"> W</w:t>
      </w:r>
      <w:r w:rsidR="00F755FB" w:rsidRPr="005169B8">
        <w:rPr>
          <w:sz w:val="24"/>
          <w:szCs w:val="24"/>
        </w:rPr>
        <w:t xml:space="preserve">hilst proscription may be somewhat beneficial </w:t>
      </w:r>
      <w:r w:rsidR="00A2178A" w:rsidRPr="005169B8">
        <w:rPr>
          <w:sz w:val="24"/>
          <w:szCs w:val="24"/>
        </w:rPr>
        <w:t>in combatting the</w:t>
      </w:r>
      <w:r w:rsidR="00F755FB" w:rsidRPr="005169B8">
        <w:rPr>
          <w:sz w:val="24"/>
          <w:szCs w:val="24"/>
        </w:rPr>
        <w:t xml:space="preserve"> unrest caused by recent terrorist activity, the extent to which</w:t>
      </w:r>
      <w:r w:rsidR="00CD5BFA" w:rsidRPr="005169B8">
        <w:rPr>
          <w:sz w:val="24"/>
          <w:szCs w:val="24"/>
        </w:rPr>
        <w:t xml:space="preserve"> it</w:t>
      </w:r>
      <w:r w:rsidR="00F755FB" w:rsidRPr="005169B8">
        <w:rPr>
          <w:sz w:val="24"/>
          <w:szCs w:val="24"/>
        </w:rPr>
        <w:t xml:space="preserve"> governs and protects citizens is yet to be determined. </w:t>
      </w:r>
      <w:r w:rsidR="00F451A8" w:rsidRPr="005169B8">
        <w:rPr>
          <w:sz w:val="24"/>
          <w:szCs w:val="24"/>
        </w:rPr>
        <w:t>This</w:t>
      </w:r>
      <w:r w:rsidR="00B23D40" w:rsidRPr="005169B8">
        <w:rPr>
          <w:sz w:val="24"/>
          <w:szCs w:val="24"/>
        </w:rPr>
        <w:t xml:space="preserve"> article</w:t>
      </w:r>
      <w:r w:rsidR="00F451A8" w:rsidRPr="005169B8">
        <w:rPr>
          <w:sz w:val="24"/>
          <w:szCs w:val="24"/>
        </w:rPr>
        <w:t xml:space="preserve"> will critically analyse and evaluate the </w:t>
      </w:r>
      <w:r w:rsidR="00F755FB" w:rsidRPr="005169B8">
        <w:rPr>
          <w:sz w:val="24"/>
          <w:szCs w:val="24"/>
        </w:rPr>
        <w:t>T</w:t>
      </w:r>
      <w:r w:rsidR="00F451A8" w:rsidRPr="005169B8">
        <w:rPr>
          <w:sz w:val="24"/>
          <w:szCs w:val="24"/>
        </w:rPr>
        <w:t xml:space="preserve">errorism </w:t>
      </w:r>
      <w:r w:rsidR="00F755FB" w:rsidRPr="005169B8">
        <w:rPr>
          <w:sz w:val="24"/>
          <w:szCs w:val="24"/>
        </w:rPr>
        <w:t>A</w:t>
      </w:r>
      <w:r w:rsidR="00F451A8" w:rsidRPr="005169B8">
        <w:rPr>
          <w:sz w:val="24"/>
          <w:szCs w:val="24"/>
        </w:rPr>
        <w:t xml:space="preserve">ct 2000, in particular </w:t>
      </w:r>
      <w:r w:rsidR="00B23D40" w:rsidRPr="005169B8">
        <w:rPr>
          <w:sz w:val="24"/>
          <w:szCs w:val="24"/>
        </w:rPr>
        <w:t>s.</w:t>
      </w:r>
      <w:r w:rsidR="00F451A8" w:rsidRPr="005169B8">
        <w:rPr>
          <w:sz w:val="24"/>
          <w:szCs w:val="24"/>
        </w:rPr>
        <w:t>3 and the powers of proscription</w:t>
      </w:r>
      <w:r w:rsidR="00111457" w:rsidRPr="005169B8">
        <w:rPr>
          <w:sz w:val="24"/>
          <w:szCs w:val="24"/>
        </w:rPr>
        <w:t xml:space="preserve">, in </w:t>
      </w:r>
      <w:r w:rsidR="007E5AEE" w:rsidRPr="005169B8">
        <w:rPr>
          <w:sz w:val="24"/>
          <w:szCs w:val="24"/>
        </w:rPr>
        <w:t>terms of restrictions to human rights and civil liberties</w:t>
      </w:r>
      <w:r w:rsidR="00F451A8" w:rsidRPr="005169B8">
        <w:rPr>
          <w:sz w:val="24"/>
          <w:szCs w:val="24"/>
        </w:rPr>
        <w:t>, as well as assess the classification of a terrorist and the issues regarding its wide-reaching definition.</w:t>
      </w:r>
    </w:p>
    <w:p w14:paraId="5EB74E83" w14:textId="77777777" w:rsidR="005169B8" w:rsidRPr="005169B8" w:rsidRDefault="005169B8" w:rsidP="005169B8">
      <w:pPr>
        <w:spacing w:line="360" w:lineRule="auto"/>
        <w:jc w:val="both"/>
        <w:rPr>
          <w:sz w:val="24"/>
          <w:szCs w:val="24"/>
        </w:rPr>
      </w:pPr>
    </w:p>
    <w:p w14:paraId="7F288FA3" w14:textId="394BE2D0" w:rsidR="00310EFE" w:rsidRDefault="0072021A" w:rsidP="005169B8">
      <w:pPr>
        <w:spacing w:line="360" w:lineRule="auto"/>
        <w:jc w:val="center"/>
        <w:rPr>
          <w:b/>
          <w:sz w:val="24"/>
          <w:szCs w:val="24"/>
        </w:rPr>
      </w:pPr>
      <w:r w:rsidRPr="005169B8">
        <w:rPr>
          <w:b/>
          <w:sz w:val="24"/>
          <w:szCs w:val="24"/>
        </w:rPr>
        <w:t>Defining terrorism</w:t>
      </w:r>
    </w:p>
    <w:p w14:paraId="2F491CA1" w14:textId="77777777" w:rsidR="005169B8" w:rsidRPr="005169B8" w:rsidRDefault="005169B8" w:rsidP="005169B8">
      <w:pPr>
        <w:spacing w:line="360" w:lineRule="auto"/>
        <w:jc w:val="center"/>
        <w:rPr>
          <w:b/>
          <w:sz w:val="24"/>
          <w:szCs w:val="24"/>
        </w:rPr>
      </w:pPr>
    </w:p>
    <w:p w14:paraId="7F33B571" w14:textId="22DC28E1" w:rsidR="00C07F8E" w:rsidRDefault="0015107A" w:rsidP="005169B8">
      <w:pPr>
        <w:spacing w:line="360" w:lineRule="auto"/>
        <w:jc w:val="both"/>
        <w:rPr>
          <w:sz w:val="24"/>
          <w:szCs w:val="24"/>
        </w:rPr>
      </w:pPr>
      <w:r w:rsidRPr="005169B8">
        <w:rPr>
          <w:sz w:val="24"/>
          <w:szCs w:val="24"/>
        </w:rPr>
        <w:t xml:space="preserve">In order to be able to fully comprehend the powers of proscription, one must first be able to understand what a terrorist is and how it is defined in the legislation. Prior to the </w:t>
      </w:r>
      <w:r w:rsidR="00F755FB" w:rsidRPr="005169B8">
        <w:rPr>
          <w:sz w:val="24"/>
          <w:szCs w:val="24"/>
        </w:rPr>
        <w:t>Te</w:t>
      </w:r>
      <w:r w:rsidRPr="005169B8">
        <w:rPr>
          <w:sz w:val="24"/>
          <w:szCs w:val="24"/>
        </w:rPr>
        <w:t xml:space="preserve">rrorism </w:t>
      </w:r>
      <w:r w:rsidR="00F755FB" w:rsidRPr="005169B8">
        <w:rPr>
          <w:sz w:val="24"/>
          <w:szCs w:val="24"/>
        </w:rPr>
        <w:t>A</w:t>
      </w:r>
      <w:r w:rsidRPr="005169B8">
        <w:rPr>
          <w:sz w:val="24"/>
          <w:szCs w:val="24"/>
        </w:rPr>
        <w:t xml:space="preserve">ct 2000, the </w:t>
      </w:r>
      <w:r w:rsidR="00F755FB" w:rsidRPr="005169B8">
        <w:rPr>
          <w:sz w:val="24"/>
          <w:szCs w:val="24"/>
        </w:rPr>
        <w:t>P</w:t>
      </w:r>
      <w:r w:rsidRPr="005169B8">
        <w:rPr>
          <w:sz w:val="24"/>
          <w:szCs w:val="24"/>
        </w:rPr>
        <w:t xml:space="preserve">revention of </w:t>
      </w:r>
      <w:r w:rsidR="00F755FB" w:rsidRPr="005169B8">
        <w:rPr>
          <w:sz w:val="24"/>
          <w:szCs w:val="24"/>
        </w:rPr>
        <w:t>T</w:t>
      </w:r>
      <w:r w:rsidRPr="005169B8">
        <w:rPr>
          <w:sz w:val="24"/>
          <w:szCs w:val="24"/>
        </w:rPr>
        <w:t>errorism (</w:t>
      </w:r>
      <w:r w:rsidR="00F755FB" w:rsidRPr="005169B8">
        <w:rPr>
          <w:sz w:val="24"/>
          <w:szCs w:val="24"/>
        </w:rPr>
        <w:t>T</w:t>
      </w:r>
      <w:r w:rsidRPr="005169B8">
        <w:rPr>
          <w:sz w:val="24"/>
          <w:szCs w:val="24"/>
        </w:rPr>
        <w:t xml:space="preserve">emporary </w:t>
      </w:r>
      <w:r w:rsidR="00F755FB" w:rsidRPr="005169B8">
        <w:rPr>
          <w:sz w:val="24"/>
          <w:szCs w:val="24"/>
        </w:rPr>
        <w:t>P</w:t>
      </w:r>
      <w:r w:rsidRPr="005169B8">
        <w:rPr>
          <w:sz w:val="24"/>
          <w:szCs w:val="24"/>
        </w:rPr>
        <w:t xml:space="preserve">rovisions) </w:t>
      </w:r>
      <w:r w:rsidR="00F755FB" w:rsidRPr="005169B8">
        <w:rPr>
          <w:sz w:val="24"/>
          <w:szCs w:val="24"/>
        </w:rPr>
        <w:t>A</w:t>
      </w:r>
      <w:r w:rsidRPr="005169B8">
        <w:rPr>
          <w:sz w:val="24"/>
          <w:szCs w:val="24"/>
        </w:rPr>
        <w:t>ct 1989</w:t>
      </w:r>
      <w:r w:rsidR="00310EFE" w:rsidRPr="005169B8">
        <w:rPr>
          <w:rStyle w:val="FootnoteReference"/>
          <w:sz w:val="24"/>
          <w:szCs w:val="24"/>
        </w:rPr>
        <w:footnoteReference w:id="5"/>
      </w:r>
      <w:r w:rsidRPr="005169B8">
        <w:rPr>
          <w:sz w:val="24"/>
          <w:szCs w:val="24"/>
        </w:rPr>
        <w:t xml:space="preserve"> defined terrorism as “the use of violence for political end</w:t>
      </w:r>
      <w:r w:rsidR="00386CA0" w:rsidRPr="005169B8">
        <w:rPr>
          <w:sz w:val="24"/>
          <w:szCs w:val="24"/>
        </w:rPr>
        <w:t>s</w:t>
      </w:r>
      <w:r w:rsidRPr="005169B8">
        <w:rPr>
          <w:sz w:val="24"/>
          <w:szCs w:val="24"/>
        </w:rPr>
        <w:t xml:space="preserve"> and includes any use of violence for the purpose of putting the public or any section of the public in fear</w:t>
      </w:r>
      <w:r w:rsidR="00F755FB" w:rsidRPr="005169B8">
        <w:rPr>
          <w:sz w:val="24"/>
          <w:szCs w:val="24"/>
        </w:rPr>
        <w:t>.</w:t>
      </w:r>
      <w:r w:rsidRPr="005169B8">
        <w:rPr>
          <w:sz w:val="24"/>
          <w:szCs w:val="24"/>
        </w:rPr>
        <w:t>”</w:t>
      </w:r>
      <w:r w:rsidR="00F6603A" w:rsidRPr="005169B8">
        <w:rPr>
          <w:rStyle w:val="FootnoteReference"/>
          <w:sz w:val="24"/>
          <w:szCs w:val="24"/>
        </w:rPr>
        <w:footnoteReference w:id="6"/>
      </w:r>
      <w:r w:rsidRPr="005169B8">
        <w:rPr>
          <w:sz w:val="24"/>
          <w:szCs w:val="24"/>
        </w:rPr>
        <w:t xml:space="preserve"> </w:t>
      </w:r>
      <w:r w:rsidR="00F755FB" w:rsidRPr="005169B8">
        <w:rPr>
          <w:sz w:val="24"/>
          <w:szCs w:val="24"/>
        </w:rPr>
        <w:t>T</w:t>
      </w:r>
      <w:r w:rsidRPr="005169B8">
        <w:rPr>
          <w:sz w:val="24"/>
          <w:szCs w:val="24"/>
        </w:rPr>
        <w:t xml:space="preserve">his early definition focuses on the use of violence </w:t>
      </w:r>
      <w:r w:rsidR="00F755FB" w:rsidRPr="005169B8">
        <w:rPr>
          <w:sz w:val="24"/>
          <w:szCs w:val="24"/>
        </w:rPr>
        <w:t xml:space="preserve">and whilst modern society </w:t>
      </w:r>
      <w:r w:rsidR="00386CA0" w:rsidRPr="005169B8">
        <w:rPr>
          <w:sz w:val="24"/>
          <w:szCs w:val="24"/>
        </w:rPr>
        <w:t>acknowledge that terrorism can now take</w:t>
      </w:r>
      <w:r w:rsidR="00F755FB" w:rsidRPr="005169B8">
        <w:rPr>
          <w:sz w:val="24"/>
          <w:szCs w:val="24"/>
        </w:rPr>
        <w:t xml:space="preserve"> many forms, the most prolific and </w:t>
      </w:r>
      <w:r w:rsidR="00386CA0" w:rsidRPr="005169B8">
        <w:rPr>
          <w:sz w:val="24"/>
          <w:szCs w:val="24"/>
        </w:rPr>
        <w:t xml:space="preserve">anticipated type of terrorism is violence. </w:t>
      </w:r>
      <w:r w:rsidRPr="005169B8">
        <w:rPr>
          <w:sz w:val="24"/>
          <w:szCs w:val="24"/>
        </w:rPr>
        <w:t>S</w:t>
      </w:r>
      <w:r w:rsidR="00C07F8E" w:rsidRPr="005169B8">
        <w:rPr>
          <w:sz w:val="24"/>
          <w:szCs w:val="24"/>
        </w:rPr>
        <w:t>.1</w:t>
      </w:r>
      <w:r w:rsidRPr="005169B8">
        <w:rPr>
          <w:sz w:val="24"/>
          <w:szCs w:val="24"/>
        </w:rPr>
        <w:t xml:space="preserve"> of the </w:t>
      </w:r>
      <w:r w:rsidR="00386CA0" w:rsidRPr="005169B8">
        <w:rPr>
          <w:sz w:val="24"/>
          <w:szCs w:val="24"/>
        </w:rPr>
        <w:t>T</w:t>
      </w:r>
      <w:r w:rsidRPr="005169B8">
        <w:rPr>
          <w:sz w:val="24"/>
          <w:szCs w:val="24"/>
        </w:rPr>
        <w:t xml:space="preserve">errorism </w:t>
      </w:r>
      <w:r w:rsidR="00386CA0" w:rsidRPr="005169B8">
        <w:rPr>
          <w:sz w:val="24"/>
          <w:szCs w:val="24"/>
        </w:rPr>
        <w:t>A</w:t>
      </w:r>
      <w:r w:rsidRPr="005169B8">
        <w:rPr>
          <w:sz w:val="24"/>
          <w:szCs w:val="24"/>
        </w:rPr>
        <w:t>ct 2000</w:t>
      </w:r>
      <w:r w:rsidR="00682326" w:rsidRPr="005169B8">
        <w:rPr>
          <w:rStyle w:val="FootnoteReference"/>
          <w:sz w:val="24"/>
          <w:szCs w:val="24"/>
        </w:rPr>
        <w:footnoteReference w:id="7"/>
      </w:r>
      <w:r w:rsidRPr="005169B8">
        <w:rPr>
          <w:sz w:val="24"/>
          <w:szCs w:val="24"/>
        </w:rPr>
        <w:t xml:space="preserve"> redefined </w:t>
      </w:r>
      <w:r w:rsidR="00075952" w:rsidRPr="005169B8">
        <w:rPr>
          <w:sz w:val="24"/>
          <w:szCs w:val="24"/>
        </w:rPr>
        <w:t>terrorism</w:t>
      </w:r>
      <w:r w:rsidRPr="005169B8">
        <w:rPr>
          <w:sz w:val="24"/>
          <w:szCs w:val="24"/>
        </w:rPr>
        <w:t xml:space="preserve">, giving it a </w:t>
      </w:r>
      <w:r w:rsidR="00386CA0" w:rsidRPr="005169B8">
        <w:rPr>
          <w:sz w:val="24"/>
          <w:szCs w:val="24"/>
        </w:rPr>
        <w:t>broader</w:t>
      </w:r>
      <w:r w:rsidRPr="005169B8">
        <w:rPr>
          <w:sz w:val="24"/>
          <w:szCs w:val="24"/>
        </w:rPr>
        <w:t xml:space="preserve"> definition</w:t>
      </w:r>
      <w:r w:rsidR="00C07F8E" w:rsidRPr="005169B8">
        <w:rPr>
          <w:sz w:val="24"/>
          <w:szCs w:val="24"/>
        </w:rPr>
        <w:t xml:space="preserve"> of:</w:t>
      </w:r>
    </w:p>
    <w:p w14:paraId="7318F1CA" w14:textId="77777777" w:rsidR="005169B8" w:rsidRPr="005169B8" w:rsidRDefault="005169B8" w:rsidP="005169B8">
      <w:pPr>
        <w:spacing w:line="360" w:lineRule="auto"/>
        <w:jc w:val="both"/>
        <w:rPr>
          <w:sz w:val="24"/>
          <w:szCs w:val="24"/>
        </w:rPr>
      </w:pPr>
    </w:p>
    <w:p w14:paraId="7BC79515" w14:textId="3DB490E3" w:rsidR="00C07F8E" w:rsidRPr="005169B8" w:rsidRDefault="00D15A68" w:rsidP="005169B8">
      <w:pPr>
        <w:spacing w:line="360" w:lineRule="auto"/>
        <w:ind w:left="851" w:right="571"/>
        <w:jc w:val="both"/>
        <w:rPr>
          <w:sz w:val="24"/>
          <w:szCs w:val="24"/>
        </w:rPr>
      </w:pPr>
      <w:r w:rsidRPr="005169B8">
        <w:rPr>
          <w:sz w:val="24"/>
          <w:szCs w:val="24"/>
        </w:rPr>
        <w:t xml:space="preserve"> </w:t>
      </w:r>
      <w:r w:rsidR="00054A5D" w:rsidRPr="005169B8">
        <w:rPr>
          <w:sz w:val="24"/>
          <w:szCs w:val="24"/>
        </w:rPr>
        <w:t>“Terrorism means the use or threat of action where – (B) The use or threat is designed to influence the government or to intimidate the public or a section of people and (C)</w:t>
      </w:r>
      <w:r w:rsidR="00075952" w:rsidRPr="005169B8">
        <w:rPr>
          <w:sz w:val="24"/>
          <w:szCs w:val="24"/>
        </w:rPr>
        <w:t xml:space="preserve"> </w:t>
      </w:r>
      <w:r w:rsidR="00054A5D" w:rsidRPr="005169B8">
        <w:rPr>
          <w:sz w:val="24"/>
          <w:szCs w:val="24"/>
        </w:rPr>
        <w:t>the use or threat us made for the purpose of advancing a political, religious or ideological cause”</w:t>
      </w:r>
      <w:r w:rsidR="00CD267A" w:rsidRPr="005169B8">
        <w:rPr>
          <w:rStyle w:val="FootnoteReference"/>
          <w:sz w:val="24"/>
          <w:szCs w:val="24"/>
        </w:rPr>
        <w:footnoteReference w:id="8"/>
      </w:r>
      <w:r w:rsidR="00A2178A" w:rsidRPr="005169B8">
        <w:rPr>
          <w:sz w:val="24"/>
          <w:szCs w:val="24"/>
        </w:rPr>
        <w:t xml:space="preserve">. </w:t>
      </w:r>
    </w:p>
    <w:p w14:paraId="0A7F1CA5" w14:textId="77777777" w:rsidR="00C07F8E" w:rsidRPr="005169B8" w:rsidRDefault="00C07F8E" w:rsidP="005169B8">
      <w:pPr>
        <w:spacing w:line="360" w:lineRule="auto"/>
        <w:jc w:val="both"/>
        <w:rPr>
          <w:sz w:val="24"/>
          <w:szCs w:val="24"/>
        </w:rPr>
      </w:pPr>
    </w:p>
    <w:p w14:paraId="241330A6" w14:textId="1F00B91D" w:rsidR="00386CA0" w:rsidRDefault="00A2178A" w:rsidP="005169B8">
      <w:pPr>
        <w:spacing w:line="360" w:lineRule="auto"/>
        <w:jc w:val="both"/>
        <w:rPr>
          <w:sz w:val="24"/>
          <w:szCs w:val="24"/>
        </w:rPr>
      </w:pPr>
      <w:r w:rsidRPr="005169B8">
        <w:rPr>
          <w:sz w:val="24"/>
          <w:szCs w:val="24"/>
        </w:rPr>
        <w:lastRenderedPageBreak/>
        <w:t>T</w:t>
      </w:r>
      <w:r w:rsidR="00054A5D" w:rsidRPr="005169B8">
        <w:rPr>
          <w:sz w:val="24"/>
          <w:szCs w:val="24"/>
        </w:rPr>
        <w:t xml:space="preserve">he term “action” is defined in sub-section two as </w:t>
      </w:r>
      <w:r w:rsidR="00DA1695" w:rsidRPr="005169B8">
        <w:rPr>
          <w:sz w:val="24"/>
          <w:szCs w:val="24"/>
        </w:rPr>
        <w:t>“</w:t>
      </w:r>
      <w:r w:rsidR="00054A5D" w:rsidRPr="005169B8">
        <w:rPr>
          <w:sz w:val="24"/>
          <w:szCs w:val="24"/>
        </w:rPr>
        <w:t xml:space="preserve">(A) involving serious violence against a person;(B) serious damage to property; (C) endangering a person’s life;(D) creates a serious risk to the health and safety of the public </w:t>
      </w:r>
      <w:r w:rsidR="00CD267A" w:rsidRPr="005169B8">
        <w:rPr>
          <w:sz w:val="24"/>
          <w:szCs w:val="24"/>
        </w:rPr>
        <w:t>or; (E) is designed seriously to interfere with or seriously disrupt an electronic system</w:t>
      </w:r>
      <w:r w:rsidRPr="005169B8">
        <w:rPr>
          <w:sz w:val="24"/>
          <w:szCs w:val="24"/>
        </w:rPr>
        <w:t>.</w:t>
      </w:r>
      <w:r w:rsidR="00DA1695" w:rsidRPr="005169B8">
        <w:rPr>
          <w:sz w:val="24"/>
          <w:szCs w:val="24"/>
        </w:rPr>
        <w:t>”</w:t>
      </w:r>
      <w:r w:rsidR="00CD267A" w:rsidRPr="005169B8">
        <w:rPr>
          <w:rStyle w:val="FootnoteReference"/>
          <w:sz w:val="24"/>
          <w:szCs w:val="24"/>
        </w:rPr>
        <w:footnoteReference w:id="9"/>
      </w:r>
      <w:r w:rsidR="00054A5D" w:rsidRPr="005169B8">
        <w:rPr>
          <w:sz w:val="24"/>
          <w:szCs w:val="24"/>
        </w:rPr>
        <w:t xml:space="preserve"> </w:t>
      </w:r>
      <w:r w:rsidR="00386CA0" w:rsidRPr="005169B8">
        <w:rPr>
          <w:sz w:val="24"/>
          <w:szCs w:val="24"/>
        </w:rPr>
        <w:t>F</w:t>
      </w:r>
      <w:r w:rsidR="00F6603A" w:rsidRPr="005169B8">
        <w:rPr>
          <w:sz w:val="24"/>
          <w:szCs w:val="24"/>
        </w:rPr>
        <w:t xml:space="preserve">urther amendments have </w:t>
      </w:r>
      <w:r w:rsidR="00386CA0" w:rsidRPr="005169B8">
        <w:rPr>
          <w:sz w:val="24"/>
          <w:szCs w:val="24"/>
        </w:rPr>
        <w:t xml:space="preserve">since </w:t>
      </w:r>
      <w:r w:rsidR="00F6603A" w:rsidRPr="005169B8">
        <w:rPr>
          <w:sz w:val="24"/>
          <w:szCs w:val="24"/>
        </w:rPr>
        <w:t xml:space="preserve">been made </w:t>
      </w:r>
      <w:r w:rsidR="00386CA0" w:rsidRPr="005169B8">
        <w:rPr>
          <w:sz w:val="24"/>
          <w:szCs w:val="24"/>
        </w:rPr>
        <w:t xml:space="preserve">as a result of </w:t>
      </w:r>
      <w:r w:rsidR="00F6603A" w:rsidRPr="005169B8">
        <w:rPr>
          <w:sz w:val="24"/>
          <w:szCs w:val="24"/>
        </w:rPr>
        <w:t xml:space="preserve">the </w:t>
      </w:r>
      <w:r w:rsidR="00386CA0" w:rsidRPr="005169B8">
        <w:rPr>
          <w:sz w:val="24"/>
          <w:szCs w:val="24"/>
        </w:rPr>
        <w:t>T</w:t>
      </w:r>
      <w:r w:rsidR="00F6603A" w:rsidRPr="005169B8">
        <w:rPr>
          <w:sz w:val="24"/>
          <w:szCs w:val="24"/>
        </w:rPr>
        <w:t xml:space="preserve">errorism </w:t>
      </w:r>
      <w:r w:rsidR="00386CA0" w:rsidRPr="005169B8">
        <w:rPr>
          <w:sz w:val="24"/>
          <w:szCs w:val="24"/>
        </w:rPr>
        <w:t>A</w:t>
      </w:r>
      <w:r w:rsidR="00F6603A" w:rsidRPr="005169B8">
        <w:rPr>
          <w:sz w:val="24"/>
          <w:szCs w:val="24"/>
        </w:rPr>
        <w:t>ct 2006</w:t>
      </w:r>
      <w:r w:rsidR="001956DB" w:rsidRPr="005169B8">
        <w:rPr>
          <w:sz w:val="24"/>
          <w:szCs w:val="24"/>
        </w:rPr>
        <w:t xml:space="preserve"> s.</w:t>
      </w:r>
      <w:r w:rsidR="007F7E91" w:rsidRPr="005169B8">
        <w:rPr>
          <w:sz w:val="24"/>
          <w:szCs w:val="24"/>
        </w:rPr>
        <w:t>34</w:t>
      </w:r>
      <w:r w:rsidR="00F6603A" w:rsidRPr="005169B8">
        <w:rPr>
          <w:sz w:val="24"/>
          <w:szCs w:val="24"/>
        </w:rPr>
        <w:t>, which</w:t>
      </w:r>
      <w:r w:rsidR="00386CA0" w:rsidRPr="005169B8">
        <w:rPr>
          <w:sz w:val="24"/>
          <w:szCs w:val="24"/>
        </w:rPr>
        <w:t xml:space="preserve"> now</w:t>
      </w:r>
      <w:r w:rsidR="00F6603A" w:rsidRPr="005169B8">
        <w:rPr>
          <w:sz w:val="24"/>
          <w:szCs w:val="24"/>
        </w:rPr>
        <w:t xml:space="preserve"> includ</w:t>
      </w:r>
      <w:r w:rsidR="00386CA0" w:rsidRPr="005169B8">
        <w:rPr>
          <w:sz w:val="24"/>
          <w:szCs w:val="24"/>
        </w:rPr>
        <w:t>es</w:t>
      </w:r>
      <w:r w:rsidR="00F6603A" w:rsidRPr="005169B8">
        <w:rPr>
          <w:sz w:val="24"/>
          <w:szCs w:val="24"/>
        </w:rPr>
        <w:t xml:space="preserve"> “international</w:t>
      </w:r>
      <w:r w:rsidR="00054A5D" w:rsidRPr="005169B8">
        <w:rPr>
          <w:sz w:val="24"/>
          <w:szCs w:val="24"/>
        </w:rPr>
        <w:t xml:space="preserve"> governmental</w:t>
      </w:r>
      <w:r w:rsidR="00F6603A" w:rsidRPr="005169B8">
        <w:rPr>
          <w:sz w:val="24"/>
          <w:szCs w:val="24"/>
        </w:rPr>
        <w:t xml:space="preserve"> organisation”</w:t>
      </w:r>
      <w:r w:rsidR="00F6603A" w:rsidRPr="005169B8">
        <w:rPr>
          <w:rStyle w:val="FootnoteReference"/>
          <w:sz w:val="24"/>
          <w:szCs w:val="24"/>
        </w:rPr>
        <w:footnoteReference w:id="10"/>
      </w:r>
      <w:r w:rsidR="00F6603A" w:rsidRPr="005169B8">
        <w:rPr>
          <w:sz w:val="24"/>
          <w:szCs w:val="24"/>
        </w:rPr>
        <w:t xml:space="preserve"> a</w:t>
      </w:r>
      <w:r w:rsidR="00386CA0" w:rsidRPr="005169B8">
        <w:rPr>
          <w:sz w:val="24"/>
          <w:szCs w:val="24"/>
        </w:rPr>
        <w:t>nd provides a definition that is no longer</w:t>
      </w:r>
      <w:r w:rsidR="00F6603A" w:rsidRPr="005169B8">
        <w:rPr>
          <w:sz w:val="24"/>
          <w:szCs w:val="24"/>
        </w:rPr>
        <w:t xml:space="preserve"> confined to the United Kingdom. </w:t>
      </w:r>
    </w:p>
    <w:p w14:paraId="79CA4235" w14:textId="77777777" w:rsidR="005169B8" w:rsidRPr="005169B8" w:rsidRDefault="005169B8" w:rsidP="005169B8">
      <w:pPr>
        <w:spacing w:line="360" w:lineRule="auto"/>
        <w:jc w:val="both"/>
        <w:rPr>
          <w:sz w:val="24"/>
          <w:szCs w:val="24"/>
        </w:rPr>
      </w:pPr>
    </w:p>
    <w:p w14:paraId="4A1144E1" w14:textId="5F5ADFB1" w:rsidR="00485E01" w:rsidRDefault="004E6529" w:rsidP="005169B8">
      <w:pPr>
        <w:spacing w:line="360" w:lineRule="auto"/>
        <w:jc w:val="both"/>
        <w:rPr>
          <w:sz w:val="24"/>
          <w:szCs w:val="24"/>
        </w:rPr>
      </w:pPr>
      <w:r w:rsidRPr="005169B8">
        <w:rPr>
          <w:sz w:val="24"/>
          <w:szCs w:val="24"/>
        </w:rPr>
        <w:t xml:space="preserve">Several issues </w:t>
      </w:r>
      <w:r w:rsidR="00386CA0" w:rsidRPr="005169B8">
        <w:rPr>
          <w:sz w:val="24"/>
          <w:szCs w:val="24"/>
        </w:rPr>
        <w:t xml:space="preserve">could </w:t>
      </w:r>
      <w:r w:rsidRPr="005169B8">
        <w:rPr>
          <w:sz w:val="24"/>
          <w:szCs w:val="24"/>
        </w:rPr>
        <w:t>potential</w:t>
      </w:r>
      <w:r w:rsidR="00386CA0" w:rsidRPr="005169B8">
        <w:rPr>
          <w:sz w:val="24"/>
          <w:szCs w:val="24"/>
        </w:rPr>
        <w:t>ly</w:t>
      </w:r>
      <w:r w:rsidRPr="005169B8">
        <w:rPr>
          <w:sz w:val="24"/>
          <w:szCs w:val="24"/>
        </w:rPr>
        <w:t xml:space="preserve"> arise with the definition of a terrorist</w:t>
      </w:r>
      <w:r w:rsidR="00386CA0" w:rsidRPr="005169B8">
        <w:rPr>
          <w:sz w:val="24"/>
          <w:szCs w:val="24"/>
        </w:rPr>
        <w:t xml:space="preserve">; </w:t>
      </w:r>
      <w:r w:rsidR="007E2EE5" w:rsidRPr="005169B8">
        <w:rPr>
          <w:sz w:val="24"/>
          <w:szCs w:val="24"/>
        </w:rPr>
        <w:t xml:space="preserve">one of which is </w:t>
      </w:r>
      <w:r w:rsidR="00386CA0" w:rsidRPr="005169B8">
        <w:rPr>
          <w:sz w:val="24"/>
          <w:szCs w:val="24"/>
        </w:rPr>
        <w:t>principally c</w:t>
      </w:r>
      <w:r w:rsidR="007E2EE5" w:rsidRPr="005169B8">
        <w:rPr>
          <w:sz w:val="24"/>
          <w:szCs w:val="24"/>
        </w:rPr>
        <w:t>oncerned with the nature of the definition itself and its lack of restrictions in terms of wh</w:t>
      </w:r>
      <w:r w:rsidR="00386CA0" w:rsidRPr="005169B8">
        <w:rPr>
          <w:sz w:val="24"/>
          <w:szCs w:val="24"/>
        </w:rPr>
        <w:t>o</w:t>
      </w:r>
      <w:r w:rsidR="007E2EE5" w:rsidRPr="005169B8">
        <w:rPr>
          <w:sz w:val="24"/>
          <w:szCs w:val="24"/>
        </w:rPr>
        <w:t xml:space="preserve"> cannot be a terrorist. The possibility of being characterised as a terrorist is not exempt from acts of armed </w:t>
      </w:r>
      <w:r w:rsidR="004315E8" w:rsidRPr="005169B8">
        <w:rPr>
          <w:sz w:val="24"/>
          <w:szCs w:val="24"/>
        </w:rPr>
        <w:t>conflict concerning</w:t>
      </w:r>
      <w:r w:rsidR="00CD5481" w:rsidRPr="005169B8">
        <w:rPr>
          <w:sz w:val="24"/>
          <w:szCs w:val="24"/>
        </w:rPr>
        <w:t xml:space="preserve"> foreign government</w:t>
      </w:r>
      <w:r w:rsidR="00A2178A" w:rsidRPr="005169B8">
        <w:rPr>
          <w:sz w:val="24"/>
          <w:szCs w:val="24"/>
        </w:rPr>
        <w:t xml:space="preserve">. </w:t>
      </w:r>
      <w:r w:rsidR="00852026" w:rsidRPr="005169B8">
        <w:rPr>
          <w:sz w:val="24"/>
          <w:szCs w:val="24"/>
        </w:rPr>
        <w:t xml:space="preserve">David Anderson </w:t>
      </w:r>
      <w:r w:rsidR="004315E8" w:rsidRPr="005169B8">
        <w:rPr>
          <w:sz w:val="24"/>
          <w:szCs w:val="24"/>
        </w:rPr>
        <w:t xml:space="preserve">states that </w:t>
      </w:r>
      <w:r w:rsidR="00CD5481" w:rsidRPr="005169B8">
        <w:rPr>
          <w:sz w:val="24"/>
          <w:szCs w:val="24"/>
        </w:rPr>
        <w:t>“no express exemption for acts carried out overseas that constitute lawful hostilities under international humanitarian law</w:t>
      </w:r>
      <w:r w:rsidR="004315E8" w:rsidRPr="005169B8">
        <w:rPr>
          <w:rStyle w:val="FootnoteReference"/>
          <w:sz w:val="24"/>
          <w:szCs w:val="24"/>
        </w:rPr>
        <w:footnoteReference w:id="11"/>
      </w:r>
      <w:r w:rsidR="00CD5481" w:rsidRPr="005169B8">
        <w:rPr>
          <w:sz w:val="24"/>
          <w:szCs w:val="24"/>
        </w:rPr>
        <w:t>”</w:t>
      </w:r>
      <w:r w:rsidR="004315E8" w:rsidRPr="005169B8">
        <w:rPr>
          <w:sz w:val="24"/>
          <w:szCs w:val="24"/>
        </w:rPr>
        <w:t>.</w:t>
      </w:r>
      <w:r w:rsidR="00CD5481" w:rsidRPr="005169B8">
        <w:rPr>
          <w:sz w:val="24"/>
          <w:szCs w:val="24"/>
        </w:rPr>
        <w:t xml:space="preserve"> </w:t>
      </w:r>
      <w:r w:rsidR="004315E8" w:rsidRPr="005169B8">
        <w:rPr>
          <w:sz w:val="24"/>
          <w:szCs w:val="24"/>
        </w:rPr>
        <w:t>I</w:t>
      </w:r>
      <w:r w:rsidR="00CD5481" w:rsidRPr="005169B8">
        <w:rPr>
          <w:sz w:val="24"/>
          <w:szCs w:val="24"/>
        </w:rPr>
        <w:t>t could</w:t>
      </w:r>
      <w:r w:rsidR="004315E8" w:rsidRPr="005169B8">
        <w:rPr>
          <w:sz w:val="24"/>
          <w:szCs w:val="24"/>
        </w:rPr>
        <w:t xml:space="preserve"> therefore</w:t>
      </w:r>
      <w:r w:rsidR="00CD5481" w:rsidRPr="005169B8">
        <w:rPr>
          <w:sz w:val="24"/>
          <w:szCs w:val="24"/>
        </w:rPr>
        <w:t xml:space="preserve"> be argued that the definition of “terroris</w:t>
      </w:r>
      <w:r w:rsidR="00021BB9" w:rsidRPr="005169B8">
        <w:rPr>
          <w:sz w:val="24"/>
          <w:szCs w:val="24"/>
        </w:rPr>
        <w:t>m</w:t>
      </w:r>
      <w:r w:rsidR="00CD5481" w:rsidRPr="005169B8">
        <w:rPr>
          <w:sz w:val="24"/>
          <w:szCs w:val="24"/>
        </w:rPr>
        <w:t xml:space="preserve">” </w:t>
      </w:r>
      <w:r w:rsidR="001355A4" w:rsidRPr="005169B8">
        <w:rPr>
          <w:sz w:val="24"/>
          <w:szCs w:val="24"/>
        </w:rPr>
        <w:t xml:space="preserve">is somewhat </w:t>
      </w:r>
      <w:r w:rsidR="004315E8" w:rsidRPr="005169B8">
        <w:rPr>
          <w:sz w:val="24"/>
          <w:szCs w:val="24"/>
        </w:rPr>
        <w:t xml:space="preserve">similar to that </w:t>
      </w:r>
      <w:r w:rsidR="001355A4" w:rsidRPr="005169B8">
        <w:rPr>
          <w:sz w:val="24"/>
          <w:szCs w:val="24"/>
        </w:rPr>
        <w:t xml:space="preserve">of a strict liability offence as it </w:t>
      </w:r>
      <w:r w:rsidR="004315E8" w:rsidRPr="005169B8">
        <w:rPr>
          <w:sz w:val="24"/>
          <w:szCs w:val="24"/>
        </w:rPr>
        <w:t xml:space="preserve">is </w:t>
      </w:r>
      <w:r w:rsidR="001355A4" w:rsidRPr="005169B8">
        <w:rPr>
          <w:sz w:val="24"/>
          <w:szCs w:val="24"/>
        </w:rPr>
        <w:t>indiscriminate o</w:t>
      </w:r>
      <w:r w:rsidR="004315E8" w:rsidRPr="005169B8">
        <w:rPr>
          <w:sz w:val="24"/>
          <w:szCs w:val="24"/>
        </w:rPr>
        <w:t>f</w:t>
      </w:r>
      <w:r w:rsidR="001355A4" w:rsidRPr="005169B8">
        <w:rPr>
          <w:sz w:val="24"/>
          <w:szCs w:val="24"/>
        </w:rPr>
        <w:t xml:space="preserve"> all forms of conflict that have the potential to be seen as a terrorist act. </w:t>
      </w:r>
      <w:r w:rsidR="00961463" w:rsidRPr="005169B8">
        <w:rPr>
          <w:sz w:val="24"/>
          <w:szCs w:val="24"/>
        </w:rPr>
        <w:t xml:space="preserve">For example, </w:t>
      </w:r>
      <w:r w:rsidR="00485E01" w:rsidRPr="005169B8">
        <w:rPr>
          <w:sz w:val="24"/>
          <w:szCs w:val="24"/>
        </w:rPr>
        <w:t>posting videos of groups exercising “self-defence by people resisting invasion of their country”</w:t>
      </w:r>
      <w:r w:rsidR="00485E01" w:rsidRPr="005169B8">
        <w:rPr>
          <w:rStyle w:val="FootnoteReference"/>
          <w:sz w:val="24"/>
          <w:szCs w:val="24"/>
        </w:rPr>
        <w:footnoteReference w:id="12"/>
      </w:r>
      <w:r w:rsidR="00485E01" w:rsidRPr="005169B8">
        <w:rPr>
          <w:sz w:val="24"/>
          <w:szCs w:val="24"/>
        </w:rPr>
        <w:t xml:space="preserve"> in R v Gul</w:t>
      </w:r>
      <w:r w:rsidR="00485E01" w:rsidRPr="005169B8">
        <w:rPr>
          <w:rStyle w:val="FootnoteReference"/>
          <w:sz w:val="24"/>
          <w:szCs w:val="24"/>
        </w:rPr>
        <w:footnoteReference w:id="13"/>
      </w:r>
      <w:r w:rsidR="00351C5B" w:rsidRPr="005169B8">
        <w:rPr>
          <w:sz w:val="24"/>
          <w:szCs w:val="24"/>
        </w:rPr>
        <w:t>,</w:t>
      </w:r>
      <w:r w:rsidR="00485E01" w:rsidRPr="005169B8">
        <w:rPr>
          <w:sz w:val="24"/>
          <w:szCs w:val="24"/>
        </w:rPr>
        <w:t xml:space="preserve"> or in R v Z</w:t>
      </w:r>
      <w:r w:rsidR="00485E01" w:rsidRPr="005169B8">
        <w:rPr>
          <w:rStyle w:val="FootnoteReference"/>
          <w:sz w:val="24"/>
          <w:szCs w:val="24"/>
        </w:rPr>
        <w:footnoteReference w:id="14"/>
      </w:r>
      <w:r w:rsidR="00485E01" w:rsidRPr="005169B8">
        <w:rPr>
          <w:sz w:val="24"/>
          <w:szCs w:val="24"/>
        </w:rPr>
        <w:t>, which concerned a group in Ireland named the Real IRA arguing that as they are not a proscribed group there is no ground for</w:t>
      </w:r>
      <w:r w:rsidR="00EA3B63" w:rsidRPr="005169B8">
        <w:rPr>
          <w:sz w:val="24"/>
          <w:szCs w:val="24"/>
        </w:rPr>
        <w:t xml:space="preserve"> them to be labelled terrorists. </w:t>
      </w:r>
    </w:p>
    <w:p w14:paraId="3C446DA1" w14:textId="77777777" w:rsidR="005169B8" w:rsidRPr="005169B8" w:rsidRDefault="005169B8" w:rsidP="005169B8">
      <w:pPr>
        <w:spacing w:line="360" w:lineRule="auto"/>
        <w:jc w:val="both"/>
        <w:rPr>
          <w:sz w:val="24"/>
          <w:szCs w:val="24"/>
          <w:highlight w:val="yellow"/>
        </w:rPr>
      </w:pPr>
    </w:p>
    <w:p w14:paraId="4770D5A4" w14:textId="5868E983" w:rsidR="0015107A" w:rsidRPr="005169B8" w:rsidRDefault="00485E01" w:rsidP="005169B8">
      <w:pPr>
        <w:spacing w:line="360" w:lineRule="auto"/>
        <w:jc w:val="both"/>
        <w:rPr>
          <w:sz w:val="24"/>
          <w:szCs w:val="24"/>
        </w:rPr>
      </w:pPr>
      <w:r w:rsidRPr="005169B8">
        <w:rPr>
          <w:sz w:val="24"/>
          <w:szCs w:val="24"/>
        </w:rPr>
        <w:t xml:space="preserve">To further my point, </w:t>
      </w:r>
      <w:r w:rsidR="00913C96" w:rsidRPr="005169B8">
        <w:rPr>
          <w:sz w:val="24"/>
          <w:szCs w:val="24"/>
        </w:rPr>
        <w:t>the case of R v Gul</w:t>
      </w:r>
      <w:r w:rsidR="00913C96" w:rsidRPr="005169B8">
        <w:rPr>
          <w:rStyle w:val="FootnoteReference"/>
          <w:sz w:val="24"/>
          <w:szCs w:val="24"/>
        </w:rPr>
        <w:footnoteReference w:id="15"/>
      </w:r>
      <w:r w:rsidR="00913C96" w:rsidRPr="005169B8">
        <w:rPr>
          <w:sz w:val="24"/>
          <w:szCs w:val="24"/>
        </w:rPr>
        <w:t xml:space="preserve">, regarding the appellants argument concerning the parameters of the domestic laws powers into </w:t>
      </w:r>
      <w:r w:rsidR="00351C5B" w:rsidRPr="005169B8">
        <w:rPr>
          <w:sz w:val="24"/>
          <w:szCs w:val="24"/>
        </w:rPr>
        <w:t>activities concerning terrorism, acknowledged</w:t>
      </w:r>
      <w:r w:rsidR="001956DB" w:rsidRPr="005169B8">
        <w:rPr>
          <w:sz w:val="24"/>
          <w:szCs w:val="24"/>
        </w:rPr>
        <w:t xml:space="preserve"> the </w:t>
      </w:r>
      <w:r w:rsidR="001956DB" w:rsidRPr="005169B8">
        <w:rPr>
          <w:sz w:val="24"/>
          <w:szCs w:val="24"/>
        </w:rPr>
        <w:lastRenderedPageBreak/>
        <w:t>sheer breadth of s</w:t>
      </w:r>
      <w:r w:rsidR="00913C96" w:rsidRPr="005169B8">
        <w:rPr>
          <w:sz w:val="24"/>
          <w:szCs w:val="24"/>
        </w:rPr>
        <w:t>.1</w:t>
      </w:r>
      <w:r w:rsidR="00D448E1" w:rsidRPr="005169B8">
        <w:rPr>
          <w:rStyle w:val="FootnoteReference"/>
          <w:sz w:val="24"/>
          <w:szCs w:val="24"/>
        </w:rPr>
        <w:footnoteReference w:id="16"/>
      </w:r>
      <w:r w:rsidR="00351C5B" w:rsidRPr="005169B8">
        <w:rPr>
          <w:sz w:val="24"/>
          <w:szCs w:val="24"/>
        </w:rPr>
        <w:t xml:space="preserve">. </w:t>
      </w:r>
      <w:r w:rsidR="00913C96" w:rsidRPr="005169B8">
        <w:rPr>
          <w:sz w:val="24"/>
          <w:szCs w:val="24"/>
        </w:rPr>
        <w:t xml:space="preserve"> </w:t>
      </w:r>
      <w:r w:rsidR="00E86446" w:rsidRPr="005169B8">
        <w:rPr>
          <w:sz w:val="24"/>
          <w:szCs w:val="24"/>
        </w:rPr>
        <w:t>It was stated</w:t>
      </w:r>
      <w:r w:rsidR="00913C96" w:rsidRPr="005169B8">
        <w:rPr>
          <w:sz w:val="24"/>
          <w:szCs w:val="24"/>
        </w:rPr>
        <w:t xml:space="preserve"> that even if </w:t>
      </w:r>
      <w:r w:rsidR="00273054" w:rsidRPr="005169B8">
        <w:rPr>
          <w:sz w:val="24"/>
          <w:szCs w:val="24"/>
        </w:rPr>
        <w:t xml:space="preserve">a </w:t>
      </w:r>
      <w:r w:rsidR="004F4FE5" w:rsidRPr="005169B8">
        <w:rPr>
          <w:sz w:val="24"/>
          <w:szCs w:val="24"/>
        </w:rPr>
        <w:t>S</w:t>
      </w:r>
      <w:r w:rsidR="00913C96" w:rsidRPr="005169B8">
        <w:rPr>
          <w:sz w:val="24"/>
          <w:szCs w:val="24"/>
        </w:rPr>
        <w:t xml:space="preserve">tate sanctioned military activity </w:t>
      </w:r>
      <w:r w:rsidR="00E86446" w:rsidRPr="005169B8">
        <w:rPr>
          <w:sz w:val="24"/>
          <w:szCs w:val="24"/>
        </w:rPr>
        <w:t>was</w:t>
      </w:r>
      <w:r w:rsidR="00913C96" w:rsidRPr="005169B8">
        <w:rPr>
          <w:sz w:val="24"/>
          <w:szCs w:val="24"/>
        </w:rPr>
        <w:t xml:space="preserve"> carried out to influence </w:t>
      </w:r>
      <w:r w:rsidR="00273054" w:rsidRPr="005169B8">
        <w:rPr>
          <w:sz w:val="24"/>
          <w:szCs w:val="24"/>
        </w:rPr>
        <w:t>an</w:t>
      </w:r>
      <w:r w:rsidR="00913C96" w:rsidRPr="005169B8">
        <w:rPr>
          <w:sz w:val="24"/>
          <w:szCs w:val="24"/>
        </w:rPr>
        <w:t xml:space="preserve">other government, it </w:t>
      </w:r>
      <w:r w:rsidR="00273054" w:rsidRPr="005169B8">
        <w:rPr>
          <w:sz w:val="24"/>
          <w:szCs w:val="24"/>
        </w:rPr>
        <w:t>c</w:t>
      </w:r>
      <w:r w:rsidR="004F4FE5" w:rsidRPr="005169B8">
        <w:rPr>
          <w:sz w:val="24"/>
          <w:szCs w:val="24"/>
        </w:rPr>
        <w:t xml:space="preserve">ould fall under the definition of terrorism. Although they do accept that this concept is </w:t>
      </w:r>
      <w:r w:rsidR="00273054" w:rsidRPr="005169B8">
        <w:rPr>
          <w:sz w:val="24"/>
          <w:szCs w:val="24"/>
        </w:rPr>
        <w:t>only</w:t>
      </w:r>
      <w:r w:rsidR="004F4FE5" w:rsidRPr="005169B8">
        <w:rPr>
          <w:sz w:val="24"/>
          <w:szCs w:val="24"/>
        </w:rPr>
        <w:t xml:space="preserve"> accepted by considering </w:t>
      </w:r>
      <w:r w:rsidR="00273054" w:rsidRPr="005169B8">
        <w:rPr>
          <w:sz w:val="24"/>
          <w:szCs w:val="24"/>
        </w:rPr>
        <w:t>the meaning of terrorism</w:t>
      </w:r>
      <w:r w:rsidR="004F4FE5" w:rsidRPr="005169B8">
        <w:rPr>
          <w:sz w:val="24"/>
          <w:szCs w:val="24"/>
        </w:rPr>
        <w:t>, it reinforces the view that with a definition so vast</w:t>
      </w:r>
      <w:r w:rsidR="00273054" w:rsidRPr="005169B8">
        <w:rPr>
          <w:sz w:val="24"/>
          <w:szCs w:val="24"/>
        </w:rPr>
        <w:t xml:space="preserve"> certain</w:t>
      </w:r>
      <w:r w:rsidR="004F4FE5" w:rsidRPr="005169B8">
        <w:rPr>
          <w:sz w:val="24"/>
          <w:szCs w:val="24"/>
        </w:rPr>
        <w:t xml:space="preserve"> activities such as </w:t>
      </w:r>
      <w:r w:rsidRPr="005169B8">
        <w:rPr>
          <w:sz w:val="24"/>
          <w:szCs w:val="24"/>
        </w:rPr>
        <w:t>acting in self-defence</w:t>
      </w:r>
      <w:r w:rsidR="004F4FE5" w:rsidRPr="005169B8">
        <w:rPr>
          <w:sz w:val="24"/>
          <w:szCs w:val="24"/>
        </w:rPr>
        <w:t xml:space="preserve"> </w:t>
      </w:r>
      <w:r w:rsidR="00D448E1" w:rsidRPr="005169B8">
        <w:rPr>
          <w:sz w:val="24"/>
          <w:szCs w:val="24"/>
        </w:rPr>
        <w:t>against</w:t>
      </w:r>
      <w:r w:rsidR="004F4FE5" w:rsidRPr="005169B8">
        <w:rPr>
          <w:sz w:val="24"/>
          <w:szCs w:val="24"/>
        </w:rPr>
        <w:t xml:space="preserve"> an oppressive regime or even public</w:t>
      </w:r>
      <w:r w:rsidR="00273054" w:rsidRPr="005169B8">
        <w:rPr>
          <w:sz w:val="24"/>
          <w:szCs w:val="24"/>
        </w:rPr>
        <w:t>ly</w:t>
      </w:r>
      <w:r w:rsidR="004F4FE5" w:rsidRPr="005169B8">
        <w:rPr>
          <w:sz w:val="24"/>
          <w:szCs w:val="24"/>
        </w:rPr>
        <w:t xml:space="preserve"> support</w:t>
      </w:r>
      <w:r w:rsidR="00273054" w:rsidRPr="005169B8">
        <w:rPr>
          <w:sz w:val="24"/>
          <w:szCs w:val="24"/>
        </w:rPr>
        <w:t>ing</w:t>
      </w:r>
      <w:r w:rsidR="004F4FE5" w:rsidRPr="005169B8">
        <w:rPr>
          <w:sz w:val="24"/>
          <w:szCs w:val="24"/>
        </w:rPr>
        <w:t xml:space="preserve"> </w:t>
      </w:r>
      <w:r w:rsidR="00273054" w:rsidRPr="005169B8">
        <w:rPr>
          <w:sz w:val="24"/>
          <w:szCs w:val="24"/>
        </w:rPr>
        <w:t>said</w:t>
      </w:r>
      <w:r w:rsidR="004F4FE5" w:rsidRPr="005169B8">
        <w:rPr>
          <w:sz w:val="24"/>
          <w:szCs w:val="24"/>
        </w:rPr>
        <w:t xml:space="preserve"> rebellion</w:t>
      </w:r>
      <w:r w:rsidR="00273054" w:rsidRPr="005169B8">
        <w:rPr>
          <w:sz w:val="24"/>
          <w:szCs w:val="24"/>
        </w:rPr>
        <w:t xml:space="preserve"> could be classed as acts of terrorism</w:t>
      </w:r>
      <w:r w:rsidR="00913C96" w:rsidRPr="005169B8">
        <w:rPr>
          <w:sz w:val="24"/>
          <w:szCs w:val="24"/>
        </w:rPr>
        <w:t xml:space="preserve">. </w:t>
      </w:r>
      <w:r w:rsidR="001355A4" w:rsidRPr="005169B8">
        <w:rPr>
          <w:sz w:val="24"/>
          <w:szCs w:val="24"/>
        </w:rPr>
        <w:t>Th</w:t>
      </w:r>
      <w:r w:rsidR="004315E8" w:rsidRPr="005169B8">
        <w:rPr>
          <w:sz w:val="24"/>
          <w:szCs w:val="24"/>
        </w:rPr>
        <w:t>is p</w:t>
      </w:r>
      <w:r w:rsidR="001355A4" w:rsidRPr="005169B8">
        <w:rPr>
          <w:sz w:val="24"/>
          <w:szCs w:val="24"/>
        </w:rPr>
        <w:t xml:space="preserve">oint is further supported by Fenwick, who argues </w:t>
      </w:r>
      <w:r w:rsidR="004315E8" w:rsidRPr="005169B8">
        <w:rPr>
          <w:sz w:val="24"/>
          <w:szCs w:val="24"/>
        </w:rPr>
        <w:t xml:space="preserve">that </w:t>
      </w:r>
      <w:r w:rsidR="001355A4" w:rsidRPr="005169B8">
        <w:rPr>
          <w:sz w:val="24"/>
          <w:szCs w:val="24"/>
        </w:rPr>
        <w:t>“use of violence by civilians against an invade</w:t>
      </w:r>
      <w:r w:rsidR="004315E8" w:rsidRPr="005169B8">
        <w:rPr>
          <w:sz w:val="24"/>
          <w:szCs w:val="24"/>
        </w:rPr>
        <w:t>r…</w:t>
      </w:r>
      <w:r w:rsidR="001355A4" w:rsidRPr="005169B8">
        <w:rPr>
          <w:sz w:val="24"/>
          <w:szCs w:val="24"/>
        </w:rPr>
        <w:t xml:space="preserve"> thus label all resistance movements terrorist groups</w:t>
      </w:r>
      <w:r w:rsidR="00682326" w:rsidRPr="005169B8">
        <w:rPr>
          <w:sz w:val="24"/>
          <w:szCs w:val="24"/>
        </w:rPr>
        <w:t>; they potentially cover almost all liberation movements, whether or not fighting against an undemocratic regime which does not respect human rights</w:t>
      </w:r>
      <w:r w:rsidR="004315E8" w:rsidRPr="005169B8">
        <w:rPr>
          <w:sz w:val="24"/>
          <w:szCs w:val="24"/>
        </w:rPr>
        <w:t>.</w:t>
      </w:r>
      <w:r w:rsidR="00682326" w:rsidRPr="005169B8">
        <w:rPr>
          <w:sz w:val="24"/>
          <w:szCs w:val="24"/>
        </w:rPr>
        <w:t>”</w:t>
      </w:r>
      <w:r w:rsidR="0014268B" w:rsidRPr="005169B8">
        <w:rPr>
          <w:rStyle w:val="FootnoteReference"/>
          <w:sz w:val="24"/>
          <w:szCs w:val="24"/>
        </w:rPr>
        <w:footnoteReference w:id="17"/>
      </w:r>
      <w:r w:rsidR="00273054" w:rsidRPr="005169B8">
        <w:rPr>
          <w:sz w:val="24"/>
          <w:szCs w:val="24"/>
        </w:rPr>
        <w:t xml:space="preserve"> </w:t>
      </w:r>
      <w:r w:rsidR="00D448E1" w:rsidRPr="005169B8">
        <w:rPr>
          <w:sz w:val="24"/>
          <w:szCs w:val="24"/>
        </w:rPr>
        <w:t xml:space="preserve"> </w:t>
      </w:r>
    </w:p>
    <w:p w14:paraId="02EE2238" w14:textId="17680E23" w:rsidR="00CB650A" w:rsidRPr="005169B8" w:rsidRDefault="00CB650A" w:rsidP="005169B8">
      <w:pPr>
        <w:spacing w:line="360" w:lineRule="auto"/>
        <w:jc w:val="center"/>
        <w:rPr>
          <w:sz w:val="24"/>
          <w:szCs w:val="24"/>
        </w:rPr>
      </w:pPr>
    </w:p>
    <w:p w14:paraId="264F36A4" w14:textId="282E9BA5" w:rsidR="0072021A" w:rsidRDefault="0072021A" w:rsidP="005169B8">
      <w:pPr>
        <w:spacing w:line="360" w:lineRule="auto"/>
        <w:jc w:val="center"/>
        <w:rPr>
          <w:b/>
          <w:sz w:val="24"/>
          <w:szCs w:val="24"/>
        </w:rPr>
      </w:pPr>
      <w:r w:rsidRPr="005169B8">
        <w:rPr>
          <w:b/>
          <w:sz w:val="24"/>
          <w:szCs w:val="24"/>
        </w:rPr>
        <w:t>The process of proscription and deproscription</w:t>
      </w:r>
    </w:p>
    <w:p w14:paraId="1F15E0D6" w14:textId="77777777" w:rsidR="005169B8" w:rsidRPr="005169B8" w:rsidRDefault="005169B8" w:rsidP="005169B8">
      <w:pPr>
        <w:spacing w:line="360" w:lineRule="auto"/>
        <w:jc w:val="both"/>
        <w:rPr>
          <w:b/>
          <w:sz w:val="24"/>
          <w:szCs w:val="24"/>
        </w:rPr>
      </w:pPr>
    </w:p>
    <w:p w14:paraId="3A7F778D" w14:textId="626659B3" w:rsidR="006213D4" w:rsidRDefault="00176AF8" w:rsidP="005169B8">
      <w:pPr>
        <w:spacing w:line="360" w:lineRule="auto"/>
        <w:jc w:val="both"/>
        <w:rPr>
          <w:sz w:val="24"/>
          <w:szCs w:val="24"/>
        </w:rPr>
      </w:pPr>
      <w:r w:rsidRPr="005169B8">
        <w:rPr>
          <w:sz w:val="24"/>
          <w:szCs w:val="24"/>
        </w:rPr>
        <w:t>Tim Legrand gave a direct explanation of the weight of the power given to the Home Secretary by s</w:t>
      </w:r>
      <w:r w:rsidR="00AA5C07" w:rsidRPr="005169B8">
        <w:rPr>
          <w:sz w:val="24"/>
          <w:szCs w:val="24"/>
        </w:rPr>
        <w:t xml:space="preserve">.3 </w:t>
      </w:r>
      <w:r w:rsidR="00BB3EE0" w:rsidRPr="005169B8">
        <w:rPr>
          <w:sz w:val="24"/>
          <w:szCs w:val="24"/>
        </w:rPr>
        <w:t>stating that</w:t>
      </w:r>
      <w:r w:rsidRPr="005169B8">
        <w:rPr>
          <w:sz w:val="24"/>
          <w:szCs w:val="24"/>
        </w:rPr>
        <w:t xml:space="preserve"> “proscription regimes require political executives to successfully narrate the existence of an identifiable and coherent organisation committed to a discernible, and illegitimate, political motive”</w:t>
      </w:r>
      <w:r w:rsidR="00C3724B" w:rsidRPr="005169B8">
        <w:rPr>
          <w:rStyle w:val="FootnoteReference"/>
          <w:sz w:val="24"/>
          <w:szCs w:val="24"/>
        </w:rPr>
        <w:footnoteReference w:id="18"/>
      </w:r>
      <w:r w:rsidRPr="005169B8">
        <w:rPr>
          <w:sz w:val="24"/>
          <w:szCs w:val="24"/>
        </w:rPr>
        <w:t xml:space="preserve">. </w:t>
      </w:r>
      <w:r w:rsidR="00333478" w:rsidRPr="005169B8">
        <w:rPr>
          <w:sz w:val="24"/>
          <w:szCs w:val="24"/>
        </w:rPr>
        <w:t xml:space="preserve">Aside from </w:t>
      </w:r>
      <w:r w:rsidR="007D5CD0" w:rsidRPr="005169B8">
        <w:rPr>
          <w:sz w:val="24"/>
          <w:szCs w:val="24"/>
        </w:rPr>
        <w:t>s.3</w:t>
      </w:r>
      <w:r w:rsidR="00333478" w:rsidRPr="005169B8">
        <w:rPr>
          <w:sz w:val="24"/>
          <w:szCs w:val="24"/>
        </w:rPr>
        <w:t xml:space="preserve"> of the Terrorism Act 2000 giving power to the </w:t>
      </w:r>
      <w:r w:rsidR="00A2178A" w:rsidRPr="005169B8">
        <w:rPr>
          <w:sz w:val="24"/>
          <w:szCs w:val="24"/>
        </w:rPr>
        <w:t>H</w:t>
      </w:r>
      <w:r w:rsidR="00333478" w:rsidRPr="005169B8">
        <w:rPr>
          <w:sz w:val="24"/>
          <w:szCs w:val="24"/>
        </w:rPr>
        <w:t xml:space="preserve">ome </w:t>
      </w:r>
      <w:r w:rsidR="00A2178A" w:rsidRPr="005169B8">
        <w:rPr>
          <w:sz w:val="24"/>
          <w:szCs w:val="24"/>
        </w:rPr>
        <w:t>S</w:t>
      </w:r>
      <w:r w:rsidR="00333478" w:rsidRPr="005169B8">
        <w:rPr>
          <w:sz w:val="24"/>
          <w:szCs w:val="24"/>
        </w:rPr>
        <w:t xml:space="preserve">ecretary to add a terrorist organisation to </w:t>
      </w:r>
      <w:r w:rsidR="007D5CD0" w:rsidRPr="005169B8">
        <w:rPr>
          <w:sz w:val="24"/>
          <w:szCs w:val="24"/>
        </w:rPr>
        <w:t>S</w:t>
      </w:r>
      <w:r w:rsidR="00333478" w:rsidRPr="005169B8">
        <w:rPr>
          <w:sz w:val="24"/>
          <w:szCs w:val="24"/>
        </w:rPr>
        <w:t xml:space="preserve">chedule </w:t>
      </w:r>
      <w:r w:rsidR="007D5CD0" w:rsidRPr="005169B8">
        <w:rPr>
          <w:sz w:val="24"/>
          <w:szCs w:val="24"/>
        </w:rPr>
        <w:t>2</w:t>
      </w:r>
      <w:r w:rsidR="00333478" w:rsidRPr="005169B8">
        <w:rPr>
          <w:sz w:val="24"/>
          <w:szCs w:val="24"/>
        </w:rPr>
        <w:t xml:space="preserve"> of the </w:t>
      </w:r>
      <w:r w:rsidR="007D5CD0" w:rsidRPr="005169B8">
        <w:rPr>
          <w:sz w:val="24"/>
          <w:szCs w:val="24"/>
        </w:rPr>
        <w:t>A</w:t>
      </w:r>
      <w:r w:rsidR="00333478" w:rsidRPr="005169B8">
        <w:rPr>
          <w:sz w:val="24"/>
          <w:szCs w:val="24"/>
        </w:rPr>
        <w:t>ct, it also gives guidelines as</w:t>
      </w:r>
      <w:r w:rsidR="00B87957" w:rsidRPr="005169B8">
        <w:rPr>
          <w:sz w:val="24"/>
          <w:szCs w:val="24"/>
        </w:rPr>
        <w:t xml:space="preserve"> to what warrants being put on the register.</w:t>
      </w:r>
      <w:r w:rsidR="00F06218" w:rsidRPr="005169B8">
        <w:rPr>
          <w:sz w:val="24"/>
          <w:szCs w:val="24"/>
        </w:rPr>
        <w:t xml:space="preserve"> </w:t>
      </w:r>
      <w:r w:rsidR="007D5CD0" w:rsidRPr="005169B8">
        <w:rPr>
          <w:sz w:val="24"/>
          <w:szCs w:val="24"/>
        </w:rPr>
        <w:t>S.3(5)</w:t>
      </w:r>
      <w:r w:rsidR="00DA3072" w:rsidRPr="005169B8">
        <w:rPr>
          <w:rStyle w:val="FootnoteReference"/>
          <w:sz w:val="24"/>
          <w:szCs w:val="24"/>
        </w:rPr>
        <w:footnoteReference w:id="19"/>
      </w:r>
      <w:r w:rsidR="00F06218" w:rsidRPr="005169B8">
        <w:rPr>
          <w:sz w:val="24"/>
          <w:szCs w:val="24"/>
        </w:rPr>
        <w:t xml:space="preserve"> outlines four criteria which indicate </w:t>
      </w:r>
      <w:r w:rsidR="00A55B2E" w:rsidRPr="005169B8">
        <w:rPr>
          <w:sz w:val="24"/>
          <w:szCs w:val="24"/>
        </w:rPr>
        <w:t>a group</w:t>
      </w:r>
      <w:r w:rsidR="00F06218" w:rsidRPr="005169B8">
        <w:rPr>
          <w:sz w:val="24"/>
          <w:szCs w:val="24"/>
        </w:rPr>
        <w:t xml:space="preserve"> </w:t>
      </w:r>
      <w:r w:rsidR="00A2178A" w:rsidRPr="005169B8">
        <w:rPr>
          <w:sz w:val="24"/>
          <w:szCs w:val="24"/>
        </w:rPr>
        <w:t>is “concerned</w:t>
      </w:r>
      <w:r w:rsidR="00653A9F" w:rsidRPr="005169B8">
        <w:rPr>
          <w:sz w:val="24"/>
          <w:szCs w:val="24"/>
        </w:rPr>
        <w:t xml:space="preserve"> in terrorism”</w:t>
      </w:r>
      <w:r w:rsidR="00A2178A" w:rsidRPr="005169B8">
        <w:rPr>
          <w:sz w:val="24"/>
          <w:szCs w:val="24"/>
        </w:rPr>
        <w:t>;</w:t>
      </w:r>
      <w:r w:rsidR="00F06218" w:rsidRPr="005169B8">
        <w:rPr>
          <w:sz w:val="24"/>
          <w:szCs w:val="24"/>
        </w:rPr>
        <w:t xml:space="preserve"> they consist of “(a)Commits </w:t>
      </w:r>
      <w:r w:rsidR="00653A9F" w:rsidRPr="005169B8">
        <w:rPr>
          <w:sz w:val="24"/>
          <w:szCs w:val="24"/>
        </w:rPr>
        <w:t>or participates in acts of terrorism, (b) prepares for terrorism, (c) promotes or encourages terrorism, or (d) is otherwise concerned in terrorism”</w:t>
      </w:r>
      <w:r w:rsidR="00DA3072" w:rsidRPr="005169B8">
        <w:rPr>
          <w:rStyle w:val="FootnoteReference"/>
          <w:sz w:val="24"/>
          <w:szCs w:val="24"/>
        </w:rPr>
        <w:footnoteReference w:id="20"/>
      </w:r>
      <w:r w:rsidRPr="005169B8">
        <w:rPr>
          <w:sz w:val="24"/>
          <w:szCs w:val="24"/>
        </w:rPr>
        <w:t xml:space="preserve"> </w:t>
      </w:r>
      <w:r w:rsidR="00A2178A" w:rsidRPr="005169B8">
        <w:rPr>
          <w:sz w:val="24"/>
          <w:szCs w:val="24"/>
        </w:rPr>
        <w:t>. T</w:t>
      </w:r>
      <w:r w:rsidRPr="005169B8">
        <w:rPr>
          <w:sz w:val="24"/>
          <w:szCs w:val="24"/>
        </w:rPr>
        <w:t xml:space="preserve">he Terrorism Act 2006 went on to further expand the definition on part </w:t>
      </w:r>
      <w:r w:rsidR="007D5CD0" w:rsidRPr="005169B8">
        <w:rPr>
          <w:sz w:val="24"/>
          <w:szCs w:val="24"/>
        </w:rPr>
        <w:t>(</w:t>
      </w:r>
      <w:r w:rsidRPr="005169B8">
        <w:rPr>
          <w:sz w:val="24"/>
          <w:szCs w:val="24"/>
        </w:rPr>
        <w:t>c</w:t>
      </w:r>
      <w:r w:rsidR="007D5CD0" w:rsidRPr="005169B8">
        <w:rPr>
          <w:sz w:val="24"/>
          <w:szCs w:val="24"/>
        </w:rPr>
        <w:t>)</w:t>
      </w:r>
      <w:r w:rsidRPr="005169B8">
        <w:rPr>
          <w:sz w:val="24"/>
          <w:szCs w:val="24"/>
        </w:rPr>
        <w:t xml:space="preserve"> to include the “unlawful glorification” of terrorism</w:t>
      </w:r>
      <w:r w:rsidR="00A2178A" w:rsidRPr="005169B8">
        <w:rPr>
          <w:sz w:val="24"/>
          <w:szCs w:val="24"/>
        </w:rPr>
        <w:t>. T</w:t>
      </w:r>
      <w:r w:rsidR="00CD5BFA" w:rsidRPr="005169B8">
        <w:rPr>
          <w:sz w:val="24"/>
          <w:szCs w:val="24"/>
        </w:rPr>
        <w:t>here are 88 proscribed groups</w:t>
      </w:r>
      <w:r w:rsidR="00852F59" w:rsidRPr="005169B8">
        <w:rPr>
          <w:rStyle w:val="FootnoteReference"/>
          <w:sz w:val="24"/>
          <w:szCs w:val="24"/>
        </w:rPr>
        <w:footnoteReference w:id="21"/>
      </w:r>
      <w:r w:rsidR="00CD5BFA" w:rsidRPr="005169B8">
        <w:rPr>
          <w:sz w:val="24"/>
          <w:szCs w:val="24"/>
        </w:rPr>
        <w:t xml:space="preserve"> which fulfil the </w:t>
      </w:r>
      <w:r w:rsidR="00CD5BFA" w:rsidRPr="005169B8">
        <w:rPr>
          <w:sz w:val="24"/>
          <w:szCs w:val="24"/>
        </w:rPr>
        <w:lastRenderedPageBreak/>
        <w:t>criteria of being a proscribed organisation, 14 relating to Irish Terrorism while</w:t>
      </w:r>
      <w:r w:rsidR="00A2178A" w:rsidRPr="005169B8">
        <w:rPr>
          <w:sz w:val="24"/>
          <w:szCs w:val="24"/>
        </w:rPr>
        <w:t xml:space="preserve"> the 74 others are </w:t>
      </w:r>
      <w:r w:rsidR="00CD5BFA" w:rsidRPr="005169B8">
        <w:rPr>
          <w:sz w:val="24"/>
          <w:szCs w:val="24"/>
        </w:rPr>
        <w:t>international terrorist organisations</w:t>
      </w:r>
      <w:r w:rsidR="005F416B" w:rsidRPr="005169B8">
        <w:rPr>
          <w:sz w:val="24"/>
          <w:szCs w:val="24"/>
        </w:rPr>
        <w:t>.</w:t>
      </w:r>
      <w:r w:rsidR="00173541" w:rsidRPr="005169B8">
        <w:rPr>
          <w:sz w:val="24"/>
          <w:szCs w:val="24"/>
        </w:rPr>
        <w:t xml:space="preserve"> The power of proscription is given to the </w:t>
      </w:r>
      <w:r w:rsidR="00A2178A" w:rsidRPr="005169B8">
        <w:rPr>
          <w:sz w:val="24"/>
          <w:szCs w:val="24"/>
        </w:rPr>
        <w:t>H</w:t>
      </w:r>
      <w:r w:rsidR="00173541" w:rsidRPr="005169B8">
        <w:rPr>
          <w:sz w:val="24"/>
          <w:szCs w:val="24"/>
        </w:rPr>
        <w:t xml:space="preserve">ome </w:t>
      </w:r>
      <w:r w:rsidR="00A2178A" w:rsidRPr="005169B8">
        <w:rPr>
          <w:sz w:val="24"/>
          <w:szCs w:val="24"/>
        </w:rPr>
        <w:t>S</w:t>
      </w:r>
      <w:r w:rsidR="00173541" w:rsidRPr="005169B8">
        <w:rPr>
          <w:sz w:val="24"/>
          <w:szCs w:val="24"/>
        </w:rPr>
        <w:t>ecretary, however, there is no need for there to be a reasonable belief</w:t>
      </w:r>
      <w:r w:rsidR="007D5CD0" w:rsidRPr="005169B8">
        <w:rPr>
          <w:sz w:val="24"/>
          <w:szCs w:val="24"/>
        </w:rPr>
        <w:t xml:space="preserve"> and</w:t>
      </w:r>
      <w:r w:rsidR="00173541" w:rsidRPr="005169B8">
        <w:rPr>
          <w:sz w:val="24"/>
          <w:szCs w:val="24"/>
        </w:rPr>
        <w:t xml:space="preserve"> </w:t>
      </w:r>
      <w:r w:rsidR="00744A44" w:rsidRPr="005169B8">
        <w:rPr>
          <w:sz w:val="24"/>
          <w:szCs w:val="24"/>
        </w:rPr>
        <w:t>it remains a</w:t>
      </w:r>
      <w:r w:rsidR="00AD6819" w:rsidRPr="005169B8">
        <w:rPr>
          <w:sz w:val="24"/>
          <w:szCs w:val="24"/>
        </w:rPr>
        <w:t xml:space="preserve"> </w:t>
      </w:r>
      <w:r w:rsidR="00744A44" w:rsidRPr="005169B8">
        <w:rPr>
          <w:sz w:val="24"/>
          <w:szCs w:val="24"/>
        </w:rPr>
        <w:t>subjective</w:t>
      </w:r>
      <w:r w:rsidR="00AD6819" w:rsidRPr="005169B8">
        <w:rPr>
          <w:sz w:val="24"/>
          <w:szCs w:val="24"/>
        </w:rPr>
        <w:t xml:space="preserve"> process at </w:t>
      </w:r>
      <w:r w:rsidR="00A2178A" w:rsidRPr="005169B8">
        <w:rPr>
          <w:sz w:val="24"/>
          <w:szCs w:val="24"/>
        </w:rPr>
        <w:t xml:space="preserve">his </w:t>
      </w:r>
      <w:r w:rsidR="00AD6819" w:rsidRPr="005169B8">
        <w:rPr>
          <w:sz w:val="24"/>
          <w:szCs w:val="24"/>
        </w:rPr>
        <w:t>discretion</w:t>
      </w:r>
      <w:r w:rsidR="00744A44" w:rsidRPr="005169B8">
        <w:rPr>
          <w:sz w:val="24"/>
          <w:szCs w:val="24"/>
        </w:rPr>
        <w:t xml:space="preserve"> with</w:t>
      </w:r>
      <w:r w:rsidR="00A2178A" w:rsidRPr="005169B8">
        <w:rPr>
          <w:sz w:val="24"/>
          <w:szCs w:val="24"/>
        </w:rPr>
        <w:t xml:space="preserve"> little involvement from the</w:t>
      </w:r>
      <w:r w:rsidR="00744A44" w:rsidRPr="005169B8">
        <w:rPr>
          <w:sz w:val="24"/>
          <w:szCs w:val="24"/>
        </w:rPr>
        <w:t xml:space="preserve"> executive. </w:t>
      </w:r>
      <w:r w:rsidR="006213D4" w:rsidRPr="005169B8">
        <w:rPr>
          <w:sz w:val="24"/>
          <w:szCs w:val="24"/>
        </w:rPr>
        <w:t>The phrase “concern in terrorism”</w:t>
      </w:r>
      <w:r w:rsidR="00E23B96" w:rsidRPr="005169B8">
        <w:rPr>
          <w:rStyle w:val="FootnoteReference"/>
          <w:sz w:val="24"/>
          <w:szCs w:val="24"/>
        </w:rPr>
        <w:footnoteReference w:id="22"/>
      </w:r>
      <w:r w:rsidR="006213D4" w:rsidRPr="005169B8">
        <w:rPr>
          <w:sz w:val="24"/>
          <w:szCs w:val="24"/>
        </w:rPr>
        <w:t xml:space="preserve"> opens the definition up to a level of uncertainty</w:t>
      </w:r>
      <w:r w:rsidR="007D5CD0" w:rsidRPr="005169B8">
        <w:rPr>
          <w:sz w:val="24"/>
          <w:szCs w:val="24"/>
        </w:rPr>
        <w:t>,</w:t>
      </w:r>
      <w:r w:rsidR="006213D4" w:rsidRPr="005169B8">
        <w:rPr>
          <w:sz w:val="24"/>
          <w:szCs w:val="24"/>
        </w:rPr>
        <w:t xml:space="preserve"> as who could fall under </w:t>
      </w:r>
      <w:r w:rsidR="007D5CD0" w:rsidRPr="005169B8">
        <w:rPr>
          <w:sz w:val="24"/>
          <w:szCs w:val="24"/>
        </w:rPr>
        <w:t>s.1’s</w:t>
      </w:r>
      <w:r w:rsidR="00D74673" w:rsidRPr="005169B8">
        <w:rPr>
          <w:sz w:val="24"/>
          <w:szCs w:val="24"/>
        </w:rPr>
        <w:t xml:space="preserve"> definition of a terrorist. </w:t>
      </w:r>
      <w:r w:rsidR="00A2178A" w:rsidRPr="005169B8">
        <w:rPr>
          <w:sz w:val="24"/>
          <w:szCs w:val="24"/>
        </w:rPr>
        <w:t>T</w:t>
      </w:r>
      <w:r w:rsidR="00D74673" w:rsidRPr="005169B8">
        <w:rPr>
          <w:sz w:val="24"/>
          <w:szCs w:val="24"/>
        </w:rPr>
        <w:t>his point is argued by both Davis and Fenwick, who claimed that because of the phrase “the definition of terrorism is extended because a range of people become terrorist sub</w:t>
      </w:r>
      <w:r w:rsidR="00374E99" w:rsidRPr="005169B8">
        <w:rPr>
          <w:sz w:val="24"/>
          <w:szCs w:val="24"/>
        </w:rPr>
        <w:t>j</w:t>
      </w:r>
      <w:r w:rsidR="00D74673" w:rsidRPr="005169B8">
        <w:rPr>
          <w:sz w:val="24"/>
          <w:szCs w:val="24"/>
        </w:rPr>
        <w:t>ects”</w:t>
      </w:r>
      <w:r w:rsidR="00D74673" w:rsidRPr="005169B8">
        <w:rPr>
          <w:rStyle w:val="FootnoteReference"/>
          <w:sz w:val="24"/>
          <w:szCs w:val="24"/>
        </w:rPr>
        <w:footnoteReference w:id="23"/>
      </w:r>
      <w:r w:rsidR="00A2178A" w:rsidRPr="005169B8">
        <w:rPr>
          <w:sz w:val="24"/>
          <w:szCs w:val="24"/>
        </w:rPr>
        <w:t>.</w:t>
      </w:r>
      <w:r w:rsidR="00D74673" w:rsidRPr="005169B8">
        <w:rPr>
          <w:sz w:val="24"/>
          <w:szCs w:val="24"/>
        </w:rPr>
        <w:t xml:space="preserve"> This, in turn has the potential to open the definition to scrutiny as well as have the potential to violate </w:t>
      </w:r>
      <w:r w:rsidR="007D5CD0" w:rsidRPr="005169B8">
        <w:rPr>
          <w:sz w:val="24"/>
          <w:szCs w:val="24"/>
        </w:rPr>
        <w:t>A</w:t>
      </w:r>
      <w:r w:rsidR="00D74673" w:rsidRPr="005169B8">
        <w:rPr>
          <w:sz w:val="24"/>
          <w:szCs w:val="24"/>
        </w:rPr>
        <w:t>rticle 11</w:t>
      </w:r>
      <w:r w:rsidR="00A93C63" w:rsidRPr="005169B8">
        <w:rPr>
          <w:rStyle w:val="FootnoteReference"/>
          <w:sz w:val="24"/>
          <w:szCs w:val="24"/>
        </w:rPr>
        <w:footnoteReference w:id="24"/>
      </w:r>
      <w:r w:rsidR="00D74673" w:rsidRPr="005169B8">
        <w:rPr>
          <w:sz w:val="24"/>
          <w:szCs w:val="24"/>
        </w:rPr>
        <w:t xml:space="preserve"> (</w:t>
      </w:r>
      <w:r w:rsidR="00A2178A" w:rsidRPr="005169B8">
        <w:rPr>
          <w:sz w:val="24"/>
          <w:szCs w:val="24"/>
        </w:rPr>
        <w:t>f</w:t>
      </w:r>
      <w:r w:rsidR="00D74673" w:rsidRPr="005169B8">
        <w:rPr>
          <w:sz w:val="24"/>
          <w:szCs w:val="24"/>
        </w:rPr>
        <w:t xml:space="preserve">reedom of association) of the </w:t>
      </w:r>
      <w:r w:rsidR="00775705" w:rsidRPr="005169B8">
        <w:rPr>
          <w:sz w:val="24"/>
          <w:szCs w:val="24"/>
        </w:rPr>
        <w:t>European</w:t>
      </w:r>
      <w:r w:rsidR="00A2178A" w:rsidRPr="005169B8">
        <w:rPr>
          <w:sz w:val="24"/>
          <w:szCs w:val="24"/>
        </w:rPr>
        <w:t xml:space="preserve"> Convention of Human Rights</w:t>
      </w:r>
      <w:r w:rsidR="00D74673" w:rsidRPr="005169B8">
        <w:rPr>
          <w:sz w:val="24"/>
          <w:szCs w:val="24"/>
        </w:rPr>
        <w:t xml:space="preserve">. </w:t>
      </w:r>
      <w:r w:rsidR="00E23B96" w:rsidRPr="005169B8">
        <w:rPr>
          <w:sz w:val="24"/>
          <w:szCs w:val="24"/>
        </w:rPr>
        <w:t xml:space="preserve">In the case of </w:t>
      </w:r>
      <w:r w:rsidR="00E23B96" w:rsidRPr="005169B8">
        <w:rPr>
          <w:i/>
          <w:sz w:val="24"/>
          <w:szCs w:val="24"/>
        </w:rPr>
        <w:t>O’</w:t>
      </w:r>
      <w:r w:rsidR="00775705" w:rsidRPr="005169B8">
        <w:rPr>
          <w:i/>
          <w:sz w:val="24"/>
          <w:szCs w:val="24"/>
        </w:rPr>
        <w:t>D</w:t>
      </w:r>
      <w:r w:rsidR="00E23B96" w:rsidRPr="005169B8">
        <w:rPr>
          <w:i/>
          <w:sz w:val="24"/>
          <w:szCs w:val="24"/>
        </w:rPr>
        <w:t xml:space="preserve">riscoll vs </w:t>
      </w:r>
      <w:r w:rsidR="00775705" w:rsidRPr="005169B8">
        <w:rPr>
          <w:i/>
          <w:sz w:val="24"/>
          <w:szCs w:val="24"/>
        </w:rPr>
        <w:t>S</w:t>
      </w:r>
      <w:r w:rsidR="00E23B96" w:rsidRPr="005169B8">
        <w:rPr>
          <w:i/>
          <w:sz w:val="24"/>
          <w:szCs w:val="24"/>
        </w:rPr>
        <w:t xml:space="preserve">ecretary of </w:t>
      </w:r>
      <w:r w:rsidR="00775705" w:rsidRPr="005169B8">
        <w:rPr>
          <w:i/>
          <w:sz w:val="24"/>
          <w:szCs w:val="24"/>
        </w:rPr>
        <w:t>S</w:t>
      </w:r>
      <w:r w:rsidR="00E23B96" w:rsidRPr="005169B8">
        <w:rPr>
          <w:i/>
          <w:sz w:val="24"/>
          <w:szCs w:val="24"/>
        </w:rPr>
        <w:t xml:space="preserve">tate for the </w:t>
      </w:r>
      <w:r w:rsidR="00775705" w:rsidRPr="005169B8">
        <w:rPr>
          <w:i/>
          <w:sz w:val="24"/>
          <w:szCs w:val="24"/>
        </w:rPr>
        <w:t>H</w:t>
      </w:r>
      <w:r w:rsidR="00E23B96" w:rsidRPr="005169B8">
        <w:rPr>
          <w:i/>
          <w:sz w:val="24"/>
          <w:szCs w:val="24"/>
        </w:rPr>
        <w:t xml:space="preserve">ome </w:t>
      </w:r>
      <w:r w:rsidR="00775705" w:rsidRPr="005169B8">
        <w:rPr>
          <w:i/>
          <w:sz w:val="24"/>
          <w:szCs w:val="24"/>
        </w:rPr>
        <w:t>D</w:t>
      </w:r>
      <w:r w:rsidR="00E23B96" w:rsidRPr="005169B8">
        <w:rPr>
          <w:i/>
          <w:sz w:val="24"/>
          <w:szCs w:val="24"/>
        </w:rPr>
        <w:t>epartment</w:t>
      </w:r>
      <w:r w:rsidR="00775705" w:rsidRPr="005169B8">
        <w:rPr>
          <w:sz w:val="24"/>
          <w:szCs w:val="24"/>
        </w:rPr>
        <w:t>,</w:t>
      </w:r>
      <w:r w:rsidR="00E23B96" w:rsidRPr="005169B8">
        <w:rPr>
          <w:rStyle w:val="FootnoteReference"/>
          <w:sz w:val="24"/>
          <w:szCs w:val="24"/>
        </w:rPr>
        <w:footnoteReference w:id="25"/>
      </w:r>
      <w:r w:rsidR="00E161FD" w:rsidRPr="005169B8">
        <w:rPr>
          <w:sz w:val="24"/>
          <w:szCs w:val="24"/>
        </w:rPr>
        <w:t xml:space="preserve"> </w:t>
      </w:r>
      <w:r w:rsidR="00D83F09" w:rsidRPr="005169B8">
        <w:rPr>
          <w:sz w:val="24"/>
          <w:szCs w:val="24"/>
        </w:rPr>
        <w:t xml:space="preserve">the defendant </w:t>
      </w:r>
      <w:r w:rsidR="00E161FD" w:rsidRPr="005169B8">
        <w:rPr>
          <w:sz w:val="24"/>
          <w:szCs w:val="24"/>
        </w:rPr>
        <w:t xml:space="preserve">was arrested and detained </w:t>
      </w:r>
      <w:r w:rsidR="00775705" w:rsidRPr="005169B8">
        <w:rPr>
          <w:sz w:val="24"/>
          <w:szCs w:val="24"/>
        </w:rPr>
        <w:t xml:space="preserve">on </w:t>
      </w:r>
      <w:r w:rsidR="00E161FD" w:rsidRPr="005169B8">
        <w:rPr>
          <w:sz w:val="24"/>
          <w:szCs w:val="24"/>
        </w:rPr>
        <w:t xml:space="preserve">suspicion of committing an offence under </w:t>
      </w:r>
      <w:r w:rsidR="007D5CD0" w:rsidRPr="005169B8">
        <w:rPr>
          <w:sz w:val="24"/>
          <w:szCs w:val="24"/>
        </w:rPr>
        <w:t>s.</w:t>
      </w:r>
      <w:r w:rsidR="00085C42" w:rsidRPr="005169B8">
        <w:rPr>
          <w:sz w:val="24"/>
          <w:szCs w:val="24"/>
        </w:rPr>
        <w:t>16 of the</w:t>
      </w:r>
      <w:r w:rsidR="00E161FD" w:rsidRPr="005169B8">
        <w:rPr>
          <w:sz w:val="24"/>
          <w:szCs w:val="24"/>
        </w:rPr>
        <w:t xml:space="preserve"> </w:t>
      </w:r>
      <w:r w:rsidR="00775705" w:rsidRPr="005169B8">
        <w:rPr>
          <w:sz w:val="24"/>
          <w:szCs w:val="24"/>
        </w:rPr>
        <w:t>T</w:t>
      </w:r>
      <w:r w:rsidR="00E161FD" w:rsidRPr="005169B8">
        <w:rPr>
          <w:sz w:val="24"/>
          <w:szCs w:val="24"/>
        </w:rPr>
        <w:t xml:space="preserve">errorism </w:t>
      </w:r>
      <w:r w:rsidR="00775705" w:rsidRPr="005169B8">
        <w:rPr>
          <w:sz w:val="24"/>
          <w:szCs w:val="24"/>
        </w:rPr>
        <w:t>A</w:t>
      </w:r>
      <w:r w:rsidR="00E161FD" w:rsidRPr="005169B8">
        <w:rPr>
          <w:sz w:val="24"/>
          <w:szCs w:val="24"/>
        </w:rPr>
        <w:t xml:space="preserve">ct 2000. </w:t>
      </w:r>
      <w:r w:rsidR="00085C42" w:rsidRPr="005169B8">
        <w:rPr>
          <w:sz w:val="24"/>
          <w:szCs w:val="24"/>
        </w:rPr>
        <w:t xml:space="preserve">The courts found that </w:t>
      </w:r>
      <w:r w:rsidR="00B60F01" w:rsidRPr="005169B8">
        <w:rPr>
          <w:sz w:val="24"/>
          <w:szCs w:val="24"/>
        </w:rPr>
        <w:t>“Section 16 was not about freedom of expression but about knowingly providing money or other property to support a proscribed organisation. So long as the organisation was properly proscribed, s.16 could not be regarded as disproportionate”</w:t>
      </w:r>
      <w:r w:rsidR="00085C42" w:rsidRPr="005169B8">
        <w:rPr>
          <w:sz w:val="24"/>
          <w:szCs w:val="24"/>
        </w:rPr>
        <w:t xml:space="preserve"> therefore it was found not to infringe </w:t>
      </w:r>
      <w:r w:rsidR="007D5CD0" w:rsidRPr="005169B8">
        <w:rPr>
          <w:sz w:val="24"/>
          <w:szCs w:val="24"/>
        </w:rPr>
        <w:t>A</w:t>
      </w:r>
      <w:r w:rsidR="00085C42" w:rsidRPr="005169B8">
        <w:rPr>
          <w:sz w:val="24"/>
          <w:szCs w:val="24"/>
        </w:rPr>
        <w:t>rticle 1</w:t>
      </w:r>
      <w:r w:rsidR="00A13958" w:rsidRPr="005169B8">
        <w:rPr>
          <w:sz w:val="24"/>
          <w:szCs w:val="24"/>
        </w:rPr>
        <w:t xml:space="preserve">1 in that </w:t>
      </w:r>
      <w:r w:rsidR="00AF1F69" w:rsidRPr="005169B8">
        <w:rPr>
          <w:sz w:val="24"/>
          <w:szCs w:val="24"/>
        </w:rPr>
        <w:t xml:space="preserve">no body of government should over extend what is necessary to </w:t>
      </w:r>
      <w:r w:rsidR="005169B8">
        <w:rPr>
          <w:sz w:val="24"/>
          <w:szCs w:val="24"/>
        </w:rPr>
        <w:t>achieve their intended objective.</w:t>
      </w:r>
    </w:p>
    <w:p w14:paraId="0B8C1DAB" w14:textId="77777777" w:rsidR="005169B8" w:rsidRPr="00261ACD" w:rsidRDefault="005169B8" w:rsidP="005169B8">
      <w:pPr>
        <w:spacing w:line="360" w:lineRule="auto"/>
        <w:jc w:val="both"/>
        <w:rPr>
          <w:sz w:val="24"/>
          <w:szCs w:val="24"/>
        </w:rPr>
      </w:pPr>
    </w:p>
    <w:p w14:paraId="4047881E" w14:textId="40A3D738" w:rsidR="000E3F33" w:rsidRPr="005169B8" w:rsidRDefault="0086751C" w:rsidP="005169B8">
      <w:pPr>
        <w:spacing w:line="360" w:lineRule="auto"/>
        <w:jc w:val="both"/>
        <w:rPr>
          <w:sz w:val="24"/>
          <w:szCs w:val="24"/>
          <w:highlight w:val="yellow"/>
        </w:rPr>
      </w:pPr>
      <w:r w:rsidRPr="005169B8">
        <w:rPr>
          <w:sz w:val="24"/>
          <w:szCs w:val="24"/>
        </w:rPr>
        <w:t xml:space="preserve">If an organisation </w:t>
      </w:r>
      <w:r w:rsidR="00221A44" w:rsidRPr="005169B8">
        <w:rPr>
          <w:sz w:val="24"/>
          <w:szCs w:val="24"/>
        </w:rPr>
        <w:t xml:space="preserve">believes </w:t>
      </w:r>
      <w:r w:rsidRPr="005169B8">
        <w:rPr>
          <w:sz w:val="24"/>
          <w:szCs w:val="24"/>
        </w:rPr>
        <w:t>it has been wrongly proscribed by the Home Secretary, the</w:t>
      </w:r>
      <w:r w:rsidR="00B9149B" w:rsidRPr="005169B8">
        <w:rPr>
          <w:sz w:val="24"/>
          <w:szCs w:val="24"/>
        </w:rPr>
        <w:t>y</w:t>
      </w:r>
      <w:r w:rsidRPr="005169B8">
        <w:rPr>
          <w:sz w:val="24"/>
          <w:szCs w:val="24"/>
        </w:rPr>
        <w:t xml:space="preserve"> can appeal to be deproscribed from the list of terrorist parties. </w:t>
      </w:r>
      <w:r w:rsidR="000D288D" w:rsidRPr="005169B8">
        <w:rPr>
          <w:sz w:val="24"/>
          <w:szCs w:val="24"/>
        </w:rPr>
        <w:t xml:space="preserve">The Terrorism </w:t>
      </w:r>
      <w:r w:rsidR="00775705" w:rsidRPr="005169B8">
        <w:rPr>
          <w:sz w:val="24"/>
          <w:szCs w:val="24"/>
        </w:rPr>
        <w:t>A</w:t>
      </w:r>
      <w:r w:rsidR="000D288D" w:rsidRPr="005169B8">
        <w:rPr>
          <w:sz w:val="24"/>
          <w:szCs w:val="24"/>
        </w:rPr>
        <w:t>ct 2000 provides a mechanism to repeal an organisation, again, at the Home Secretar</w:t>
      </w:r>
      <w:r w:rsidR="00775705" w:rsidRPr="005169B8">
        <w:rPr>
          <w:sz w:val="24"/>
          <w:szCs w:val="24"/>
        </w:rPr>
        <w:t>y’s</w:t>
      </w:r>
      <w:r w:rsidR="000D288D" w:rsidRPr="005169B8">
        <w:rPr>
          <w:sz w:val="24"/>
          <w:szCs w:val="24"/>
        </w:rPr>
        <w:t xml:space="preserve"> discretion</w:t>
      </w:r>
      <w:r w:rsidR="00775705" w:rsidRPr="005169B8">
        <w:rPr>
          <w:sz w:val="24"/>
          <w:szCs w:val="24"/>
        </w:rPr>
        <w:t xml:space="preserve">; stating </w:t>
      </w:r>
      <w:r w:rsidR="000D288D" w:rsidRPr="005169B8">
        <w:rPr>
          <w:sz w:val="24"/>
          <w:szCs w:val="24"/>
        </w:rPr>
        <w:t>“the Secretary of State may by order (b) Remove an organisation from that schedule”</w:t>
      </w:r>
      <w:r w:rsidR="000D288D" w:rsidRPr="005169B8">
        <w:rPr>
          <w:rStyle w:val="FootnoteReference"/>
          <w:sz w:val="24"/>
          <w:szCs w:val="24"/>
        </w:rPr>
        <w:footnoteReference w:id="26"/>
      </w:r>
      <w:r w:rsidR="00DC54FA" w:rsidRPr="005169B8">
        <w:rPr>
          <w:sz w:val="24"/>
          <w:szCs w:val="24"/>
        </w:rPr>
        <w:t>.</w:t>
      </w:r>
      <w:r w:rsidR="00551410" w:rsidRPr="005169B8">
        <w:rPr>
          <w:sz w:val="24"/>
          <w:szCs w:val="24"/>
        </w:rPr>
        <w:t xml:space="preserve"> If the Home </w:t>
      </w:r>
      <w:r w:rsidR="00775705" w:rsidRPr="005169B8">
        <w:rPr>
          <w:sz w:val="24"/>
          <w:szCs w:val="24"/>
        </w:rPr>
        <w:t>S</w:t>
      </w:r>
      <w:r w:rsidR="00551410" w:rsidRPr="005169B8">
        <w:rPr>
          <w:sz w:val="24"/>
          <w:szCs w:val="24"/>
        </w:rPr>
        <w:t>ecretary refuses the application, a final resort can be taken</w:t>
      </w:r>
      <w:r w:rsidR="004D31C6" w:rsidRPr="005169B8">
        <w:rPr>
          <w:sz w:val="24"/>
          <w:szCs w:val="24"/>
        </w:rPr>
        <w:t xml:space="preserve"> of</w:t>
      </w:r>
      <w:r w:rsidR="00551410" w:rsidRPr="005169B8">
        <w:rPr>
          <w:sz w:val="24"/>
          <w:szCs w:val="24"/>
        </w:rPr>
        <w:t xml:space="preserve"> a further appeal to the Proscribed </w:t>
      </w:r>
      <w:r w:rsidR="00551410" w:rsidRPr="005169B8">
        <w:rPr>
          <w:sz w:val="24"/>
          <w:szCs w:val="24"/>
        </w:rPr>
        <w:lastRenderedPageBreak/>
        <w:t>Organisations Appeal Commission (POAC)</w:t>
      </w:r>
      <w:r w:rsidR="00775705" w:rsidRPr="005169B8">
        <w:rPr>
          <w:sz w:val="24"/>
          <w:szCs w:val="24"/>
        </w:rPr>
        <w:t xml:space="preserve">; </w:t>
      </w:r>
      <w:r w:rsidR="003A0F85" w:rsidRPr="005169B8">
        <w:rPr>
          <w:sz w:val="24"/>
          <w:szCs w:val="24"/>
        </w:rPr>
        <w:t>the process</w:t>
      </w:r>
      <w:r w:rsidR="00775705" w:rsidRPr="005169B8">
        <w:rPr>
          <w:sz w:val="24"/>
          <w:szCs w:val="24"/>
        </w:rPr>
        <w:t xml:space="preserve"> of which</w:t>
      </w:r>
      <w:r w:rsidR="003A0F85" w:rsidRPr="005169B8">
        <w:rPr>
          <w:sz w:val="24"/>
          <w:szCs w:val="24"/>
        </w:rPr>
        <w:t xml:space="preserve"> is found in </w:t>
      </w:r>
      <w:r w:rsidR="004D31C6" w:rsidRPr="005169B8">
        <w:rPr>
          <w:sz w:val="24"/>
          <w:szCs w:val="24"/>
        </w:rPr>
        <w:t>s.5</w:t>
      </w:r>
      <w:r w:rsidR="003A0F85" w:rsidRPr="005169B8">
        <w:rPr>
          <w:sz w:val="24"/>
          <w:szCs w:val="24"/>
        </w:rPr>
        <w:t xml:space="preserve"> of the </w:t>
      </w:r>
      <w:r w:rsidR="004D31C6" w:rsidRPr="005169B8">
        <w:rPr>
          <w:sz w:val="24"/>
          <w:szCs w:val="24"/>
        </w:rPr>
        <w:t>A</w:t>
      </w:r>
      <w:r w:rsidR="003A0F85" w:rsidRPr="005169B8">
        <w:rPr>
          <w:sz w:val="24"/>
          <w:szCs w:val="24"/>
        </w:rPr>
        <w:t>ct</w:t>
      </w:r>
      <w:r w:rsidR="003A0F85" w:rsidRPr="005169B8">
        <w:rPr>
          <w:rStyle w:val="FootnoteReference"/>
          <w:sz w:val="24"/>
          <w:szCs w:val="24"/>
        </w:rPr>
        <w:footnoteReference w:id="27"/>
      </w:r>
      <w:r w:rsidR="00775705" w:rsidRPr="005169B8">
        <w:rPr>
          <w:sz w:val="24"/>
          <w:szCs w:val="24"/>
        </w:rPr>
        <w:t>.</w:t>
      </w:r>
      <w:r w:rsidR="00A84F25" w:rsidRPr="005169B8">
        <w:rPr>
          <w:sz w:val="24"/>
          <w:szCs w:val="24"/>
        </w:rPr>
        <w:t xml:space="preserve"> However, when scrutinising the process of deproscription it can be held that some issues arise</w:t>
      </w:r>
      <w:r w:rsidR="00085C42" w:rsidRPr="005169B8">
        <w:rPr>
          <w:sz w:val="24"/>
          <w:szCs w:val="24"/>
        </w:rPr>
        <w:t>; n</w:t>
      </w:r>
      <w:r w:rsidR="00160451" w:rsidRPr="005169B8">
        <w:rPr>
          <w:sz w:val="24"/>
          <w:szCs w:val="24"/>
        </w:rPr>
        <w:t>amely,</w:t>
      </w:r>
      <w:r w:rsidR="00A84F25" w:rsidRPr="005169B8">
        <w:rPr>
          <w:sz w:val="24"/>
          <w:szCs w:val="24"/>
        </w:rPr>
        <w:t xml:space="preserve"> the level of power given to the Home Secretary</w:t>
      </w:r>
      <w:r w:rsidR="00B9149B" w:rsidRPr="005169B8">
        <w:rPr>
          <w:sz w:val="24"/>
          <w:szCs w:val="24"/>
        </w:rPr>
        <w:t xml:space="preserve">. </w:t>
      </w:r>
      <w:r w:rsidR="00160451" w:rsidRPr="005169B8">
        <w:rPr>
          <w:sz w:val="24"/>
          <w:szCs w:val="24"/>
        </w:rPr>
        <w:t xml:space="preserve">This is seen in the </w:t>
      </w:r>
      <w:r w:rsidR="00775705" w:rsidRPr="005169B8">
        <w:rPr>
          <w:sz w:val="24"/>
          <w:szCs w:val="24"/>
        </w:rPr>
        <w:t>case</w:t>
      </w:r>
      <w:r w:rsidR="00160451" w:rsidRPr="005169B8">
        <w:rPr>
          <w:sz w:val="24"/>
          <w:szCs w:val="24"/>
        </w:rPr>
        <w:t xml:space="preserve"> of </w:t>
      </w:r>
      <w:r w:rsidR="00160451" w:rsidRPr="005169B8">
        <w:rPr>
          <w:i/>
          <w:sz w:val="24"/>
          <w:szCs w:val="24"/>
        </w:rPr>
        <w:t>the</w:t>
      </w:r>
      <w:r w:rsidR="00141626" w:rsidRPr="005169B8">
        <w:rPr>
          <w:i/>
          <w:sz w:val="24"/>
          <w:szCs w:val="24"/>
        </w:rPr>
        <w:t xml:space="preserve"> Peoples Mujahedin Of Iran (PMOI)</w:t>
      </w:r>
      <w:r w:rsidR="00E2050E" w:rsidRPr="005169B8">
        <w:rPr>
          <w:rStyle w:val="FootnoteReference"/>
          <w:i/>
          <w:sz w:val="24"/>
          <w:szCs w:val="24"/>
        </w:rPr>
        <w:footnoteReference w:id="28"/>
      </w:r>
      <w:r w:rsidR="00775705" w:rsidRPr="005169B8">
        <w:rPr>
          <w:i/>
          <w:sz w:val="24"/>
          <w:szCs w:val="24"/>
        </w:rPr>
        <w:t>,</w:t>
      </w:r>
      <w:r w:rsidR="00775705" w:rsidRPr="005169B8">
        <w:rPr>
          <w:sz w:val="24"/>
          <w:szCs w:val="24"/>
        </w:rPr>
        <w:t xml:space="preserve"> who, </w:t>
      </w:r>
      <w:r w:rsidR="00160451" w:rsidRPr="005169B8">
        <w:rPr>
          <w:sz w:val="24"/>
          <w:szCs w:val="24"/>
        </w:rPr>
        <w:t>after being refused twice by the Home Secretary, due to previous military activity</w:t>
      </w:r>
      <w:r w:rsidR="00085C42" w:rsidRPr="005169B8">
        <w:rPr>
          <w:sz w:val="24"/>
          <w:szCs w:val="24"/>
        </w:rPr>
        <w:t xml:space="preserve"> which had since</w:t>
      </w:r>
      <w:r w:rsidR="00160451" w:rsidRPr="005169B8">
        <w:rPr>
          <w:sz w:val="24"/>
          <w:szCs w:val="24"/>
        </w:rPr>
        <w:t xml:space="preserve"> ceased</w:t>
      </w:r>
      <w:r w:rsidR="004873C6" w:rsidRPr="005169B8">
        <w:rPr>
          <w:rStyle w:val="FootnoteReference"/>
          <w:sz w:val="24"/>
          <w:szCs w:val="24"/>
        </w:rPr>
        <w:footnoteReference w:id="29"/>
      </w:r>
      <w:r w:rsidR="00FB2386" w:rsidRPr="005169B8">
        <w:rPr>
          <w:sz w:val="24"/>
          <w:szCs w:val="24"/>
        </w:rPr>
        <w:t>,</w:t>
      </w:r>
      <w:r w:rsidR="00085C42" w:rsidRPr="005169B8">
        <w:rPr>
          <w:sz w:val="24"/>
          <w:szCs w:val="24"/>
        </w:rPr>
        <w:t xml:space="preserve"> appealed to the POAC who allowed their application, claiming that </w:t>
      </w:r>
      <w:r w:rsidR="004873C6" w:rsidRPr="005169B8">
        <w:rPr>
          <w:sz w:val="24"/>
          <w:szCs w:val="24"/>
        </w:rPr>
        <w:t>the Home Secretary had misinterpreted the law when considering the first part of the two</w:t>
      </w:r>
      <w:r w:rsidR="00485A29" w:rsidRPr="005169B8">
        <w:rPr>
          <w:sz w:val="24"/>
          <w:szCs w:val="24"/>
        </w:rPr>
        <w:t>-</w:t>
      </w:r>
      <w:r w:rsidR="004873C6" w:rsidRPr="005169B8">
        <w:rPr>
          <w:sz w:val="24"/>
          <w:szCs w:val="24"/>
        </w:rPr>
        <w:t>pronged test</w:t>
      </w:r>
      <w:r w:rsidR="004873C6" w:rsidRPr="005169B8">
        <w:rPr>
          <w:rStyle w:val="FootnoteReference"/>
          <w:sz w:val="24"/>
          <w:szCs w:val="24"/>
        </w:rPr>
        <w:footnoteReference w:id="30"/>
      </w:r>
      <w:r w:rsidR="00085C42" w:rsidRPr="005169B8">
        <w:rPr>
          <w:sz w:val="24"/>
          <w:szCs w:val="24"/>
        </w:rPr>
        <w:t>.</w:t>
      </w:r>
      <w:r w:rsidR="00CA0173" w:rsidRPr="005169B8">
        <w:rPr>
          <w:sz w:val="24"/>
          <w:szCs w:val="24"/>
        </w:rPr>
        <w:t xml:space="preserve"> This case also created a guide for a greater understanding of what it means to be “concerned with terrorism” </w:t>
      </w:r>
      <w:r w:rsidR="0046575A" w:rsidRPr="005169B8">
        <w:rPr>
          <w:sz w:val="24"/>
          <w:szCs w:val="24"/>
        </w:rPr>
        <w:t>and reiterated the test which should be applied when considering the deproscription of terrorist groups</w:t>
      </w:r>
      <w:r w:rsidR="00CA0173" w:rsidRPr="005169B8">
        <w:rPr>
          <w:sz w:val="24"/>
          <w:szCs w:val="24"/>
        </w:rPr>
        <w:t>.</w:t>
      </w:r>
      <w:r w:rsidR="006A5A0B" w:rsidRPr="005169B8">
        <w:rPr>
          <w:sz w:val="24"/>
          <w:szCs w:val="24"/>
        </w:rPr>
        <w:t xml:space="preserve"> Prior to its proscription in 2001, the PMOI had carried out acts of violence in opposition the Government of the Shah of Iran. The reasons for the group</w:t>
      </w:r>
      <w:r w:rsidR="0099691E" w:rsidRPr="005169B8">
        <w:rPr>
          <w:sz w:val="24"/>
          <w:szCs w:val="24"/>
        </w:rPr>
        <w:t>’</w:t>
      </w:r>
      <w:r w:rsidR="006A5A0B" w:rsidRPr="005169B8">
        <w:rPr>
          <w:sz w:val="24"/>
          <w:szCs w:val="24"/>
        </w:rPr>
        <w:t>s proscription was well founded and it was agreed that at that time the group had carried out acts which were “concerned with terrorism”.</w:t>
      </w:r>
      <w:r w:rsidR="005D608B" w:rsidRPr="005169B8">
        <w:rPr>
          <w:rStyle w:val="FootnoteReference"/>
          <w:sz w:val="24"/>
          <w:szCs w:val="24"/>
        </w:rPr>
        <w:footnoteReference w:id="31"/>
      </w:r>
      <w:r w:rsidR="006A5A0B" w:rsidRPr="005169B8">
        <w:rPr>
          <w:sz w:val="24"/>
          <w:szCs w:val="24"/>
        </w:rPr>
        <w:t xml:space="preserve"> At the time of their appeal application to the POAC, the group had henceforth ended all military action in an attempt to legitimise their campaign in pursuit of a peaceful democratic movement.</w:t>
      </w:r>
      <w:r w:rsidR="0099691E" w:rsidRPr="005169B8">
        <w:rPr>
          <w:sz w:val="24"/>
          <w:szCs w:val="24"/>
        </w:rPr>
        <w:t xml:space="preserve"> The Home Secretary argued that the potential for the group to revert to its previous campaign of terrorist activity satisfied the definition of s.3(5) justifying her reasoning as to why she previously denied their appeal in both applications. The reasoning for her </w:t>
      </w:r>
      <w:r w:rsidR="00B75DCA" w:rsidRPr="005169B8">
        <w:rPr>
          <w:sz w:val="24"/>
          <w:szCs w:val="24"/>
        </w:rPr>
        <w:t>rejection</w:t>
      </w:r>
      <w:r w:rsidR="0099691E" w:rsidRPr="005169B8">
        <w:rPr>
          <w:sz w:val="24"/>
          <w:szCs w:val="24"/>
        </w:rPr>
        <w:t xml:space="preserve"> was </w:t>
      </w:r>
      <w:r w:rsidR="002E7B77" w:rsidRPr="005169B8">
        <w:rPr>
          <w:sz w:val="24"/>
          <w:szCs w:val="24"/>
        </w:rPr>
        <w:t>contended</w:t>
      </w:r>
      <w:r w:rsidR="0099691E" w:rsidRPr="005169B8">
        <w:rPr>
          <w:sz w:val="24"/>
          <w:szCs w:val="24"/>
        </w:rPr>
        <w:t xml:space="preserve"> to be unfounded by the POAC</w:t>
      </w:r>
      <w:r w:rsidR="0046575A" w:rsidRPr="005169B8">
        <w:rPr>
          <w:sz w:val="24"/>
          <w:szCs w:val="24"/>
        </w:rPr>
        <w:t xml:space="preserve"> and interfered with fundamental human rights.</w:t>
      </w:r>
      <w:r w:rsidR="0099691E" w:rsidRPr="005169B8">
        <w:rPr>
          <w:sz w:val="24"/>
          <w:szCs w:val="24"/>
        </w:rPr>
        <w:t xml:space="preserve"> </w:t>
      </w:r>
      <w:r w:rsidR="0046575A" w:rsidRPr="005169B8">
        <w:rPr>
          <w:sz w:val="24"/>
          <w:szCs w:val="24"/>
        </w:rPr>
        <w:t>T</w:t>
      </w:r>
      <w:r w:rsidR="0099691E" w:rsidRPr="005169B8">
        <w:rPr>
          <w:sz w:val="24"/>
          <w:szCs w:val="24"/>
        </w:rPr>
        <w:t xml:space="preserve">hrough </w:t>
      </w:r>
      <w:r w:rsidR="00B75DCA" w:rsidRPr="005169B8">
        <w:rPr>
          <w:sz w:val="24"/>
          <w:szCs w:val="24"/>
        </w:rPr>
        <w:t>scrutiny of the Home Secretary’s decision and both open and closed hearings, the groups was found to not be “concerned with terrorism”</w:t>
      </w:r>
      <w:r w:rsidR="005D608B" w:rsidRPr="005169B8">
        <w:rPr>
          <w:rStyle w:val="FootnoteReference"/>
          <w:sz w:val="24"/>
          <w:szCs w:val="24"/>
        </w:rPr>
        <w:footnoteReference w:id="32"/>
      </w:r>
      <w:r w:rsidR="00B75DCA" w:rsidRPr="005169B8">
        <w:rPr>
          <w:sz w:val="24"/>
          <w:szCs w:val="24"/>
        </w:rPr>
        <w:t xml:space="preserve"> and therefore there was no longer a justifiable reason as to keep the group proscribed.</w:t>
      </w:r>
      <w:r w:rsidR="005D608B" w:rsidRPr="005169B8">
        <w:rPr>
          <w:rStyle w:val="FootnoteReference"/>
          <w:sz w:val="24"/>
          <w:szCs w:val="24"/>
        </w:rPr>
        <w:footnoteReference w:id="33"/>
      </w:r>
      <w:r w:rsidR="00B75DCA" w:rsidRPr="005169B8">
        <w:rPr>
          <w:sz w:val="24"/>
          <w:szCs w:val="24"/>
        </w:rPr>
        <w:t xml:space="preserve"> </w:t>
      </w:r>
      <w:r w:rsidR="00A92E0C" w:rsidRPr="005169B8">
        <w:rPr>
          <w:sz w:val="24"/>
          <w:szCs w:val="24"/>
        </w:rPr>
        <w:t xml:space="preserve">The amount of successful deproscription appeals indicate </w:t>
      </w:r>
      <w:r w:rsidR="002E7B77" w:rsidRPr="005169B8">
        <w:rPr>
          <w:sz w:val="24"/>
          <w:szCs w:val="24"/>
        </w:rPr>
        <w:t>both the strict test and the disproportionate level of power given to the Home Secretary.</w:t>
      </w:r>
      <w:r w:rsidR="00A92E0C" w:rsidRPr="005169B8">
        <w:rPr>
          <w:sz w:val="24"/>
          <w:szCs w:val="24"/>
        </w:rPr>
        <w:t xml:space="preserve"> There have only been</w:t>
      </w:r>
      <w:r w:rsidR="00FB2386" w:rsidRPr="005169B8">
        <w:rPr>
          <w:sz w:val="24"/>
          <w:szCs w:val="24"/>
        </w:rPr>
        <w:t xml:space="preserve"> two successful cases from the A</w:t>
      </w:r>
      <w:r w:rsidR="00A92E0C" w:rsidRPr="005169B8">
        <w:rPr>
          <w:sz w:val="24"/>
          <w:szCs w:val="24"/>
        </w:rPr>
        <w:t xml:space="preserve">ct </w:t>
      </w:r>
      <w:r w:rsidR="00CA0173" w:rsidRPr="005169B8">
        <w:rPr>
          <w:sz w:val="24"/>
          <w:szCs w:val="24"/>
        </w:rPr>
        <w:t>being</w:t>
      </w:r>
      <w:r w:rsidR="00A92E0C" w:rsidRPr="005169B8">
        <w:rPr>
          <w:sz w:val="24"/>
          <w:szCs w:val="24"/>
        </w:rPr>
        <w:t xml:space="preserve"> brought into force, both of which have been appealed by the POAC. </w:t>
      </w:r>
      <w:r w:rsidR="00CA0173" w:rsidRPr="005169B8">
        <w:rPr>
          <w:sz w:val="24"/>
          <w:szCs w:val="24"/>
        </w:rPr>
        <w:t xml:space="preserve">From the outset of the appeal process, both cases were denied by the Home </w:t>
      </w:r>
      <w:r w:rsidR="00CA0173" w:rsidRPr="005169B8">
        <w:rPr>
          <w:sz w:val="24"/>
          <w:szCs w:val="24"/>
        </w:rPr>
        <w:lastRenderedPageBreak/>
        <w:t>Secretary on grounds that were later quashed, demonstrating a</w:t>
      </w:r>
      <w:r w:rsidR="0046575A" w:rsidRPr="005169B8">
        <w:rPr>
          <w:sz w:val="24"/>
          <w:szCs w:val="24"/>
        </w:rPr>
        <w:t xml:space="preserve"> failure in adequately apply the test to deproscribe terrorist groups</w:t>
      </w:r>
      <w:r w:rsidR="00CA0173" w:rsidRPr="005169B8">
        <w:rPr>
          <w:sz w:val="24"/>
          <w:szCs w:val="24"/>
        </w:rPr>
        <w:t>. It is understandable that in terms of terrorist activity th</w:t>
      </w:r>
      <w:r w:rsidR="001E4DE0" w:rsidRPr="005169B8">
        <w:rPr>
          <w:sz w:val="24"/>
          <w:szCs w:val="24"/>
        </w:rPr>
        <w:t>ose groups must be held to account for the acts they have committed. However, if the group is no longer affiliated with and does not carry out acts that are defined in the Act, it is th</w:t>
      </w:r>
      <w:r w:rsidR="0046575A" w:rsidRPr="005169B8">
        <w:rPr>
          <w:sz w:val="24"/>
          <w:szCs w:val="24"/>
        </w:rPr>
        <w:t>e task of the Home Secretary to deproscribe that group as per S.5 of the act.</w:t>
      </w:r>
      <w:r w:rsidR="005D608B" w:rsidRPr="005169B8">
        <w:rPr>
          <w:rStyle w:val="FootnoteReference"/>
          <w:sz w:val="24"/>
          <w:szCs w:val="24"/>
        </w:rPr>
        <w:footnoteReference w:id="34"/>
      </w:r>
    </w:p>
    <w:p w14:paraId="6F8FBB52" w14:textId="41113435" w:rsidR="00872207" w:rsidRPr="005169B8" w:rsidRDefault="00872207" w:rsidP="005169B8">
      <w:pPr>
        <w:spacing w:line="360" w:lineRule="auto"/>
        <w:rPr>
          <w:color w:val="FF0000"/>
          <w:sz w:val="24"/>
          <w:szCs w:val="24"/>
        </w:rPr>
      </w:pPr>
    </w:p>
    <w:p w14:paraId="193C88BB" w14:textId="195AE358" w:rsidR="0072021A" w:rsidRDefault="0072021A" w:rsidP="005169B8">
      <w:pPr>
        <w:spacing w:line="360" w:lineRule="auto"/>
        <w:jc w:val="center"/>
        <w:rPr>
          <w:b/>
          <w:sz w:val="24"/>
          <w:szCs w:val="24"/>
        </w:rPr>
      </w:pPr>
      <w:r w:rsidRPr="005169B8">
        <w:rPr>
          <w:b/>
          <w:sz w:val="24"/>
          <w:szCs w:val="24"/>
        </w:rPr>
        <w:t>Proscription related offences</w:t>
      </w:r>
    </w:p>
    <w:p w14:paraId="4ED05F9D" w14:textId="77777777" w:rsidR="005169B8" w:rsidRPr="005169B8" w:rsidRDefault="005169B8" w:rsidP="005169B8">
      <w:pPr>
        <w:spacing w:line="360" w:lineRule="auto"/>
        <w:jc w:val="center"/>
        <w:rPr>
          <w:b/>
          <w:sz w:val="24"/>
          <w:szCs w:val="24"/>
        </w:rPr>
      </w:pPr>
    </w:p>
    <w:p w14:paraId="1C811E53" w14:textId="2AF0F02A" w:rsidR="002A3749" w:rsidRDefault="00AF1F69" w:rsidP="005169B8">
      <w:pPr>
        <w:spacing w:line="360" w:lineRule="auto"/>
        <w:jc w:val="both"/>
        <w:rPr>
          <w:sz w:val="24"/>
          <w:szCs w:val="24"/>
        </w:rPr>
      </w:pPr>
      <w:r w:rsidRPr="005169B8">
        <w:rPr>
          <w:sz w:val="24"/>
          <w:szCs w:val="24"/>
        </w:rPr>
        <w:t xml:space="preserve">If </w:t>
      </w:r>
      <w:r w:rsidR="00A523D2" w:rsidRPr="005169B8">
        <w:rPr>
          <w:sz w:val="24"/>
          <w:szCs w:val="24"/>
        </w:rPr>
        <w:t>s.3</w:t>
      </w:r>
      <w:r w:rsidRPr="005169B8">
        <w:rPr>
          <w:sz w:val="24"/>
          <w:szCs w:val="24"/>
        </w:rPr>
        <w:t xml:space="preserve"> of the Terrorism </w:t>
      </w:r>
      <w:r w:rsidR="00775705" w:rsidRPr="005169B8">
        <w:rPr>
          <w:sz w:val="24"/>
          <w:szCs w:val="24"/>
        </w:rPr>
        <w:t>A</w:t>
      </w:r>
      <w:r w:rsidRPr="005169B8">
        <w:rPr>
          <w:sz w:val="24"/>
          <w:szCs w:val="24"/>
        </w:rPr>
        <w:t>ct 2000 is a legal definition as to what constitutes proscription, then sections 11 to 13</w:t>
      </w:r>
      <w:r w:rsidRPr="005169B8">
        <w:rPr>
          <w:rStyle w:val="FootnoteReference"/>
          <w:sz w:val="24"/>
          <w:szCs w:val="24"/>
        </w:rPr>
        <w:footnoteReference w:id="35"/>
      </w:r>
      <w:r w:rsidRPr="005169B8">
        <w:rPr>
          <w:sz w:val="24"/>
          <w:szCs w:val="24"/>
        </w:rPr>
        <w:t xml:space="preserve"> of the same </w:t>
      </w:r>
      <w:r w:rsidR="00A523D2" w:rsidRPr="005169B8">
        <w:rPr>
          <w:sz w:val="24"/>
          <w:szCs w:val="24"/>
        </w:rPr>
        <w:t>A</w:t>
      </w:r>
      <w:r w:rsidRPr="005169B8">
        <w:rPr>
          <w:sz w:val="24"/>
          <w:szCs w:val="24"/>
        </w:rPr>
        <w:t xml:space="preserve">ct are offences based on the affiliations of organisations in </w:t>
      </w:r>
      <w:r w:rsidR="00A523D2" w:rsidRPr="005169B8">
        <w:rPr>
          <w:sz w:val="24"/>
          <w:szCs w:val="24"/>
        </w:rPr>
        <w:t>S</w:t>
      </w:r>
      <w:r w:rsidRPr="005169B8">
        <w:rPr>
          <w:sz w:val="24"/>
          <w:szCs w:val="24"/>
        </w:rPr>
        <w:t xml:space="preserve">chedule 2. </w:t>
      </w:r>
      <w:r w:rsidR="00A523D2" w:rsidRPr="005169B8">
        <w:rPr>
          <w:sz w:val="24"/>
          <w:szCs w:val="24"/>
        </w:rPr>
        <w:t>S.</w:t>
      </w:r>
      <w:r w:rsidRPr="005169B8">
        <w:rPr>
          <w:sz w:val="24"/>
          <w:szCs w:val="24"/>
        </w:rPr>
        <w:t xml:space="preserve">11 of the </w:t>
      </w:r>
      <w:r w:rsidR="00A523D2" w:rsidRPr="005169B8">
        <w:rPr>
          <w:sz w:val="24"/>
          <w:szCs w:val="24"/>
        </w:rPr>
        <w:t>T</w:t>
      </w:r>
      <w:r w:rsidRPr="005169B8">
        <w:rPr>
          <w:sz w:val="24"/>
          <w:szCs w:val="24"/>
        </w:rPr>
        <w:t xml:space="preserve">errorism </w:t>
      </w:r>
      <w:r w:rsidR="00A523D2" w:rsidRPr="005169B8">
        <w:rPr>
          <w:sz w:val="24"/>
          <w:szCs w:val="24"/>
        </w:rPr>
        <w:t>A</w:t>
      </w:r>
      <w:r w:rsidRPr="005169B8">
        <w:rPr>
          <w:sz w:val="24"/>
          <w:szCs w:val="24"/>
        </w:rPr>
        <w:t>ct makes it an offence to profess any association with a</w:t>
      </w:r>
      <w:r w:rsidR="005417BC" w:rsidRPr="005169B8">
        <w:rPr>
          <w:sz w:val="24"/>
          <w:szCs w:val="24"/>
        </w:rPr>
        <w:t>n</w:t>
      </w:r>
      <w:r w:rsidRPr="005169B8">
        <w:rPr>
          <w:sz w:val="24"/>
          <w:szCs w:val="24"/>
        </w:rPr>
        <w:t xml:space="preserve"> organisation</w:t>
      </w:r>
      <w:r w:rsidR="0055478D" w:rsidRPr="005169B8">
        <w:rPr>
          <w:sz w:val="24"/>
          <w:szCs w:val="24"/>
        </w:rPr>
        <w:t>. S11(1)</w:t>
      </w:r>
      <w:r w:rsidR="005417BC" w:rsidRPr="005169B8">
        <w:rPr>
          <w:sz w:val="24"/>
          <w:szCs w:val="24"/>
        </w:rPr>
        <w:t xml:space="preserve"> states that “A person commits an offence if he belongs or professes to belong to a proscribed organisation”</w:t>
      </w:r>
      <w:r w:rsidR="004873C6" w:rsidRPr="005169B8">
        <w:rPr>
          <w:rStyle w:val="FootnoteReference"/>
          <w:sz w:val="24"/>
          <w:szCs w:val="24"/>
        </w:rPr>
        <w:footnoteReference w:id="36"/>
      </w:r>
      <w:r w:rsidR="005417BC" w:rsidRPr="005169B8">
        <w:rPr>
          <w:sz w:val="24"/>
          <w:szCs w:val="24"/>
        </w:rPr>
        <w:t xml:space="preserve">. However, </w:t>
      </w:r>
      <w:r w:rsidR="00690892" w:rsidRPr="005169B8">
        <w:rPr>
          <w:sz w:val="24"/>
          <w:szCs w:val="24"/>
        </w:rPr>
        <w:t>s11(2)</w:t>
      </w:r>
      <w:r w:rsidR="005417BC" w:rsidRPr="005169B8">
        <w:rPr>
          <w:sz w:val="24"/>
          <w:szCs w:val="24"/>
        </w:rPr>
        <w:t xml:space="preserve"> does allow for a defence against the involvement in a proscribed group</w:t>
      </w:r>
      <w:r w:rsidR="00775705" w:rsidRPr="005169B8">
        <w:rPr>
          <w:sz w:val="24"/>
          <w:szCs w:val="24"/>
        </w:rPr>
        <w:t>. T</w:t>
      </w:r>
      <w:r w:rsidR="00302E81" w:rsidRPr="005169B8">
        <w:rPr>
          <w:sz w:val="24"/>
          <w:szCs w:val="24"/>
        </w:rPr>
        <w:t>o</w:t>
      </w:r>
      <w:r w:rsidR="005417BC" w:rsidRPr="005169B8">
        <w:rPr>
          <w:sz w:val="24"/>
          <w:szCs w:val="24"/>
        </w:rPr>
        <w:t xml:space="preserve"> prove one’s innocence, one must prove that at the time of joining the organisation the group was not listed in </w:t>
      </w:r>
      <w:r w:rsidR="00690892" w:rsidRPr="005169B8">
        <w:rPr>
          <w:sz w:val="24"/>
          <w:szCs w:val="24"/>
        </w:rPr>
        <w:t>S</w:t>
      </w:r>
      <w:r w:rsidR="005417BC" w:rsidRPr="005169B8">
        <w:rPr>
          <w:sz w:val="24"/>
          <w:szCs w:val="24"/>
        </w:rPr>
        <w:t xml:space="preserve">chedule </w:t>
      </w:r>
      <w:r w:rsidR="00690892" w:rsidRPr="005169B8">
        <w:rPr>
          <w:sz w:val="24"/>
          <w:szCs w:val="24"/>
        </w:rPr>
        <w:t>2</w:t>
      </w:r>
      <w:r w:rsidR="005417BC" w:rsidRPr="005169B8">
        <w:rPr>
          <w:sz w:val="24"/>
          <w:szCs w:val="24"/>
        </w:rPr>
        <w:t>, and that they have not taken part in any activities relating to the group while it was proscribed</w:t>
      </w:r>
      <w:r w:rsidR="005417BC" w:rsidRPr="005169B8">
        <w:rPr>
          <w:rStyle w:val="FootnoteReference"/>
          <w:sz w:val="24"/>
          <w:szCs w:val="24"/>
        </w:rPr>
        <w:footnoteReference w:id="37"/>
      </w:r>
      <w:r w:rsidR="005417BC" w:rsidRPr="005169B8">
        <w:rPr>
          <w:sz w:val="24"/>
          <w:szCs w:val="24"/>
        </w:rPr>
        <w:t>.</w:t>
      </w:r>
      <w:r w:rsidR="00DA349C" w:rsidRPr="005169B8">
        <w:rPr>
          <w:sz w:val="24"/>
          <w:szCs w:val="24"/>
        </w:rPr>
        <w:t xml:space="preserve"> </w:t>
      </w:r>
      <w:r w:rsidR="005417BC" w:rsidRPr="005169B8">
        <w:rPr>
          <w:sz w:val="24"/>
          <w:szCs w:val="24"/>
        </w:rPr>
        <w:t>A prominent issue with this defence relates to the presumption of innocence</w:t>
      </w:r>
      <w:r w:rsidR="00302E81" w:rsidRPr="005169B8">
        <w:rPr>
          <w:sz w:val="24"/>
          <w:szCs w:val="24"/>
        </w:rPr>
        <w:t xml:space="preserve">, a right found in </w:t>
      </w:r>
      <w:r w:rsidR="00690892" w:rsidRPr="005169B8">
        <w:rPr>
          <w:sz w:val="24"/>
          <w:szCs w:val="24"/>
        </w:rPr>
        <w:t>A</w:t>
      </w:r>
      <w:r w:rsidR="00302E81" w:rsidRPr="005169B8">
        <w:rPr>
          <w:sz w:val="24"/>
          <w:szCs w:val="24"/>
        </w:rPr>
        <w:t xml:space="preserve">rticle </w:t>
      </w:r>
      <w:r w:rsidR="00690892" w:rsidRPr="005169B8">
        <w:rPr>
          <w:sz w:val="24"/>
          <w:szCs w:val="24"/>
        </w:rPr>
        <w:t>6</w:t>
      </w:r>
      <w:r w:rsidR="00302E81" w:rsidRPr="005169B8">
        <w:rPr>
          <w:sz w:val="24"/>
          <w:szCs w:val="24"/>
        </w:rPr>
        <w:t xml:space="preserve"> of the European </w:t>
      </w:r>
      <w:r w:rsidR="00FA6A01" w:rsidRPr="005169B8">
        <w:rPr>
          <w:sz w:val="24"/>
          <w:szCs w:val="24"/>
        </w:rPr>
        <w:t>C</w:t>
      </w:r>
      <w:r w:rsidR="00302E81" w:rsidRPr="005169B8">
        <w:rPr>
          <w:sz w:val="24"/>
          <w:szCs w:val="24"/>
        </w:rPr>
        <w:t xml:space="preserve">onvention of </w:t>
      </w:r>
      <w:r w:rsidR="00FA6A01" w:rsidRPr="005169B8">
        <w:rPr>
          <w:sz w:val="24"/>
          <w:szCs w:val="24"/>
        </w:rPr>
        <w:t>H</w:t>
      </w:r>
      <w:r w:rsidR="00302E81" w:rsidRPr="005169B8">
        <w:rPr>
          <w:sz w:val="24"/>
          <w:szCs w:val="24"/>
        </w:rPr>
        <w:t xml:space="preserve">uman </w:t>
      </w:r>
      <w:r w:rsidR="00FA6A01" w:rsidRPr="005169B8">
        <w:rPr>
          <w:sz w:val="24"/>
          <w:szCs w:val="24"/>
        </w:rPr>
        <w:t>R</w:t>
      </w:r>
      <w:r w:rsidR="00302E81" w:rsidRPr="005169B8">
        <w:rPr>
          <w:sz w:val="24"/>
          <w:szCs w:val="24"/>
        </w:rPr>
        <w:t>ights</w:t>
      </w:r>
      <w:r w:rsidR="001E4DC6" w:rsidRPr="005169B8">
        <w:rPr>
          <w:sz w:val="24"/>
          <w:szCs w:val="24"/>
        </w:rPr>
        <w:t xml:space="preserve">. The case of Sheldrake v DPP focused on the type of defence that was needed </w:t>
      </w:r>
      <w:r w:rsidR="002A3749" w:rsidRPr="005169B8">
        <w:rPr>
          <w:sz w:val="24"/>
          <w:szCs w:val="24"/>
        </w:rPr>
        <w:t>to</w:t>
      </w:r>
      <w:r w:rsidR="001E4DC6" w:rsidRPr="005169B8">
        <w:rPr>
          <w:sz w:val="24"/>
          <w:szCs w:val="24"/>
        </w:rPr>
        <w:t xml:space="preserve"> fulfil the exception of </w:t>
      </w:r>
      <w:r w:rsidR="00690892" w:rsidRPr="005169B8">
        <w:rPr>
          <w:sz w:val="24"/>
          <w:szCs w:val="24"/>
        </w:rPr>
        <w:t>s.11(2)</w:t>
      </w:r>
      <w:r w:rsidR="00FA6A01" w:rsidRPr="005169B8">
        <w:rPr>
          <w:sz w:val="24"/>
          <w:szCs w:val="24"/>
        </w:rPr>
        <w:t>; i</w:t>
      </w:r>
      <w:r w:rsidR="002A3749" w:rsidRPr="005169B8">
        <w:rPr>
          <w:sz w:val="24"/>
          <w:szCs w:val="24"/>
        </w:rPr>
        <w:t>t being evidential as well as being a negative</w:t>
      </w:r>
      <w:r w:rsidR="002A3749" w:rsidRPr="005169B8">
        <w:rPr>
          <w:rStyle w:val="FootnoteReference"/>
          <w:sz w:val="24"/>
          <w:szCs w:val="24"/>
        </w:rPr>
        <w:footnoteReference w:id="38"/>
      </w:r>
      <w:r w:rsidR="002A3749" w:rsidRPr="005169B8">
        <w:rPr>
          <w:sz w:val="24"/>
          <w:szCs w:val="24"/>
        </w:rPr>
        <w:t xml:space="preserve"> meaning the defendant would have to prove that they took no part in the activity of the organisation. This, however would suggest that the defendant was guilty during the trial and needed to prove his innocence</w:t>
      </w:r>
      <w:r w:rsidR="00690892" w:rsidRPr="005169B8">
        <w:rPr>
          <w:sz w:val="24"/>
          <w:szCs w:val="24"/>
        </w:rPr>
        <w:t>. A</w:t>
      </w:r>
      <w:r w:rsidR="002A3749" w:rsidRPr="005169B8">
        <w:rPr>
          <w:sz w:val="24"/>
          <w:szCs w:val="24"/>
        </w:rPr>
        <w:t xml:space="preserve"> statement by Lord Bingham from Sheldrake</w:t>
      </w:r>
      <w:r w:rsidR="004C496A" w:rsidRPr="005169B8">
        <w:rPr>
          <w:rStyle w:val="FootnoteReference"/>
          <w:sz w:val="24"/>
          <w:szCs w:val="24"/>
        </w:rPr>
        <w:footnoteReference w:id="39"/>
      </w:r>
      <w:r w:rsidR="002A3749" w:rsidRPr="005169B8">
        <w:rPr>
          <w:sz w:val="24"/>
          <w:szCs w:val="24"/>
        </w:rPr>
        <w:t xml:space="preserve"> argued the appropriateness of the section</w:t>
      </w:r>
      <w:r w:rsidR="004C496A" w:rsidRPr="005169B8">
        <w:rPr>
          <w:sz w:val="24"/>
          <w:szCs w:val="24"/>
        </w:rPr>
        <w:t xml:space="preserve"> and what it imposes on defendants,</w:t>
      </w:r>
      <w:r w:rsidR="002A3749" w:rsidRPr="005169B8">
        <w:rPr>
          <w:sz w:val="24"/>
          <w:szCs w:val="24"/>
        </w:rPr>
        <w:t xml:space="preserve"> saying “a</w:t>
      </w:r>
      <w:r w:rsidR="004C496A" w:rsidRPr="005169B8">
        <w:rPr>
          <w:sz w:val="24"/>
          <w:szCs w:val="24"/>
        </w:rPr>
        <w:t xml:space="preserve">ny blameworthy or </w:t>
      </w:r>
      <w:r w:rsidR="004C496A" w:rsidRPr="005169B8">
        <w:rPr>
          <w:sz w:val="24"/>
          <w:szCs w:val="24"/>
        </w:rPr>
        <w:lastRenderedPageBreak/>
        <w:t>properly criminal conduct may fall within s11(1). There would be a clear breach of the presumption of innocence and a real risk of unfair conviction”</w:t>
      </w:r>
      <w:r w:rsidR="004C496A" w:rsidRPr="005169B8">
        <w:rPr>
          <w:rStyle w:val="FootnoteReference"/>
          <w:sz w:val="24"/>
          <w:szCs w:val="24"/>
        </w:rPr>
        <w:footnoteReference w:id="40"/>
      </w:r>
      <w:r w:rsidR="00FA6A01" w:rsidRPr="005169B8">
        <w:rPr>
          <w:sz w:val="24"/>
          <w:szCs w:val="24"/>
        </w:rPr>
        <w:t xml:space="preserve">. </w:t>
      </w:r>
    </w:p>
    <w:p w14:paraId="783A44D6" w14:textId="77777777" w:rsidR="005169B8" w:rsidRPr="005169B8" w:rsidRDefault="005169B8" w:rsidP="005169B8">
      <w:pPr>
        <w:spacing w:line="360" w:lineRule="auto"/>
        <w:jc w:val="both"/>
        <w:rPr>
          <w:sz w:val="24"/>
          <w:szCs w:val="24"/>
        </w:rPr>
      </w:pPr>
    </w:p>
    <w:p w14:paraId="31304FDB" w14:textId="11B81FD3" w:rsidR="00E27BF1" w:rsidRPr="005169B8" w:rsidRDefault="00221A44" w:rsidP="005169B8">
      <w:pPr>
        <w:spacing w:line="360" w:lineRule="auto"/>
        <w:jc w:val="both"/>
        <w:rPr>
          <w:sz w:val="24"/>
          <w:szCs w:val="24"/>
        </w:rPr>
      </w:pPr>
      <w:r w:rsidRPr="005169B8">
        <w:rPr>
          <w:sz w:val="24"/>
          <w:szCs w:val="24"/>
        </w:rPr>
        <w:t>Further offences relat</w:t>
      </w:r>
      <w:r w:rsidR="00D83F09" w:rsidRPr="005169B8">
        <w:rPr>
          <w:sz w:val="24"/>
          <w:szCs w:val="24"/>
        </w:rPr>
        <w:t>ing</w:t>
      </w:r>
      <w:r w:rsidRPr="005169B8">
        <w:rPr>
          <w:sz w:val="24"/>
          <w:szCs w:val="24"/>
        </w:rPr>
        <w:t xml:space="preserve"> to proscription are contained in sections 12 and 13 of the Terrorism </w:t>
      </w:r>
      <w:r w:rsidR="00FA6A01" w:rsidRPr="005169B8">
        <w:rPr>
          <w:sz w:val="24"/>
          <w:szCs w:val="24"/>
        </w:rPr>
        <w:t>A</w:t>
      </w:r>
      <w:r w:rsidRPr="005169B8">
        <w:rPr>
          <w:sz w:val="24"/>
          <w:szCs w:val="24"/>
        </w:rPr>
        <w:t>ct 2000</w:t>
      </w:r>
      <w:r w:rsidR="006323DE" w:rsidRPr="005169B8">
        <w:rPr>
          <w:rStyle w:val="FootnoteReference"/>
          <w:sz w:val="24"/>
          <w:szCs w:val="24"/>
        </w:rPr>
        <w:footnoteReference w:id="41"/>
      </w:r>
      <w:r w:rsidR="00FA6A01" w:rsidRPr="005169B8">
        <w:rPr>
          <w:sz w:val="24"/>
          <w:szCs w:val="24"/>
        </w:rPr>
        <w:t xml:space="preserve">; </w:t>
      </w:r>
      <w:r w:rsidR="006323DE" w:rsidRPr="005169B8">
        <w:rPr>
          <w:sz w:val="24"/>
          <w:szCs w:val="24"/>
        </w:rPr>
        <w:t xml:space="preserve"> </w:t>
      </w:r>
      <w:r w:rsidR="008320EC" w:rsidRPr="005169B8">
        <w:rPr>
          <w:sz w:val="24"/>
          <w:szCs w:val="24"/>
        </w:rPr>
        <w:t>both involve showing support for any proscribed organisation</w:t>
      </w:r>
      <w:r w:rsidR="00FA6A01" w:rsidRPr="005169B8">
        <w:rPr>
          <w:sz w:val="24"/>
          <w:szCs w:val="24"/>
        </w:rPr>
        <w:t>.</w:t>
      </w:r>
      <w:r w:rsidR="008320EC" w:rsidRPr="005169B8">
        <w:rPr>
          <w:sz w:val="24"/>
          <w:szCs w:val="24"/>
        </w:rPr>
        <w:t xml:space="preserve"> S</w:t>
      </w:r>
      <w:r w:rsidR="00E27BF1" w:rsidRPr="005169B8">
        <w:rPr>
          <w:sz w:val="24"/>
          <w:szCs w:val="24"/>
        </w:rPr>
        <w:t>.</w:t>
      </w:r>
      <w:r w:rsidR="008320EC" w:rsidRPr="005169B8">
        <w:rPr>
          <w:sz w:val="24"/>
          <w:szCs w:val="24"/>
        </w:rPr>
        <w:t>12</w:t>
      </w:r>
      <w:r w:rsidR="0066140A" w:rsidRPr="005169B8">
        <w:rPr>
          <w:sz w:val="24"/>
          <w:szCs w:val="24"/>
        </w:rPr>
        <w:t>(1)</w:t>
      </w:r>
      <w:r w:rsidR="008320EC" w:rsidRPr="005169B8">
        <w:rPr>
          <w:sz w:val="24"/>
          <w:szCs w:val="24"/>
        </w:rPr>
        <w:t xml:space="preserve"> finds it an offence if “a person (A) invites support for a proscribed organisation; and (B) the support is not, or is not restricted to, the provision of money or other property”</w:t>
      </w:r>
      <w:r w:rsidR="008320EC" w:rsidRPr="005169B8">
        <w:rPr>
          <w:rStyle w:val="FootnoteReference"/>
          <w:sz w:val="24"/>
          <w:szCs w:val="24"/>
        </w:rPr>
        <w:footnoteReference w:id="42"/>
      </w:r>
      <w:r w:rsidR="00E27BF1" w:rsidRPr="005169B8">
        <w:rPr>
          <w:sz w:val="24"/>
          <w:szCs w:val="24"/>
        </w:rPr>
        <w:t>. I</w:t>
      </w:r>
      <w:r w:rsidR="0066140A" w:rsidRPr="005169B8">
        <w:rPr>
          <w:sz w:val="24"/>
          <w:szCs w:val="24"/>
        </w:rPr>
        <w:t>t is also an offence if a person</w:t>
      </w:r>
      <w:r w:rsidR="00E27BF1" w:rsidRPr="005169B8">
        <w:rPr>
          <w:sz w:val="24"/>
          <w:szCs w:val="24"/>
        </w:rPr>
        <w:t>:</w:t>
      </w:r>
    </w:p>
    <w:p w14:paraId="797C2192" w14:textId="77777777" w:rsidR="00E27BF1" w:rsidRPr="005169B8" w:rsidRDefault="00E27BF1" w:rsidP="005169B8">
      <w:pPr>
        <w:spacing w:line="360" w:lineRule="auto"/>
        <w:jc w:val="both"/>
        <w:rPr>
          <w:sz w:val="24"/>
          <w:szCs w:val="24"/>
        </w:rPr>
      </w:pPr>
    </w:p>
    <w:p w14:paraId="4B8D302A" w14:textId="6E6FADD1" w:rsidR="00E27BF1" w:rsidRDefault="0066140A" w:rsidP="005169B8">
      <w:pPr>
        <w:spacing w:line="360" w:lineRule="auto"/>
        <w:ind w:left="851" w:right="571"/>
        <w:jc w:val="both"/>
        <w:rPr>
          <w:sz w:val="24"/>
          <w:szCs w:val="24"/>
        </w:rPr>
      </w:pPr>
      <w:r w:rsidRPr="005169B8">
        <w:rPr>
          <w:sz w:val="24"/>
          <w:szCs w:val="24"/>
        </w:rPr>
        <w:t xml:space="preserve"> “arranges, manages, or assists in arranging or managing a meeting which he knows is – (A) to support a proscribed organisation; (B) to further the activities of a proscribed organisation; or (C) to be addressed by a person who belongs or professes to belong to a proscribed organisation”</w:t>
      </w:r>
      <w:r w:rsidR="00BF5373" w:rsidRPr="005169B8">
        <w:rPr>
          <w:rStyle w:val="FootnoteReference"/>
          <w:sz w:val="24"/>
          <w:szCs w:val="24"/>
        </w:rPr>
        <w:footnoteReference w:id="43"/>
      </w:r>
      <w:r w:rsidR="00BF5373" w:rsidRPr="005169B8">
        <w:rPr>
          <w:sz w:val="24"/>
          <w:szCs w:val="24"/>
        </w:rPr>
        <w:t>.</w:t>
      </w:r>
    </w:p>
    <w:p w14:paraId="4D6C104E" w14:textId="77777777" w:rsidR="005169B8" w:rsidRPr="005169B8" w:rsidRDefault="005169B8" w:rsidP="005169B8">
      <w:pPr>
        <w:spacing w:line="360" w:lineRule="auto"/>
        <w:ind w:left="851" w:right="571"/>
        <w:jc w:val="both"/>
        <w:rPr>
          <w:sz w:val="24"/>
          <w:szCs w:val="24"/>
        </w:rPr>
      </w:pPr>
    </w:p>
    <w:p w14:paraId="7B82DE94" w14:textId="45BA5109" w:rsidR="00AF60DB" w:rsidRDefault="00BF5373" w:rsidP="005169B8">
      <w:pPr>
        <w:spacing w:line="360" w:lineRule="auto"/>
        <w:jc w:val="both"/>
        <w:rPr>
          <w:sz w:val="24"/>
          <w:szCs w:val="24"/>
        </w:rPr>
      </w:pPr>
      <w:r w:rsidRPr="005169B8">
        <w:rPr>
          <w:sz w:val="24"/>
          <w:szCs w:val="24"/>
        </w:rPr>
        <w:t xml:space="preserve"> Similar to that of </w:t>
      </w:r>
      <w:r w:rsidR="00FA6A01" w:rsidRPr="005169B8">
        <w:rPr>
          <w:sz w:val="24"/>
          <w:szCs w:val="24"/>
        </w:rPr>
        <w:t xml:space="preserve">the </w:t>
      </w:r>
      <w:r w:rsidRPr="005169B8">
        <w:rPr>
          <w:sz w:val="24"/>
          <w:szCs w:val="24"/>
        </w:rPr>
        <w:t>s</w:t>
      </w:r>
      <w:r w:rsidR="00AF60DB" w:rsidRPr="005169B8">
        <w:rPr>
          <w:sz w:val="24"/>
          <w:szCs w:val="24"/>
        </w:rPr>
        <w:t>.</w:t>
      </w:r>
      <w:r w:rsidRPr="005169B8">
        <w:rPr>
          <w:sz w:val="24"/>
          <w:szCs w:val="24"/>
        </w:rPr>
        <w:t>1</w:t>
      </w:r>
      <w:r w:rsidR="00FA6A01" w:rsidRPr="005169B8">
        <w:rPr>
          <w:sz w:val="24"/>
          <w:szCs w:val="24"/>
        </w:rPr>
        <w:t>1,</w:t>
      </w:r>
      <w:r w:rsidRPr="005169B8">
        <w:rPr>
          <w:sz w:val="24"/>
          <w:szCs w:val="24"/>
        </w:rPr>
        <w:t xml:space="preserve"> the defence to this crime b</w:t>
      </w:r>
      <w:r w:rsidR="00FA6A01" w:rsidRPr="005169B8">
        <w:rPr>
          <w:sz w:val="24"/>
          <w:szCs w:val="24"/>
        </w:rPr>
        <w:t>ares</w:t>
      </w:r>
      <w:r w:rsidRPr="005169B8">
        <w:rPr>
          <w:sz w:val="24"/>
          <w:szCs w:val="24"/>
        </w:rPr>
        <w:t xml:space="preserve"> an evidential burden not a legal one</w:t>
      </w:r>
      <w:r w:rsidRPr="005169B8">
        <w:rPr>
          <w:rStyle w:val="FootnoteReference"/>
          <w:sz w:val="24"/>
          <w:szCs w:val="24"/>
        </w:rPr>
        <w:footnoteReference w:id="44"/>
      </w:r>
      <w:r w:rsidR="00E31E0A" w:rsidRPr="005169B8">
        <w:rPr>
          <w:sz w:val="24"/>
          <w:szCs w:val="24"/>
        </w:rPr>
        <w:t>. The final offence that is connected to proscription concern</w:t>
      </w:r>
      <w:r w:rsidR="00FA6A01" w:rsidRPr="005169B8">
        <w:rPr>
          <w:sz w:val="24"/>
          <w:szCs w:val="24"/>
        </w:rPr>
        <w:t>ing</w:t>
      </w:r>
      <w:r w:rsidR="00E31E0A" w:rsidRPr="005169B8">
        <w:rPr>
          <w:sz w:val="24"/>
          <w:szCs w:val="24"/>
        </w:rPr>
        <w:t xml:space="preserve"> uniform</w:t>
      </w:r>
      <w:r w:rsidR="00213A8C" w:rsidRPr="005169B8">
        <w:rPr>
          <w:sz w:val="24"/>
          <w:szCs w:val="24"/>
        </w:rPr>
        <w:t>, which holds a similarity to section one of the public order act 1936 concerning political uniforms in public spaces</w:t>
      </w:r>
      <w:r w:rsidR="00213A8C" w:rsidRPr="005169B8">
        <w:rPr>
          <w:rStyle w:val="FootnoteReference"/>
          <w:sz w:val="24"/>
          <w:szCs w:val="24"/>
        </w:rPr>
        <w:footnoteReference w:id="45"/>
      </w:r>
      <w:r w:rsidR="00FA6A01" w:rsidRPr="005169B8">
        <w:rPr>
          <w:sz w:val="24"/>
          <w:szCs w:val="24"/>
        </w:rPr>
        <w:t>. S</w:t>
      </w:r>
      <w:r w:rsidR="00AF60DB" w:rsidRPr="005169B8">
        <w:rPr>
          <w:sz w:val="24"/>
          <w:szCs w:val="24"/>
        </w:rPr>
        <w:t>.</w:t>
      </w:r>
      <w:r w:rsidR="00E31E0A" w:rsidRPr="005169B8">
        <w:rPr>
          <w:sz w:val="24"/>
          <w:szCs w:val="24"/>
        </w:rPr>
        <w:t xml:space="preserve">13(1) of the Terrorism </w:t>
      </w:r>
      <w:r w:rsidR="00FA6A01" w:rsidRPr="005169B8">
        <w:rPr>
          <w:sz w:val="24"/>
          <w:szCs w:val="24"/>
        </w:rPr>
        <w:t>A</w:t>
      </w:r>
      <w:r w:rsidR="00E31E0A" w:rsidRPr="005169B8">
        <w:rPr>
          <w:sz w:val="24"/>
          <w:szCs w:val="24"/>
        </w:rPr>
        <w:t>ct characterises the offence as</w:t>
      </w:r>
      <w:r w:rsidR="00AF60DB" w:rsidRPr="005169B8">
        <w:rPr>
          <w:sz w:val="24"/>
          <w:szCs w:val="24"/>
        </w:rPr>
        <w:t>:</w:t>
      </w:r>
    </w:p>
    <w:p w14:paraId="17C391CD" w14:textId="77777777" w:rsidR="005169B8" w:rsidRPr="005169B8" w:rsidRDefault="005169B8" w:rsidP="005169B8">
      <w:pPr>
        <w:spacing w:line="360" w:lineRule="auto"/>
        <w:jc w:val="both"/>
        <w:rPr>
          <w:sz w:val="24"/>
          <w:szCs w:val="24"/>
        </w:rPr>
      </w:pPr>
    </w:p>
    <w:p w14:paraId="6620275D" w14:textId="77777777" w:rsidR="00AF60DB" w:rsidRPr="005169B8" w:rsidRDefault="00E31E0A" w:rsidP="005169B8">
      <w:pPr>
        <w:spacing w:line="360" w:lineRule="auto"/>
        <w:ind w:left="851" w:right="571"/>
        <w:jc w:val="both"/>
        <w:rPr>
          <w:sz w:val="24"/>
          <w:szCs w:val="24"/>
        </w:rPr>
      </w:pPr>
      <w:r w:rsidRPr="005169B8">
        <w:rPr>
          <w:sz w:val="24"/>
          <w:szCs w:val="24"/>
        </w:rPr>
        <w:t xml:space="preserve"> “a person … if he: (A) wears and item of clothing; or (B) wears, carries or displays an article; in such a way or in such circumstances as to arouse reasonable suspicion that he is a member or supporter of a proscribed organisation”</w:t>
      </w:r>
      <w:r w:rsidR="00046FD2" w:rsidRPr="005169B8">
        <w:rPr>
          <w:rStyle w:val="FootnoteReference"/>
          <w:sz w:val="24"/>
          <w:szCs w:val="24"/>
        </w:rPr>
        <w:footnoteReference w:id="46"/>
      </w:r>
      <w:r w:rsidR="00046FD2" w:rsidRPr="005169B8">
        <w:rPr>
          <w:sz w:val="24"/>
          <w:szCs w:val="24"/>
        </w:rPr>
        <w:t xml:space="preserve">. </w:t>
      </w:r>
    </w:p>
    <w:p w14:paraId="07EE742A" w14:textId="44BD1C8C" w:rsidR="004358B2" w:rsidRDefault="00046FD2" w:rsidP="005169B8">
      <w:pPr>
        <w:spacing w:line="360" w:lineRule="auto"/>
        <w:jc w:val="both"/>
        <w:rPr>
          <w:sz w:val="24"/>
          <w:szCs w:val="24"/>
        </w:rPr>
      </w:pPr>
      <w:r w:rsidRPr="005169B8">
        <w:rPr>
          <w:sz w:val="24"/>
          <w:szCs w:val="24"/>
        </w:rPr>
        <w:lastRenderedPageBreak/>
        <w:t xml:space="preserve">When looking at these offences from a human rights </w:t>
      </w:r>
      <w:r w:rsidR="005769B7" w:rsidRPr="005169B8">
        <w:rPr>
          <w:sz w:val="24"/>
          <w:szCs w:val="24"/>
        </w:rPr>
        <w:t>stand</w:t>
      </w:r>
      <w:r w:rsidRPr="005169B8">
        <w:rPr>
          <w:sz w:val="24"/>
          <w:szCs w:val="24"/>
        </w:rPr>
        <w:t xml:space="preserve">point, it could be argued that they infringe both </w:t>
      </w:r>
      <w:r w:rsidR="00AF60DB" w:rsidRPr="005169B8">
        <w:rPr>
          <w:sz w:val="24"/>
          <w:szCs w:val="24"/>
        </w:rPr>
        <w:t>A</w:t>
      </w:r>
      <w:r w:rsidRPr="005169B8">
        <w:rPr>
          <w:sz w:val="24"/>
          <w:szCs w:val="24"/>
        </w:rPr>
        <w:t>rticles 10 and 11, freedom of speech and freedom of association respectively.</w:t>
      </w:r>
      <w:r w:rsidR="005769B7" w:rsidRPr="005169B8">
        <w:rPr>
          <w:sz w:val="24"/>
          <w:szCs w:val="24"/>
        </w:rPr>
        <w:t xml:space="preserve"> Whilst t</w:t>
      </w:r>
      <w:r w:rsidR="004358B2" w:rsidRPr="005169B8">
        <w:rPr>
          <w:sz w:val="24"/>
          <w:szCs w:val="24"/>
        </w:rPr>
        <w:t xml:space="preserve">hese </w:t>
      </w:r>
      <w:r w:rsidR="005769B7" w:rsidRPr="005169B8">
        <w:rPr>
          <w:sz w:val="24"/>
          <w:szCs w:val="24"/>
        </w:rPr>
        <w:t xml:space="preserve">sections could amount to </w:t>
      </w:r>
      <w:r w:rsidR="004358B2" w:rsidRPr="005169B8">
        <w:rPr>
          <w:sz w:val="24"/>
          <w:szCs w:val="24"/>
        </w:rPr>
        <w:t>proscription related offences</w:t>
      </w:r>
      <w:r w:rsidR="005769B7" w:rsidRPr="005169B8">
        <w:rPr>
          <w:sz w:val="24"/>
          <w:szCs w:val="24"/>
        </w:rPr>
        <w:t>, one could argue</w:t>
      </w:r>
      <w:r w:rsidR="004358B2" w:rsidRPr="005169B8">
        <w:rPr>
          <w:sz w:val="24"/>
          <w:szCs w:val="24"/>
        </w:rPr>
        <w:t xml:space="preserve"> that</w:t>
      </w:r>
      <w:r w:rsidR="005769B7" w:rsidRPr="005169B8">
        <w:rPr>
          <w:sz w:val="24"/>
          <w:szCs w:val="24"/>
        </w:rPr>
        <w:t xml:space="preserve"> they are just normal activities in day to day society which as a result of legislation, may now be </w:t>
      </w:r>
      <w:r w:rsidR="004358B2" w:rsidRPr="005169B8">
        <w:rPr>
          <w:sz w:val="24"/>
          <w:szCs w:val="24"/>
        </w:rPr>
        <w:t>perceived as hostile and raise suspicion of support of terrorist action. As previously stated</w:t>
      </w:r>
      <w:r w:rsidR="005769B7" w:rsidRPr="005169B8">
        <w:rPr>
          <w:sz w:val="24"/>
          <w:szCs w:val="24"/>
        </w:rPr>
        <w:t xml:space="preserve">, </w:t>
      </w:r>
      <w:r w:rsidR="004358B2" w:rsidRPr="005169B8">
        <w:rPr>
          <w:sz w:val="24"/>
          <w:szCs w:val="24"/>
        </w:rPr>
        <w:t xml:space="preserve">legislation surrounding terrorist activity is indiscriminate in its power. Groups who fight for peace in foreign countries and far less extreme groups who use shock to convey their point could be considered </w:t>
      </w:r>
      <w:r w:rsidR="002A60D7" w:rsidRPr="005169B8">
        <w:rPr>
          <w:sz w:val="24"/>
          <w:szCs w:val="24"/>
        </w:rPr>
        <w:t xml:space="preserve">as committing terrorist activity </w:t>
      </w:r>
      <w:r w:rsidR="004358B2" w:rsidRPr="005169B8">
        <w:rPr>
          <w:sz w:val="24"/>
          <w:szCs w:val="24"/>
        </w:rPr>
        <w:t xml:space="preserve">under the definitions of sections </w:t>
      </w:r>
      <w:r w:rsidR="005769B7" w:rsidRPr="005169B8">
        <w:rPr>
          <w:sz w:val="24"/>
          <w:szCs w:val="24"/>
        </w:rPr>
        <w:t xml:space="preserve">one </w:t>
      </w:r>
      <w:r w:rsidR="004358B2" w:rsidRPr="005169B8">
        <w:rPr>
          <w:sz w:val="24"/>
          <w:szCs w:val="24"/>
        </w:rPr>
        <w:t xml:space="preserve">and </w:t>
      </w:r>
      <w:r w:rsidR="005769B7" w:rsidRPr="005169B8">
        <w:rPr>
          <w:sz w:val="24"/>
          <w:szCs w:val="24"/>
        </w:rPr>
        <w:t>three</w:t>
      </w:r>
      <w:r w:rsidR="005769B7" w:rsidRPr="005169B8">
        <w:rPr>
          <w:rStyle w:val="FootnoteReference"/>
          <w:sz w:val="24"/>
          <w:szCs w:val="24"/>
        </w:rPr>
        <w:footnoteReference w:id="47"/>
      </w:r>
      <w:r w:rsidR="004358B2" w:rsidRPr="005169B8">
        <w:rPr>
          <w:sz w:val="24"/>
          <w:szCs w:val="24"/>
        </w:rPr>
        <w:t xml:space="preserve">. </w:t>
      </w:r>
      <w:r w:rsidR="005769B7" w:rsidRPr="005169B8">
        <w:rPr>
          <w:sz w:val="24"/>
          <w:szCs w:val="24"/>
        </w:rPr>
        <w:t>It is therefore contended that</w:t>
      </w:r>
      <w:r w:rsidR="002A60D7" w:rsidRPr="005169B8">
        <w:rPr>
          <w:sz w:val="24"/>
          <w:szCs w:val="24"/>
        </w:rPr>
        <w:t xml:space="preserve"> by extension</w:t>
      </w:r>
      <w:r w:rsidR="005769B7" w:rsidRPr="005169B8">
        <w:rPr>
          <w:sz w:val="24"/>
          <w:szCs w:val="24"/>
        </w:rPr>
        <w:t xml:space="preserve"> </w:t>
      </w:r>
      <w:r w:rsidR="002A60D7" w:rsidRPr="005169B8">
        <w:rPr>
          <w:sz w:val="24"/>
          <w:szCs w:val="24"/>
        </w:rPr>
        <w:t xml:space="preserve">anyone who could be seen as supporting these groups </w:t>
      </w:r>
      <w:r w:rsidR="005769B7" w:rsidRPr="005169B8">
        <w:rPr>
          <w:sz w:val="24"/>
          <w:szCs w:val="24"/>
        </w:rPr>
        <w:t xml:space="preserve">in some way may be </w:t>
      </w:r>
      <w:r w:rsidR="002A60D7" w:rsidRPr="005169B8">
        <w:rPr>
          <w:sz w:val="24"/>
          <w:szCs w:val="24"/>
        </w:rPr>
        <w:t>seen as committing acts linked to terrorism and proscription. A substantial quote from Lord Hoffman however, explains as to why some restrictions can be sanctioned for the good of society</w:t>
      </w:r>
      <w:r w:rsidR="005769B7" w:rsidRPr="005169B8">
        <w:rPr>
          <w:sz w:val="24"/>
          <w:szCs w:val="24"/>
        </w:rPr>
        <w:t xml:space="preserve"> stating</w:t>
      </w:r>
      <w:r w:rsidR="00F60ED2" w:rsidRPr="005169B8">
        <w:rPr>
          <w:sz w:val="24"/>
          <w:szCs w:val="24"/>
        </w:rPr>
        <w:t>,</w:t>
      </w:r>
      <w:r w:rsidR="002A60D7" w:rsidRPr="005169B8">
        <w:rPr>
          <w:sz w:val="24"/>
          <w:szCs w:val="24"/>
        </w:rPr>
        <w:t xml:space="preserve"> “Individual freedom should only be restricted when there is a real and pressing need to do so”</w:t>
      </w:r>
      <w:r w:rsidR="00792C8D" w:rsidRPr="005169B8">
        <w:rPr>
          <w:rStyle w:val="FootnoteReference"/>
          <w:sz w:val="24"/>
          <w:szCs w:val="24"/>
        </w:rPr>
        <w:footnoteReference w:id="48"/>
      </w:r>
      <w:r w:rsidR="002A60D7" w:rsidRPr="005169B8">
        <w:rPr>
          <w:sz w:val="24"/>
          <w:szCs w:val="24"/>
        </w:rPr>
        <w:t xml:space="preserve"> </w:t>
      </w:r>
      <w:r w:rsidR="005769B7" w:rsidRPr="005169B8">
        <w:rPr>
          <w:sz w:val="24"/>
          <w:szCs w:val="24"/>
        </w:rPr>
        <w:t xml:space="preserve">and </w:t>
      </w:r>
      <w:r w:rsidR="002A60D7" w:rsidRPr="005169B8">
        <w:rPr>
          <w:sz w:val="24"/>
          <w:szCs w:val="24"/>
        </w:rPr>
        <w:t xml:space="preserve">when that restriction is disproportionate with the outcome, the </w:t>
      </w:r>
      <w:r w:rsidR="005769B7" w:rsidRPr="005169B8">
        <w:rPr>
          <w:sz w:val="24"/>
          <w:szCs w:val="24"/>
        </w:rPr>
        <w:t xml:space="preserve">democratic </w:t>
      </w:r>
      <w:r w:rsidR="002A60D7" w:rsidRPr="005169B8">
        <w:rPr>
          <w:sz w:val="24"/>
          <w:szCs w:val="24"/>
        </w:rPr>
        <w:t>system becomes unbalanced and the foundations of democracy crumble</w:t>
      </w:r>
      <w:r w:rsidR="005769B7" w:rsidRPr="005169B8">
        <w:rPr>
          <w:sz w:val="24"/>
          <w:szCs w:val="24"/>
        </w:rPr>
        <w:t xml:space="preserve"> </w:t>
      </w:r>
      <w:r w:rsidR="002A60D7" w:rsidRPr="005169B8">
        <w:rPr>
          <w:sz w:val="24"/>
          <w:szCs w:val="24"/>
        </w:rPr>
        <w:t>without freedom to express one</w:t>
      </w:r>
      <w:r w:rsidR="005769B7" w:rsidRPr="005169B8">
        <w:rPr>
          <w:sz w:val="24"/>
          <w:szCs w:val="24"/>
        </w:rPr>
        <w:t>’</w:t>
      </w:r>
      <w:r w:rsidR="002A60D7" w:rsidRPr="005169B8">
        <w:rPr>
          <w:sz w:val="24"/>
          <w:szCs w:val="24"/>
        </w:rPr>
        <w:t>s political beliefs</w:t>
      </w:r>
      <w:r w:rsidR="005769B7" w:rsidRPr="005169B8">
        <w:rPr>
          <w:rStyle w:val="FootnoteReference"/>
          <w:sz w:val="24"/>
          <w:szCs w:val="24"/>
        </w:rPr>
        <w:footnoteReference w:id="49"/>
      </w:r>
      <w:r w:rsidR="002A60D7" w:rsidRPr="005169B8">
        <w:rPr>
          <w:sz w:val="24"/>
          <w:szCs w:val="24"/>
        </w:rPr>
        <w:t xml:space="preserve">. </w:t>
      </w:r>
    </w:p>
    <w:p w14:paraId="25FCEDBE" w14:textId="77777777" w:rsidR="005169B8" w:rsidRPr="005169B8" w:rsidRDefault="005169B8" w:rsidP="005169B8">
      <w:pPr>
        <w:spacing w:line="360" w:lineRule="auto"/>
        <w:jc w:val="both"/>
        <w:rPr>
          <w:sz w:val="24"/>
          <w:szCs w:val="24"/>
        </w:rPr>
      </w:pPr>
    </w:p>
    <w:p w14:paraId="10BAC367" w14:textId="71C7D3CB" w:rsidR="000E61AF" w:rsidRDefault="0072021A" w:rsidP="005169B8">
      <w:pPr>
        <w:spacing w:line="360" w:lineRule="auto"/>
        <w:jc w:val="center"/>
        <w:rPr>
          <w:b/>
          <w:sz w:val="24"/>
          <w:szCs w:val="24"/>
        </w:rPr>
      </w:pPr>
      <w:r w:rsidRPr="005169B8">
        <w:rPr>
          <w:b/>
          <w:sz w:val="24"/>
          <w:szCs w:val="24"/>
        </w:rPr>
        <w:t>Possible reform</w:t>
      </w:r>
    </w:p>
    <w:p w14:paraId="7BF49A13" w14:textId="77777777" w:rsidR="005169B8" w:rsidRPr="005169B8" w:rsidRDefault="005169B8" w:rsidP="005169B8">
      <w:pPr>
        <w:spacing w:line="360" w:lineRule="auto"/>
        <w:jc w:val="both"/>
        <w:rPr>
          <w:b/>
          <w:sz w:val="24"/>
          <w:szCs w:val="24"/>
        </w:rPr>
      </w:pPr>
    </w:p>
    <w:p w14:paraId="3BCB8EBF" w14:textId="2C1849B9" w:rsidR="000F22BB" w:rsidRDefault="00ED28BF" w:rsidP="005169B8">
      <w:pPr>
        <w:spacing w:line="360" w:lineRule="auto"/>
        <w:jc w:val="both"/>
        <w:rPr>
          <w:sz w:val="24"/>
          <w:szCs w:val="24"/>
        </w:rPr>
      </w:pPr>
      <w:r w:rsidRPr="005169B8">
        <w:rPr>
          <w:sz w:val="24"/>
          <w:szCs w:val="24"/>
        </w:rPr>
        <w:t>From its original aims to curtail the powers of</w:t>
      </w:r>
      <w:r w:rsidR="009724C3" w:rsidRPr="005169B8">
        <w:rPr>
          <w:sz w:val="24"/>
          <w:szCs w:val="24"/>
        </w:rPr>
        <w:t xml:space="preserve"> the</w:t>
      </w:r>
      <w:r w:rsidRPr="005169B8">
        <w:rPr>
          <w:sz w:val="24"/>
          <w:szCs w:val="24"/>
        </w:rPr>
        <w:t xml:space="preserve"> Irish Republican Army and other splinter groups, the law on proscription has been amended several times to widen the </w:t>
      </w:r>
      <w:r w:rsidR="00792C8D" w:rsidRPr="005169B8">
        <w:rPr>
          <w:sz w:val="24"/>
          <w:szCs w:val="24"/>
        </w:rPr>
        <w:t>definition but</w:t>
      </w:r>
      <w:r w:rsidR="009724C3" w:rsidRPr="005169B8">
        <w:rPr>
          <w:sz w:val="24"/>
          <w:szCs w:val="24"/>
        </w:rPr>
        <w:t xml:space="preserve"> it poses the question as to whether</w:t>
      </w:r>
      <w:r w:rsidR="00C3514C" w:rsidRPr="005169B8">
        <w:rPr>
          <w:sz w:val="24"/>
          <w:szCs w:val="24"/>
        </w:rPr>
        <w:t xml:space="preserve"> this power support</w:t>
      </w:r>
      <w:r w:rsidR="009724C3" w:rsidRPr="005169B8">
        <w:rPr>
          <w:sz w:val="24"/>
          <w:szCs w:val="24"/>
        </w:rPr>
        <w:t>s</w:t>
      </w:r>
      <w:r w:rsidR="00C3514C" w:rsidRPr="005169B8">
        <w:rPr>
          <w:sz w:val="24"/>
          <w:szCs w:val="24"/>
        </w:rPr>
        <w:t xml:space="preserve"> law enforcers in protecting the UK against terrorism. </w:t>
      </w:r>
      <w:r w:rsidR="00D157F3" w:rsidRPr="005169B8">
        <w:rPr>
          <w:sz w:val="24"/>
          <w:szCs w:val="24"/>
        </w:rPr>
        <w:t>Proscription has arguably been seen as a positive method to “discourage supporters of terrorist organisations”</w:t>
      </w:r>
      <w:r w:rsidR="00D157F3" w:rsidRPr="005169B8">
        <w:rPr>
          <w:rStyle w:val="FootnoteReference"/>
          <w:sz w:val="24"/>
          <w:szCs w:val="24"/>
        </w:rPr>
        <w:footnoteReference w:id="50"/>
      </w:r>
      <w:r w:rsidR="009724C3" w:rsidRPr="005169B8">
        <w:rPr>
          <w:sz w:val="24"/>
          <w:szCs w:val="24"/>
        </w:rPr>
        <w:t>.</w:t>
      </w:r>
      <w:r w:rsidR="00D157F3" w:rsidRPr="005169B8">
        <w:rPr>
          <w:sz w:val="24"/>
          <w:szCs w:val="24"/>
        </w:rPr>
        <w:t xml:space="preserve"> However, other sources such as Clive Walker believe “it’s detrimental effects in terms of constraining the free expression of views about Northern Ireland </w:t>
      </w:r>
      <w:r w:rsidR="00D157F3" w:rsidRPr="005169B8">
        <w:rPr>
          <w:sz w:val="24"/>
          <w:szCs w:val="24"/>
        </w:rPr>
        <w:lastRenderedPageBreak/>
        <w:t>outweigh its benefits”</w:t>
      </w:r>
      <w:r w:rsidR="00792C8D" w:rsidRPr="005169B8">
        <w:rPr>
          <w:rStyle w:val="FootnoteReference"/>
          <w:sz w:val="24"/>
          <w:szCs w:val="24"/>
        </w:rPr>
        <w:footnoteReference w:id="51"/>
      </w:r>
      <w:r w:rsidR="00D157F3" w:rsidRPr="005169B8">
        <w:rPr>
          <w:sz w:val="24"/>
          <w:szCs w:val="24"/>
        </w:rPr>
        <w:t xml:space="preserve">. </w:t>
      </w:r>
      <w:r w:rsidRPr="005169B8">
        <w:rPr>
          <w:sz w:val="24"/>
          <w:szCs w:val="24"/>
        </w:rPr>
        <w:t xml:space="preserve"> </w:t>
      </w:r>
      <w:r w:rsidR="00280C7D" w:rsidRPr="005169B8">
        <w:rPr>
          <w:sz w:val="24"/>
          <w:szCs w:val="24"/>
        </w:rPr>
        <w:t>There are several potential reforms that could amend the current law on proscription</w:t>
      </w:r>
      <w:r w:rsidR="009724C3" w:rsidRPr="005169B8">
        <w:rPr>
          <w:sz w:val="24"/>
          <w:szCs w:val="24"/>
        </w:rPr>
        <w:t>. O</w:t>
      </w:r>
      <w:r w:rsidR="00280C7D" w:rsidRPr="005169B8">
        <w:rPr>
          <w:sz w:val="24"/>
          <w:szCs w:val="24"/>
        </w:rPr>
        <w:t>ne recommendation put forward by David Anderson in his annual report focus</w:t>
      </w:r>
      <w:r w:rsidR="009724C3" w:rsidRPr="005169B8">
        <w:rPr>
          <w:sz w:val="24"/>
          <w:szCs w:val="24"/>
        </w:rPr>
        <w:t xml:space="preserve">es on setting a time limit </w:t>
      </w:r>
      <w:r w:rsidR="00110E3E" w:rsidRPr="005169B8">
        <w:rPr>
          <w:sz w:val="24"/>
          <w:szCs w:val="24"/>
        </w:rPr>
        <w:t xml:space="preserve">before organisations </w:t>
      </w:r>
      <w:r w:rsidR="009724C3" w:rsidRPr="005169B8">
        <w:rPr>
          <w:sz w:val="24"/>
          <w:szCs w:val="24"/>
        </w:rPr>
        <w:t>may be</w:t>
      </w:r>
      <w:r w:rsidR="00110E3E" w:rsidRPr="005169B8">
        <w:rPr>
          <w:sz w:val="24"/>
          <w:szCs w:val="24"/>
        </w:rPr>
        <w:t xml:space="preserve"> considered for deproscription</w:t>
      </w:r>
      <w:r w:rsidR="009724C3" w:rsidRPr="005169B8">
        <w:rPr>
          <w:sz w:val="24"/>
          <w:szCs w:val="24"/>
        </w:rPr>
        <w:t>. He states “</w:t>
      </w:r>
      <w:r w:rsidR="00110E3E" w:rsidRPr="005169B8">
        <w:rPr>
          <w:sz w:val="24"/>
          <w:szCs w:val="24"/>
        </w:rPr>
        <w:t>proscription orders should lapse after a period of time</w:t>
      </w:r>
      <w:r w:rsidR="009724C3" w:rsidRPr="005169B8">
        <w:rPr>
          <w:sz w:val="24"/>
          <w:szCs w:val="24"/>
        </w:rPr>
        <w:t xml:space="preserve"> </w:t>
      </w:r>
      <w:r w:rsidR="00110E3E" w:rsidRPr="005169B8">
        <w:rPr>
          <w:sz w:val="24"/>
          <w:szCs w:val="24"/>
        </w:rPr>
        <w:t xml:space="preserve">and be renewed only </w:t>
      </w:r>
      <w:r w:rsidR="009724C3" w:rsidRPr="005169B8">
        <w:rPr>
          <w:sz w:val="24"/>
          <w:szCs w:val="24"/>
        </w:rPr>
        <w:t>i</w:t>
      </w:r>
      <w:r w:rsidR="00110E3E" w:rsidRPr="005169B8">
        <w:rPr>
          <w:sz w:val="24"/>
          <w:szCs w:val="24"/>
        </w:rPr>
        <w:t>f there is sufficient evidence to do so”</w:t>
      </w:r>
      <w:r w:rsidR="00110E3E" w:rsidRPr="005169B8">
        <w:rPr>
          <w:rStyle w:val="FootnoteReference"/>
          <w:sz w:val="24"/>
          <w:szCs w:val="24"/>
        </w:rPr>
        <w:footnoteReference w:id="52"/>
      </w:r>
      <w:r w:rsidR="009724C3" w:rsidRPr="005169B8">
        <w:rPr>
          <w:sz w:val="24"/>
          <w:szCs w:val="24"/>
        </w:rPr>
        <w:t xml:space="preserve">. </w:t>
      </w:r>
      <w:r w:rsidR="00D120A9" w:rsidRPr="005169B8">
        <w:rPr>
          <w:sz w:val="24"/>
          <w:szCs w:val="24"/>
        </w:rPr>
        <w:t>Another point put forward by Anderson relates to when the Secretary of State denies deproscription</w:t>
      </w:r>
      <w:r w:rsidR="00053828" w:rsidRPr="005169B8">
        <w:rPr>
          <w:sz w:val="24"/>
          <w:szCs w:val="24"/>
        </w:rPr>
        <w:t>. S</w:t>
      </w:r>
      <w:r w:rsidR="00D120A9" w:rsidRPr="005169B8">
        <w:rPr>
          <w:sz w:val="24"/>
          <w:szCs w:val="24"/>
        </w:rPr>
        <w:t>uggesting that reasons should be given in full to gain a greater understanding as to why groups have been denied</w:t>
      </w:r>
      <w:r w:rsidR="00053828" w:rsidRPr="005169B8">
        <w:rPr>
          <w:sz w:val="24"/>
          <w:szCs w:val="24"/>
        </w:rPr>
        <w:t xml:space="preserve"> and how this will affect their appeal</w:t>
      </w:r>
      <w:r w:rsidR="002D774B" w:rsidRPr="005169B8">
        <w:rPr>
          <w:rStyle w:val="FootnoteReference"/>
          <w:sz w:val="24"/>
          <w:szCs w:val="24"/>
        </w:rPr>
        <w:footnoteReference w:id="53"/>
      </w:r>
      <w:r w:rsidR="00D120A9" w:rsidRPr="005169B8">
        <w:rPr>
          <w:sz w:val="24"/>
          <w:szCs w:val="24"/>
        </w:rPr>
        <w:t>. Although the appeal reasoning differs in R v Z</w:t>
      </w:r>
      <w:r w:rsidR="00936E93" w:rsidRPr="005169B8">
        <w:rPr>
          <w:rStyle w:val="FootnoteReference"/>
          <w:sz w:val="24"/>
          <w:szCs w:val="24"/>
        </w:rPr>
        <w:footnoteReference w:id="54"/>
      </w:r>
      <w:r w:rsidR="00D120A9" w:rsidRPr="005169B8">
        <w:rPr>
          <w:sz w:val="24"/>
          <w:szCs w:val="24"/>
        </w:rPr>
        <w:t>, the case still remains relevant to the recommendation. The reason for this appeal relates to the name of their proscribed group, although not actually a listed group under Schedule 2, the defendants were charged</w:t>
      </w:r>
      <w:r w:rsidR="00936E93" w:rsidRPr="005169B8">
        <w:rPr>
          <w:sz w:val="24"/>
          <w:szCs w:val="24"/>
        </w:rPr>
        <w:t xml:space="preserve"> as belonging</w:t>
      </w:r>
      <w:r w:rsidR="00DA349C" w:rsidRPr="005169B8">
        <w:rPr>
          <w:sz w:val="24"/>
          <w:szCs w:val="24"/>
        </w:rPr>
        <w:t xml:space="preserve"> to a proscribed organisation, the ‘Real IRA’. T</w:t>
      </w:r>
      <w:r w:rsidR="00936E93" w:rsidRPr="005169B8">
        <w:rPr>
          <w:sz w:val="24"/>
          <w:szCs w:val="24"/>
        </w:rPr>
        <w:t>his is because as an umbrella term, the IRA related to all splinter groups surrounding what was one of the original reasons proscription was introduced.</w:t>
      </w:r>
      <w:r w:rsidR="00053828" w:rsidRPr="005169B8">
        <w:rPr>
          <w:sz w:val="24"/>
          <w:szCs w:val="24"/>
        </w:rPr>
        <w:t xml:space="preserve"> </w:t>
      </w:r>
      <w:r w:rsidR="00FA1BC5" w:rsidRPr="005169B8">
        <w:rPr>
          <w:sz w:val="24"/>
          <w:szCs w:val="24"/>
        </w:rPr>
        <w:t xml:space="preserve">In doing this, the courts forsake groups that </w:t>
      </w:r>
      <w:r w:rsidR="003444A4" w:rsidRPr="005169B8">
        <w:rPr>
          <w:sz w:val="24"/>
          <w:szCs w:val="24"/>
        </w:rPr>
        <w:t>may</w:t>
      </w:r>
      <w:r w:rsidR="00FA1BC5" w:rsidRPr="005169B8">
        <w:rPr>
          <w:sz w:val="24"/>
          <w:szCs w:val="24"/>
        </w:rPr>
        <w:t xml:space="preserve"> not </w:t>
      </w:r>
      <w:r w:rsidR="003444A4" w:rsidRPr="005169B8">
        <w:rPr>
          <w:sz w:val="24"/>
          <w:szCs w:val="24"/>
        </w:rPr>
        <w:t xml:space="preserve">have </w:t>
      </w:r>
      <w:r w:rsidR="00FA1BC5" w:rsidRPr="005169B8">
        <w:rPr>
          <w:sz w:val="24"/>
          <w:szCs w:val="24"/>
        </w:rPr>
        <w:t>used violent acts, branding all those groups who work under a name similar to that of the IRA as terrorist groups</w:t>
      </w:r>
      <w:r w:rsidR="003444A4" w:rsidRPr="005169B8">
        <w:rPr>
          <w:sz w:val="24"/>
          <w:szCs w:val="24"/>
        </w:rPr>
        <w:t xml:space="preserve">. </w:t>
      </w:r>
      <w:r w:rsidR="00936E93" w:rsidRPr="005169B8">
        <w:rPr>
          <w:sz w:val="24"/>
          <w:szCs w:val="24"/>
        </w:rPr>
        <w:t>These,</w:t>
      </w:r>
      <w:r w:rsidR="00110E3E" w:rsidRPr="005169B8">
        <w:rPr>
          <w:sz w:val="24"/>
          <w:szCs w:val="24"/>
        </w:rPr>
        <w:t xml:space="preserve"> however</w:t>
      </w:r>
      <w:r w:rsidR="009724C3" w:rsidRPr="005169B8">
        <w:rPr>
          <w:sz w:val="24"/>
          <w:szCs w:val="24"/>
        </w:rPr>
        <w:t>,</w:t>
      </w:r>
      <w:r w:rsidR="00110E3E" w:rsidRPr="005169B8">
        <w:rPr>
          <w:sz w:val="24"/>
          <w:szCs w:val="24"/>
        </w:rPr>
        <w:t xml:space="preserve"> could conflict with the current process of appeals. When looking at the current process under the Secretary of State, the </w:t>
      </w:r>
      <w:r w:rsidR="00485A29" w:rsidRPr="005169B8">
        <w:rPr>
          <w:sz w:val="24"/>
          <w:szCs w:val="24"/>
        </w:rPr>
        <w:t>two-point</w:t>
      </w:r>
      <w:r w:rsidR="00110E3E" w:rsidRPr="005169B8">
        <w:rPr>
          <w:sz w:val="24"/>
          <w:szCs w:val="24"/>
        </w:rPr>
        <w:t xml:space="preserve"> test that he follows makes little space for evidence</w:t>
      </w:r>
      <w:r w:rsidR="00C95F6A" w:rsidRPr="005169B8">
        <w:rPr>
          <w:sz w:val="24"/>
          <w:szCs w:val="24"/>
        </w:rPr>
        <w:t xml:space="preserve"> as seen in the appeal process of PMOI</w:t>
      </w:r>
      <w:r w:rsidR="00DB4F31" w:rsidRPr="005169B8">
        <w:rPr>
          <w:rStyle w:val="FootnoteReference"/>
          <w:sz w:val="24"/>
          <w:szCs w:val="24"/>
        </w:rPr>
        <w:footnoteReference w:id="55"/>
      </w:r>
      <w:r w:rsidR="009724C3" w:rsidRPr="005169B8">
        <w:rPr>
          <w:sz w:val="24"/>
          <w:szCs w:val="24"/>
        </w:rPr>
        <w:t xml:space="preserve">. The </w:t>
      </w:r>
      <w:r w:rsidR="00C95F6A" w:rsidRPr="005169B8">
        <w:rPr>
          <w:sz w:val="24"/>
          <w:szCs w:val="24"/>
        </w:rPr>
        <w:t>evidence of the organisation indicated their lack of criminal activity, yet they remained listed due to the Secretary of States</w:t>
      </w:r>
      <w:r w:rsidR="009724C3" w:rsidRPr="005169B8">
        <w:rPr>
          <w:sz w:val="24"/>
          <w:szCs w:val="24"/>
        </w:rPr>
        <w:t>’</w:t>
      </w:r>
      <w:r w:rsidR="00C95F6A" w:rsidRPr="005169B8">
        <w:rPr>
          <w:sz w:val="24"/>
          <w:szCs w:val="24"/>
        </w:rPr>
        <w:t xml:space="preserve"> </w:t>
      </w:r>
      <w:r w:rsidR="009724C3" w:rsidRPr="005169B8">
        <w:rPr>
          <w:sz w:val="24"/>
          <w:szCs w:val="24"/>
        </w:rPr>
        <w:t>m</w:t>
      </w:r>
      <w:r w:rsidR="00C95F6A" w:rsidRPr="005169B8">
        <w:rPr>
          <w:sz w:val="24"/>
          <w:szCs w:val="24"/>
        </w:rPr>
        <w:t>isinterpretation of the phrase “concerned in terrorism”</w:t>
      </w:r>
      <w:r w:rsidR="00932E70" w:rsidRPr="005169B8">
        <w:rPr>
          <w:sz w:val="24"/>
          <w:szCs w:val="24"/>
        </w:rPr>
        <w:t xml:space="preserve">. </w:t>
      </w:r>
    </w:p>
    <w:p w14:paraId="3AD0FA13" w14:textId="77777777" w:rsidR="005169B8" w:rsidRPr="005169B8" w:rsidRDefault="005169B8" w:rsidP="005169B8">
      <w:pPr>
        <w:spacing w:line="360" w:lineRule="auto"/>
        <w:jc w:val="both"/>
        <w:rPr>
          <w:sz w:val="24"/>
          <w:szCs w:val="24"/>
        </w:rPr>
      </w:pPr>
    </w:p>
    <w:p w14:paraId="155918FA" w14:textId="7F661F00" w:rsidR="0072021A" w:rsidRPr="005169B8" w:rsidRDefault="009724C3" w:rsidP="005169B8">
      <w:pPr>
        <w:spacing w:line="360" w:lineRule="auto"/>
        <w:jc w:val="both"/>
        <w:rPr>
          <w:sz w:val="24"/>
          <w:szCs w:val="24"/>
        </w:rPr>
      </w:pPr>
      <w:r w:rsidRPr="005169B8">
        <w:rPr>
          <w:sz w:val="24"/>
          <w:szCs w:val="24"/>
        </w:rPr>
        <w:t xml:space="preserve">To conclude, </w:t>
      </w:r>
      <w:r w:rsidR="00CD5BFA" w:rsidRPr="005169B8">
        <w:rPr>
          <w:sz w:val="24"/>
          <w:szCs w:val="24"/>
        </w:rPr>
        <w:t xml:space="preserve">Fenwick </w:t>
      </w:r>
      <w:r w:rsidR="00314298" w:rsidRPr="005169B8">
        <w:rPr>
          <w:sz w:val="24"/>
          <w:szCs w:val="24"/>
        </w:rPr>
        <w:t>encapsulates the original intentions of the Terrorism Act 2000 at the start of the 21</w:t>
      </w:r>
      <w:r w:rsidR="00314298" w:rsidRPr="005169B8">
        <w:rPr>
          <w:sz w:val="24"/>
          <w:szCs w:val="24"/>
          <w:vertAlign w:val="superscript"/>
        </w:rPr>
        <w:t>st</w:t>
      </w:r>
      <w:r w:rsidR="00314298" w:rsidRPr="005169B8">
        <w:rPr>
          <w:sz w:val="24"/>
          <w:szCs w:val="24"/>
        </w:rPr>
        <w:t xml:space="preserve"> century with th</w:t>
      </w:r>
      <w:r w:rsidRPr="005169B8">
        <w:rPr>
          <w:sz w:val="24"/>
          <w:szCs w:val="24"/>
        </w:rPr>
        <w:t>e</w:t>
      </w:r>
      <w:r w:rsidR="00314298" w:rsidRPr="005169B8">
        <w:rPr>
          <w:sz w:val="24"/>
          <w:szCs w:val="24"/>
        </w:rPr>
        <w:t xml:space="preserve"> claim</w:t>
      </w:r>
      <w:r w:rsidR="00F60ED2" w:rsidRPr="005169B8">
        <w:rPr>
          <w:sz w:val="24"/>
          <w:szCs w:val="24"/>
        </w:rPr>
        <w:t>,</w:t>
      </w:r>
      <w:r w:rsidR="00CD5BFA" w:rsidRPr="005169B8">
        <w:rPr>
          <w:sz w:val="24"/>
          <w:szCs w:val="24"/>
        </w:rPr>
        <w:t xml:space="preserve"> “the TA has four key hallmarks, it is far more extensive, covering a much wider range of groups; it is permanent; its main provisions apply equally throughout the UK</w:t>
      </w:r>
      <w:r w:rsidRPr="005169B8">
        <w:rPr>
          <w:sz w:val="24"/>
          <w:szCs w:val="24"/>
        </w:rPr>
        <w:t xml:space="preserve"> </w:t>
      </w:r>
      <w:r w:rsidR="00CD5BFA" w:rsidRPr="005169B8">
        <w:rPr>
          <w:sz w:val="24"/>
          <w:szCs w:val="24"/>
        </w:rPr>
        <w:t xml:space="preserve">and it retains almost all the draconian special powers and offences adopted </w:t>
      </w:r>
      <w:r w:rsidR="00CD5BFA" w:rsidRPr="005169B8">
        <w:rPr>
          <w:sz w:val="24"/>
          <w:szCs w:val="24"/>
        </w:rPr>
        <w:lastRenderedPageBreak/>
        <w:t>under the previous temporary counter-terrorism scheme, whilst adding new incitement offences”</w:t>
      </w:r>
      <w:r w:rsidR="00717CF8" w:rsidRPr="005169B8">
        <w:rPr>
          <w:rStyle w:val="FootnoteReference"/>
          <w:sz w:val="24"/>
          <w:szCs w:val="24"/>
        </w:rPr>
        <w:footnoteReference w:id="56"/>
      </w:r>
      <w:r w:rsidR="00CD5BFA" w:rsidRPr="005169B8">
        <w:rPr>
          <w:sz w:val="24"/>
          <w:szCs w:val="24"/>
        </w:rPr>
        <w:t>.</w:t>
      </w:r>
      <w:r w:rsidR="00110E3E" w:rsidRPr="005169B8">
        <w:rPr>
          <w:sz w:val="24"/>
          <w:szCs w:val="24"/>
        </w:rPr>
        <w:t xml:space="preserve"> </w:t>
      </w:r>
      <w:r w:rsidR="00255E24" w:rsidRPr="005169B8">
        <w:rPr>
          <w:sz w:val="24"/>
          <w:szCs w:val="24"/>
        </w:rPr>
        <w:t>With terrorism becom</w:t>
      </w:r>
      <w:r w:rsidRPr="005169B8">
        <w:rPr>
          <w:sz w:val="24"/>
          <w:szCs w:val="24"/>
        </w:rPr>
        <w:t xml:space="preserve">ing </w:t>
      </w:r>
      <w:r w:rsidR="00255E24" w:rsidRPr="005169B8">
        <w:rPr>
          <w:sz w:val="24"/>
          <w:szCs w:val="24"/>
        </w:rPr>
        <w:t xml:space="preserve">much more of a prominent threat </w:t>
      </w:r>
      <w:r w:rsidRPr="005169B8">
        <w:rPr>
          <w:sz w:val="24"/>
          <w:szCs w:val="24"/>
        </w:rPr>
        <w:t>in society</w:t>
      </w:r>
      <w:r w:rsidR="00255E24" w:rsidRPr="005169B8">
        <w:rPr>
          <w:sz w:val="24"/>
          <w:szCs w:val="24"/>
        </w:rPr>
        <w:t>, legislation must remain ever changing to combat the problem</w:t>
      </w:r>
      <w:r w:rsidR="00A24C86" w:rsidRPr="005169B8">
        <w:rPr>
          <w:sz w:val="24"/>
          <w:szCs w:val="24"/>
        </w:rPr>
        <w:t xml:space="preserve">. The process of proscription is one that </w:t>
      </w:r>
      <w:r w:rsidR="00B60CC1" w:rsidRPr="005169B8">
        <w:rPr>
          <w:sz w:val="24"/>
          <w:szCs w:val="24"/>
        </w:rPr>
        <w:t>must</w:t>
      </w:r>
      <w:r w:rsidR="00A24C86" w:rsidRPr="005169B8">
        <w:rPr>
          <w:sz w:val="24"/>
          <w:szCs w:val="24"/>
        </w:rPr>
        <w:t xml:space="preserve"> remain up to date with current world</w:t>
      </w:r>
      <w:r w:rsidR="00314298" w:rsidRPr="005169B8">
        <w:rPr>
          <w:sz w:val="24"/>
          <w:szCs w:val="24"/>
        </w:rPr>
        <w:t>-</w:t>
      </w:r>
      <w:r w:rsidR="00A24C86" w:rsidRPr="005169B8">
        <w:rPr>
          <w:sz w:val="24"/>
          <w:szCs w:val="24"/>
        </w:rPr>
        <w:t xml:space="preserve">wide state of affairs in order to maintain its protection on the citizens of the UK. </w:t>
      </w:r>
      <w:r w:rsidR="0024399F" w:rsidRPr="005169B8">
        <w:rPr>
          <w:sz w:val="24"/>
          <w:szCs w:val="24"/>
        </w:rPr>
        <w:t>However, the legislature</w:t>
      </w:r>
      <w:r w:rsidR="00EA5888" w:rsidRPr="005169B8">
        <w:rPr>
          <w:sz w:val="24"/>
          <w:szCs w:val="24"/>
        </w:rPr>
        <w:t xml:space="preserve"> and law enforcement</w:t>
      </w:r>
      <w:r w:rsidR="0024399F" w:rsidRPr="005169B8">
        <w:rPr>
          <w:sz w:val="24"/>
          <w:szCs w:val="24"/>
        </w:rPr>
        <w:t xml:space="preserve"> must be able to strike a balance between exercising their power to </w:t>
      </w:r>
      <w:r w:rsidR="00EA5888" w:rsidRPr="005169B8">
        <w:rPr>
          <w:sz w:val="24"/>
          <w:szCs w:val="24"/>
        </w:rPr>
        <w:t>penalise</w:t>
      </w:r>
      <w:r w:rsidR="0024399F" w:rsidRPr="005169B8">
        <w:rPr>
          <w:sz w:val="24"/>
          <w:szCs w:val="24"/>
        </w:rPr>
        <w:t xml:space="preserve"> those concerned with terrorism</w:t>
      </w:r>
      <w:r w:rsidR="00EA5888" w:rsidRPr="005169B8">
        <w:rPr>
          <w:sz w:val="24"/>
          <w:szCs w:val="24"/>
        </w:rPr>
        <w:t xml:space="preserve"> while using their “wide, even intrusive, powers”</w:t>
      </w:r>
      <w:r w:rsidR="00EA5888" w:rsidRPr="005169B8">
        <w:rPr>
          <w:rStyle w:val="FootnoteReference"/>
          <w:sz w:val="24"/>
          <w:szCs w:val="24"/>
        </w:rPr>
        <w:footnoteReference w:id="57"/>
      </w:r>
      <w:r w:rsidR="00EA5888" w:rsidRPr="005169B8">
        <w:rPr>
          <w:sz w:val="24"/>
          <w:szCs w:val="24"/>
        </w:rPr>
        <w:t xml:space="preserve"> to a degree that is accepted and proportional to the harm which could be incurred.</w:t>
      </w:r>
      <w:r w:rsidR="0024399F" w:rsidRPr="005169B8">
        <w:rPr>
          <w:sz w:val="24"/>
          <w:szCs w:val="24"/>
        </w:rPr>
        <w:t xml:space="preserve"> </w:t>
      </w:r>
      <w:r w:rsidR="00DA349C" w:rsidRPr="005169B8">
        <w:rPr>
          <w:sz w:val="24"/>
          <w:szCs w:val="24"/>
        </w:rPr>
        <w:t>T</w:t>
      </w:r>
      <w:r w:rsidR="00EA5888" w:rsidRPr="005169B8">
        <w:rPr>
          <w:sz w:val="24"/>
          <w:szCs w:val="24"/>
        </w:rPr>
        <w:t>he public</w:t>
      </w:r>
      <w:r w:rsidR="00DA349C" w:rsidRPr="005169B8">
        <w:rPr>
          <w:sz w:val="24"/>
          <w:szCs w:val="24"/>
        </w:rPr>
        <w:t xml:space="preserve"> must</w:t>
      </w:r>
      <w:r w:rsidR="00EA5888" w:rsidRPr="005169B8">
        <w:rPr>
          <w:sz w:val="24"/>
          <w:szCs w:val="24"/>
        </w:rPr>
        <w:t xml:space="preserve"> </w:t>
      </w:r>
      <w:r w:rsidR="00DA349C" w:rsidRPr="005169B8">
        <w:rPr>
          <w:sz w:val="24"/>
          <w:szCs w:val="24"/>
        </w:rPr>
        <w:t>have access to the protection of Human R</w:t>
      </w:r>
      <w:r w:rsidR="00EA5888" w:rsidRPr="005169B8">
        <w:rPr>
          <w:sz w:val="24"/>
          <w:szCs w:val="24"/>
        </w:rPr>
        <w:t xml:space="preserve">ights </w:t>
      </w:r>
      <w:r w:rsidR="00B555CB" w:rsidRPr="005169B8">
        <w:rPr>
          <w:sz w:val="24"/>
          <w:szCs w:val="24"/>
        </w:rPr>
        <w:t xml:space="preserve">and </w:t>
      </w:r>
      <w:r w:rsidR="00EA5888" w:rsidRPr="005169B8">
        <w:rPr>
          <w:sz w:val="24"/>
          <w:szCs w:val="24"/>
        </w:rPr>
        <w:t>the freedom to express their religious and political views without fear of being branded a terrorist.</w:t>
      </w:r>
      <w:bookmarkStart w:id="16" w:name="_GoBack"/>
      <w:bookmarkEnd w:id="16"/>
    </w:p>
    <w:sectPr w:rsidR="0072021A" w:rsidRPr="005169B8" w:rsidSect="00261ACD">
      <w:headerReference w:type="default" r:id="rId8"/>
      <w:footerReference w:type="default" r:id="rId9"/>
      <w:pgSz w:w="12240" w:h="15840"/>
      <w:pgMar w:top="1440" w:right="1440" w:bottom="1440" w:left="1440" w:header="708" w:footer="708" w:gutter="0"/>
      <w:pgNumType w:start="3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7D47F9" w14:textId="77777777" w:rsidR="003D0EE4" w:rsidRDefault="003D0EE4" w:rsidP="00F6603A">
      <w:pPr>
        <w:spacing w:after="0" w:line="240" w:lineRule="auto"/>
      </w:pPr>
      <w:r>
        <w:separator/>
      </w:r>
    </w:p>
  </w:endnote>
  <w:endnote w:type="continuationSeparator" w:id="0">
    <w:p w14:paraId="0490E588" w14:textId="77777777" w:rsidR="003D0EE4" w:rsidRDefault="003D0EE4" w:rsidP="00F66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SimSun"/>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7888947"/>
      <w:docPartObj>
        <w:docPartGallery w:val="Page Numbers (Bottom of Page)"/>
        <w:docPartUnique/>
      </w:docPartObj>
    </w:sdtPr>
    <w:sdtEndPr>
      <w:rPr>
        <w:noProof/>
      </w:rPr>
    </w:sdtEndPr>
    <w:sdtContent>
      <w:p w14:paraId="608ADB03" w14:textId="74CF0B40" w:rsidR="00261ACD" w:rsidRDefault="00261ACD">
        <w:pPr>
          <w:pStyle w:val="Footer"/>
          <w:jc w:val="center"/>
        </w:pPr>
        <w:r>
          <w:fldChar w:fldCharType="begin"/>
        </w:r>
        <w:r>
          <w:instrText xml:space="preserve"> PAGE   \* MERGEFORMAT </w:instrText>
        </w:r>
        <w:r>
          <w:fldChar w:fldCharType="separate"/>
        </w:r>
        <w:r>
          <w:rPr>
            <w:noProof/>
          </w:rPr>
          <w:t>39</w:t>
        </w:r>
        <w:r>
          <w:rPr>
            <w:noProof/>
          </w:rPr>
          <w:fldChar w:fldCharType="end"/>
        </w:r>
      </w:p>
    </w:sdtContent>
  </w:sdt>
  <w:p w14:paraId="779A5345" w14:textId="7D311DDF" w:rsidR="00261ACD" w:rsidRDefault="00261ACD" w:rsidP="00261ACD">
    <w:pPr>
      <w:spacing w:after="120"/>
      <w:jc w:val="center"/>
    </w:pPr>
    <w:r>
      <w:rPr>
        <w:i/>
      </w:rPr>
      <w:t xml:space="preserve">Northumbria University – ISSN </w:t>
    </w:r>
    <w:r>
      <w:rPr>
        <w:rFonts w:ascii="Calibri" w:hAnsi="Calibri" w:cs="Calibri"/>
        <w:i/>
        <w:color w:val="000000"/>
      </w:rPr>
      <w:t>2632-0452 – All content CC-BY 4.0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58084" w14:textId="77777777" w:rsidR="003D0EE4" w:rsidRDefault="003D0EE4" w:rsidP="00F6603A">
      <w:pPr>
        <w:spacing w:after="0" w:line="240" w:lineRule="auto"/>
      </w:pPr>
      <w:r>
        <w:separator/>
      </w:r>
    </w:p>
  </w:footnote>
  <w:footnote w:type="continuationSeparator" w:id="0">
    <w:p w14:paraId="3DA77487" w14:textId="77777777" w:rsidR="003D0EE4" w:rsidRDefault="003D0EE4" w:rsidP="00F6603A">
      <w:pPr>
        <w:spacing w:after="0" w:line="240" w:lineRule="auto"/>
      </w:pPr>
      <w:r>
        <w:continuationSeparator/>
      </w:r>
    </w:p>
  </w:footnote>
  <w:footnote w:id="1">
    <w:p w14:paraId="103A31F4" w14:textId="44C2EBB0" w:rsidR="00B60CC1" w:rsidRDefault="00B60CC1">
      <w:pPr>
        <w:pStyle w:val="FootnoteText"/>
      </w:pPr>
      <w:r>
        <w:rPr>
          <w:rStyle w:val="FootnoteReference"/>
        </w:rPr>
        <w:footnoteRef/>
      </w:r>
      <w:r>
        <w:t xml:space="preserve"> Terrorism </w:t>
      </w:r>
      <w:r w:rsidR="00C07F8E">
        <w:t>A</w:t>
      </w:r>
      <w:r>
        <w:t>ct s</w:t>
      </w:r>
      <w:r w:rsidR="00C07F8E">
        <w:t>.</w:t>
      </w:r>
      <w:r>
        <w:t>3(5)</w:t>
      </w:r>
    </w:p>
  </w:footnote>
  <w:footnote w:id="2">
    <w:p w14:paraId="3D360078" w14:textId="435DAA82" w:rsidR="00B60CC1" w:rsidRDefault="00B60CC1">
      <w:pPr>
        <w:pStyle w:val="FootnoteText"/>
      </w:pPr>
      <w:r>
        <w:rPr>
          <w:rStyle w:val="FootnoteReference"/>
        </w:rPr>
        <w:footnoteRef/>
      </w:r>
      <w:r>
        <w:t xml:space="preserve"> </w:t>
      </w:r>
      <w:bookmarkStart w:id="0" w:name="_Hlk512532728"/>
      <w:bookmarkStart w:id="1" w:name="_Hlk512524693"/>
      <w:r w:rsidRPr="007E27D4">
        <w:t xml:space="preserve">Helen Fenwick, </w:t>
      </w:r>
      <w:r w:rsidRPr="003B7A11">
        <w:rPr>
          <w:i/>
        </w:rPr>
        <w:t>Civil Liberties and Human rights</w:t>
      </w:r>
      <w:r w:rsidRPr="007E27D4">
        <w:t xml:space="preserve"> (4th edn, Routledge-Cavendish 2007)</w:t>
      </w:r>
      <w:bookmarkEnd w:id="0"/>
      <w:r w:rsidRPr="007E27D4">
        <w:t xml:space="preserve"> 1381</w:t>
      </w:r>
    </w:p>
    <w:bookmarkEnd w:id="1"/>
  </w:footnote>
  <w:footnote w:id="3">
    <w:p w14:paraId="1C047CC8" w14:textId="70D39C47" w:rsidR="00B60CC1" w:rsidRDefault="00B60CC1">
      <w:pPr>
        <w:pStyle w:val="FootnoteText"/>
      </w:pPr>
      <w:r>
        <w:rPr>
          <w:rStyle w:val="FootnoteReference"/>
        </w:rPr>
        <w:footnoteRef/>
      </w:r>
      <w:r>
        <w:t xml:space="preserve"> </w:t>
      </w:r>
      <w:bookmarkStart w:id="2" w:name="_Hlk512532770"/>
      <w:r w:rsidRPr="007E27D4">
        <w:t xml:space="preserve">Howard Davis, </w:t>
      </w:r>
      <w:r w:rsidRPr="003B7A11">
        <w:rPr>
          <w:i/>
        </w:rPr>
        <w:t>Human Rights and Civil Liberties</w:t>
      </w:r>
      <w:r w:rsidRPr="007E27D4">
        <w:t xml:space="preserve"> (1st edn, Willan Publishing 2003) </w:t>
      </w:r>
      <w:bookmarkEnd w:id="2"/>
      <w:r w:rsidRPr="007E27D4">
        <w:t>336</w:t>
      </w:r>
      <w:r w:rsidR="00C07F8E">
        <w:t xml:space="preserve"> - </w:t>
      </w:r>
      <w:r w:rsidRPr="007E27D4">
        <w:t>337</w:t>
      </w:r>
    </w:p>
  </w:footnote>
  <w:footnote w:id="4">
    <w:p w14:paraId="26754869" w14:textId="6E6A6930" w:rsidR="00B60CC1" w:rsidRDefault="00B60CC1">
      <w:pPr>
        <w:pStyle w:val="FootnoteText"/>
      </w:pPr>
      <w:r>
        <w:rPr>
          <w:rStyle w:val="FootnoteReference"/>
        </w:rPr>
        <w:footnoteRef/>
      </w:r>
      <w:r>
        <w:t xml:space="preserve"> ibid</w:t>
      </w:r>
    </w:p>
  </w:footnote>
  <w:footnote w:id="5">
    <w:p w14:paraId="48B8E91A" w14:textId="011F492E" w:rsidR="00B60CC1" w:rsidRDefault="00B60CC1">
      <w:pPr>
        <w:pStyle w:val="FootnoteText"/>
      </w:pPr>
      <w:r>
        <w:rPr>
          <w:rStyle w:val="FootnoteReference"/>
        </w:rPr>
        <w:footnoteRef/>
      </w:r>
      <w:r>
        <w:t xml:space="preserve"> Prevention of Terrorism (Temporary Provisions) </w:t>
      </w:r>
      <w:r w:rsidR="00C07F8E">
        <w:t>A</w:t>
      </w:r>
      <w:r>
        <w:t>ct 1989</w:t>
      </w:r>
    </w:p>
  </w:footnote>
  <w:footnote w:id="6">
    <w:p w14:paraId="0434545E" w14:textId="28472714" w:rsidR="00B60CC1" w:rsidRDefault="00B60CC1">
      <w:pPr>
        <w:pStyle w:val="FootnoteText"/>
      </w:pPr>
      <w:r>
        <w:rPr>
          <w:rStyle w:val="FootnoteReference"/>
        </w:rPr>
        <w:footnoteRef/>
      </w:r>
      <w:r>
        <w:t xml:space="preserve"> The prevention of terrorism (Temporary provisions) </w:t>
      </w:r>
      <w:r w:rsidR="00C07F8E">
        <w:t>A</w:t>
      </w:r>
      <w:r>
        <w:t>ct 1989</w:t>
      </w:r>
    </w:p>
  </w:footnote>
  <w:footnote w:id="7">
    <w:p w14:paraId="6D3068D0" w14:textId="4CB2FB0A" w:rsidR="00B60CC1" w:rsidRDefault="00B60CC1">
      <w:pPr>
        <w:pStyle w:val="FootnoteText"/>
      </w:pPr>
      <w:r>
        <w:rPr>
          <w:rStyle w:val="FootnoteReference"/>
        </w:rPr>
        <w:footnoteRef/>
      </w:r>
      <w:r>
        <w:t xml:space="preserve"> Terrorism </w:t>
      </w:r>
      <w:r w:rsidR="00C07F8E">
        <w:t>A</w:t>
      </w:r>
      <w:r>
        <w:t>ct 2000</w:t>
      </w:r>
    </w:p>
  </w:footnote>
  <w:footnote w:id="8">
    <w:p w14:paraId="1E2C1903" w14:textId="2FDC9A3E" w:rsidR="00B60CC1" w:rsidRDefault="00B60CC1">
      <w:pPr>
        <w:pStyle w:val="FootnoteText"/>
      </w:pPr>
      <w:r>
        <w:rPr>
          <w:rStyle w:val="FootnoteReference"/>
        </w:rPr>
        <w:footnoteRef/>
      </w:r>
      <w:r>
        <w:t xml:space="preserve"> Terrorism </w:t>
      </w:r>
      <w:r w:rsidR="00C07F8E">
        <w:t>A</w:t>
      </w:r>
      <w:r>
        <w:t xml:space="preserve">ct 2000 </w:t>
      </w:r>
      <w:r w:rsidR="00C07F8E">
        <w:t>s.</w:t>
      </w:r>
      <w:r>
        <w:t>1</w:t>
      </w:r>
      <w:r w:rsidR="00C07F8E">
        <w:t>(</w:t>
      </w:r>
      <w:r>
        <w:t>1</w:t>
      </w:r>
      <w:r w:rsidR="00C07F8E">
        <w:t>)</w:t>
      </w:r>
    </w:p>
  </w:footnote>
  <w:footnote w:id="9">
    <w:p w14:paraId="32D59DB0" w14:textId="3A1F7617" w:rsidR="00B60CC1" w:rsidRDefault="00B60CC1">
      <w:pPr>
        <w:pStyle w:val="FootnoteText"/>
      </w:pPr>
      <w:r>
        <w:rPr>
          <w:rStyle w:val="FootnoteReference"/>
        </w:rPr>
        <w:footnoteRef/>
      </w:r>
      <w:r>
        <w:t xml:space="preserve"> Terrorism </w:t>
      </w:r>
      <w:r w:rsidR="00C07F8E">
        <w:t>A</w:t>
      </w:r>
      <w:r>
        <w:t xml:space="preserve">ct 2000 </w:t>
      </w:r>
      <w:r w:rsidR="00C07F8E">
        <w:t>s.</w:t>
      </w:r>
      <w:r>
        <w:t>1</w:t>
      </w:r>
      <w:r w:rsidR="00C07F8E">
        <w:t>(</w:t>
      </w:r>
      <w:r>
        <w:t>2</w:t>
      </w:r>
      <w:r w:rsidR="00C07F8E">
        <w:t>)</w:t>
      </w:r>
    </w:p>
  </w:footnote>
  <w:footnote w:id="10">
    <w:p w14:paraId="58EE6312" w14:textId="1B2B018B" w:rsidR="00B60CC1" w:rsidRDefault="00B60CC1">
      <w:pPr>
        <w:pStyle w:val="FootnoteText"/>
      </w:pPr>
      <w:r>
        <w:rPr>
          <w:rStyle w:val="FootnoteReference"/>
        </w:rPr>
        <w:footnoteRef/>
      </w:r>
      <w:r w:rsidR="003D1B7F">
        <w:t xml:space="preserve"> Terrorism A</w:t>
      </w:r>
      <w:r>
        <w:t>ct 2006 s</w:t>
      </w:r>
      <w:r w:rsidR="005D608B">
        <w:t>.</w:t>
      </w:r>
      <w:r>
        <w:t>34</w:t>
      </w:r>
    </w:p>
  </w:footnote>
  <w:footnote w:id="11">
    <w:p w14:paraId="5E8504E3" w14:textId="01326E45" w:rsidR="00B60CC1" w:rsidRDefault="00B60CC1" w:rsidP="004315E8">
      <w:pPr>
        <w:pStyle w:val="FootnoteText"/>
      </w:pPr>
      <w:r>
        <w:rPr>
          <w:rStyle w:val="FootnoteReference"/>
        </w:rPr>
        <w:footnoteRef/>
      </w:r>
      <w:r>
        <w:t xml:space="preserve"> </w:t>
      </w:r>
      <w:bookmarkStart w:id="3" w:name="_Hlk512528713"/>
      <w:bookmarkStart w:id="4" w:name="_Hlk512533431"/>
      <w:r w:rsidRPr="00CD267A">
        <w:t xml:space="preserve">David Anderson qc, 'The Terrorism Act in 2012' [2013] Independent reviewer of Terrorism legislation </w:t>
      </w:r>
      <w:bookmarkEnd w:id="3"/>
      <w:r w:rsidRPr="00CD267A">
        <w:t>&lt;https://terrorismlegislationreviewer.independent.gov.uk/wp-content/uploads/2013/07/Report-on-the-Terrorism-Acts-in-2012-FINAL_WEB1.pdf&gt; accessed 20 April 2018</w:t>
      </w:r>
      <w:bookmarkEnd w:id="4"/>
    </w:p>
  </w:footnote>
  <w:footnote w:id="12">
    <w:p w14:paraId="0BD2EC6D" w14:textId="08A06990" w:rsidR="00485E01" w:rsidRDefault="00485E01">
      <w:pPr>
        <w:pStyle w:val="FootnoteText"/>
      </w:pPr>
      <w:r>
        <w:rPr>
          <w:rStyle w:val="FootnoteReference"/>
        </w:rPr>
        <w:footnoteRef/>
      </w:r>
      <w:r>
        <w:t xml:space="preserve"> </w:t>
      </w:r>
      <w:bookmarkStart w:id="5" w:name="_Hlk12272764"/>
      <w:r w:rsidR="00351C5B">
        <w:t xml:space="preserve">Regina v Gul (Mohammed) </w:t>
      </w:r>
      <w:r w:rsidR="004E23CC" w:rsidRPr="004E23CC">
        <w:t>[2014] AC 1260</w:t>
      </w:r>
      <w:bookmarkEnd w:id="5"/>
    </w:p>
  </w:footnote>
  <w:footnote w:id="13">
    <w:p w14:paraId="26EACFD9" w14:textId="007F581D" w:rsidR="00485E01" w:rsidRPr="00B00DD4" w:rsidRDefault="00485E01">
      <w:pPr>
        <w:pStyle w:val="FootnoteText"/>
        <w:rPr>
          <w:lang w:val="de-DE"/>
        </w:rPr>
      </w:pPr>
      <w:r>
        <w:rPr>
          <w:rStyle w:val="FootnoteReference"/>
        </w:rPr>
        <w:footnoteRef/>
      </w:r>
      <w:r w:rsidRPr="00B00DD4">
        <w:rPr>
          <w:lang w:val="de-DE"/>
        </w:rPr>
        <w:t xml:space="preserve"> </w:t>
      </w:r>
      <w:r w:rsidR="004E23CC" w:rsidRPr="00B00DD4">
        <w:rPr>
          <w:lang w:val="de-DE"/>
        </w:rPr>
        <w:t>ibid</w:t>
      </w:r>
    </w:p>
  </w:footnote>
  <w:footnote w:id="14">
    <w:p w14:paraId="7EED63BC" w14:textId="6BA2BAE6" w:rsidR="00485E01" w:rsidRPr="00B00DD4" w:rsidRDefault="00485E01">
      <w:pPr>
        <w:pStyle w:val="FootnoteText"/>
        <w:rPr>
          <w:lang w:val="de-DE"/>
        </w:rPr>
      </w:pPr>
      <w:r>
        <w:rPr>
          <w:rStyle w:val="FootnoteReference"/>
        </w:rPr>
        <w:footnoteRef/>
      </w:r>
      <w:r w:rsidRPr="00B00DD4">
        <w:rPr>
          <w:lang w:val="de-DE"/>
        </w:rPr>
        <w:t xml:space="preserve"> </w:t>
      </w:r>
      <w:r w:rsidR="00351C5B">
        <w:rPr>
          <w:lang w:val="de-DE"/>
        </w:rPr>
        <w:t xml:space="preserve">R v Z </w:t>
      </w:r>
      <w:r w:rsidR="004E23CC" w:rsidRPr="00B00DD4">
        <w:rPr>
          <w:lang w:val="de-DE"/>
        </w:rPr>
        <w:t xml:space="preserve"> [2005] 3 All ER 95</w:t>
      </w:r>
    </w:p>
  </w:footnote>
  <w:footnote w:id="15">
    <w:p w14:paraId="1EC5EA1E" w14:textId="15D187E1" w:rsidR="00913C96" w:rsidRDefault="00913C96">
      <w:pPr>
        <w:pStyle w:val="FootnoteText"/>
      </w:pPr>
      <w:r>
        <w:rPr>
          <w:rStyle w:val="FootnoteReference"/>
        </w:rPr>
        <w:footnoteRef/>
      </w:r>
      <w:r>
        <w:t xml:space="preserve"> </w:t>
      </w:r>
      <w:r w:rsidR="00351C5B">
        <w:t xml:space="preserve">Regina v Gul (Mohammed) </w:t>
      </w:r>
      <w:r w:rsidR="00351C5B" w:rsidRPr="004E23CC">
        <w:t xml:space="preserve"> [2014] AC 1260</w:t>
      </w:r>
    </w:p>
  </w:footnote>
  <w:footnote w:id="16">
    <w:p w14:paraId="2C81DC30" w14:textId="715CE4D0" w:rsidR="00D448E1" w:rsidRDefault="00D448E1">
      <w:pPr>
        <w:pStyle w:val="FootnoteText"/>
      </w:pPr>
      <w:r>
        <w:rPr>
          <w:rStyle w:val="FootnoteReference"/>
        </w:rPr>
        <w:footnoteRef/>
      </w:r>
      <w:r>
        <w:t xml:space="preserve"> </w:t>
      </w:r>
      <w:r w:rsidR="00351C5B">
        <w:t>I</w:t>
      </w:r>
      <w:r w:rsidR="004E23CC">
        <w:t>bid</w:t>
      </w:r>
      <w:r w:rsidR="00351C5B">
        <w:t>, [26] – [41]</w:t>
      </w:r>
    </w:p>
  </w:footnote>
  <w:footnote w:id="17">
    <w:p w14:paraId="7BC6BCC4" w14:textId="34139108" w:rsidR="00B60CC1" w:rsidRDefault="00B60CC1">
      <w:pPr>
        <w:pStyle w:val="FootnoteText"/>
      </w:pPr>
      <w:r>
        <w:rPr>
          <w:rStyle w:val="FootnoteReference"/>
        </w:rPr>
        <w:footnoteRef/>
      </w:r>
      <w:r>
        <w:t xml:space="preserve"> </w:t>
      </w:r>
      <w:bookmarkStart w:id="6" w:name="_Hlk512527485"/>
      <w:r w:rsidRPr="0021009F">
        <w:t>Helen Fenwick, Civil Liberties and Human rights (4th edn, Routledge-Cavendish 2007) 138</w:t>
      </w:r>
      <w:r>
        <w:t>0</w:t>
      </w:r>
      <w:bookmarkEnd w:id="6"/>
    </w:p>
  </w:footnote>
  <w:footnote w:id="18">
    <w:p w14:paraId="2E7052B6" w14:textId="266849F0" w:rsidR="00B60CC1" w:rsidRDefault="00B60CC1">
      <w:pPr>
        <w:pStyle w:val="FootnoteText"/>
      </w:pPr>
      <w:r>
        <w:rPr>
          <w:rStyle w:val="FootnoteReference"/>
        </w:rPr>
        <w:footnoteRef/>
      </w:r>
      <w:r>
        <w:t xml:space="preserve"> </w:t>
      </w:r>
      <w:bookmarkStart w:id="7" w:name="_Hlk512533455"/>
      <w:r w:rsidRPr="0021009F">
        <w:t>Tim Legrand and Lee Jarvis, 'Proscription Powers and Their Use in the UK' [2014] 9(4) British Politics &lt;https://nsc.crawford.anu.edu.au/sites/default/files/publication/nsc_crawford_anu_edu_au/2017-05/legrand_jarvis_2014_enemies-of-the-state-article.pdf&gt; accessed 20 April 2018</w:t>
      </w:r>
    </w:p>
    <w:bookmarkEnd w:id="7"/>
  </w:footnote>
  <w:footnote w:id="19">
    <w:p w14:paraId="5CEC837D" w14:textId="2D11C4F8" w:rsidR="00B60CC1" w:rsidRDefault="00B60CC1">
      <w:pPr>
        <w:pStyle w:val="FootnoteText"/>
      </w:pPr>
      <w:r>
        <w:rPr>
          <w:rStyle w:val="FootnoteReference"/>
        </w:rPr>
        <w:footnoteRef/>
      </w:r>
      <w:r>
        <w:t xml:space="preserve"> Terrorism Act 2000 </w:t>
      </w:r>
      <w:r w:rsidR="005D608B">
        <w:t>S.</w:t>
      </w:r>
      <w:r>
        <w:t>3(5)</w:t>
      </w:r>
    </w:p>
  </w:footnote>
  <w:footnote w:id="20">
    <w:p w14:paraId="40470C93" w14:textId="35286D09" w:rsidR="00B60CC1" w:rsidRDefault="00B60CC1">
      <w:pPr>
        <w:pStyle w:val="FootnoteText"/>
      </w:pPr>
      <w:r>
        <w:rPr>
          <w:rStyle w:val="FootnoteReference"/>
        </w:rPr>
        <w:footnoteRef/>
      </w:r>
      <w:r>
        <w:t xml:space="preserve"> ibid</w:t>
      </w:r>
    </w:p>
  </w:footnote>
  <w:footnote w:id="21">
    <w:p w14:paraId="02DEDDC9" w14:textId="00A2B564" w:rsidR="00B60CC1" w:rsidRDefault="00B60CC1">
      <w:pPr>
        <w:pStyle w:val="FootnoteText"/>
      </w:pPr>
      <w:r>
        <w:rPr>
          <w:rStyle w:val="FootnoteReference"/>
        </w:rPr>
        <w:footnoteRef/>
      </w:r>
      <w:r>
        <w:t xml:space="preserve"> </w:t>
      </w:r>
      <w:r w:rsidRPr="005D3F8B">
        <w:t>Home office , 'List of Proscribed organisations' (Servicegovukhttps://assetspublishingservicegovuk/government/uploads/system/uploads/attachment_data/file/670599/20171222_Proscriptionpdf, 22 december 2017) &lt;https://assets.publishing.service.gov.uk/government/uploads/system/uploads/attachment_data/file/670599/20171222_Proscription.pdf&gt; accessed 20 April 2018</w:t>
      </w:r>
    </w:p>
  </w:footnote>
  <w:footnote w:id="22">
    <w:p w14:paraId="733BAA42" w14:textId="6A69B581" w:rsidR="00B60CC1" w:rsidRDefault="00B60CC1">
      <w:pPr>
        <w:pStyle w:val="FootnoteText"/>
      </w:pPr>
      <w:r>
        <w:rPr>
          <w:rStyle w:val="FootnoteReference"/>
        </w:rPr>
        <w:footnoteRef/>
      </w:r>
      <w:r>
        <w:t xml:space="preserve"> Terrorism Act 2000</w:t>
      </w:r>
    </w:p>
  </w:footnote>
  <w:footnote w:id="23">
    <w:p w14:paraId="33E94DB3" w14:textId="062313AD" w:rsidR="00B60CC1" w:rsidRDefault="00B60CC1">
      <w:pPr>
        <w:pStyle w:val="FootnoteText"/>
      </w:pPr>
      <w:r>
        <w:rPr>
          <w:rStyle w:val="FootnoteReference"/>
        </w:rPr>
        <w:footnoteRef/>
      </w:r>
      <w:r>
        <w:t xml:space="preserve"> </w:t>
      </w:r>
      <w:r w:rsidRPr="00E16DEE">
        <w:t>Helen Fenwick, Civil Liberties and Human rights (4th edn, Routledge-Cavendish 2007) 1381</w:t>
      </w:r>
    </w:p>
  </w:footnote>
  <w:footnote w:id="24">
    <w:p w14:paraId="43F1681D" w14:textId="345335FF" w:rsidR="00B60CC1" w:rsidRDefault="00B60CC1">
      <w:pPr>
        <w:pStyle w:val="FootnoteText"/>
      </w:pPr>
      <w:r>
        <w:rPr>
          <w:rStyle w:val="FootnoteReference"/>
        </w:rPr>
        <w:footnoteRef/>
      </w:r>
      <w:r>
        <w:t xml:space="preserve"> European Convection of Human Rights Article 11</w:t>
      </w:r>
    </w:p>
  </w:footnote>
  <w:footnote w:id="25">
    <w:p w14:paraId="25434AA4" w14:textId="1D5E6DD1" w:rsidR="00B60CC1" w:rsidRDefault="00B60CC1">
      <w:pPr>
        <w:pStyle w:val="FootnoteText"/>
      </w:pPr>
      <w:r>
        <w:rPr>
          <w:rStyle w:val="FootnoteReference"/>
        </w:rPr>
        <w:footnoteRef/>
      </w:r>
      <w:r>
        <w:t xml:space="preserve"> </w:t>
      </w:r>
      <w:bookmarkStart w:id="8" w:name="_Hlk512532184"/>
      <w:r w:rsidRPr="00E2050E">
        <w:t>R (on the application of O’Driscoll) v Secretary of State for the Home Department [2002] EWHC 2477 (Admin), [2002] All ER (D) 327 (Nov)</w:t>
      </w:r>
      <w:bookmarkEnd w:id="8"/>
    </w:p>
  </w:footnote>
  <w:footnote w:id="26">
    <w:p w14:paraId="14D33352" w14:textId="03A88412" w:rsidR="00B60CC1" w:rsidRDefault="00B60CC1">
      <w:pPr>
        <w:pStyle w:val="FootnoteText"/>
      </w:pPr>
      <w:r>
        <w:rPr>
          <w:rStyle w:val="FootnoteReference"/>
        </w:rPr>
        <w:footnoteRef/>
      </w:r>
      <w:r>
        <w:t xml:space="preserve"> Terrorism Act 2000 S</w:t>
      </w:r>
      <w:r w:rsidR="005D608B">
        <w:t>.</w:t>
      </w:r>
      <w:r>
        <w:t>3</w:t>
      </w:r>
      <w:r w:rsidR="005D608B">
        <w:t>(</w:t>
      </w:r>
      <w:r>
        <w:t>3</w:t>
      </w:r>
      <w:r w:rsidR="005D608B">
        <w:t>)</w:t>
      </w:r>
    </w:p>
  </w:footnote>
  <w:footnote w:id="27">
    <w:p w14:paraId="0255C54D" w14:textId="178B19FE" w:rsidR="00B60CC1" w:rsidRDefault="00B60CC1">
      <w:pPr>
        <w:pStyle w:val="FootnoteText"/>
      </w:pPr>
      <w:r>
        <w:rPr>
          <w:rStyle w:val="FootnoteReference"/>
        </w:rPr>
        <w:footnoteRef/>
      </w:r>
      <w:r>
        <w:t xml:space="preserve"> Terrorism Act 2000 S</w:t>
      </w:r>
      <w:r w:rsidR="005D608B">
        <w:t>.</w:t>
      </w:r>
      <w:r>
        <w:t xml:space="preserve">5 </w:t>
      </w:r>
    </w:p>
  </w:footnote>
  <w:footnote w:id="28">
    <w:p w14:paraId="500AC427" w14:textId="3A7A35AA" w:rsidR="00B60CC1" w:rsidRDefault="00B60CC1">
      <w:pPr>
        <w:pStyle w:val="FootnoteText"/>
      </w:pPr>
      <w:r>
        <w:rPr>
          <w:rStyle w:val="FootnoteReference"/>
        </w:rPr>
        <w:footnoteRef/>
      </w:r>
      <w:r>
        <w:t xml:space="preserve"> </w:t>
      </w:r>
      <w:bookmarkStart w:id="9" w:name="_Hlk9349717"/>
      <w:r w:rsidRPr="00CA5A8F">
        <w:t>Secretary of State for the Home Department v Lord Alton of Liverpool</w:t>
      </w:r>
      <w:r w:rsidR="00FB2386">
        <w:t xml:space="preserve"> and others [2008] EWCA Civ 443</w:t>
      </w:r>
    </w:p>
    <w:bookmarkEnd w:id="9"/>
  </w:footnote>
  <w:footnote w:id="29">
    <w:p w14:paraId="77424A66" w14:textId="747F0C8E" w:rsidR="00B60CC1" w:rsidRDefault="00B60CC1">
      <w:pPr>
        <w:pStyle w:val="FootnoteText"/>
      </w:pPr>
      <w:r>
        <w:rPr>
          <w:rStyle w:val="FootnoteReference"/>
        </w:rPr>
        <w:footnoteRef/>
      </w:r>
      <w:r>
        <w:t xml:space="preserve"> </w:t>
      </w:r>
      <w:bookmarkStart w:id="10" w:name="_Hlk512533517"/>
      <w:r>
        <w:t>Nathan Rasiah, Reviewing Proscription under the Terrorism Act 2000, 13 Jud. Rev. 187 (2008)</w:t>
      </w:r>
      <w:bookmarkEnd w:id="10"/>
    </w:p>
  </w:footnote>
  <w:footnote w:id="30">
    <w:p w14:paraId="783774C4" w14:textId="18AE7013" w:rsidR="00B60CC1" w:rsidRDefault="00B60CC1">
      <w:pPr>
        <w:pStyle w:val="FootnoteText"/>
      </w:pPr>
      <w:r>
        <w:rPr>
          <w:rStyle w:val="FootnoteReference"/>
        </w:rPr>
        <w:footnoteRef/>
      </w:r>
      <w:bookmarkStart w:id="11" w:name="_Hlk512532222"/>
      <w:r w:rsidRPr="00CA5A8F">
        <w:t>Secretary of State for the Home Department v Lord Alton of Liverpool and others [2008] EWCA Civ 443.</w:t>
      </w:r>
      <w:bookmarkEnd w:id="11"/>
    </w:p>
  </w:footnote>
  <w:footnote w:id="31">
    <w:p w14:paraId="10B78906" w14:textId="5EFD1386" w:rsidR="005D608B" w:rsidRDefault="005D608B">
      <w:pPr>
        <w:pStyle w:val="FootnoteText"/>
      </w:pPr>
      <w:r>
        <w:rPr>
          <w:rStyle w:val="FootnoteReference"/>
        </w:rPr>
        <w:footnoteRef/>
      </w:r>
      <w:r>
        <w:t xml:space="preserve"> </w:t>
      </w:r>
      <w:r w:rsidRPr="005D608B">
        <w:t>Terrorism Act s.3(5)</w:t>
      </w:r>
    </w:p>
  </w:footnote>
  <w:footnote w:id="32">
    <w:p w14:paraId="74764658" w14:textId="1D7A0A0D" w:rsidR="005D608B" w:rsidRDefault="005D608B">
      <w:pPr>
        <w:pStyle w:val="FootnoteText"/>
      </w:pPr>
      <w:r>
        <w:rPr>
          <w:rStyle w:val="FootnoteReference"/>
        </w:rPr>
        <w:footnoteRef/>
      </w:r>
      <w:r>
        <w:t xml:space="preserve"> ibid</w:t>
      </w:r>
    </w:p>
  </w:footnote>
  <w:footnote w:id="33">
    <w:p w14:paraId="53EA93E9" w14:textId="5479BA25" w:rsidR="005D608B" w:rsidRDefault="005D608B">
      <w:pPr>
        <w:pStyle w:val="FootnoteText"/>
      </w:pPr>
      <w:r>
        <w:rPr>
          <w:rStyle w:val="FootnoteReference"/>
        </w:rPr>
        <w:footnoteRef/>
      </w:r>
      <w:r>
        <w:t xml:space="preserve"> </w:t>
      </w:r>
      <w:r w:rsidRPr="005D608B">
        <w:t>Secretary of State for the Home Department v Lord Alton of Liverpool</w:t>
      </w:r>
      <w:r w:rsidR="00FB2386">
        <w:t xml:space="preserve"> and others [2008] EWCA Civ 443</w:t>
      </w:r>
    </w:p>
  </w:footnote>
  <w:footnote w:id="34">
    <w:p w14:paraId="082E4FEA" w14:textId="08D0B633" w:rsidR="005D608B" w:rsidRDefault="005D608B">
      <w:pPr>
        <w:pStyle w:val="FootnoteText"/>
      </w:pPr>
      <w:r>
        <w:rPr>
          <w:rStyle w:val="FootnoteReference"/>
        </w:rPr>
        <w:footnoteRef/>
      </w:r>
      <w:r>
        <w:t xml:space="preserve"> </w:t>
      </w:r>
      <w:r w:rsidRPr="005D608B">
        <w:t>Terrorism Act 2000 S.5</w:t>
      </w:r>
    </w:p>
  </w:footnote>
  <w:footnote w:id="35">
    <w:p w14:paraId="50F970E2" w14:textId="5286C6F2" w:rsidR="00B60CC1" w:rsidRDefault="00B60CC1">
      <w:pPr>
        <w:pStyle w:val="FootnoteText"/>
      </w:pPr>
      <w:r>
        <w:rPr>
          <w:rStyle w:val="FootnoteReference"/>
        </w:rPr>
        <w:footnoteRef/>
      </w:r>
      <w:r>
        <w:t xml:space="preserve"> Terrorism Act 2000</w:t>
      </w:r>
      <w:r w:rsidR="00775705">
        <w:t xml:space="preserve"> </w:t>
      </w:r>
      <w:r w:rsidR="005D608B">
        <w:t>s.</w:t>
      </w:r>
      <w:r w:rsidR="00775705">
        <w:t>11-13</w:t>
      </w:r>
    </w:p>
  </w:footnote>
  <w:footnote w:id="36">
    <w:p w14:paraId="7EDB4D69" w14:textId="176A62E1" w:rsidR="00B60CC1" w:rsidRDefault="00B60CC1">
      <w:pPr>
        <w:pStyle w:val="FootnoteText"/>
      </w:pPr>
      <w:r>
        <w:rPr>
          <w:rStyle w:val="FootnoteReference"/>
        </w:rPr>
        <w:footnoteRef/>
      </w:r>
      <w:r>
        <w:t xml:space="preserve"> Terrorism Act 2000 </w:t>
      </w:r>
      <w:r w:rsidR="005D608B">
        <w:t>s.</w:t>
      </w:r>
      <w:r>
        <w:t xml:space="preserve"> 11</w:t>
      </w:r>
    </w:p>
  </w:footnote>
  <w:footnote w:id="37">
    <w:p w14:paraId="4D816CC9" w14:textId="42D17753" w:rsidR="00B60CC1" w:rsidRDefault="00B60CC1">
      <w:pPr>
        <w:pStyle w:val="FootnoteText"/>
      </w:pPr>
      <w:r>
        <w:rPr>
          <w:rStyle w:val="FootnoteReference"/>
        </w:rPr>
        <w:footnoteRef/>
      </w:r>
      <w:r>
        <w:t xml:space="preserve"> Terrorism Act 2000 </w:t>
      </w:r>
      <w:r w:rsidR="005D608B">
        <w:t>s.</w:t>
      </w:r>
      <w:r>
        <w:t>11(2)</w:t>
      </w:r>
    </w:p>
  </w:footnote>
  <w:footnote w:id="38">
    <w:p w14:paraId="55FADEBA" w14:textId="120289FF" w:rsidR="00B60CC1" w:rsidRDefault="00B60CC1">
      <w:pPr>
        <w:pStyle w:val="FootnoteText"/>
      </w:pPr>
      <w:r>
        <w:rPr>
          <w:rStyle w:val="FootnoteReference"/>
        </w:rPr>
        <w:footnoteRef/>
      </w:r>
      <w:r>
        <w:t xml:space="preserve"> </w:t>
      </w:r>
      <w:bookmarkStart w:id="12" w:name="_Hlk512532795"/>
      <w:bookmarkStart w:id="13" w:name="_Hlk512527418"/>
      <w:r w:rsidRPr="00CA5A8F">
        <w:t xml:space="preserve">Ruth Costigan and Richard Stone, </w:t>
      </w:r>
      <w:r w:rsidRPr="003B7A11">
        <w:rPr>
          <w:i/>
        </w:rPr>
        <w:t>Civil Liberties and Human Rights</w:t>
      </w:r>
      <w:r w:rsidRPr="00CA5A8F">
        <w:t xml:space="preserve"> (11th edn, Oxford University Press 2017) </w:t>
      </w:r>
      <w:bookmarkEnd w:id="12"/>
      <w:r w:rsidRPr="00CA5A8F">
        <w:t>57</w:t>
      </w:r>
      <w:bookmarkEnd w:id="13"/>
    </w:p>
  </w:footnote>
  <w:footnote w:id="39">
    <w:p w14:paraId="01F69AB1" w14:textId="5DFB0D1F" w:rsidR="00B60CC1" w:rsidRDefault="00B60CC1" w:rsidP="00792C8D">
      <w:pPr>
        <w:pStyle w:val="FootnoteText"/>
      </w:pPr>
      <w:r>
        <w:rPr>
          <w:rStyle w:val="FootnoteReference"/>
        </w:rPr>
        <w:footnoteRef/>
      </w:r>
      <w:r>
        <w:t xml:space="preserve"> Sheldrake v Director of Public Prosecutions; Attorney General's Reference (No 4 of 2002) [2004] UKHL 43</w:t>
      </w:r>
    </w:p>
  </w:footnote>
  <w:footnote w:id="40">
    <w:p w14:paraId="507B4301" w14:textId="2DB75042" w:rsidR="00B60CC1" w:rsidRDefault="00B60CC1" w:rsidP="00792C8D">
      <w:pPr>
        <w:pStyle w:val="FootnoteText"/>
      </w:pPr>
      <w:r>
        <w:rPr>
          <w:rStyle w:val="FootnoteReference"/>
        </w:rPr>
        <w:footnoteRef/>
      </w:r>
      <w:r>
        <w:t>Sheldrake v Director of Public Prosecutions; Attorney General's Reference (No 4 of 2002) [2004] UKHL 43 s.51</w:t>
      </w:r>
    </w:p>
  </w:footnote>
  <w:footnote w:id="41">
    <w:p w14:paraId="30C15514" w14:textId="43979515" w:rsidR="00B60CC1" w:rsidRDefault="00B60CC1">
      <w:pPr>
        <w:pStyle w:val="FootnoteText"/>
      </w:pPr>
      <w:r>
        <w:rPr>
          <w:rStyle w:val="FootnoteReference"/>
        </w:rPr>
        <w:footnoteRef/>
      </w:r>
      <w:r>
        <w:t xml:space="preserve"> Terrorism Act 2000 </w:t>
      </w:r>
    </w:p>
  </w:footnote>
  <w:footnote w:id="42">
    <w:p w14:paraId="342D9172" w14:textId="60E10B77" w:rsidR="00B60CC1" w:rsidRDefault="00B60CC1">
      <w:pPr>
        <w:pStyle w:val="FootnoteText"/>
      </w:pPr>
      <w:r>
        <w:rPr>
          <w:rStyle w:val="FootnoteReference"/>
        </w:rPr>
        <w:footnoteRef/>
      </w:r>
      <w:r>
        <w:t xml:space="preserve"> Terrorism act 2000</w:t>
      </w:r>
      <w:r w:rsidR="005D608B">
        <w:t xml:space="preserve"> s.</w:t>
      </w:r>
      <w:r>
        <w:t>12</w:t>
      </w:r>
    </w:p>
  </w:footnote>
  <w:footnote w:id="43">
    <w:p w14:paraId="66A923ED" w14:textId="34A44F93" w:rsidR="00B60CC1" w:rsidRDefault="00B60CC1">
      <w:pPr>
        <w:pStyle w:val="FootnoteText"/>
      </w:pPr>
      <w:r>
        <w:rPr>
          <w:rStyle w:val="FootnoteReference"/>
        </w:rPr>
        <w:footnoteRef/>
      </w:r>
      <w:r>
        <w:t xml:space="preserve"> ibid</w:t>
      </w:r>
    </w:p>
  </w:footnote>
  <w:footnote w:id="44">
    <w:p w14:paraId="303E420C" w14:textId="781BCDF9" w:rsidR="00B60CC1" w:rsidRDefault="00B60CC1">
      <w:pPr>
        <w:pStyle w:val="FootnoteText"/>
      </w:pPr>
      <w:r>
        <w:rPr>
          <w:rStyle w:val="FootnoteReference"/>
        </w:rPr>
        <w:footnoteRef/>
      </w:r>
      <w:r>
        <w:t xml:space="preserve"> </w:t>
      </w:r>
      <w:bookmarkStart w:id="14" w:name="_Hlk512532818"/>
      <w:r>
        <w:t>Alun Jones, Rupert Bowers</w:t>
      </w:r>
      <w:r w:rsidR="00AF60DB">
        <w:t xml:space="preserve"> and</w:t>
      </w:r>
      <w:r>
        <w:t xml:space="preserve"> Hugo Lodge</w:t>
      </w:r>
      <w:r w:rsidR="00AF60DB">
        <w:t>,</w:t>
      </w:r>
      <w:r>
        <w:t xml:space="preserve"> </w:t>
      </w:r>
      <w:r w:rsidRPr="003B7A11">
        <w:rPr>
          <w:i/>
        </w:rPr>
        <w:t>Blackstones Guide to the Terrorism Act 2006</w:t>
      </w:r>
      <w:r>
        <w:t xml:space="preserve"> (</w:t>
      </w:r>
      <w:r w:rsidR="00AF60DB">
        <w:t>O</w:t>
      </w:r>
      <w:r>
        <w:t>xford University Press New York)</w:t>
      </w:r>
      <w:bookmarkEnd w:id="14"/>
    </w:p>
  </w:footnote>
  <w:footnote w:id="45">
    <w:p w14:paraId="4C53CDF8" w14:textId="6EB8B350" w:rsidR="00B60CC1" w:rsidRDefault="00B60CC1">
      <w:pPr>
        <w:pStyle w:val="FootnoteText"/>
      </w:pPr>
      <w:r>
        <w:rPr>
          <w:rStyle w:val="FootnoteReference"/>
        </w:rPr>
        <w:footnoteRef/>
      </w:r>
      <w:r>
        <w:t xml:space="preserve"> Public Order Act 1936 section 1</w:t>
      </w:r>
    </w:p>
  </w:footnote>
  <w:footnote w:id="46">
    <w:p w14:paraId="6512C609" w14:textId="4013EC82" w:rsidR="00B60CC1" w:rsidRDefault="00B60CC1">
      <w:pPr>
        <w:pStyle w:val="FootnoteText"/>
      </w:pPr>
      <w:r>
        <w:rPr>
          <w:rStyle w:val="FootnoteReference"/>
        </w:rPr>
        <w:footnoteRef/>
      </w:r>
      <w:r>
        <w:t xml:space="preserve"> </w:t>
      </w:r>
      <w:r w:rsidRPr="00792C8D">
        <w:t>Ruth Costigan and Richard Stone, Civil Liberties and Human Rights (11th edn, Oxford University Press 2017) 57</w:t>
      </w:r>
    </w:p>
  </w:footnote>
  <w:footnote w:id="47">
    <w:p w14:paraId="0464A1D6" w14:textId="128D1412" w:rsidR="005769B7" w:rsidRDefault="005769B7">
      <w:pPr>
        <w:pStyle w:val="FootnoteText"/>
      </w:pPr>
      <w:r>
        <w:rPr>
          <w:rStyle w:val="FootnoteReference"/>
        </w:rPr>
        <w:footnoteRef/>
      </w:r>
      <w:r>
        <w:t xml:space="preserve"> </w:t>
      </w:r>
      <w:r w:rsidR="004E23CC">
        <w:t>ibid</w:t>
      </w:r>
    </w:p>
  </w:footnote>
  <w:footnote w:id="48">
    <w:p w14:paraId="5CC7F9C6" w14:textId="02CCA3CF" w:rsidR="00B60CC1" w:rsidRDefault="00B60CC1">
      <w:pPr>
        <w:pStyle w:val="FootnoteText"/>
      </w:pPr>
      <w:r>
        <w:rPr>
          <w:rStyle w:val="FootnoteReference"/>
        </w:rPr>
        <w:footnoteRef/>
      </w:r>
      <w:r>
        <w:t xml:space="preserve"> </w:t>
      </w:r>
      <w:r w:rsidRPr="00792C8D">
        <w:t xml:space="preserve">Ruth Costigan and Richard Stone, Civil Liberties and Human Rights (11th edn, Oxford University Press 2017) </w:t>
      </w:r>
      <w:r>
        <w:t>454</w:t>
      </w:r>
    </w:p>
  </w:footnote>
  <w:footnote w:id="49">
    <w:p w14:paraId="3E859BC8" w14:textId="77777777" w:rsidR="005769B7" w:rsidRDefault="005769B7" w:rsidP="005769B7">
      <w:pPr>
        <w:pStyle w:val="FootnoteText"/>
      </w:pPr>
      <w:r>
        <w:rPr>
          <w:rStyle w:val="FootnoteReference"/>
        </w:rPr>
        <w:footnoteRef/>
      </w:r>
      <w:r>
        <w:t xml:space="preserve"> </w:t>
      </w:r>
      <w:r w:rsidRPr="00792C8D">
        <w:t>Helen Fenwick, Civil Liberties and Human rights (4th edn, Routledge-Cavendish 2007)</w:t>
      </w:r>
    </w:p>
  </w:footnote>
  <w:footnote w:id="50">
    <w:p w14:paraId="289A4686" w14:textId="4E35BAB4" w:rsidR="00B60CC1" w:rsidRDefault="00B60CC1">
      <w:pPr>
        <w:pStyle w:val="FootnoteText"/>
      </w:pPr>
      <w:r>
        <w:rPr>
          <w:rStyle w:val="FootnoteReference"/>
        </w:rPr>
        <w:footnoteRef/>
      </w:r>
      <w:r>
        <w:t xml:space="preserve"> ibid</w:t>
      </w:r>
    </w:p>
  </w:footnote>
  <w:footnote w:id="51">
    <w:p w14:paraId="7298CCA5" w14:textId="3A661526" w:rsidR="00B60CC1" w:rsidRDefault="00B60CC1">
      <w:pPr>
        <w:pStyle w:val="FootnoteText"/>
      </w:pPr>
      <w:r>
        <w:rPr>
          <w:rStyle w:val="FootnoteReference"/>
        </w:rPr>
        <w:footnoteRef/>
      </w:r>
      <w:r>
        <w:t xml:space="preserve"> </w:t>
      </w:r>
      <w:bookmarkStart w:id="15" w:name="_Hlk512533552"/>
      <w:r>
        <w:t>David Anderson Q.Q. “Independent review on Terrorism Laws; Searchlight or Veil” Cmnd 8803 [1983]</w:t>
      </w:r>
    </w:p>
    <w:bookmarkEnd w:id="15"/>
  </w:footnote>
  <w:footnote w:id="52">
    <w:p w14:paraId="6579A383" w14:textId="01DC9AC6" w:rsidR="00B60CC1" w:rsidRDefault="00B60CC1">
      <w:pPr>
        <w:pStyle w:val="FootnoteText"/>
      </w:pPr>
      <w:r>
        <w:rPr>
          <w:rStyle w:val="FootnoteReference"/>
        </w:rPr>
        <w:footnoteRef/>
      </w:r>
      <w:r>
        <w:t xml:space="preserve"> </w:t>
      </w:r>
      <w:r w:rsidRPr="00717CF8">
        <w:t>David Anderson qc, 'The Terrorism Act in 201</w:t>
      </w:r>
      <w:r>
        <w:t>5</w:t>
      </w:r>
      <w:r w:rsidRPr="00717CF8">
        <w:t>' [201</w:t>
      </w:r>
      <w:r>
        <w:t>6</w:t>
      </w:r>
      <w:r w:rsidRPr="00717CF8">
        <w:t>] Independent reviewer of Terrorism legislation</w:t>
      </w:r>
      <w:r>
        <w:t xml:space="preserve"> </w:t>
      </w:r>
      <w:hyperlink r:id="rId1" w:history="1">
        <w:r w:rsidRPr="006E58C9">
          <w:rPr>
            <w:rStyle w:val="Hyperlink"/>
          </w:rPr>
          <w:t>https://terrorismlegislationreviewer.independent.gov.uk/wp-content/uploads/2016/12/TERRORISM-ACTS-REPORT-1-Dec-2016-1.pdf</w:t>
        </w:r>
      </w:hyperlink>
      <w:r>
        <w:t xml:space="preserve"> accessed 20 april 2018</w:t>
      </w:r>
    </w:p>
  </w:footnote>
  <w:footnote w:id="53">
    <w:p w14:paraId="6DEF6742" w14:textId="165AA7E9" w:rsidR="002D774B" w:rsidRPr="00B00DD4" w:rsidRDefault="002D774B">
      <w:pPr>
        <w:pStyle w:val="FootnoteText"/>
        <w:rPr>
          <w:lang w:val="de-DE"/>
        </w:rPr>
      </w:pPr>
      <w:r>
        <w:rPr>
          <w:rStyle w:val="FootnoteReference"/>
        </w:rPr>
        <w:footnoteRef/>
      </w:r>
      <w:r w:rsidRPr="00B00DD4">
        <w:rPr>
          <w:lang w:val="de-DE"/>
        </w:rPr>
        <w:t xml:space="preserve"> ibid</w:t>
      </w:r>
    </w:p>
  </w:footnote>
  <w:footnote w:id="54">
    <w:p w14:paraId="042923BB" w14:textId="6F58B3AA" w:rsidR="00936E93" w:rsidRPr="00B00DD4" w:rsidRDefault="00936E93">
      <w:pPr>
        <w:pStyle w:val="FootnoteText"/>
        <w:rPr>
          <w:lang w:val="de-DE"/>
        </w:rPr>
      </w:pPr>
      <w:r>
        <w:rPr>
          <w:rStyle w:val="FootnoteReference"/>
        </w:rPr>
        <w:footnoteRef/>
      </w:r>
      <w:r w:rsidRPr="00B00DD4">
        <w:rPr>
          <w:lang w:val="de-DE"/>
        </w:rPr>
        <w:t xml:space="preserve"> </w:t>
      </w:r>
      <w:r w:rsidR="004E23CC" w:rsidRPr="00B00DD4">
        <w:rPr>
          <w:lang w:val="de-DE"/>
        </w:rPr>
        <w:t>R v Z - [2005] 3 All ER 95</w:t>
      </w:r>
    </w:p>
  </w:footnote>
  <w:footnote w:id="55">
    <w:p w14:paraId="7846052B" w14:textId="3256288D" w:rsidR="00DB4F31" w:rsidRDefault="00DB4F31">
      <w:pPr>
        <w:pStyle w:val="FootnoteText"/>
      </w:pPr>
      <w:r>
        <w:rPr>
          <w:rStyle w:val="FootnoteReference"/>
        </w:rPr>
        <w:footnoteRef/>
      </w:r>
      <w:r>
        <w:t xml:space="preserve"> </w:t>
      </w:r>
      <w:r w:rsidRPr="00DB4F31">
        <w:t>Secretary of State for the Home Department v Lord Alton of Liverpool and others [2008] EWCA Civ 443.</w:t>
      </w:r>
    </w:p>
  </w:footnote>
  <w:footnote w:id="56">
    <w:p w14:paraId="7D007A46" w14:textId="0DE6FC2B" w:rsidR="00B60CC1" w:rsidRDefault="00B60CC1">
      <w:pPr>
        <w:pStyle w:val="FootnoteText"/>
      </w:pPr>
      <w:r>
        <w:rPr>
          <w:rStyle w:val="FootnoteReference"/>
        </w:rPr>
        <w:footnoteRef/>
      </w:r>
      <w:r>
        <w:t xml:space="preserve"> </w:t>
      </w:r>
      <w:r w:rsidRPr="00717CF8">
        <w:t>Helen Fenwick, Civil Liberties and Human rights (4th edn, Routledge-Cavendish 2007)</w:t>
      </w:r>
    </w:p>
  </w:footnote>
  <w:footnote w:id="57">
    <w:p w14:paraId="3E280BCA" w14:textId="5826D27F" w:rsidR="00EA5888" w:rsidRDefault="00EA5888">
      <w:pPr>
        <w:pStyle w:val="FootnoteText"/>
      </w:pPr>
      <w:r>
        <w:rPr>
          <w:rStyle w:val="FootnoteReference"/>
        </w:rPr>
        <w:footnoteRef/>
      </w:r>
      <w:r>
        <w:t xml:space="preserve"> </w:t>
      </w:r>
      <w:r w:rsidR="00DA349C">
        <w:t>Regina v Gul (Mohammed)</w:t>
      </w:r>
      <w:r w:rsidR="005D608B" w:rsidRPr="005D608B">
        <w:t xml:space="preserve"> [2014] AC 1260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5BDD0" w14:textId="7FA665E5" w:rsidR="00261ACD" w:rsidRPr="00261ACD" w:rsidRDefault="00261ACD" w:rsidP="00261ACD">
    <w:pPr>
      <w:spacing w:after="120"/>
      <w:jc w:val="center"/>
      <w:rPr>
        <w:rFonts w:ascii="Times New Roman" w:hAnsi="Times New Roman" w:cs="Times New Roman"/>
        <w:b/>
        <w:i/>
        <w:sz w:val="24"/>
        <w:szCs w:val="24"/>
      </w:rPr>
    </w:pPr>
    <w:r w:rsidRPr="00261ACD">
      <w:rPr>
        <w:rFonts w:ascii="Times New Roman" w:hAnsi="Times New Roman" w:cs="Times New Roman"/>
        <w:b/>
        <w:i/>
        <w:sz w:val="24"/>
        <w:szCs w:val="24"/>
      </w:rPr>
      <w:t>Volume 1 Issue 2 Student Journal of Professional Practice and Academic Research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B373F3"/>
    <w:multiLevelType w:val="hybridMultilevel"/>
    <w:tmpl w:val="CE54079A"/>
    <w:lvl w:ilvl="0" w:tplc="4DE48D18">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6AC"/>
    <w:rsid w:val="00021BB9"/>
    <w:rsid w:val="00026F25"/>
    <w:rsid w:val="00046FD2"/>
    <w:rsid w:val="00053828"/>
    <w:rsid w:val="00054A5D"/>
    <w:rsid w:val="00072B8E"/>
    <w:rsid w:val="00075952"/>
    <w:rsid w:val="00085C42"/>
    <w:rsid w:val="0008723B"/>
    <w:rsid w:val="000877E0"/>
    <w:rsid w:val="000B2BE2"/>
    <w:rsid w:val="000C5D0A"/>
    <w:rsid w:val="000D288D"/>
    <w:rsid w:val="000E3F33"/>
    <w:rsid w:val="000E61AF"/>
    <w:rsid w:val="000F22BB"/>
    <w:rsid w:val="00110E3E"/>
    <w:rsid w:val="00111457"/>
    <w:rsid w:val="001355A4"/>
    <w:rsid w:val="00141626"/>
    <w:rsid w:val="0014268B"/>
    <w:rsid w:val="0015107A"/>
    <w:rsid w:val="00152D15"/>
    <w:rsid w:val="00160451"/>
    <w:rsid w:val="00161A77"/>
    <w:rsid w:val="00173541"/>
    <w:rsid w:val="00176AF8"/>
    <w:rsid w:val="001956DB"/>
    <w:rsid w:val="001B3400"/>
    <w:rsid w:val="001D3527"/>
    <w:rsid w:val="001E4DC6"/>
    <w:rsid w:val="001E4DE0"/>
    <w:rsid w:val="001E7E41"/>
    <w:rsid w:val="0020583B"/>
    <w:rsid w:val="0021009F"/>
    <w:rsid w:val="002125EE"/>
    <w:rsid w:val="00213A8C"/>
    <w:rsid w:val="00221A44"/>
    <w:rsid w:val="00226D7B"/>
    <w:rsid w:val="00241598"/>
    <w:rsid w:val="0024399F"/>
    <w:rsid w:val="00255E24"/>
    <w:rsid w:val="00261ACD"/>
    <w:rsid w:val="00273054"/>
    <w:rsid w:val="00280C7D"/>
    <w:rsid w:val="00296979"/>
    <w:rsid w:val="002A3749"/>
    <w:rsid w:val="002A5FD0"/>
    <w:rsid w:val="002A60D7"/>
    <w:rsid w:val="002D4411"/>
    <w:rsid w:val="002D75F2"/>
    <w:rsid w:val="002D774B"/>
    <w:rsid w:val="002E42C8"/>
    <w:rsid w:val="002E7B77"/>
    <w:rsid w:val="00302E81"/>
    <w:rsid w:val="00305F9A"/>
    <w:rsid w:val="00307586"/>
    <w:rsid w:val="00307FBA"/>
    <w:rsid w:val="00310EFE"/>
    <w:rsid w:val="00314298"/>
    <w:rsid w:val="00322C92"/>
    <w:rsid w:val="00333478"/>
    <w:rsid w:val="003444A4"/>
    <w:rsid w:val="00351C5B"/>
    <w:rsid w:val="00374E99"/>
    <w:rsid w:val="00386CA0"/>
    <w:rsid w:val="00390E0E"/>
    <w:rsid w:val="00393577"/>
    <w:rsid w:val="003A0F85"/>
    <w:rsid w:val="003B7A11"/>
    <w:rsid w:val="003D0EE4"/>
    <w:rsid w:val="003D1B7F"/>
    <w:rsid w:val="003F0F0F"/>
    <w:rsid w:val="00403DFB"/>
    <w:rsid w:val="00404C22"/>
    <w:rsid w:val="004315E8"/>
    <w:rsid w:val="004358B2"/>
    <w:rsid w:val="00445C61"/>
    <w:rsid w:val="0046575A"/>
    <w:rsid w:val="00482E5E"/>
    <w:rsid w:val="00485A29"/>
    <w:rsid w:val="00485E01"/>
    <w:rsid w:val="004873C6"/>
    <w:rsid w:val="00487D7C"/>
    <w:rsid w:val="004C05A8"/>
    <w:rsid w:val="004C496A"/>
    <w:rsid w:val="004D31C6"/>
    <w:rsid w:val="004E23CC"/>
    <w:rsid w:val="004E6529"/>
    <w:rsid w:val="004E7955"/>
    <w:rsid w:val="004F21A7"/>
    <w:rsid w:val="004F4FE5"/>
    <w:rsid w:val="00503DD8"/>
    <w:rsid w:val="005169B8"/>
    <w:rsid w:val="00531A4F"/>
    <w:rsid w:val="005417BC"/>
    <w:rsid w:val="00544054"/>
    <w:rsid w:val="00551410"/>
    <w:rsid w:val="0055478D"/>
    <w:rsid w:val="00563586"/>
    <w:rsid w:val="005769B7"/>
    <w:rsid w:val="0058618D"/>
    <w:rsid w:val="005A78E5"/>
    <w:rsid w:val="005B70B1"/>
    <w:rsid w:val="005C2601"/>
    <w:rsid w:val="005D3F8B"/>
    <w:rsid w:val="005D608B"/>
    <w:rsid w:val="005F416B"/>
    <w:rsid w:val="006062E3"/>
    <w:rsid w:val="006213D4"/>
    <w:rsid w:val="00623885"/>
    <w:rsid w:val="00624D86"/>
    <w:rsid w:val="006323DE"/>
    <w:rsid w:val="00653A9F"/>
    <w:rsid w:val="00655F80"/>
    <w:rsid w:val="0066140A"/>
    <w:rsid w:val="006638B2"/>
    <w:rsid w:val="0067286B"/>
    <w:rsid w:val="00682326"/>
    <w:rsid w:val="00690892"/>
    <w:rsid w:val="00694FB1"/>
    <w:rsid w:val="006A4448"/>
    <w:rsid w:val="006A5A0B"/>
    <w:rsid w:val="006C74AB"/>
    <w:rsid w:val="00717CF8"/>
    <w:rsid w:val="0072021A"/>
    <w:rsid w:val="00723BDC"/>
    <w:rsid w:val="00731DB0"/>
    <w:rsid w:val="00744A44"/>
    <w:rsid w:val="0076101E"/>
    <w:rsid w:val="007706AC"/>
    <w:rsid w:val="00775705"/>
    <w:rsid w:val="00792C8D"/>
    <w:rsid w:val="007B2D09"/>
    <w:rsid w:val="007B30DA"/>
    <w:rsid w:val="007D5CD0"/>
    <w:rsid w:val="007E1D05"/>
    <w:rsid w:val="007E27D4"/>
    <w:rsid w:val="007E2EE5"/>
    <w:rsid w:val="007E5AEE"/>
    <w:rsid w:val="007F7E91"/>
    <w:rsid w:val="00803C5A"/>
    <w:rsid w:val="008320EC"/>
    <w:rsid w:val="00852026"/>
    <w:rsid w:val="00852DDE"/>
    <w:rsid w:val="00852F59"/>
    <w:rsid w:val="008673AE"/>
    <w:rsid w:val="0086751C"/>
    <w:rsid w:val="00871CCB"/>
    <w:rsid w:val="00872207"/>
    <w:rsid w:val="008B3A65"/>
    <w:rsid w:val="008B50EF"/>
    <w:rsid w:val="008D3F99"/>
    <w:rsid w:val="00913C96"/>
    <w:rsid w:val="00932E70"/>
    <w:rsid w:val="00936E93"/>
    <w:rsid w:val="00961463"/>
    <w:rsid w:val="009724C3"/>
    <w:rsid w:val="0099691E"/>
    <w:rsid w:val="009A3C22"/>
    <w:rsid w:val="009A7E0F"/>
    <w:rsid w:val="00A13958"/>
    <w:rsid w:val="00A2178A"/>
    <w:rsid w:val="00A24C86"/>
    <w:rsid w:val="00A402BA"/>
    <w:rsid w:val="00A523D2"/>
    <w:rsid w:val="00A55B2E"/>
    <w:rsid w:val="00A84F25"/>
    <w:rsid w:val="00A92E0C"/>
    <w:rsid w:val="00A93C63"/>
    <w:rsid w:val="00AA5219"/>
    <w:rsid w:val="00AA5C07"/>
    <w:rsid w:val="00AB15B2"/>
    <w:rsid w:val="00AD6819"/>
    <w:rsid w:val="00AF1F69"/>
    <w:rsid w:val="00AF60DB"/>
    <w:rsid w:val="00B00DD4"/>
    <w:rsid w:val="00B23D40"/>
    <w:rsid w:val="00B555CB"/>
    <w:rsid w:val="00B60CC1"/>
    <w:rsid w:val="00B60F01"/>
    <w:rsid w:val="00B75CE5"/>
    <w:rsid w:val="00B75DCA"/>
    <w:rsid w:val="00B87957"/>
    <w:rsid w:val="00B9149B"/>
    <w:rsid w:val="00BB000A"/>
    <w:rsid w:val="00BB3EE0"/>
    <w:rsid w:val="00BC0875"/>
    <w:rsid w:val="00BD6277"/>
    <w:rsid w:val="00BE52B7"/>
    <w:rsid w:val="00BF5373"/>
    <w:rsid w:val="00C07F8E"/>
    <w:rsid w:val="00C154B9"/>
    <w:rsid w:val="00C21DC1"/>
    <w:rsid w:val="00C3514C"/>
    <w:rsid w:val="00C36604"/>
    <w:rsid w:val="00C3724B"/>
    <w:rsid w:val="00C86C88"/>
    <w:rsid w:val="00C95F6A"/>
    <w:rsid w:val="00CA0173"/>
    <w:rsid w:val="00CA5A8F"/>
    <w:rsid w:val="00CB3AD4"/>
    <w:rsid w:val="00CB650A"/>
    <w:rsid w:val="00CD267A"/>
    <w:rsid w:val="00CD5481"/>
    <w:rsid w:val="00CD5642"/>
    <w:rsid w:val="00CD5BFA"/>
    <w:rsid w:val="00CE4078"/>
    <w:rsid w:val="00D0293D"/>
    <w:rsid w:val="00D120A9"/>
    <w:rsid w:val="00D157F3"/>
    <w:rsid w:val="00D15A68"/>
    <w:rsid w:val="00D32EA3"/>
    <w:rsid w:val="00D33143"/>
    <w:rsid w:val="00D448E1"/>
    <w:rsid w:val="00D74673"/>
    <w:rsid w:val="00D83D10"/>
    <w:rsid w:val="00D83F09"/>
    <w:rsid w:val="00D94B29"/>
    <w:rsid w:val="00DA1695"/>
    <w:rsid w:val="00DA3072"/>
    <w:rsid w:val="00DA349C"/>
    <w:rsid w:val="00DB4F31"/>
    <w:rsid w:val="00DC54FA"/>
    <w:rsid w:val="00DC5805"/>
    <w:rsid w:val="00DC6415"/>
    <w:rsid w:val="00E161FD"/>
    <w:rsid w:val="00E16DEE"/>
    <w:rsid w:val="00E2050E"/>
    <w:rsid w:val="00E23B96"/>
    <w:rsid w:val="00E25F75"/>
    <w:rsid w:val="00E27BF1"/>
    <w:rsid w:val="00E31E0A"/>
    <w:rsid w:val="00E55758"/>
    <w:rsid w:val="00E86446"/>
    <w:rsid w:val="00EA3B63"/>
    <w:rsid w:val="00EA5888"/>
    <w:rsid w:val="00EB6B9B"/>
    <w:rsid w:val="00ED28BF"/>
    <w:rsid w:val="00ED7895"/>
    <w:rsid w:val="00EE4F10"/>
    <w:rsid w:val="00F06218"/>
    <w:rsid w:val="00F0711C"/>
    <w:rsid w:val="00F451A8"/>
    <w:rsid w:val="00F60ED2"/>
    <w:rsid w:val="00F64637"/>
    <w:rsid w:val="00F6603A"/>
    <w:rsid w:val="00F66DC8"/>
    <w:rsid w:val="00F755FB"/>
    <w:rsid w:val="00FA1BC5"/>
    <w:rsid w:val="00FA6A01"/>
    <w:rsid w:val="00FB238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D7D02D"/>
  <w15:chartTrackingRefBased/>
  <w15:docId w15:val="{8E57BCAD-0120-45C9-9ACB-85DC3CD67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6603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603A"/>
    <w:rPr>
      <w:sz w:val="20"/>
      <w:szCs w:val="20"/>
    </w:rPr>
  </w:style>
  <w:style w:type="character" w:styleId="FootnoteReference">
    <w:name w:val="footnote reference"/>
    <w:basedOn w:val="DefaultParagraphFont"/>
    <w:uiPriority w:val="99"/>
    <w:semiHidden/>
    <w:unhideWhenUsed/>
    <w:rsid w:val="00F6603A"/>
    <w:rPr>
      <w:vertAlign w:val="superscript"/>
    </w:rPr>
  </w:style>
  <w:style w:type="character" w:styleId="Hyperlink">
    <w:name w:val="Hyperlink"/>
    <w:basedOn w:val="DefaultParagraphFont"/>
    <w:uiPriority w:val="99"/>
    <w:unhideWhenUsed/>
    <w:rsid w:val="00717CF8"/>
    <w:rPr>
      <w:color w:val="0563C1" w:themeColor="hyperlink"/>
      <w:u w:val="single"/>
    </w:rPr>
  </w:style>
  <w:style w:type="character" w:customStyle="1" w:styleId="UnresolvedMention">
    <w:name w:val="Unresolved Mention"/>
    <w:basedOn w:val="DefaultParagraphFont"/>
    <w:uiPriority w:val="99"/>
    <w:semiHidden/>
    <w:unhideWhenUsed/>
    <w:rsid w:val="00717CF8"/>
    <w:rPr>
      <w:color w:val="808080"/>
      <w:shd w:val="clear" w:color="auto" w:fill="E6E6E6"/>
    </w:rPr>
  </w:style>
  <w:style w:type="paragraph" w:styleId="BalloonText">
    <w:name w:val="Balloon Text"/>
    <w:basedOn w:val="Normal"/>
    <w:link w:val="BalloonTextChar"/>
    <w:uiPriority w:val="99"/>
    <w:semiHidden/>
    <w:unhideWhenUsed/>
    <w:rsid w:val="0030758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07586"/>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23D40"/>
    <w:rPr>
      <w:sz w:val="16"/>
      <w:szCs w:val="16"/>
    </w:rPr>
  </w:style>
  <w:style w:type="paragraph" w:styleId="CommentText">
    <w:name w:val="annotation text"/>
    <w:basedOn w:val="Normal"/>
    <w:link w:val="CommentTextChar"/>
    <w:uiPriority w:val="99"/>
    <w:semiHidden/>
    <w:unhideWhenUsed/>
    <w:rsid w:val="00B23D40"/>
    <w:pPr>
      <w:spacing w:line="240" w:lineRule="auto"/>
    </w:pPr>
    <w:rPr>
      <w:sz w:val="20"/>
      <w:szCs w:val="20"/>
    </w:rPr>
  </w:style>
  <w:style w:type="character" w:customStyle="1" w:styleId="CommentTextChar">
    <w:name w:val="Comment Text Char"/>
    <w:basedOn w:val="DefaultParagraphFont"/>
    <w:link w:val="CommentText"/>
    <w:uiPriority w:val="99"/>
    <w:semiHidden/>
    <w:rsid w:val="00B23D40"/>
    <w:rPr>
      <w:sz w:val="20"/>
      <w:szCs w:val="20"/>
    </w:rPr>
  </w:style>
  <w:style w:type="paragraph" w:styleId="CommentSubject">
    <w:name w:val="annotation subject"/>
    <w:basedOn w:val="CommentText"/>
    <w:next w:val="CommentText"/>
    <w:link w:val="CommentSubjectChar"/>
    <w:uiPriority w:val="99"/>
    <w:semiHidden/>
    <w:unhideWhenUsed/>
    <w:rsid w:val="00B23D40"/>
    <w:rPr>
      <w:b/>
      <w:bCs/>
    </w:rPr>
  </w:style>
  <w:style w:type="character" w:customStyle="1" w:styleId="CommentSubjectChar">
    <w:name w:val="Comment Subject Char"/>
    <w:basedOn w:val="CommentTextChar"/>
    <w:link w:val="CommentSubject"/>
    <w:uiPriority w:val="99"/>
    <w:semiHidden/>
    <w:rsid w:val="00B23D40"/>
    <w:rPr>
      <w:b/>
      <w:bCs/>
      <w:sz w:val="20"/>
      <w:szCs w:val="20"/>
    </w:rPr>
  </w:style>
  <w:style w:type="paragraph" w:styleId="ListParagraph">
    <w:name w:val="List Paragraph"/>
    <w:basedOn w:val="Normal"/>
    <w:uiPriority w:val="34"/>
    <w:qFormat/>
    <w:rsid w:val="001E7E41"/>
    <w:pPr>
      <w:ind w:left="720"/>
      <w:contextualSpacing/>
    </w:pPr>
  </w:style>
  <w:style w:type="character" w:styleId="FollowedHyperlink">
    <w:name w:val="FollowedHyperlink"/>
    <w:basedOn w:val="DefaultParagraphFont"/>
    <w:uiPriority w:val="99"/>
    <w:semiHidden/>
    <w:unhideWhenUsed/>
    <w:rsid w:val="00D120A9"/>
    <w:rPr>
      <w:color w:val="954F72" w:themeColor="followedHyperlink"/>
      <w:u w:val="single"/>
    </w:rPr>
  </w:style>
  <w:style w:type="paragraph" w:styleId="Header">
    <w:name w:val="header"/>
    <w:basedOn w:val="Normal"/>
    <w:link w:val="HeaderChar"/>
    <w:uiPriority w:val="99"/>
    <w:unhideWhenUsed/>
    <w:rsid w:val="00261A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1ACD"/>
  </w:style>
  <w:style w:type="paragraph" w:styleId="Footer">
    <w:name w:val="footer"/>
    <w:basedOn w:val="Normal"/>
    <w:link w:val="FooterChar"/>
    <w:uiPriority w:val="99"/>
    <w:unhideWhenUsed/>
    <w:rsid w:val="00261A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1A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terrorismlegislationreviewer.independent.gov.uk/wp-content/uploads/2016/12/TERRORISM-ACTS-REPORT-1-Dec-2016-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856A3-3128-4961-A232-4053C178D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3176</Words>
  <Characters>16208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Tron</dc:creator>
  <cp:keywords/>
  <dc:description/>
  <cp:lastModifiedBy>Paul Burns</cp:lastModifiedBy>
  <cp:revision>2</cp:revision>
  <dcterms:created xsi:type="dcterms:W3CDTF">2019-07-12T10:38:00Z</dcterms:created>
  <dcterms:modified xsi:type="dcterms:W3CDTF">2019-07-12T10:38:00Z</dcterms:modified>
</cp:coreProperties>
</file>