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78C2B" w14:textId="3271006F" w:rsidR="008974AF" w:rsidRPr="000A66A1" w:rsidRDefault="008178FC" w:rsidP="000A66A1">
      <w:pPr>
        <w:spacing w:line="360" w:lineRule="auto"/>
        <w:jc w:val="both"/>
        <w:rPr>
          <w:rFonts w:asciiTheme="minorHAnsi" w:hAnsiTheme="minorHAnsi"/>
          <w:u w:val="single"/>
        </w:rPr>
      </w:pPr>
      <w:bookmarkStart w:id="0" w:name="_GoBack"/>
      <w:bookmarkEnd w:id="0"/>
      <w:r w:rsidRPr="000A66A1">
        <w:rPr>
          <w:rFonts w:asciiTheme="minorHAnsi" w:hAnsiTheme="minorHAnsi"/>
          <w:noProof/>
          <w:lang w:eastAsia="en-GB"/>
        </w:rPr>
        <w:drawing>
          <wp:anchor distT="0" distB="0" distL="114300" distR="114300" simplePos="0" relativeHeight="251658240" behindDoc="0" locked="0" layoutInCell="1" allowOverlap="1" wp14:anchorId="73F19CC5" wp14:editId="6BF08A54">
            <wp:simplePos x="0" y="0"/>
            <wp:positionH relativeFrom="column">
              <wp:posOffset>0</wp:posOffset>
            </wp:positionH>
            <wp:positionV relativeFrom="paragraph">
              <wp:posOffset>0</wp:posOffset>
            </wp:positionV>
            <wp:extent cx="5270500" cy="1653540"/>
            <wp:effectExtent l="0" t="0" r="0" b="0"/>
            <wp:wrapSquare wrapText="bothSides"/>
            <wp:docPr id="2" name="Picture 2" descr="Image result for northumbri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northumbria 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165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D25C9" w14:textId="0411E4E7" w:rsidR="008178FC" w:rsidRPr="000A66A1" w:rsidRDefault="008178FC" w:rsidP="000A66A1">
      <w:pPr>
        <w:spacing w:line="360" w:lineRule="auto"/>
        <w:rPr>
          <w:rFonts w:asciiTheme="minorHAnsi" w:hAnsiTheme="minorHAnsi"/>
        </w:rPr>
      </w:pPr>
    </w:p>
    <w:p w14:paraId="46AF6151" w14:textId="05E115A9" w:rsidR="008178FC" w:rsidRPr="000A66A1" w:rsidRDefault="008178FC" w:rsidP="000A66A1">
      <w:pPr>
        <w:spacing w:line="360" w:lineRule="auto"/>
        <w:rPr>
          <w:rFonts w:asciiTheme="minorHAnsi" w:hAnsiTheme="minorHAnsi"/>
        </w:rPr>
      </w:pPr>
    </w:p>
    <w:p w14:paraId="027EEF14" w14:textId="6BE86AEA" w:rsidR="008178FC" w:rsidRPr="000A66A1" w:rsidRDefault="008178FC" w:rsidP="000A66A1">
      <w:pPr>
        <w:spacing w:line="360" w:lineRule="auto"/>
        <w:rPr>
          <w:rFonts w:asciiTheme="minorHAnsi" w:hAnsiTheme="minorHAnsi"/>
        </w:rPr>
      </w:pPr>
    </w:p>
    <w:p w14:paraId="5AA675C8" w14:textId="77777777" w:rsidR="008178FC" w:rsidRPr="000A66A1" w:rsidRDefault="008178FC" w:rsidP="000A66A1">
      <w:pPr>
        <w:spacing w:line="360" w:lineRule="auto"/>
        <w:rPr>
          <w:rFonts w:asciiTheme="minorHAnsi" w:hAnsiTheme="minorHAnsi"/>
        </w:rPr>
      </w:pPr>
    </w:p>
    <w:p w14:paraId="3F01573F" w14:textId="57C3A308" w:rsidR="008178FC" w:rsidRPr="000A66A1" w:rsidRDefault="008178FC" w:rsidP="000A66A1">
      <w:pPr>
        <w:spacing w:line="360" w:lineRule="auto"/>
        <w:rPr>
          <w:rFonts w:asciiTheme="minorHAnsi" w:hAnsiTheme="minorHAnsi"/>
        </w:rPr>
      </w:pPr>
    </w:p>
    <w:p w14:paraId="5904B5CE" w14:textId="77777777" w:rsidR="008178FC" w:rsidRPr="000A66A1" w:rsidRDefault="008178FC" w:rsidP="000A66A1">
      <w:pPr>
        <w:spacing w:line="360" w:lineRule="auto"/>
        <w:jc w:val="center"/>
        <w:rPr>
          <w:rFonts w:asciiTheme="minorHAnsi" w:hAnsiTheme="minorHAnsi"/>
        </w:rPr>
      </w:pPr>
    </w:p>
    <w:p w14:paraId="10B8CEE0" w14:textId="1425D6CE" w:rsidR="008178FC" w:rsidRPr="000A66A1" w:rsidRDefault="008178FC" w:rsidP="000A66A1">
      <w:pPr>
        <w:spacing w:line="360" w:lineRule="auto"/>
        <w:jc w:val="center"/>
        <w:rPr>
          <w:rFonts w:asciiTheme="minorHAnsi" w:hAnsiTheme="minorHAnsi"/>
        </w:rPr>
      </w:pPr>
      <w:r w:rsidRPr="000A66A1">
        <w:rPr>
          <w:rFonts w:asciiTheme="minorHAnsi" w:hAnsiTheme="minorHAnsi"/>
        </w:rPr>
        <w:t>“Intoxication in Criminal Law – A</w:t>
      </w:r>
      <w:r w:rsidR="001A4B11" w:rsidRPr="000A66A1">
        <w:rPr>
          <w:rFonts w:asciiTheme="minorHAnsi" w:hAnsiTheme="minorHAnsi"/>
        </w:rPr>
        <w:t>n Analysis of the Practical Implications of the</w:t>
      </w:r>
      <w:r w:rsidR="00857EB7" w:rsidRPr="000A66A1">
        <w:rPr>
          <w:rFonts w:asciiTheme="minorHAnsi" w:hAnsiTheme="minorHAnsi"/>
        </w:rPr>
        <w:t xml:space="preserve"> Ivey v Genting Casinos case on the Majewski Rule</w:t>
      </w:r>
      <w:r w:rsidRPr="000A66A1">
        <w:rPr>
          <w:rFonts w:asciiTheme="minorHAnsi" w:hAnsiTheme="minorHAnsi"/>
        </w:rPr>
        <w:t>”</w:t>
      </w:r>
    </w:p>
    <w:p w14:paraId="4374BBA7" w14:textId="58066D00" w:rsidR="008178FC" w:rsidRPr="000A66A1" w:rsidRDefault="008178FC" w:rsidP="000A66A1">
      <w:pPr>
        <w:spacing w:line="360" w:lineRule="auto"/>
        <w:rPr>
          <w:rFonts w:asciiTheme="minorHAnsi" w:hAnsiTheme="minorHAnsi"/>
          <w:i/>
        </w:rPr>
      </w:pPr>
    </w:p>
    <w:p w14:paraId="171816A6" w14:textId="19219108" w:rsidR="008178FC" w:rsidRPr="000A66A1" w:rsidRDefault="008178FC" w:rsidP="000A66A1">
      <w:pPr>
        <w:spacing w:line="360" w:lineRule="auto"/>
        <w:rPr>
          <w:rFonts w:asciiTheme="minorHAnsi" w:hAnsiTheme="minorHAnsi"/>
        </w:rPr>
      </w:pPr>
      <w:r w:rsidRPr="000A66A1">
        <w:rPr>
          <w:rFonts w:asciiTheme="minorHAnsi" w:hAnsiTheme="minorHAnsi"/>
        </w:rPr>
        <w:fldChar w:fldCharType="begin"/>
      </w:r>
      <w:r w:rsidR="000E7602" w:rsidRPr="000A66A1">
        <w:rPr>
          <w:rFonts w:asciiTheme="minorHAnsi" w:hAnsiTheme="minorHAnsi"/>
        </w:rPr>
        <w:instrText xml:space="preserve"> INCLUDEPICTURE "C:\\var\\folders\\m_\\6h91rqpd1qq9j7hgnqhczw380000gn\\T\\com.microsoft.Word\\WebArchiveCopyPasteTempFiles\\40f0efdb3a6745fda5b0d982d53b8cd9.ashx" \* MERGEFORMAT </w:instrText>
      </w:r>
      <w:r w:rsidRPr="000A66A1">
        <w:rPr>
          <w:rFonts w:asciiTheme="minorHAnsi" w:hAnsiTheme="minorHAnsi"/>
        </w:rPr>
        <w:fldChar w:fldCharType="end"/>
      </w:r>
    </w:p>
    <w:p w14:paraId="0216868F" w14:textId="77777777" w:rsidR="008178FC" w:rsidRPr="000A66A1" w:rsidRDefault="008178FC" w:rsidP="000A66A1">
      <w:pPr>
        <w:spacing w:line="360" w:lineRule="auto"/>
        <w:rPr>
          <w:rFonts w:asciiTheme="minorHAnsi" w:hAnsiTheme="minorHAnsi"/>
        </w:rPr>
      </w:pPr>
    </w:p>
    <w:p w14:paraId="3534C370" w14:textId="3D9084B0" w:rsidR="008178FC" w:rsidRPr="006A6210" w:rsidRDefault="006A6210" w:rsidP="000A66A1">
      <w:pPr>
        <w:spacing w:line="360" w:lineRule="auto"/>
        <w:jc w:val="center"/>
        <w:rPr>
          <w:rFonts w:asciiTheme="minorHAnsi" w:hAnsiTheme="minorHAnsi"/>
          <w:i/>
        </w:rPr>
      </w:pPr>
      <w:r w:rsidRPr="006A6210">
        <w:rPr>
          <w:rFonts w:asciiTheme="minorHAnsi" w:hAnsiTheme="minorHAnsi"/>
          <w:i/>
        </w:rPr>
        <w:t xml:space="preserve">Lucy </w:t>
      </w:r>
      <w:proofErr w:type="spellStart"/>
      <w:r w:rsidRPr="006A6210">
        <w:rPr>
          <w:rFonts w:asciiTheme="minorHAnsi" w:hAnsiTheme="minorHAnsi"/>
          <w:i/>
        </w:rPr>
        <w:t>Dougall</w:t>
      </w:r>
      <w:proofErr w:type="spellEnd"/>
      <w:r w:rsidRPr="006A6210">
        <w:rPr>
          <w:rFonts w:asciiTheme="minorHAnsi" w:hAnsiTheme="minorHAnsi"/>
          <w:i/>
        </w:rPr>
        <w:t xml:space="preserve"> </w:t>
      </w:r>
    </w:p>
    <w:p w14:paraId="4243490C" w14:textId="0FF5972A" w:rsidR="000A66A1" w:rsidRPr="000A66A1" w:rsidRDefault="000A66A1" w:rsidP="000A66A1">
      <w:pPr>
        <w:spacing w:line="360" w:lineRule="auto"/>
        <w:jc w:val="center"/>
        <w:rPr>
          <w:rFonts w:asciiTheme="minorHAnsi" w:hAnsiTheme="minorHAnsi"/>
        </w:rPr>
      </w:pPr>
    </w:p>
    <w:p w14:paraId="5BB4D5FC" w14:textId="50047C26" w:rsidR="000A66A1" w:rsidRPr="000A66A1" w:rsidRDefault="000A66A1" w:rsidP="000A66A1">
      <w:pPr>
        <w:spacing w:line="360" w:lineRule="auto"/>
        <w:jc w:val="center"/>
        <w:rPr>
          <w:rFonts w:asciiTheme="minorHAnsi" w:hAnsiTheme="minorHAnsi"/>
        </w:rPr>
      </w:pPr>
    </w:p>
    <w:p w14:paraId="571B9638" w14:textId="444C3C45" w:rsidR="000A66A1" w:rsidRPr="000A66A1" w:rsidRDefault="000A66A1" w:rsidP="000A66A1">
      <w:pPr>
        <w:spacing w:line="360" w:lineRule="auto"/>
        <w:jc w:val="center"/>
        <w:rPr>
          <w:rFonts w:asciiTheme="minorHAnsi" w:hAnsiTheme="minorHAnsi"/>
        </w:rPr>
      </w:pPr>
    </w:p>
    <w:p w14:paraId="3BB0EA2D" w14:textId="6DD19975" w:rsidR="000A66A1" w:rsidRPr="000A66A1" w:rsidRDefault="000A66A1" w:rsidP="000A66A1">
      <w:pPr>
        <w:spacing w:line="360" w:lineRule="auto"/>
        <w:jc w:val="center"/>
        <w:rPr>
          <w:rFonts w:asciiTheme="minorHAnsi" w:hAnsiTheme="minorHAnsi"/>
        </w:rPr>
      </w:pPr>
    </w:p>
    <w:p w14:paraId="1CF9195D" w14:textId="0179A346" w:rsidR="000A66A1" w:rsidRPr="000A66A1" w:rsidRDefault="000A66A1" w:rsidP="000A66A1">
      <w:pPr>
        <w:spacing w:line="360" w:lineRule="auto"/>
        <w:jc w:val="center"/>
        <w:rPr>
          <w:rFonts w:asciiTheme="minorHAnsi" w:hAnsiTheme="minorHAnsi"/>
        </w:rPr>
      </w:pPr>
    </w:p>
    <w:p w14:paraId="3279758B" w14:textId="65713225" w:rsidR="000A66A1" w:rsidRPr="000A66A1" w:rsidRDefault="000A66A1" w:rsidP="000A66A1">
      <w:pPr>
        <w:spacing w:line="360" w:lineRule="auto"/>
        <w:jc w:val="center"/>
        <w:rPr>
          <w:rFonts w:asciiTheme="minorHAnsi" w:hAnsiTheme="minorHAnsi"/>
        </w:rPr>
      </w:pPr>
    </w:p>
    <w:p w14:paraId="429DA59C" w14:textId="4543DB3B" w:rsidR="000A66A1" w:rsidRPr="000A66A1" w:rsidRDefault="000A66A1" w:rsidP="000A66A1">
      <w:pPr>
        <w:spacing w:line="360" w:lineRule="auto"/>
        <w:jc w:val="center"/>
        <w:rPr>
          <w:rFonts w:asciiTheme="minorHAnsi" w:hAnsiTheme="minorHAnsi"/>
        </w:rPr>
      </w:pPr>
    </w:p>
    <w:p w14:paraId="573E4032" w14:textId="02DA9AAA" w:rsidR="000A66A1" w:rsidRPr="000A66A1" w:rsidRDefault="000A66A1" w:rsidP="000A66A1">
      <w:pPr>
        <w:spacing w:line="360" w:lineRule="auto"/>
        <w:jc w:val="center"/>
        <w:rPr>
          <w:rFonts w:asciiTheme="minorHAnsi" w:hAnsiTheme="minorHAnsi"/>
        </w:rPr>
      </w:pPr>
    </w:p>
    <w:p w14:paraId="176C1712" w14:textId="1740F557" w:rsidR="000A66A1" w:rsidRPr="000A66A1" w:rsidRDefault="000A66A1" w:rsidP="000A66A1">
      <w:pPr>
        <w:spacing w:line="360" w:lineRule="auto"/>
        <w:jc w:val="center"/>
        <w:rPr>
          <w:rFonts w:asciiTheme="minorHAnsi" w:hAnsiTheme="minorHAnsi"/>
        </w:rPr>
      </w:pPr>
    </w:p>
    <w:p w14:paraId="3210CFC4" w14:textId="7ED72033" w:rsidR="000A66A1" w:rsidRPr="000A66A1" w:rsidRDefault="000A66A1" w:rsidP="000A66A1">
      <w:pPr>
        <w:spacing w:line="360" w:lineRule="auto"/>
        <w:jc w:val="center"/>
        <w:rPr>
          <w:rFonts w:asciiTheme="minorHAnsi" w:hAnsiTheme="minorHAnsi"/>
        </w:rPr>
      </w:pPr>
    </w:p>
    <w:p w14:paraId="1DFB500C" w14:textId="216EB3FE" w:rsidR="000A66A1" w:rsidRPr="000A66A1" w:rsidRDefault="000A66A1" w:rsidP="000A66A1">
      <w:pPr>
        <w:spacing w:line="360" w:lineRule="auto"/>
        <w:jc w:val="center"/>
        <w:rPr>
          <w:rFonts w:asciiTheme="minorHAnsi" w:hAnsiTheme="minorHAnsi"/>
        </w:rPr>
      </w:pPr>
    </w:p>
    <w:p w14:paraId="2EFBD431" w14:textId="46EA7FDC" w:rsidR="000A66A1" w:rsidRPr="000A66A1" w:rsidRDefault="000A66A1" w:rsidP="000A66A1">
      <w:pPr>
        <w:spacing w:line="360" w:lineRule="auto"/>
        <w:jc w:val="center"/>
        <w:rPr>
          <w:rFonts w:asciiTheme="minorHAnsi" w:hAnsiTheme="minorHAnsi"/>
        </w:rPr>
      </w:pPr>
    </w:p>
    <w:p w14:paraId="2D3806E5" w14:textId="5E423991" w:rsidR="000A66A1" w:rsidRPr="000A66A1" w:rsidRDefault="000A66A1" w:rsidP="000A66A1">
      <w:pPr>
        <w:spacing w:line="360" w:lineRule="auto"/>
        <w:jc w:val="center"/>
        <w:rPr>
          <w:rFonts w:asciiTheme="minorHAnsi" w:hAnsiTheme="minorHAnsi"/>
        </w:rPr>
      </w:pPr>
    </w:p>
    <w:p w14:paraId="2DA74D56" w14:textId="12C1B6AE" w:rsidR="000A66A1" w:rsidRPr="000A66A1" w:rsidRDefault="000A66A1" w:rsidP="000A66A1">
      <w:pPr>
        <w:spacing w:line="360" w:lineRule="auto"/>
        <w:jc w:val="center"/>
        <w:rPr>
          <w:rFonts w:asciiTheme="minorHAnsi" w:hAnsiTheme="minorHAnsi"/>
        </w:rPr>
      </w:pPr>
    </w:p>
    <w:p w14:paraId="2C89EF07" w14:textId="77777777" w:rsidR="000A66A1" w:rsidRPr="000A66A1" w:rsidRDefault="000A66A1" w:rsidP="000A66A1">
      <w:pPr>
        <w:spacing w:line="360" w:lineRule="auto"/>
        <w:jc w:val="center"/>
        <w:rPr>
          <w:rFonts w:asciiTheme="minorHAnsi" w:hAnsiTheme="minorHAnsi"/>
        </w:rPr>
      </w:pPr>
    </w:p>
    <w:p w14:paraId="443A6EF7" w14:textId="77777777" w:rsidR="008178FC" w:rsidRPr="000A66A1" w:rsidRDefault="008178FC" w:rsidP="000A66A1">
      <w:pPr>
        <w:spacing w:line="360" w:lineRule="auto"/>
        <w:jc w:val="center"/>
        <w:rPr>
          <w:rFonts w:asciiTheme="minorHAnsi" w:hAnsiTheme="minorHAnsi"/>
        </w:rPr>
      </w:pPr>
    </w:p>
    <w:p w14:paraId="5D401562" w14:textId="5E31B790" w:rsidR="00F26C2D" w:rsidRPr="000A66A1" w:rsidRDefault="00F26C2D" w:rsidP="000A66A1">
      <w:pPr>
        <w:spacing w:line="360" w:lineRule="auto"/>
        <w:jc w:val="center"/>
        <w:rPr>
          <w:rFonts w:asciiTheme="minorHAnsi" w:hAnsiTheme="minorHAnsi"/>
          <w:b/>
          <w:u w:val="single"/>
        </w:rPr>
      </w:pPr>
      <w:r w:rsidRPr="000A66A1">
        <w:rPr>
          <w:rFonts w:asciiTheme="minorHAnsi" w:hAnsiTheme="minorHAnsi"/>
          <w:b/>
          <w:u w:val="single"/>
        </w:rPr>
        <w:t>Introduction</w:t>
      </w:r>
    </w:p>
    <w:p w14:paraId="3C6B610B" w14:textId="77777777" w:rsidR="00F26C2D" w:rsidRPr="000A66A1" w:rsidRDefault="00F26C2D" w:rsidP="000A66A1">
      <w:pPr>
        <w:spacing w:line="360" w:lineRule="auto"/>
        <w:jc w:val="both"/>
        <w:rPr>
          <w:rFonts w:asciiTheme="minorHAnsi" w:hAnsiTheme="minorHAnsi"/>
        </w:rPr>
      </w:pPr>
    </w:p>
    <w:p w14:paraId="6453BB92" w14:textId="75915B11" w:rsidR="00BA06B1" w:rsidRPr="000A66A1" w:rsidRDefault="00BA06B1" w:rsidP="000A66A1">
      <w:pPr>
        <w:spacing w:line="360" w:lineRule="auto"/>
        <w:jc w:val="both"/>
        <w:rPr>
          <w:rFonts w:asciiTheme="minorHAnsi" w:hAnsiTheme="minorHAnsi"/>
          <w:b/>
        </w:rPr>
      </w:pPr>
      <w:r w:rsidRPr="000A66A1">
        <w:rPr>
          <w:rFonts w:asciiTheme="minorHAnsi" w:hAnsiTheme="minorHAnsi"/>
        </w:rPr>
        <w:t xml:space="preserve">The aim of this </w:t>
      </w:r>
      <w:r w:rsidR="00854B08" w:rsidRPr="000A66A1">
        <w:rPr>
          <w:rFonts w:asciiTheme="minorHAnsi" w:hAnsiTheme="minorHAnsi"/>
        </w:rPr>
        <w:t xml:space="preserve">article </w:t>
      </w:r>
      <w:r w:rsidRPr="000A66A1">
        <w:rPr>
          <w:rFonts w:asciiTheme="minorHAnsi" w:hAnsiTheme="minorHAnsi"/>
        </w:rPr>
        <w:t xml:space="preserve">is to consider the way intoxication works within criminal law, and how the application can differ depending on the category of the crime. </w:t>
      </w:r>
      <w:r w:rsidR="00854B08" w:rsidRPr="000A66A1">
        <w:rPr>
          <w:rFonts w:asciiTheme="minorHAnsi" w:hAnsiTheme="minorHAnsi"/>
        </w:rPr>
        <w:t xml:space="preserve">In particular, it considers how the doctrine of intoxication applies to property offences, and how that application may be affected by the Supreme Court decision in </w:t>
      </w:r>
      <w:r w:rsidR="00854B08" w:rsidRPr="000A66A1">
        <w:rPr>
          <w:rFonts w:asciiTheme="minorHAnsi" w:hAnsiTheme="minorHAnsi"/>
          <w:i/>
        </w:rPr>
        <w:t xml:space="preserve">Ivey v Genting Casinos. </w:t>
      </w:r>
      <w:r w:rsidR="00623789" w:rsidRPr="000A66A1">
        <w:rPr>
          <w:rFonts w:asciiTheme="minorHAnsi" w:hAnsiTheme="minorHAnsi"/>
        </w:rPr>
        <w:t xml:space="preserve">Due to the </w:t>
      </w:r>
      <w:r w:rsidR="002531FE" w:rsidRPr="000A66A1">
        <w:rPr>
          <w:rFonts w:asciiTheme="minorHAnsi" w:hAnsiTheme="minorHAnsi"/>
        </w:rPr>
        <w:t>proportion</w:t>
      </w:r>
      <w:r w:rsidR="00623789" w:rsidRPr="000A66A1">
        <w:rPr>
          <w:rFonts w:asciiTheme="minorHAnsi" w:hAnsiTheme="minorHAnsi"/>
        </w:rPr>
        <w:t xml:space="preserve"> of crimes</w:t>
      </w:r>
      <w:r w:rsidR="00394FE5" w:rsidRPr="000A66A1">
        <w:rPr>
          <w:rFonts w:asciiTheme="minorHAnsi" w:hAnsiTheme="minorHAnsi"/>
        </w:rPr>
        <w:t xml:space="preserve"> committed contain</w:t>
      </w:r>
      <w:r w:rsidR="002531FE" w:rsidRPr="000A66A1">
        <w:rPr>
          <w:rFonts w:asciiTheme="minorHAnsi" w:hAnsiTheme="minorHAnsi"/>
        </w:rPr>
        <w:t>ing</w:t>
      </w:r>
      <w:r w:rsidR="005274E0" w:rsidRPr="000A66A1">
        <w:rPr>
          <w:rFonts w:asciiTheme="minorHAnsi" w:hAnsiTheme="minorHAnsi"/>
        </w:rPr>
        <w:t xml:space="preserve"> an element of intoxication,</w:t>
      </w:r>
      <w:r w:rsidR="00B12A3E" w:rsidRPr="000A66A1">
        <w:rPr>
          <w:rStyle w:val="FootnoteReference"/>
          <w:rFonts w:asciiTheme="minorHAnsi" w:hAnsiTheme="minorHAnsi"/>
        </w:rPr>
        <w:footnoteReference w:id="1"/>
      </w:r>
      <w:r w:rsidR="005274E0" w:rsidRPr="000A66A1">
        <w:rPr>
          <w:rFonts w:asciiTheme="minorHAnsi" w:hAnsiTheme="minorHAnsi"/>
        </w:rPr>
        <w:t xml:space="preserve"> it is important that the law in this area works effectively and consistently</w:t>
      </w:r>
      <w:r w:rsidR="00CA23C7" w:rsidRPr="000A66A1">
        <w:rPr>
          <w:rFonts w:asciiTheme="minorHAnsi" w:hAnsiTheme="minorHAnsi"/>
        </w:rPr>
        <w:t>, in order for all members of the public to understand their legal position</w:t>
      </w:r>
      <w:r w:rsidR="005274E0" w:rsidRPr="000A66A1">
        <w:rPr>
          <w:rFonts w:asciiTheme="minorHAnsi" w:hAnsiTheme="minorHAnsi"/>
        </w:rPr>
        <w:t xml:space="preserve">. </w:t>
      </w:r>
      <w:r w:rsidR="00BC0E80" w:rsidRPr="000A66A1">
        <w:rPr>
          <w:rFonts w:asciiTheme="minorHAnsi" w:hAnsiTheme="minorHAnsi"/>
        </w:rPr>
        <w:t>Specifically, the law should be fair on defendants but also</w:t>
      </w:r>
      <w:r w:rsidR="002F6504" w:rsidRPr="000A66A1">
        <w:rPr>
          <w:rFonts w:asciiTheme="minorHAnsi" w:hAnsiTheme="minorHAnsi"/>
        </w:rPr>
        <w:t xml:space="preserve"> should be</w:t>
      </w:r>
      <w:r w:rsidR="00BC0E80" w:rsidRPr="000A66A1">
        <w:rPr>
          <w:rFonts w:asciiTheme="minorHAnsi" w:hAnsiTheme="minorHAnsi"/>
        </w:rPr>
        <w:t xml:space="preserve"> interpreted in a way that protects public safety. There have been numerous debates</w:t>
      </w:r>
      <w:r w:rsidR="00B12A3E" w:rsidRPr="000A66A1">
        <w:rPr>
          <w:rStyle w:val="FootnoteReference"/>
          <w:rFonts w:asciiTheme="minorHAnsi" w:hAnsiTheme="minorHAnsi"/>
        </w:rPr>
        <w:footnoteReference w:id="2"/>
      </w:r>
      <w:r w:rsidR="00BC0E80" w:rsidRPr="000A66A1">
        <w:rPr>
          <w:rFonts w:asciiTheme="minorHAnsi" w:hAnsiTheme="minorHAnsi"/>
        </w:rPr>
        <w:t xml:space="preserve"> amongst academics about the intoxication doctrine, and whether it works in the way that protects the people it should</w:t>
      </w:r>
      <w:r w:rsidR="00780E44" w:rsidRPr="000A66A1">
        <w:rPr>
          <w:rFonts w:asciiTheme="minorHAnsi" w:hAnsiTheme="minorHAnsi"/>
        </w:rPr>
        <w:t>.</w:t>
      </w:r>
    </w:p>
    <w:p w14:paraId="71BB01A7" w14:textId="3D9A5D22" w:rsidR="000026E7" w:rsidRPr="000A66A1" w:rsidRDefault="000026E7" w:rsidP="000A66A1">
      <w:pPr>
        <w:spacing w:line="360" w:lineRule="auto"/>
        <w:jc w:val="both"/>
        <w:rPr>
          <w:rFonts w:asciiTheme="minorHAnsi" w:hAnsiTheme="minorHAnsi"/>
        </w:rPr>
      </w:pPr>
    </w:p>
    <w:p w14:paraId="2E3B4EF7" w14:textId="2B202EA9" w:rsidR="00F371B5" w:rsidRPr="000A66A1" w:rsidRDefault="004857DB" w:rsidP="000A66A1">
      <w:pPr>
        <w:spacing w:line="360" w:lineRule="auto"/>
        <w:jc w:val="both"/>
        <w:rPr>
          <w:rFonts w:asciiTheme="minorHAnsi" w:hAnsiTheme="minorHAnsi"/>
        </w:rPr>
      </w:pPr>
      <w:r w:rsidRPr="000A66A1">
        <w:rPr>
          <w:rFonts w:asciiTheme="minorHAnsi" w:hAnsiTheme="minorHAnsi"/>
        </w:rPr>
        <w:t>Within England and Wales, m</w:t>
      </w:r>
      <w:r w:rsidR="000026E7" w:rsidRPr="000A66A1">
        <w:rPr>
          <w:rFonts w:asciiTheme="minorHAnsi" w:hAnsiTheme="minorHAnsi"/>
        </w:rPr>
        <w:t>any offenders commit crimes whil</w:t>
      </w:r>
      <w:r w:rsidR="00656482" w:rsidRPr="000A66A1">
        <w:rPr>
          <w:rFonts w:asciiTheme="minorHAnsi" w:hAnsiTheme="minorHAnsi"/>
        </w:rPr>
        <w:t>e</w:t>
      </w:r>
      <w:r w:rsidR="000026E7" w:rsidRPr="000A66A1">
        <w:rPr>
          <w:rFonts w:asciiTheme="minorHAnsi" w:hAnsiTheme="minorHAnsi"/>
        </w:rPr>
        <w:t xml:space="preserve"> under the influence of alcohol, making the law surrounding intoxication something of considerable importance. </w:t>
      </w:r>
      <w:r w:rsidR="00DA2821" w:rsidRPr="000A66A1">
        <w:rPr>
          <w:rFonts w:asciiTheme="minorHAnsi" w:hAnsiTheme="minorHAnsi"/>
        </w:rPr>
        <w:t xml:space="preserve">According to </w:t>
      </w:r>
      <w:r w:rsidR="00766485" w:rsidRPr="000A66A1">
        <w:rPr>
          <w:rFonts w:asciiTheme="minorHAnsi" w:hAnsiTheme="minorHAnsi"/>
        </w:rPr>
        <w:t>the March 2015 Crime Survey for England and Wales</w:t>
      </w:r>
      <w:r w:rsidRPr="000A66A1">
        <w:rPr>
          <w:rStyle w:val="FootnoteReference"/>
          <w:rFonts w:asciiTheme="minorHAnsi" w:hAnsiTheme="minorHAnsi"/>
        </w:rPr>
        <w:footnoteReference w:id="3"/>
      </w:r>
      <w:r w:rsidR="00766485" w:rsidRPr="000A66A1">
        <w:rPr>
          <w:rFonts w:asciiTheme="minorHAnsi" w:hAnsiTheme="minorHAnsi"/>
        </w:rPr>
        <w:t>; victims of violent incidents believed that the offenders were under the influence of alcohol in 47% of cases</w:t>
      </w:r>
      <w:r w:rsidRPr="000A66A1">
        <w:rPr>
          <w:rStyle w:val="FootnoteReference"/>
          <w:rFonts w:asciiTheme="minorHAnsi" w:hAnsiTheme="minorHAnsi"/>
        </w:rPr>
        <w:footnoteReference w:id="4"/>
      </w:r>
      <w:r w:rsidR="00766485" w:rsidRPr="000A66A1">
        <w:rPr>
          <w:rFonts w:asciiTheme="minorHAnsi" w:hAnsiTheme="minorHAnsi"/>
        </w:rPr>
        <w:t xml:space="preserve">. </w:t>
      </w:r>
      <w:r w:rsidRPr="000A66A1">
        <w:rPr>
          <w:rFonts w:asciiTheme="minorHAnsi" w:hAnsiTheme="minorHAnsi"/>
        </w:rPr>
        <w:t xml:space="preserve">Despite the vast </w:t>
      </w:r>
      <w:r w:rsidR="00766485" w:rsidRPr="000A66A1">
        <w:rPr>
          <w:rFonts w:asciiTheme="minorHAnsi" w:hAnsiTheme="minorHAnsi"/>
        </w:rPr>
        <w:t>amount of alcohol related violent incidents</w:t>
      </w:r>
      <w:r w:rsidRPr="000A66A1">
        <w:rPr>
          <w:rFonts w:asciiTheme="minorHAnsi" w:hAnsiTheme="minorHAnsi"/>
        </w:rPr>
        <w:t>, there</w:t>
      </w:r>
      <w:r w:rsidR="00766485" w:rsidRPr="000A66A1">
        <w:rPr>
          <w:rFonts w:asciiTheme="minorHAnsi" w:hAnsiTheme="minorHAnsi"/>
        </w:rPr>
        <w:t xml:space="preserve"> seems to have been </w:t>
      </w:r>
      <w:r w:rsidR="00DF0E8B" w:rsidRPr="000A66A1">
        <w:rPr>
          <w:rFonts w:asciiTheme="minorHAnsi" w:hAnsiTheme="minorHAnsi"/>
        </w:rPr>
        <w:t xml:space="preserve">a </w:t>
      </w:r>
      <w:r w:rsidR="00766485" w:rsidRPr="000A66A1">
        <w:rPr>
          <w:rFonts w:asciiTheme="minorHAnsi" w:hAnsiTheme="minorHAnsi"/>
        </w:rPr>
        <w:t>decreasing</w:t>
      </w:r>
      <w:r w:rsidR="00DF0E8B" w:rsidRPr="000A66A1">
        <w:rPr>
          <w:rFonts w:asciiTheme="minorHAnsi" w:hAnsiTheme="minorHAnsi"/>
        </w:rPr>
        <w:t xml:space="preserve"> number</w:t>
      </w:r>
      <w:r w:rsidR="00766485" w:rsidRPr="000A66A1">
        <w:rPr>
          <w:rFonts w:asciiTheme="minorHAnsi" w:hAnsiTheme="minorHAnsi"/>
        </w:rPr>
        <w:t xml:space="preserve"> over the last ten years</w:t>
      </w:r>
      <w:r w:rsidRPr="000A66A1">
        <w:rPr>
          <w:rFonts w:asciiTheme="minorHAnsi" w:hAnsiTheme="minorHAnsi"/>
        </w:rPr>
        <w:t xml:space="preserve">. </w:t>
      </w:r>
      <w:r w:rsidR="00766485" w:rsidRPr="000A66A1">
        <w:rPr>
          <w:rFonts w:asciiTheme="minorHAnsi" w:hAnsiTheme="minorHAnsi"/>
        </w:rPr>
        <w:t xml:space="preserve"> </w:t>
      </w:r>
      <w:r w:rsidRPr="000A66A1">
        <w:rPr>
          <w:rFonts w:asciiTheme="minorHAnsi" w:hAnsiTheme="minorHAnsi"/>
        </w:rPr>
        <w:t>V</w:t>
      </w:r>
      <w:r w:rsidR="00766485" w:rsidRPr="000A66A1">
        <w:rPr>
          <w:rFonts w:asciiTheme="minorHAnsi" w:hAnsiTheme="minorHAnsi"/>
        </w:rPr>
        <w:t>iolent incidents in general</w:t>
      </w:r>
      <w:r w:rsidRPr="000A66A1">
        <w:rPr>
          <w:rFonts w:asciiTheme="minorHAnsi" w:hAnsiTheme="minorHAnsi"/>
        </w:rPr>
        <w:t xml:space="preserve"> have also decreased suggesting</w:t>
      </w:r>
      <w:r w:rsidR="00766485" w:rsidRPr="000A66A1">
        <w:rPr>
          <w:rFonts w:asciiTheme="minorHAnsi" w:hAnsiTheme="minorHAnsi"/>
        </w:rPr>
        <w:t xml:space="preserve"> the proportion has remained similar. Between </w:t>
      </w:r>
      <w:r w:rsidR="00903FEE" w:rsidRPr="000A66A1">
        <w:rPr>
          <w:rFonts w:asciiTheme="minorHAnsi" w:hAnsiTheme="minorHAnsi"/>
        </w:rPr>
        <w:t xml:space="preserve">April 2005 and </w:t>
      </w:r>
      <w:r w:rsidR="00FC2569" w:rsidRPr="000A66A1">
        <w:rPr>
          <w:rFonts w:asciiTheme="minorHAnsi" w:hAnsiTheme="minorHAnsi"/>
        </w:rPr>
        <w:t>March 2015,</w:t>
      </w:r>
      <w:r w:rsidR="00903FEE" w:rsidRPr="000A66A1">
        <w:rPr>
          <w:rFonts w:asciiTheme="minorHAnsi" w:hAnsiTheme="minorHAnsi"/>
        </w:rPr>
        <w:t xml:space="preserve"> the figures fluxuated, but the proportion remained between 45% and 55%.</w:t>
      </w:r>
      <w:r w:rsidRPr="000A66A1">
        <w:rPr>
          <w:rStyle w:val="FootnoteReference"/>
          <w:rFonts w:asciiTheme="minorHAnsi" w:hAnsiTheme="minorHAnsi"/>
        </w:rPr>
        <w:footnoteReference w:id="5"/>
      </w:r>
      <w:r w:rsidR="00903FEE" w:rsidRPr="000A66A1">
        <w:rPr>
          <w:rFonts w:asciiTheme="minorHAnsi" w:hAnsiTheme="minorHAnsi"/>
        </w:rPr>
        <w:t xml:space="preserve"> In the 2013/14 Survey</w:t>
      </w:r>
      <w:r w:rsidRPr="000A66A1">
        <w:rPr>
          <w:rStyle w:val="FootnoteReference"/>
          <w:rFonts w:asciiTheme="minorHAnsi" w:hAnsiTheme="minorHAnsi"/>
        </w:rPr>
        <w:footnoteReference w:id="6"/>
      </w:r>
      <w:r w:rsidR="00903FEE" w:rsidRPr="000A66A1">
        <w:rPr>
          <w:rFonts w:asciiTheme="minorHAnsi" w:hAnsiTheme="minorHAnsi"/>
        </w:rPr>
        <w:t xml:space="preserve">, in 54% of alcohol-related violent incidents the offender was aged </w:t>
      </w:r>
      <w:r w:rsidR="00903FEE" w:rsidRPr="000A66A1">
        <w:rPr>
          <w:rFonts w:asciiTheme="minorHAnsi" w:hAnsiTheme="minorHAnsi"/>
        </w:rPr>
        <w:lastRenderedPageBreak/>
        <w:t>between 16 and 24</w:t>
      </w:r>
      <w:r w:rsidRPr="000A66A1">
        <w:rPr>
          <w:rFonts w:asciiTheme="minorHAnsi" w:hAnsiTheme="minorHAnsi"/>
        </w:rPr>
        <w:t xml:space="preserve"> years old</w:t>
      </w:r>
      <w:r w:rsidR="00903FEE" w:rsidRPr="000A66A1">
        <w:rPr>
          <w:rFonts w:asciiTheme="minorHAnsi" w:hAnsiTheme="minorHAnsi"/>
        </w:rPr>
        <w:t>. In 42% of incidents, the offender was between 25 and 39</w:t>
      </w:r>
      <w:r w:rsidRPr="000A66A1">
        <w:rPr>
          <w:rFonts w:asciiTheme="minorHAnsi" w:hAnsiTheme="minorHAnsi"/>
        </w:rPr>
        <w:t xml:space="preserve"> years old</w:t>
      </w:r>
      <w:r w:rsidR="00903FEE" w:rsidRPr="000A66A1">
        <w:rPr>
          <w:rFonts w:asciiTheme="minorHAnsi" w:hAnsiTheme="minorHAnsi"/>
        </w:rPr>
        <w:t>.</w:t>
      </w:r>
      <w:r w:rsidR="00903FEE" w:rsidRPr="000A66A1">
        <w:rPr>
          <w:rStyle w:val="FootnoteReference"/>
          <w:rFonts w:asciiTheme="minorHAnsi" w:hAnsiTheme="minorHAnsi"/>
        </w:rPr>
        <w:footnoteReference w:id="7"/>
      </w:r>
      <w:r w:rsidR="00903FEE" w:rsidRPr="000A66A1">
        <w:rPr>
          <w:rFonts w:asciiTheme="minorHAnsi" w:hAnsiTheme="minorHAnsi"/>
        </w:rPr>
        <w:t xml:space="preserve"> This not only shows </w:t>
      </w:r>
      <w:r w:rsidR="003C388A" w:rsidRPr="000A66A1">
        <w:rPr>
          <w:rFonts w:asciiTheme="minorHAnsi" w:hAnsiTheme="minorHAnsi"/>
        </w:rPr>
        <w:t xml:space="preserve">how </w:t>
      </w:r>
      <w:r w:rsidR="00903FEE" w:rsidRPr="000A66A1">
        <w:rPr>
          <w:rFonts w:asciiTheme="minorHAnsi" w:hAnsiTheme="minorHAnsi"/>
        </w:rPr>
        <w:t xml:space="preserve">commonplace offences involving intoxication </w:t>
      </w:r>
      <w:r w:rsidR="00A206E7" w:rsidRPr="000A66A1">
        <w:rPr>
          <w:rFonts w:asciiTheme="minorHAnsi" w:hAnsiTheme="minorHAnsi"/>
        </w:rPr>
        <w:t>are,</w:t>
      </w:r>
      <w:r w:rsidRPr="000A66A1">
        <w:rPr>
          <w:rFonts w:asciiTheme="minorHAnsi" w:hAnsiTheme="minorHAnsi"/>
        </w:rPr>
        <w:t xml:space="preserve"> but it </w:t>
      </w:r>
      <w:r w:rsidR="00903FEE" w:rsidRPr="000A66A1">
        <w:rPr>
          <w:rFonts w:asciiTheme="minorHAnsi" w:hAnsiTheme="minorHAnsi"/>
        </w:rPr>
        <w:t xml:space="preserve">presents the </w:t>
      </w:r>
      <w:r w:rsidR="003C388A" w:rsidRPr="000A66A1">
        <w:rPr>
          <w:rFonts w:asciiTheme="minorHAnsi" w:hAnsiTheme="minorHAnsi"/>
        </w:rPr>
        <w:t>matter</w:t>
      </w:r>
      <w:r w:rsidR="00903FEE" w:rsidRPr="000A66A1">
        <w:rPr>
          <w:rFonts w:asciiTheme="minorHAnsi" w:hAnsiTheme="minorHAnsi"/>
        </w:rPr>
        <w:t xml:space="preserve"> that it is </w:t>
      </w:r>
      <w:r w:rsidR="00BF2A06" w:rsidRPr="000A66A1">
        <w:rPr>
          <w:rFonts w:asciiTheme="minorHAnsi" w:hAnsiTheme="minorHAnsi"/>
        </w:rPr>
        <w:t>an issue for the younger generation.</w:t>
      </w:r>
      <w:r w:rsidR="00FC2569" w:rsidRPr="000A66A1">
        <w:rPr>
          <w:rFonts w:asciiTheme="minorHAnsi" w:hAnsiTheme="minorHAnsi"/>
        </w:rPr>
        <w:t xml:space="preserve"> This provides further evidence as to the importance of an appropriate body of law surrounding offences involving intoxication.</w:t>
      </w:r>
    </w:p>
    <w:p w14:paraId="345137C4" w14:textId="77777777" w:rsidR="00BF2A06" w:rsidRPr="000A66A1" w:rsidRDefault="00BF2A06" w:rsidP="000A66A1">
      <w:pPr>
        <w:spacing w:line="360" w:lineRule="auto"/>
        <w:jc w:val="both"/>
        <w:rPr>
          <w:rFonts w:asciiTheme="minorHAnsi" w:hAnsiTheme="minorHAnsi"/>
        </w:rPr>
      </w:pPr>
    </w:p>
    <w:p w14:paraId="2AD53278" w14:textId="7404FE98" w:rsidR="00BF2A06" w:rsidRPr="000A66A1" w:rsidRDefault="00BF2A06" w:rsidP="000A66A1">
      <w:pPr>
        <w:spacing w:line="360" w:lineRule="auto"/>
        <w:jc w:val="both"/>
        <w:rPr>
          <w:rFonts w:asciiTheme="minorHAnsi" w:hAnsiTheme="minorHAnsi"/>
        </w:rPr>
      </w:pPr>
      <w:r w:rsidRPr="000A66A1">
        <w:rPr>
          <w:rFonts w:asciiTheme="minorHAnsi" w:hAnsiTheme="minorHAnsi"/>
        </w:rPr>
        <w:t>The</w:t>
      </w:r>
      <w:r w:rsidR="001E25CA" w:rsidRPr="000A66A1">
        <w:rPr>
          <w:rFonts w:asciiTheme="minorHAnsi" w:hAnsiTheme="minorHAnsi"/>
        </w:rPr>
        <w:t>se</w:t>
      </w:r>
      <w:r w:rsidRPr="000A66A1">
        <w:rPr>
          <w:rFonts w:asciiTheme="minorHAnsi" w:hAnsiTheme="minorHAnsi"/>
        </w:rPr>
        <w:t xml:space="preserve"> statistics </w:t>
      </w:r>
      <w:r w:rsidR="00F75F7F" w:rsidRPr="000A66A1">
        <w:rPr>
          <w:rFonts w:asciiTheme="minorHAnsi" w:hAnsiTheme="minorHAnsi"/>
        </w:rPr>
        <w:t>demonstrate</w:t>
      </w:r>
      <w:r w:rsidRPr="000A66A1">
        <w:rPr>
          <w:rFonts w:asciiTheme="minorHAnsi" w:hAnsiTheme="minorHAnsi"/>
        </w:rPr>
        <w:t xml:space="preserve"> </w:t>
      </w:r>
      <w:r w:rsidR="00F75F7F" w:rsidRPr="000A66A1">
        <w:rPr>
          <w:rFonts w:asciiTheme="minorHAnsi" w:hAnsiTheme="minorHAnsi"/>
        </w:rPr>
        <w:t xml:space="preserve">the relevance of intoxication </w:t>
      </w:r>
      <w:r w:rsidR="001E25CA" w:rsidRPr="000A66A1">
        <w:rPr>
          <w:rFonts w:asciiTheme="minorHAnsi" w:hAnsiTheme="minorHAnsi"/>
        </w:rPr>
        <w:t xml:space="preserve">in relation to </w:t>
      </w:r>
      <w:r w:rsidR="004857DB" w:rsidRPr="000A66A1">
        <w:rPr>
          <w:rFonts w:asciiTheme="minorHAnsi" w:hAnsiTheme="minorHAnsi"/>
        </w:rPr>
        <w:t>the L</w:t>
      </w:r>
      <w:r w:rsidR="00F75F7F" w:rsidRPr="000A66A1">
        <w:rPr>
          <w:rFonts w:asciiTheme="minorHAnsi" w:hAnsiTheme="minorHAnsi"/>
        </w:rPr>
        <w:t>aw</w:t>
      </w:r>
      <w:r w:rsidR="004857DB" w:rsidRPr="000A66A1">
        <w:rPr>
          <w:rFonts w:asciiTheme="minorHAnsi" w:hAnsiTheme="minorHAnsi"/>
        </w:rPr>
        <w:t>. It further</w:t>
      </w:r>
      <w:r w:rsidR="00947AA3" w:rsidRPr="000A66A1">
        <w:rPr>
          <w:rFonts w:asciiTheme="minorHAnsi" w:hAnsiTheme="minorHAnsi"/>
        </w:rPr>
        <w:t xml:space="preserve"> </w:t>
      </w:r>
      <w:r w:rsidR="00F75F7F" w:rsidRPr="000A66A1">
        <w:rPr>
          <w:rFonts w:asciiTheme="minorHAnsi" w:hAnsiTheme="minorHAnsi"/>
        </w:rPr>
        <w:t>extend</w:t>
      </w:r>
      <w:r w:rsidR="004857DB" w:rsidRPr="000A66A1">
        <w:rPr>
          <w:rFonts w:asciiTheme="minorHAnsi" w:hAnsiTheme="minorHAnsi"/>
        </w:rPr>
        <w:t>s</w:t>
      </w:r>
      <w:r w:rsidR="00F75F7F" w:rsidRPr="000A66A1">
        <w:rPr>
          <w:rFonts w:asciiTheme="minorHAnsi" w:hAnsiTheme="minorHAnsi"/>
        </w:rPr>
        <w:t xml:space="preserve"> to the cost of crimes committed under the influence. In the UK, alcohol-related crime</w:t>
      </w:r>
      <w:r w:rsidR="00947AA3" w:rsidRPr="000A66A1">
        <w:rPr>
          <w:rFonts w:asciiTheme="minorHAnsi" w:hAnsiTheme="minorHAnsi"/>
        </w:rPr>
        <w:t xml:space="preserve"> costs between £8 billion and £13 billion</w:t>
      </w:r>
      <w:r w:rsidR="004857DB" w:rsidRPr="000A66A1">
        <w:rPr>
          <w:rStyle w:val="FootnoteReference"/>
          <w:rFonts w:asciiTheme="minorHAnsi" w:hAnsiTheme="minorHAnsi"/>
        </w:rPr>
        <w:footnoteReference w:id="8"/>
      </w:r>
      <w:r w:rsidR="00947AA3" w:rsidRPr="000A66A1">
        <w:rPr>
          <w:rFonts w:asciiTheme="minorHAnsi" w:hAnsiTheme="minorHAnsi"/>
        </w:rPr>
        <w:t xml:space="preserve">. </w:t>
      </w:r>
      <w:r w:rsidR="00FC2569" w:rsidRPr="000A66A1">
        <w:rPr>
          <w:rFonts w:asciiTheme="minorHAnsi" w:hAnsiTheme="minorHAnsi"/>
        </w:rPr>
        <w:t>This highlights</w:t>
      </w:r>
      <w:r w:rsidR="00F75F7F" w:rsidRPr="000A66A1">
        <w:rPr>
          <w:rFonts w:asciiTheme="minorHAnsi" w:hAnsiTheme="minorHAnsi"/>
        </w:rPr>
        <w:t xml:space="preserve"> </w:t>
      </w:r>
      <w:r w:rsidR="004857DB" w:rsidRPr="000A66A1">
        <w:rPr>
          <w:rFonts w:asciiTheme="minorHAnsi" w:hAnsiTheme="minorHAnsi"/>
        </w:rPr>
        <w:t>the importance of</w:t>
      </w:r>
      <w:r w:rsidR="00F75F7F" w:rsidRPr="000A66A1">
        <w:rPr>
          <w:rFonts w:asciiTheme="minorHAnsi" w:hAnsiTheme="minorHAnsi"/>
        </w:rPr>
        <w:t xml:space="preserve"> the law relating to intoxication </w:t>
      </w:r>
      <w:r w:rsidR="004857DB" w:rsidRPr="000A66A1">
        <w:rPr>
          <w:rFonts w:asciiTheme="minorHAnsi" w:hAnsiTheme="minorHAnsi"/>
        </w:rPr>
        <w:t xml:space="preserve">in order </w:t>
      </w:r>
      <w:r w:rsidR="00F75F7F" w:rsidRPr="000A66A1">
        <w:rPr>
          <w:rFonts w:asciiTheme="minorHAnsi" w:hAnsiTheme="minorHAnsi"/>
        </w:rPr>
        <w:t>to be</w:t>
      </w:r>
      <w:r w:rsidR="00775D17" w:rsidRPr="000A66A1">
        <w:rPr>
          <w:rFonts w:asciiTheme="minorHAnsi" w:hAnsiTheme="minorHAnsi"/>
        </w:rPr>
        <w:t xml:space="preserve"> fai</w:t>
      </w:r>
      <w:r w:rsidR="003C388A" w:rsidRPr="000A66A1">
        <w:rPr>
          <w:rFonts w:asciiTheme="minorHAnsi" w:hAnsiTheme="minorHAnsi"/>
        </w:rPr>
        <w:t xml:space="preserve">r </w:t>
      </w:r>
      <w:r w:rsidR="004857DB" w:rsidRPr="000A66A1">
        <w:rPr>
          <w:rFonts w:asciiTheme="minorHAnsi" w:hAnsiTheme="minorHAnsi"/>
        </w:rPr>
        <w:t xml:space="preserve">and just </w:t>
      </w:r>
      <w:r w:rsidR="003C388A" w:rsidRPr="000A66A1">
        <w:rPr>
          <w:rFonts w:asciiTheme="minorHAnsi" w:hAnsiTheme="minorHAnsi"/>
        </w:rPr>
        <w:t xml:space="preserve">for </w:t>
      </w:r>
      <w:r w:rsidR="002531FE" w:rsidRPr="000A66A1">
        <w:rPr>
          <w:rFonts w:asciiTheme="minorHAnsi" w:hAnsiTheme="minorHAnsi"/>
        </w:rPr>
        <w:t>defendants</w:t>
      </w:r>
      <w:r w:rsidR="003C388A" w:rsidRPr="000A66A1">
        <w:rPr>
          <w:rFonts w:asciiTheme="minorHAnsi" w:hAnsiTheme="minorHAnsi"/>
        </w:rPr>
        <w:t xml:space="preserve"> as well as </w:t>
      </w:r>
      <w:r w:rsidR="00775D17" w:rsidRPr="000A66A1">
        <w:rPr>
          <w:rFonts w:asciiTheme="minorHAnsi" w:hAnsiTheme="minorHAnsi"/>
        </w:rPr>
        <w:t>for the victims.</w:t>
      </w:r>
    </w:p>
    <w:p w14:paraId="7FCB6626" w14:textId="77777777" w:rsidR="00775D17" w:rsidRPr="000A66A1" w:rsidRDefault="00775D17" w:rsidP="000A66A1">
      <w:pPr>
        <w:spacing w:line="360" w:lineRule="auto"/>
        <w:jc w:val="both"/>
        <w:rPr>
          <w:rFonts w:asciiTheme="minorHAnsi" w:hAnsiTheme="minorHAnsi"/>
        </w:rPr>
      </w:pPr>
    </w:p>
    <w:p w14:paraId="40E1B6E8" w14:textId="0A188997" w:rsidR="00CA23C7" w:rsidRPr="000A66A1" w:rsidRDefault="00775D17" w:rsidP="000A66A1">
      <w:pPr>
        <w:spacing w:line="360" w:lineRule="auto"/>
        <w:jc w:val="both"/>
        <w:rPr>
          <w:rFonts w:asciiTheme="minorHAnsi" w:hAnsiTheme="minorHAnsi"/>
        </w:rPr>
      </w:pPr>
      <w:r w:rsidRPr="000A66A1">
        <w:rPr>
          <w:rFonts w:asciiTheme="minorHAnsi" w:hAnsiTheme="minorHAnsi"/>
        </w:rPr>
        <w:t>In most cases, law involving intoxication centres around the assumption that the intoxication is self-induced or voluntary</w:t>
      </w:r>
      <w:r w:rsidR="004857DB" w:rsidRPr="000A66A1">
        <w:rPr>
          <w:rStyle w:val="FootnoteReference"/>
          <w:rFonts w:asciiTheme="minorHAnsi" w:hAnsiTheme="minorHAnsi"/>
        </w:rPr>
        <w:footnoteReference w:id="9"/>
      </w:r>
      <w:r w:rsidRPr="000A66A1">
        <w:rPr>
          <w:rFonts w:asciiTheme="minorHAnsi" w:hAnsiTheme="minorHAnsi"/>
        </w:rPr>
        <w:t>.</w:t>
      </w:r>
      <w:r w:rsidR="00BC0E80" w:rsidRPr="000A66A1">
        <w:rPr>
          <w:rFonts w:asciiTheme="minorHAnsi" w:hAnsiTheme="minorHAnsi"/>
        </w:rPr>
        <w:t xml:space="preserve"> </w:t>
      </w:r>
      <w:r w:rsidR="003C388A" w:rsidRPr="000A66A1">
        <w:rPr>
          <w:rFonts w:asciiTheme="minorHAnsi" w:hAnsiTheme="minorHAnsi"/>
        </w:rPr>
        <w:t xml:space="preserve">Intoxication is often labelled as a </w:t>
      </w:r>
      <w:r w:rsidRPr="000A66A1">
        <w:rPr>
          <w:rFonts w:asciiTheme="minorHAnsi" w:hAnsiTheme="minorHAnsi"/>
        </w:rPr>
        <w:t>defence</w:t>
      </w:r>
      <w:r w:rsidR="004857DB" w:rsidRPr="000A66A1">
        <w:rPr>
          <w:rStyle w:val="FootnoteReference"/>
          <w:rFonts w:asciiTheme="minorHAnsi" w:hAnsiTheme="minorHAnsi"/>
        </w:rPr>
        <w:footnoteReference w:id="10"/>
      </w:r>
      <w:r w:rsidR="002531FE" w:rsidRPr="000A66A1">
        <w:rPr>
          <w:rFonts w:asciiTheme="minorHAnsi" w:hAnsiTheme="minorHAnsi"/>
        </w:rPr>
        <w:t>, h</w:t>
      </w:r>
      <w:r w:rsidRPr="000A66A1">
        <w:rPr>
          <w:rFonts w:asciiTheme="minorHAnsi" w:hAnsiTheme="minorHAnsi"/>
        </w:rPr>
        <w:t>owever</w:t>
      </w:r>
      <w:r w:rsidR="004857DB" w:rsidRPr="000A66A1">
        <w:rPr>
          <w:rFonts w:asciiTheme="minorHAnsi" w:hAnsiTheme="minorHAnsi"/>
        </w:rPr>
        <w:t>,</w:t>
      </w:r>
      <w:r w:rsidRPr="000A66A1">
        <w:rPr>
          <w:rFonts w:asciiTheme="minorHAnsi" w:hAnsiTheme="minorHAnsi"/>
        </w:rPr>
        <w:t xml:space="preserve"> that description tends to divide academics</w:t>
      </w:r>
      <w:r w:rsidR="004857DB" w:rsidRPr="000A66A1">
        <w:rPr>
          <w:rStyle w:val="FootnoteReference"/>
          <w:rFonts w:asciiTheme="minorHAnsi" w:hAnsiTheme="minorHAnsi"/>
        </w:rPr>
        <w:footnoteReference w:id="11"/>
      </w:r>
      <w:r w:rsidRPr="000A66A1">
        <w:rPr>
          <w:rFonts w:asciiTheme="minorHAnsi" w:hAnsiTheme="minorHAnsi"/>
        </w:rPr>
        <w:t>. Technically, there is no ‘intoxication defence</w:t>
      </w:r>
      <w:r w:rsidR="00566179" w:rsidRPr="000A66A1">
        <w:rPr>
          <w:rFonts w:asciiTheme="minorHAnsi" w:hAnsiTheme="minorHAnsi"/>
        </w:rPr>
        <w:t xml:space="preserve">’ that </w:t>
      </w:r>
      <w:r w:rsidR="004857DB" w:rsidRPr="000A66A1">
        <w:rPr>
          <w:rFonts w:asciiTheme="minorHAnsi" w:hAnsiTheme="minorHAnsi"/>
        </w:rPr>
        <w:t xml:space="preserve">an individual </w:t>
      </w:r>
      <w:r w:rsidR="00566179" w:rsidRPr="000A66A1">
        <w:rPr>
          <w:rFonts w:asciiTheme="minorHAnsi" w:hAnsiTheme="minorHAnsi"/>
        </w:rPr>
        <w:t xml:space="preserve">can rely on, </w:t>
      </w:r>
      <w:r w:rsidRPr="000A66A1">
        <w:rPr>
          <w:rFonts w:asciiTheme="minorHAnsi" w:hAnsiTheme="minorHAnsi"/>
        </w:rPr>
        <w:t>within either common law or statute</w:t>
      </w:r>
      <w:r w:rsidR="004857DB" w:rsidRPr="000A66A1">
        <w:rPr>
          <w:rFonts w:asciiTheme="minorHAnsi" w:hAnsiTheme="minorHAnsi"/>
        </w:rPr>
        <w:t>. R</w:t>
      </w:r>
      <w:r w:rsidR="000D3320" w:rsidRPr="000A66A1">
        <w:rPr>
          <w:rFonts w:asciiTheme="minorHAnsi" w:hAnsiTheme="minorHAnsi"/>
        </w:rPr>
        <w:t>ather</w:t>
      </w:r>
      <w:r w:rsidR="00854B08" w:rsidRPr="000A66A1">
        <w:rPr>
          <w:rFonts w:asciiTheme="minorHAnsi" w:hAnsiTheme="minorHAnsi"/>
        </w:rPr>
        <w:t>,</w:t>
      </w:r>
      <w:r w:rsidR="000D3320" w:rsidRPr="000A66A1">
        <w:rPr>
          <w:rFonts w:asciiTheme="minorHAnsi" w:hAnsiTheme="minorHAnsi"/>
        </w:rPr>
        <w:t xml:space="preserve"> that the presence of intoxication can make it harder for someone to be prosecuted</w:t>
      </w:r>
      <w:r w:rsidRPr="000A66A1">
        <w:rPr>
          <w:rStyle w:val="FootnoteReference"/>
          <w:rFonts w:asciiTheme="minorHAnsi" w:hAnsiTheme="minorHAnsi"/>
        </w:rPr>
        <w:footnoteReference w:id="12"/>
      </w:r>
      <w:r w:rsidR="002531FE" w:rsidRPr="000A66A1">
        <w:rPr>
          <w:rFonts w:asciiTheme="minorHAnsi" w:hAnsiTheme="minorHAnsi"/>
        </w:rPr>
        <w:t xml:space="preserve">, </w:t>
      </w:r>
      <w:r w:rsidR="00854B08" w:rsidRPr="000A66A1">
        <w:rPr>
          <w:rFonts w:asciiTheme="minorHAnsi" w:hAnsiTheme="minorHAnsi"/>
        </w:rPr>
        <w:t>and to this extent it resembles</w:t>
      </w:r>
      <w:r w:rsidR="002531FE" w:rsidRPr="000A66A1">
        <w:rPr>
          <w:rFonts w:asciiTheme="minorHAnsi" w:hAnsiTheme="minorHAnsi"/>
        </w:rPr>
        <w:t xml:space="preserve"> a defence</w:t>
      </w:r>
      <w:r w:rsidR="007E5323" w:rsidRPr="000A66A1">
        <w:rPr>
          <w:rFonts w:asciiTheme="minorHAnsi" w:hAnsiTheme="minorHAnsi"/>
        </w:rPr>
        <w:t>.</w:t>
      </w:r>
    </w:p>
    <w:p w14:paraId="6854265E" w14:textId="77777777" w:rsidR="00CA23C7" w:rsidRPr="000A66A1" w:rsidRDefault="00CA23C7" w:rsidP="000A66A1">
      <w:pPr>
        <w:spacing w:line="360" w:lineRule="auto"/>
        <w:jc w:val="both"/>
        <w:rPr>
          <w:rFonts w:asciiTheme="minorHAnsi" w:hAnsiTheme="minorHAnsi"/>
        </w:rPr>
      </w:pPr>
    </w:p>
    <w:p w14:paraId="1DEC711B" w14:textId="74FB18A1" w:rsidR="00CA23C7" w:rsidRPr="000A66A1" w:rsidRDefault="00CA23C7" w:rsidP="000A66A1">
      <w:pPr>
        <w:spacing w:line="360" w:lineRule="auto"/>
        <w:jc w:val="both"/>
        <w:rPr>
          <w:rFonts w:asciiTheme="minorHAnsi" w:hAnsiTheme="minorHAnsi"/>
        </w:rPr>
      </w:pPr>
      <w:r w:rsidRPr="000A66A1">
        <w:rPr>
          <w:rFonts w:asciiTheme="minorHAnsi" w:hAnsiTheme="minorHAnsi"/>
        </w:rPr>
        <w:t>The underlying principles of criminal law dictate that there ha</w:t>
      </w:r>
      <w:r w:rsidR="00857EB7" w:rsidRPr="000A66A1">
        <w:rPr>
          <w:rFonts w:asciiTheme="minorHAnsi" w:hAnsiTheme="minorHAnsi"/>
        </w:rPr>
        <w:t>s</w:t>
      </w:r>
      <w:r w:rsidRPr="000A66A1">
        <w:rPr>
          <w:rFonts w:asciiTheme="minorHAnsi" w:hAnsiTheme="minorHAnsi"/>
        </w:rPr>
        <w:t xml:space="preserve"> to be an actus reus and a mens rea, and that both elements must be proved by the prosecution beyond reasonable doubt in order f</w:t>
      </w:r>
      <w:r w:rsidR="000D3320" w:rsidRPr="000A66A1">
        <w:rPr>
          <w:rFonts w:asciiTheme="minorHAnsi" w:hAnsiTheme="minorHAnsi"/>
        </w:rPr>
        <w:t>or someone</w:t>
      </w:r>
      <w:r w:rsidRPr="000A66A1">
        <w:rPr>
          <w:rFonts w:asciiTheme="minorHAnsi" w:hAnsiTheme="minorHAnsi"/>
        </w:rPr>
        <w:t xml:space="preserve"> to be found guilty</w:t>
      </w:r>
      <w:r w:rsidR="004857DB" w:rsidRPr="000A66A1">
        <w:rPr>
          <w:rStyle w:val="FootnoteReference"/>
          <w:rFonts w:asciiTheme="minorHAnsi" w:hAnsiTheme="minorHAnsi"/>
        </w:rPr>
        <w:footnoteReference w:id="13"/>
      </w:r>
      <w:r w:rsidRPr="000A66A1">
        <w:rPr>
          <w:rFonts w:asciiTheme="minorHAnsi" w:hAnsiTheme="minorHAnsi"/>
        </w:rPr>
        <w:t>. In order for a person (D) to be liable for any criminal offence, D must firstly commit the external element of that offence</w:t>
      </w:r>
      <w:r w:rsidR="000D3320" w:rsidRPr="000A66A1">
        <w:rPr>
          <w:rFonts w:asciiTheme="minorHAnsi" w:hAnsiTheme="minorHAnsi"/>
        </w:rPr>
        <w:t xml:space="preserve">, </w:t>
      </w:r>
      <w:r w:rsidRPr="000A66A1">
        <w:rPr>
          <w:rFonts w:asciiTheme="minorHAnsi" w:hAnsiTheme="minorHAnsi"/>
        </w:rPr>
        <w:t>called the actus reus</w:t>
      </w:r>
      <w:r w:rsidR="004857DB" w:rsidRPr="000A66A1">
        <w:rPr>
          <w:rStyle w:val="FootnoteReference"/>
          <w:rFonts w:asciiTheme="minorHAnsi" w:hAnsiTheme="minorHAnsi"/>
        </w:rPr>
        <w:footnoteReference w:id="14"/>
      </w:r>
      <w:r w:rsidRPr="000A66A1">
        <w:rPr>
          <w:rFonts w:asciiTheme="minorHAnsi" w:hAnsiTheme="minorHAnsi"/>
        </w:rPr>
        <w:t>. This can include an act or potentially the failure to act</w:t>
      </w:r>
      <w:r w:rsidR="004857DB" w:rsidRPr="000A66A1">
        <w:rPr>
          <w:rStyle w:val="FootnoteReference"/>
          <w:rFonts w:asciiTheme="minorHAnsi" w:hAnsiTheme="minorHAnsi"/>
        </w:rPr>
        <w:footnoteReference w:id="15"/>
      </w:r>
      <w:r w:rsidRPr="000A66A1">
        <w:rPr>
          <w:rFonts w:asciiTheme="minorHAnsi" w:hAnsiTheme="minorHAnsi"/>
        </w:rPr>
        <w:t xml:space="preserve">. In the case of </w:t>
      </w:r>
      <w:r w:rsidR="000D3320" w:rsidRPr="000A66A1">
        <w:rPr>
          <w:rFonts w:asciiTheme="minorHAnsi" w:hAnsiTheme="minorHAnsi"/>
        </w:rPr>
        <w:t xml:space="preserve">a </w:t>
      </w:r>
      <w:r w:rsidRPr="000A66A1">
        <w:rPr>
          <w:rFonts w:asciiTheme="minorHAnsi" w:hAnsiTheme="minorHAnsi"/>
        </w:rPr>
        <w:t>battery</w:t>
      </w:r>
      <w:r w:rsidRPr="000A66A1">
        <w:rPr>
          <w:rStyle w:val="FootnoteReference"/>
          <w:rFonts w:asciiTheme="minorHAnsi" w:hAnsiTheme="minorHAnsi"/>
        </w:rPr>
        <w:footnoteReference w:id="16"/>
      </w:r>
      <w:r w:rsidRPr="000A66A1">
        <w:rPr>
          <w:rFonts w:asciiTheme="minorHAnsi" w:hAnsiTheme="minorHAnsi"/>
        </w:rPr>
        <w:t xml:space="preserve">, this </w:t>
      </w:r>
      <w:r w:rsidR="000D3320" w:rsidRPr="000A66A1">
        <w:rPr>
          <w:rFonts w:asciiTheme="minorHAnsi" w:hAnsiTheme="minorHAnsi"/>
        </w:rPr>
        <w:t>c</w:t>
      </w:r>
      <w:r w:rsidRPr="000A66A1">
        <w:rPr>
          <w:rFonts w:asciiTheme="minorHAnsi" w:hAnsiTheme="minorHAnsi"/>
        </w:rPr>
        <w:t xml:space="preserve">ould possibly include </w:t>
      </w:r>
      <w:r w:rsidRPr="000A66A1">
        <w:rPr>
          <w:rFonts w:asciiTheme="minorHAnsi" w:hAnsiTheme="minorHAnsi"/>
        </w:rPr>
        <w:lastRenderedPageBreak/>
        <w:t>D punching another (V). The external element of this crime would be the physical act of punching. In th</w:t>
      </w:r>
      <w:r w:rsidR="000D3320" w:rsidRPr="000A66A1">
        <w:rPr>
          <w:rFonts w:asciiTheme="minorHAnsi" w:hAnsiTheme="minorHAnsi"/>
        </w:rPr>
        <w:t>e</w:t>
      </w:r>
      <w:r w:rsidRPr="000A66A1">
        <w:rPr>
          <w:rFonts w:asciiTheme="minorHAnsi" w:hAnsiTheme="minorHAnsi"/>
        </w:rPr>
        <w:t xml:space="preserve"> case of </w:t>
      </w:r>
      <w:r w:rsidR="000D3320" w:rsidRPr="000A66A1">
        <w:rPr>
          <w:rFonts w:asciiTheme="minorHAnsi" w:hAnsiTheme="minorHAnsi"/>
        </w:rPr>
        <w:t xml:space="preserve">a </w:t>
      </w:r>
      <w:r w:rsidRPr="000A66A1">
        <w:rPr>
          <w:rFonts w:asciiTheme="minorHAnsi" w:hAnsiTheme="minorHAnsi"/>
        </w:rPr>
        <w:t>murder</w:t>
      </w:r>
      <w:r w:rsidRPr="000A66A1">
        <w:rPr>
          <w:rStyle w:val="FootnoteReference"/>
          <w:rFonts w:asciiTheme="minorHAnsi" w:hAnsiTheme="minorHAnsi"/>
        </w:rPr>
        <w:footnoteReference w:id="17"/>
      </w:r>
      <w:r w:rsidRPr="000A66A1">
        <w:rPr>
          <w:rFonts w:asciiTheme="minorHAnsi" w:hAnsiTheme="minorHAnsi"/>
        </w:rPr>
        <w:t xml:space="preserve">, if D were to fatally stab V, the external element of this crime would be the physical act of stabbing V. In the case of </w:t>
      </w:r>
      <w:r w:rsidR="001C3CA7" w:rsidRPr="000A66A1">
        <w:rPr>
          <w:rFonts w:asciiTheme="minorHAnsi" w:hAnsiTheme="minorHAnsi"/>
        </w:rPr>
        <w:t xml:space="preserve">a </w:t>
      </w:r>
      <w:r w:rsidRPr="000A66A1">
        <w:rPr>
          <w:rFonts w:asciiTheme="minorHAnsi" w:hAnsiTheme="minorHAnsi"/>
        </w:rPr>
        <w:t>theft</w:t>
      </w:r>
      <w:r w:rsidRPr="000A66A1">
        <w:rPr>
          <w:rStyle w:val="FootnoteReference"/>
          <w:rFonts w:asciiTheme="minorHAnsi" w:hAnsiTheme="minorHAnsi"/>
        </w:rPr>
        <w:footnoteReference w:id="18"/>
      </w:r>
      <w:r w:rsidRPr="000A66A1">
        <w:rPr>
          <w:rFonts w:asciiTheme="minorHAnsi" w:hAnsiTheme="minorHAnsi"/>
        </w:rPr>
        <w:t xml:space="preserve">, the external element would be the physical </w:t>
      </w:r>
      <w:r w:rsidR="00BF6C73" w:rsidRPr="000A66A1">
        <w:rPr>
          <w:rFonts w:asciiTheme="minorHAnsi" w:hAnsiTheme="minorHAnsi"/>
        </w:rPr>
        <w:t xml:space="preserve">act of </w:t>
      </w:r>
      <w:r w:rsidRPr="000A66A1">
        <w:rPr>
          <w:rFonts w:asciiTheme="minorHAnsi" w:hAnsiTheme="minorHAnsi"/>
        </w:rPr>
        <w:t>taking an item</w:t>
      </w:r>
      <w:r w:rsidR="000D3320" w:rsidRPr="000A66A1">
        <w:rPr>
          <w:rFonts w:asciiTheme="minorHAnsi" w:hAnsiTheme="minorHAnsi"/>
        </w:rPr>
        <w:t>, for example taking a purse off a table</w:t>
      </w:r>
      <w:r w:rsidRPr="000A66A1">
        <w:rPr>
          <w:rFonts w:asciiTheme="minorHAnsi" w:hAnsiTheme="minorHAnsi"/>
        </w:rPr>
        <w:t xml:space="preserve">. This </w:t>
      </w:r>
      <w:r w:rsidR="003440D1" w:rsidRPr="000A66A1">
        <w:rPr>
          <w:rFonts w:asciiTheme="minorHAnsi" w:hAnsiTheme="minorHAnsi"/>
        </w:rPr>
        <w:t>element of the offence</w:t>
      </w:r>
      <w:r w:rsidRPr="000A66A1">
        <w:rPr>
          <w:rFonts w:asciiTheme="minorHAnsi" w:hAnsiTheme="minorHAnsi"/>
        </w:rPr>
        <w:t xml:space="preserve"> must be present in order to prosecute </w:t>
      </w:r>
      <w:r w:rsidR="003440D1" w:rsidRPr="000A66A1">
        <w:rPr>
          <w:rFonts w:asciiTheme="minorHAnsi" w:hAnsiTheme="minorHAnsi"/>
        </w:rPr>
        <w:t xml:space="preserve">and convict </w:t>
      </w:r>
      <w:r w:rsidRPr="000A66A1">
        <w:rPr>
          <w:rFonts w:asciiTheme="minorHAnsi" w:hAnsiTheme="minorHAnsi"/>
        </w:rPr>
        <w:t>D</w:t>
      </w:r>
      <w:r w:rsidRPr="000A66A1">
        <w:rPr>
          <w:rStyle w:val="FootnoteReference"/>
          <w:rFonts w:asciiTheme="minorHAnsi" w:hAnsiTheme="minorHAnsi"/>
        </w:rPr>
        <w:footnoteReference w:id="19"/>
      </w:r>
      <w:r w:rsidR="007E5323" w:rsidRPr="000A66A1">
        <w:rPr>
          <w:rFonts w:asciiTheme="minorHAnsi" w:hAnsiTheme="minorHAnsi"/>
        </w:rPr>
        <w:t>.</w:t>
      </w:r>
      <w:r w:rsidR="004857DB" w:rsidRPr="000A66A1">
        <w:rPr>
          <w:rFonts w:asciiTheme="minorHAnsi" w:hAnsiTheme="minorHAnsi"/>
        </w:rPr>
        <w:t xml:space="preserve"> </w:t>
      </w:r>
    </w:p>
    <w:p w14:paraId="566623E8" w14:textId="277C4F94" w:rsidR="00CA23C7" w:rsidRPr="000A66A1" w:rsidRDefault="00CA23C7" w:rsidP="000A66A1">
      <w:pPr>
        <w:spacing w:line="360" w:lineRule="auto"/>
        <w:jc w:val="both"/>
        <w:rPr>
          <w:rFonts w:asciiTheme="minorHAnsi" w:hAnsiTheme="minorHAnsi"/>
        </w:rPr>
      </w:pPr>
    </w:p>
    <w:p w14:paraId="6705A180" w14:textId="02E04691" w:rsidR="00CA23C7" w:rsidRPr="000A66A1" w:rsidRDefault="00CA23C7" w:rsidP="000A66A1">
      <w:pPr>
        <w:spacing w:line="360" w:lineRule="auto"/>
        <w:jc w:val="both"/>
        <w:rPr>
          <w:rFonts w:asciiTheme="minorHAnsi" w:hAnsiTheme="minorHAnsi"/>
        </w:rPr>
      </w:pPr>
      <w:r w:rsidRPr="000A66A1">
        <w:rPr>
          <w:rFonts w:asciiTheme="minorHAnsi" w:hAnsiTheme="minorHAnsi"/>
        </w:rPr>
        <w:t>The second part of a criminal offence involves an element of fault</w:t>
      </w:r>
      <w:r w:rsidRPr="000A66A1">
        <w:rPr>
          <w:rStyle w:val="FootnoteReference"/>
          <w:rFonts w:asciiTheme="minorHAnsi" w:hAnsiTheme="minorHAnsi"/>
        </w:rPr>
        <w:footnoteReference w:id="20"/>
      </w:r>
      <w:r w:rsidR="007E5323" w:rsidRPr="000A66A1">
        <w:rPr>
          <w:rFonts w:asciiTheme="minorHAnsi" w:hAnsiTheme="minorHAnsi"/>
        </w:rPr>
        <w:t>.</w:t>
      </w:r>
      <w:r w:rsidRPr="000A66A1">
        <w:rPr>
          <w:rFonts w:asciiTheme="minorHAnsi" w:hAnsiTheme="minorHAnsi"/>
        </w:rPr>
        <w:t xml:space="preserve"> Although this is not present in all criminal offences, it is the most relevant part of an offence </w:t>
      </w:r>
      <w:r w:rsidR="000E4886" w:rsidRPr="000A66A1">
        <w:rPr>
          <w:rFonts w:asciiTheme="minorHAnsi" w:hAnsiTheme="minorHAnsi"/>
        </w:rPr>
        <w:t>in relation</w:t>
      </w:r>
      <w:r w:rsidRPr="000A66A1">
        <w:rPr>
          <w:rFonts w:asciiTheme="minorHAnsi" w:hAnsiTheme="minorHAnsi"/>
        </w:rPr>
        <w:t xml:space="preserve"> to intoxication. Th</w:t>
      </w:r>
      <w:r w:rsidR="003440D1" w:rsidRPr="000A66A1">
        <w:rPr>
          <w:rFonts w:asciiTheme="minorHAnsi" w:hAnsiTheme="minorHAnsi"/>
        </w:rPr>
        <w:t>is</w:t>
      </w:r>
      <w:r w:rsidRPr="000A66A1">
        <w:rPr>
          <w:rFonts w:asciiTheme="minorHAnsi" w:hAnsiTheme="minorHAnsi"/>
        </w:rPr>
        <w:t xml:space="preserve"> element refers to the mental element of an offence, often referred to as </w:t>
      </w:r>
      <w:r w:rsidR="000D3320" w:rsidRPr="000A66A1">
        <w:rPr>
          <w:rFonts w:asciiTheme="minorHAnsi" w:hAnsiTheme="minorHAnsi"/>
        </w:rPr>
        <w:t>the mens rea</w:t>
      </w:r>
      <w:r w:rsidR="00384B5B" w:rsidRPr="000A66A1">
        <w:rPr>
          <w:rStyle w:val="FootnoteReference"/>
          <w:rFonts w:asciiTheme="minorHAnsi" w:hAnsiTheme="minorHAnsi"/>
        </w:rPr>
        <w:footnoteReference w:id="21"/>
      </w:r>
      <w:r w:rsidR="007E5323" w:rsidRPr="000A66A1">
        <w:rPr>
          <w:rFonts w:asciiTheme="minorHAnsi" w:hAnsiTheme="minorHAnsi"/>
        </w:rPr>
        <w:t>.</w:t>
      </w:r>
      <w:r w:rsidRPr="000A66A1">
        <w:rPr>
          <w:rFonts w:asciiTheme="minorHAnsi" w:hAnsiTheme="minorHAnsi"/>
        </w:rPr>
        <w:t xml:space="preserve"> </w:t>
      </w:r>
      <w:r w:rsidR="00F57012" w:rsidRPr="000A66A1">
        <w:rPr>
          <w:rFonts w:asciiTheme="minorHAnsi" w:hAnsiTheme="minorHAnsi"/>
        </w:rPr>
        <w:t xml:space="preserve">This varies dependent on the offence involved. In the case of </w:t>
      </w:r>
      <w:r w:rsidR="000D3320" w:rsidRPr="000A66A1">
        <w:rPr>
          <w:rFonts w:asciiTheme="minorHAnsi" w:hAnsiTheme="minorHAnsi"/>
        </w:rPr>
        <w:t xml:space="preserve">the </w:t>
      </w:r>
      <w:r w:rsidR="00F57012" w:rsidRPr="000A66A1">
        <w:rPr>
          <w:rFonts w:asciiTheme="minorHAnsi" w:hAnsiTheme="minorHAnsi"/>
        </w:rPr>
        <w:t>battery</w:t>
      </w:r>
      <w:r w:rsidR="00F57012" w:rsidRPr="000A66A1">
        <w:rPr>
          <w:rStyle w:val="FootnoteReference"/>
          <w:rFonts w:asciiTheme="minorHAnsi" w:hAnsiTheme="minorHAnsi"/>
        </w:rPr>
        <w:footnoteReference w:id="22"/>
      </w:r>
      <w:r w:rsidR="000D3320" w:rsidRPr="000A66A1">
        <w:rPr>
          <w:rFonts w:asciiTheme="minorHAnsi" w:hAnsiTheme="minorHAnsi"/>
        </w:rPr>
        <w:t xml:space="preserve"> used above</w:t>
      </w:r>
      <w:r w:rsidR="00F57012" w:rsidRPr="000A66A1">
        <w:rPr>
          <w:rFonts w:asciiTheme="minorHAnsi" w:hAnsiTheme="minorHAnsi"/>
        </w:rPr>
        <w:t xml:space="preserve">, the mens rea element </w:t>
      </w:r>
      <w:r w:rsidR="000D3320" w:rsidRPr="000A66A1">
        <w:rPr>
          <w:rFonts w:asciiTheme="minorHAnsi" w:hAnsiTheme="minorHAnsi"/>
        </w:rPr>
        <w:t>would be</w:t>
      </w:r>
      <w:r w:rsidR="00F57012" w:rsidRPr="000A66A1">
        <w:rPr>
          <w:rFonts w:asciiTheme="minorHAnsi" w:hAnsiTheme="minorHAnsi"/>
        </w:rPr>
        <w:t xml:space="preserve"> either the intention for D to apply unlawful force through punching </w:t>
      </w:r>
      <w:r w:rsidR="000D3320" w:rsidRPr="000A66A1">
        <w:rPr>
          <w:rFonts w:asciiTheme="minorHAnsi" w:hAnsiTheme="minorHAnsi"/>
        </w:rPr>
        <w:t>V or</w:t>
      </w:r>
      <w:r w:rsidR="00F57012" w:rsidRPr="000A66A1">
        <w:rPr>
          <w:rFonts w:asciiTheme="minorHAnsi" w:hAnsiTheme="minorHAnsi"/>
        </w:rPr>
        <w:t xml:space="preserve"> being reckless as to the application of such force. In the case of </w:t>
      </w:r>
      <w:r w:rsidR="000D3320" w:rsidRPr="000A66A1">
        <w:rPr>
          <w:rFonts w:asciiTheme="minorHAnsi" w:hAnsiTheme="minorHAnsi"/>
        </w:rPr>
        <w:t xml:space="preserve">the </w:t>
      </w:r>
      <w:r w:rsidR="00F57012" w:rsidRPr="000A66A1">
        <w:rPr>
          <w:rFonts w:asciiTheme="minorHAnsi" w:hAnsiTheme="minorHAnsi"/>
        </w:rPr>
        <w:t>murder</w:t>
      </w:r>
      <w:r w:rsidR="00F57012" w:rsidRPr="000A66A1">
        <w:rPr>
          <w:rStyle w:val="FootnoteReference"/>
          <w:rFonts w:asciiTheme="minorHAnsi" w:hAnsiTheme="minorHAnsi"/>
        </w:rPr>
        <w:footnoteReference w:id="23"/>
      </w:r>
      <w:r w:rsidR="00F57012" w:rsidRPr="000A66A1">
        <w:rPr>
          <w:rFonts w:asciiTheme="minorHAnsi" w:hAnsiTheme="minorHAnsi"/>
        </w:rPr>
        <w:t>, the mens rea would be the intention to kill or cause grievous bodily harm to V through the stabbing</w:t>
      </w:r>
      <w:r w:rsidR="004857DB" w:rsidRPr="000A66A1">
        <w:rPr>
          <w:rStyle w:val="FootnoteReference"/>
          <w:rFonts w:asciiTheme="minorHAnsi" w:hAnsiTheme="minorHAnsi"/>
        </w:rPr>
        <w:footnoteReference w:id="24"/>
      </w:r>
      <w:r w:rsidR="00F57012" w:rsidRPr="000A66A1">
        <w:rPr>
          <w:rFonts w:asciiTheme="minorHAnsi" w:hAnsiTheme="minorHAnsi"/>
        </w:rPr>
        <w:t>. In the case of</w:t>
      </w:r>
      <w:r w:rsidR="000D3320" w:rsidRPr="000A66A1">
        <w:rPr>
          <w:rFonts w:asciiTheme="minorHAnsi" w:hAnsiTheme="minorHAnsi"/>
        </w:rPr>
        <w:t xml:space="preserve"> the</w:t>
      </w:r>
      <w:r w:rsidR="00F57012" w:rsidRPr="000A66A1">
        <w:rPr>
          <w:rFonts w:asciiTheme="minorHAnsi" w:hAnsiTheme="minorHAnsi"/>
        </w:rPr>
        <w:t xml:space="preserve"> </w:t>
      </w:r>
      <w:r w:rsidR="00854B08" w:rsidRPr="000A66A1">
        <w:rPr>
          <w:rFonts w:asciiTheme="minorHAnsi" w:hAnsiTheme="minorHAnsi"/>
        </w:rPr>
        <w:t>example</w:t>
      </w:r>
      <w:r w:rsidR="000E4886" w:rsidRPr="000A66A1">
        <w:rPr>
          <w:rFonts w:asciiTheme="minorHAnsi" w:hAnsiTheme="minorHAnsi"/>
        </w:rPr>
        <w:t xml:space="preserve"> of</w:t>
      </w:r>
      <w:r w:rsidR="00854B08" w:rsidRPr="000A66A1">
        <w:rPr>
          <w:rFonts w:asciiTheme="minorHAnsi" w:hAnsiTheme="minorHAnsi"/>
        </w:rPr>
        <w:t xml:space="preserve"> </w:t>
      </w:r>
      <w:r w:rsidR="00F57012" w:rsidRPr="000A66A1">
        <w:rPr>
          <w:rFonts w:asciiTheme="minorHAnsi" w:hAnsiTheme="minorHAnsi"/>
        </w:rPr>
        <w:t>theft</w:t>
      </w:r>
      <w:r w:rsidR="00F57012" w:rsidRPr="000A66A1">
        <w:rPr>
          <w:rStyle w:val="FootnoteReference"/>
          <w:rFonts w:asciiTheme="minorHAnsi" w:hAnsiTheme="minorHAnsi"/>
        </w:rPr>
        <w:footnoteReference w:id="25"/>
      </w:r>
      <w:r w:rsidR="000D3320" w:rsidRPr="000A66A1">
        <w:rPr>
          <w:rFonts w:asciiTheme="minorHAnsi" w:hAnsiTheme="minorHAnsi"/>
        </w:rPr>
        <w:t xml:space="preserve"> </w:t>
      </w:r>
      <w:r w:rsidR="00854B08" w:rsidRPr="000A66A1">
        <w:rPr>
          <w:rFonts w:asciiTheme="minorHAnsi" w:hAnsiTheme="minorHAnsi"/>
        </w:rPr>
        <w:t>given</w:t>
      </w:r>
      <w:r w:rsidR="004857DB" w:rsidRPr="000A66A1">
        <w:rPr>
          <w:rFonts w:asciiTheme="minorHAnsi" w:hAnsiTheme="minorHAnsi"/>
        </w:rPr>
        <w:t xml:space="preserve"> </w:t>
      </w:r>
      <w:r w:rsidR="000D3320" w:rsidRPr="000A66A1">
        <w:rPr>
          <w:rFonts w:asciiTheme="minorHAnsi" w:hAnsiTheme="minorHAnsi"/>
        </w:rPr>
        <w:t>above</w:t>
      </w:r>
      <w:r w:rsidR="00F57012" w:rsidRPr="000A66A1">
        <w:rPr>
          <w:rFonts w:asciiTheme="minorHAnsi" w:hAnsiTheme="minorHAnsi"/>
        </w:rPr>
        <w:t xml:space="preserve">, the mens rea would be dishonestly taking </w:t>
      </w:r>
      <w:r w:rsidR="000D3320" w:rsidRPr="000A66A1">
        <w:rPr>
          <w:rFonts w:asciiTheme="minorHAnsi" w:hAnsiTheme="minorHAnsi"/>
        </w:rPr>
        <w:t>the purse from the table</w:t>
      </w:r>
      <w:r w:rsidR="00F57012" w:rsidRPr="000A66A1">
        <w:rPr>
          <w:rFonts w:asciiTheme="minorHAnsi" w:hAnsiTheme="minorHAnsi"/>
        </w:rPr>
        <w:t xml:space="preserve">, with the intention </w:t>
      </w:r>
      <w:r w:rsidR="000D3320" w:rsidRPr="000A66A1">
        <w:rPr>
          <w:rFonts w:asciiTheme="minorHAnsi" w:hAnsiTheme="minorHAnsi"/>
        </w:rPr>
        <w:t>of</w:t>
      </w:r>
      <w:r w:rsidR="00F57012" w:rsidRPr="000A66A1">
        <w:rPr>
          <w:rFonts w:asciiTheme="minorHAnsi" w:hAnsiTheme="minorHAnsi"/>
        </w:rPr>
        <w:t xml:space="preserve"> permanently depriv</w:t>
      </w:r>
      <w:r w:rsidR="000D3320" w:rsidRPr="000A66A1">
        <w:rPr>
          <w:rFonts w:asciiTheme="minorHAnsi" w:hAnsiTheme="minorHAnsi"/>
        </w:rPr>
        <w:t>ing</w:t>
      </w:r>
      <w:r w:rsidR="00F57012" w:rsidRPr="000A66A1">
        <w:rPr>
          <w:rFonts w:asciiTheme="minorHAnsi" w:hAnsiTheme="minorHAnsi"/>
        </w:rPr>
        <w:t xml:space="preserve"> th</w:t>
      </w:r>
      <w:r w:rsidR="000D3320" w:rsidRPr="000A66A1">
        <w:rPr>
          <w:rFonts w:asciiTheme="minorHAnsi" w:hAnsiTheme="minorHAnsi"/>
        </w:rPr>
        <w:t>e owner of that purse</w:t>
      </w:r>
      <w:r w:rsidR="00F57012" w:rsidRPr="000A66A1">
        <w:rPr>
          <w:rFonts w:asciiTheme="minorHAnsi" w:hAnsiTheme="minorHAnsi"/>
        </w:rPr>
        <w:t>.</w:t>
      </w:r>
      <w:r w:rsidR="000D3320" w:rsidRPr="000A66A1">
        <w:rPr>
          <w:rFonts w:asciiTheme="minorHAnsi" w:hAnsiTheme="minorHAnsi"/>
        </w:rPr>
        <w:t xml:space="preserve"> This would mean never</w:t>
      </w:r>
      <w:r w:rsidR="00854B08" w:rsidRPr="000A66A1">
        <w:rPr>
          <w:rFonts w:asciiTheme="minorHAnsi" w:hAnsiTheme="minorHAnsi"/>
        </w:rPr>
        <w:t xml:space="preserve"> to</w:t>
      </w:r>
      <w:r w:rsidR="000D3320" w:rsidRPr="000A66A1">
        <w:rPr>
          <w:rFonts w:asciiTheme="minorHAnsi" w:hAnsiTheme="minorHAnsi"/>
        </w:rPr>
        <w:t xml:space="preserve"> return </w:t>
      </w:r>
      <w:r w:rsidR="00672661" w:rsidRPr="000A66A1">
        <w:rPr>
          <w:rFonts w:asciiTheme="minorHAnsi" w:hAnsiTheme="minorHAnsi"/>
        </w:rPr>
        <w:t xml:space="preserve">the </w:t>
      </w:r>
      <w:r w:rsidR="000D3320" w:rsidRPr="000A66A1">
        <w:rPr>
          <w:rFonts w:asciiTheme="minorHAnsi" w:hAnsiTheme="minorHAnsi"/>
        </w:rPr>
        <w:t>purse</w:t>
      </w:r>
      <w:r w:rsidR="00672661" w:rsidRPr="000A66A1">
        <w:rPr>
          <w:rFonts w:asciiTheme="minorHAnsi" w:hAnsiTheme="minorHAnsi"/>
        </w:rPr>
        <w:t xml:space="preserve"> to the owner</w:t>
      </w:r>
      <w:r w:rsidR="000D3320" w:rsidRPr="000A66A1">
        <w:rPr>
          <w:rFonts w:asciiTheme="minorHAnsi" w:hAnsiTheme="minorHAnsi"/>
        </w:rPr>
        <w:t>.</w:t>
      </w:r>
      <w:r w:rsidR="004857DB" w:rsidRPr="000A66A1">
        <w:rPr>
          <w:rFonts w:asciiTheme="minorHAnsi" w:hAnsiTheme="minorHAnsi"/>
        </w:rPr>
        <w:t xml:space="preserve"> </w:t>
      </w:r>
    </w:p>
    <w:p w14:paraId="25B00D20" w14:textId="6DF441B0" w:rsidR="00F57012" w:rsidRPr="000A66A1" w:rsidRDefault="00F57012" w:rsidP="000A66A1">
      <w:pPr>
        <w:spacing w:line="360" w:lineRule="auto"/>
        <w:jc w:val="both"/>
        <w:rPr>
          <w:rFonts w:asciiTheme="minorHAnsi" w:hAnsiTheme="minorHAnsi"/>
        </w:rPr>
      </w:pPr>
    </w:p>
    <w:p w14:paraId="09BB07E6" w14:textId="24963FDC" w:rsidR="00A3316F" w:rsidRPr="000A66A1" w:rsidRDefault="004857DB" w:rsidP="000A66A1">
      <w:pPr>
        <w:spacing w:line="360" w:lineRule="auto"/>
        <w:jc w:val="both"/>
        <w:rPr>
          <w:rFonts w:asciiTheme="minorHAnsi" w:hAnsiTheme="minorHAnsi"/>
        </w:rPr>
      </w:pPr>
      <w:r w:rsidRPr="000A66A1">
        <w:rPr>
          <w:rFonts w:asciiTheme="minorHAnsi" w:hAnsiTheme="minorHAnsi"/>
        </w:rPr>
        <w:t xml:space="preserve">The prosecution </w:t>
      </w:r>
      <w:r w:rsidR="00EE7936" w:rsidRPr="000A66A1">
        <w:rPr>
          <w:rFonts w:asciiTheme="minorHAnsi" w:hAnsiTheme="minorHAnsi"/>
        </w:rPr>
        <w:t>is</w:t>
      </w:r>
      <w:r w:rsidRPr="000A66A1">
        <w:rPr>
          <w:rFonts w:asciiTheme="minorHAnsi" w:hAnsiTheme="minorHAnsi"/>
        </w:rPr>
        <w:t xml:space="preserve"> required to prove both the external element (actus reus) and the fault element (mens rea)</w:t>
      </w:r>
      <w:r w:rsidRPr="000A66A1">
        <w:rPr>
          <w:rStyle w:val="FootnoteReference"/>
          <w:rFonts w:asciiTheme="minorHAnsi" w:hAnsiTheme="minorHAnsi"/>
        </w:rPr>
        <w:footnoteReference w:id="26"/>
      </w:r>
      <w:r w:rsidR="000E4886" w:rsidRPr="000A66A1">
        <w:rPr>
          <w:rFonts w:asciiTheme="minorHAnsi" w:hAnsiTheme="minorHAnsi"/>
        </w:rPr>
        <w:t>.</w:t>
      </w:r>
      <w:r w:rsidRPr="000A66A1">
        <w:rPr>
          <w:rFonts w:asciiTheme="minorHAnsi" w:hAnsiTheme="minorHAnsi"/>
        </w:rPr>
        <w:t xml:space="preserve"> </w:t>
      </w:r>
      <w:r w:rsidR="000D3320" w:rsidRPr="000A66A1">
        <w:rPr>
          <w:rFonts w:asciiTheme="minorHAnsi" w:hAnsiTheme="minorHAnsi"/>
        </w:rPr>
        <w:t>Generally, t</w:t>
      </w:r>
      <w:r w:rsidR="00F57012" w:rsidRPr="000A66A1">
        <w:rPr>
          <w:rFonts w:asciiTheme="minorHAnsi" w:hAnsiTheme="minorHAnsi"/>
        </w:rPr>
        <w:t xml:space="preserve">he physical element of criminal offences </w:t>
      </w:r>
      <w:r w:rsidR="000D3320" w:rsidRPr="000A66A1">
        <w:rPr>
          <w:rFonts w:asciiTheme="minorHAnsi" w:hAnsiTheme="minorHAnsi"/>
        </w:rPr>
        <w:t>remains</w:t>
      </w:r>
      <w:r w:rsidR="00F57012" w:rsidRPr="000A66A1">
        <w:rPr>
          <w:rFonts w:asciiTheme="minorHAnsi" w:hAnsiTheme="minorHAnsi"/>
        </w:rPr>
        <w:t xml:space="preserve"> relatively simple to determine</w:t>
      </w:r>
      <w:r w:rsidRPr="000A66A1">
        <w:rPr>
          <w:rFonts w:asciiTheme="minorHAnsi" w:hAnsiTheme="minorHAnsi"/>
        </w:rPr>
        <w:t>.</w:t>
      </w:r>
      <w:r w:rsidR="00F57012" w:rsidRPr="000A66A1">
        <w:rPr>
          <w:rFonts w:asciiTheme="minorHAnsi" w:hAnsiTheme="minorHAnsi"/>
        </w:rPr>
        <w:t xml:space="preserve"> </w:t>
      </w:r>
      <w:r w:rsidRPr="000A66A1">
        <w:rPr>
          <w:rFonts w:asciiTheme="minorHAnsi" w:hAnsiTheme="minorHAnsi"/>
        </w:rPr>
        <w:t>H</w:t>
      </w:r>
      <w:r w:rsidR="000D3320" w:rsidRPr="000A66A1">
        <w:rPr>
          <w:rFonts w:asciiTheme="minorHAnsi" w:hAnsiTheme="minorHAnsi"/>
        </w:rPr>
        <w:t>owever</w:t>
      </w:r>
      <w:r w:rsidRPr="000A66A1">
        <w:rPr>
          <w:rFonts w:asciiTheme="minorHAnsi" w:hAnsiTheme="minorHAnsi"/>
        </w:rPr>
        <w:t>,</w:t>
      </w:r>
      <w:r w:rsidR="000D3320" w:rsidRPr="000A66A1">
        <w:rPr>
          <w:rFonts w:asciiTheme="minorHAnsi" w:hAnsiTheme="minorHAnsi"/>
        </w:rPr>
        <w:t xml:space="preserve"> </w:t>
      </w:r>
      <w:r w:rsidR="00F57012" w:rsidRPr="000A66A1">
        <w:rPr>
          <w:rFonts w:asciiTheme="minorHAnsi" w:hAnsiTheme="minorHAnsi"/>
        </w:rPr>
        <w:t xml:space="preserve">understanding whether the mens rea element has occurred </w:t>
      </w:r>
      <w:r w:rsidRPr="000A66A1">
        <w:rPr>
          <w:rFonts w:asciiTheme="minorHAnsi" w:hAnsiTheme="minorHAnsi"/>
        </w:rPr>
        <w:t xml:space="preserve">within a particular criminal act </w:t>
      </w:r>
      <w:r w:rsidR="00F57012" w:rsidRPr="000A66A1">
        <w:rPr>
          <w:rFonts w:asciiTheme="minorHAnsi" w:hAnsiTheme="minorHAnsi"/>
        </w:rPr>
        <w:t>can cause a lot of difficulty</w:t>
      </w:r>
      <w:r w:rsidRPr="000A66A1">
        <w:rPr>
          <w:rFonts w:asciiTheme="minorHAnsi" w:hAnsiTheme="minorHAnsi"/>
        </w:rPr>
        <w:t xml:space="preserve"> to prove</w:t>
      </w:r>
      <w:r w:rsidR="00F57012" w:rsidRPr="000A66A1">
        <w:rPr>
          <w:rFonts w:asciiTheme="minorHAnsi" w:hAnsiTheme="minorHAnsi"/>
        </w:rPr>
        <w:t xml:space="preserve"> in court. </w:t>
      </w:r>
      <w:r w:rsidRPr="000A66A1">
        <w:rPr>
          <w:rFonts w:asciiTheme="minorHAnsi" w:hAnsiTheme="minorHAnsi"/>
        </w:rPr>
        <w:t>In particular, it has</w:t>
      </w:r>
      <w:r w:rsidR="00F57012" w:rsidRPr="000A66A1">
        <w:rPr>
          <w:rFonts w:asciiTheme="minorHAnsi" w:hAnsiTheme="minorHAnsi"/>
        </w:rPr>
        <w:t xml:space="preserve"> </w:t>
      </w:r>
      <w:r w:rsidR="001A4B11" w:rsidRPr="000A66A1">
        <w:rPr>
          <w:rFonts w:asciiTheme="minorHAnsi" w:hAnsiTheme="minorHAnsi"/>
        </w:rPr>
        <w:t xml:space="preserve">more </w:t>
      </w:r>
      <w:r w:rsidR="00854B08" w:rsidRPr="000A66A1">
        <w:rPr>
          <w:rFonts w:asciiTheme="minorHAnsi" w:hAnsiTheme="minorHAnsi"/>
        </w:rPr>
        <w:t>bearing</w:t>
      </w:r>
      <w:r w:rsidR="00F57012" w:rsidRPr="000A66A1">
        <w:rPr>
          <w:rFonts w:asciiTheme="minorHAnsi" w:hAnsiTheme="minorHAnsi"/>
        </w:rPr>
        <w:t xml:space="preserve"> </w:t>
      </w:r>
      <w:r w:rsidR="001A4B11" w:rsidRPr="000A66A1">
        <w:rPr>
          <w:rFonts w:asciiTheme="minorHAnsi" w:hAnsiTheme="minorHAnsi"/>
        </w:rPr>
        <w:t xml:space="preserve">than the actus reus </w:t>
      </w:r>
      <w:r w:rsidR="00854B08" w:rsidRPr="000A66A1">
        <w:rPr>
          <w:rFonts w:asciiTheme="minorHAnsi" w:hAnsiTheme="minorHAnsi"/>
        </w:rPr>
        <w:t xml:space="preserve">does </w:t>
      </w:r>
      <w:r w:rsidR="00F57012" w:rsidRPr="000A66A1">
        <w:rPr>
          <w:rFonts w:asciiTheme="minorHAnsi" w:hAnsiTheme="minorHAnsi"/>
        </w:rPr>
        <w:t xml:space="preserve">on how an offence is dealt with when it comes to the </w:t>
      </w:r>
      <w:r w:rsidR="00F57012" w:rsidRPr="000A66A1">
        <w:rPr>
          <w:rFonts w:asciiTheme="minorHAnsi" w:hAnsiTheme="minorHAnsi"/>
        </w:rPr>
        <w:lastRenderedPageBreak/>
        <w:t>intoxication doctrine.</w:t>
      </w:r>
      <w:r w:rsidRPr="000A66A1">
        <w:rPr>
          <w:rFonts w:asciiTheme="minorHAnsi" w:hAnsiTheme="minorHAnsi"/>
        </w:rPr>
        <w:t xml:space="preserve"> </w:t>
      </w:r>
      <w:r w:rsidR="002336E5" w:rsidRPr="000A66A1">
        <w:rPr>
          <w:rFonts w:asciiTheme="minorHAnsi" w:hAnsiTheme="minorHAnsi"/>
        </w:rPr>
        <w:t xml:space="preserve">If this cannot be done due to the presence of intoxication, there is a possibility that D will be acquitted. </w:t>
      </w:r>
      <w:r w:rsidR="0047745F" w:rsidRPr="000A66A1">
        <w:rPr>
          <w:rFonts w:asciiTheme="minorHAnsi" w:hAnsiTheme="minorHAnsi"/>
        </w:rPr>
        <w:t>This is however only</w:t>
      </w:r>
      <w:r w:rsidR="003B774D" w:rsidRPr="000A66A1">
        <w:rPr>
          <w:rFonts w:asciiTheme="minorHAnsi" w:hAnsiTheme="minorHAnsi"/>
        </w:rPr>
        <w:t xml:space="preserve"> </w:t>
      </w:r>
      <w:r w:rsidR="0047745F" w:rsidRPr="000A66A1">
        <w:rPr>
          <w:rFonts w:asciiTheme="minorHAnsi" w:hAnsiTheme="minorHAnsi"/>
        </w:rPr>
        <w:t>with a certain class</w:t>
      </w:r>
      <w:r w:rsidR="003C388A" w:rsidRPr="000A66A1">
        <w:rPr>
          <w:rFonts w:asciiTheme="minorHAnsi" w:hAnsiTheme="minorHAnsi"/>
        </w:rPr>
        <w:t xml:space="preserve"> of offences</w:t>
      </w:r>
      <w:r w:rsidR="003B774D" w:rsidRPr="000A66A1">
        <w:rPr>
          <w:rFonts w:asciiTheme="minorHAnsi" w:hAnsiTheme="minorHAnsi"/>
        </w:rPr>
        <w:t>, where the mens rea is that of ‘specific intent’</w:t>
      </w:r>
      <w:r w:rsidR="002336E5" w:rsidRPr="000A66A1">
        <w:rPr>
          <w:rFonts w:asciiTheme="minorHAnsi" w:hAnsiTheme="minorHAnsi"/>
        </w:rPr>
        <w:t xml:space="preserve"> rather than ‘basic intent’</w:t>
      </w:r>
      <w:r w:rsidR="00A95C20" w:rsidRPr="000A66A1">
        <w:rPr>
          <w:rStyle w:val="FootnoteReference"/>
          <w:rFonts w:asciiTheme="minorHAnsi" w:hAnsiTheme="minorHAnsi"/>
        </w:rPr>
        <w:footnoteReference w:id="27"/>
      </w:r>
      <w:r w:rsidR="007E5323" w:rsidRPr="000A66A1">
        <w:rPr>
          <w:rFonts w:asciiTheme="minorHAnsi" w:hAnsiTheme="minorHAnsi"/>
        </w:rPr>
        <w:t>.</w:t>
      </w:r>
    </w:p>
    <w:p w14:paraId="32292098" w14:textId="6ED43A29" w:rsidR="002336E5" w:rsidRPr="000A66A1" w:rsidRDefault="002336E5" w:rsidP="000A66A1">
      <w:pPr>
        <w:spacing w:line="360" w:lineRule="auto"/>
        <w:jc w:val="both"/>
        <w:rPr>
          <w:rFonts w:asciiTheme="minorHAnsi" w:hAnsiTheme="minorHAnsi"/>
        </w:rPr>
      </w:pPr>
    </w:p>
    <w:p w14:paraId="2485D814" w14:textId="79EE5EEE" w:rsidR="00E774E2" w:rsidRPr="000A66A1" w:rsidRDefault="002336E5" w:rsidP="000A66A1">
      <w:pPr>
        <w:spacing w:line="360" w:lineRule="auto"/>
        <w:jc w:val="both"/>
        <w:rPr>
          <w:rFonts w:asciiTheme="minorHAnsi" w:hAnsiTheme="minorHAnsi"/>
        </w:rPr>
      </w:pPr>
      <w:r w:rsidRPr="000A66A1">
        <w:rPr>
          <w:rFonts w:asciiTheme="minorHAnsi" w:hAnsiTheme="minorHAnsi"/>
        </w:rPr>
        <w:t xml:space="preserve">The terms ‘basic’ and ‘specific intent’ have been interpreted by both academics and by judges to mean different things. There is no universal or codified definition for either </w:t>
      </w:r>
      <w:r w:rsidR="000D3320" w:rsidRPr="000A66A1">
        <w:rPr>
          <w:rFonts w:asciiTheme="minorHAnsi" w:hAnsiTheme="minorHAnsi"/>
        </w:rPr>
        <w:t>term</w:t>
      </w:r>
      <w:r w:rsidRPr="000A66A1">
        <w:rPr>
          <w:rStyle w:val="FootnoteReference"/>
          <w:rFonts w:asciiTheme="minorHAnsi" w:hAnsiTheme="minorHAnsi"/>
        </w:rPr>
        <w:footnoteReference w:id="28"/>
      </w:r>
      <w:r w:rsidR="00FF3072" w:rsidRPr="000A66A1">
        <w:rPr>
          <w:rFonts w:asciiTheme="minorHAnsi" w:hAnsiTheme="minorHAnsi"/>
        </w:rPr>
        <w:t>.</w:t>
      </w:r>
      <w:r w:rsidRPr="000A66A1">
        <w:rPr>
          <w:rFonts w:asciiTheme="minorHAnsi" w:hAnsiTheme="minorHAnsi"/>
        </w:rPr>
        <w:t xml:space="preserve"> The distinction </w:t>
      </w:r>
      <w:r w:rsidR="00854B08" w:rsidRPr="000A66A1">
        <w:rPr>
          <w:rFonts w:asciiTheme="minorHAnsi" w:hAnsiTheme="minorHAnsi"/>
        </w:rPr>
        <w:t>between them</w:t>
      </w:r>
      <w:r w:rsidRPr="000A66A1">
        <w:rPr>
          <w:rFonts w:asciiTheme="minorHAnsi" w:hAnsiTheme="minorHAnsi"/>
        </w:rPr>
        <w:t xml:space="preserve"> arose in the case of </w:t>
      </w:r>
      <w:r w:rsidRPr="000A66A1">
        <w:rPr>
          <w:rFonts w:asciiTheme="minorHAnsi" w:hAnsiTheme="minorHAnsi"/>
          <w:i/>
        </w:rPr>
        <w:t>Majewski</w:t>
      </w:r>
      <w:r w:rsidR="004857DB" w:rsidRPr="000A66A1">
        <w:rPr>
          <w:rStyle w:val="FootnoteReference"/>
          <w:rFonts w:asciiTheme="minorHAnsi" w:hAnsiTheme="minorHAnsi"/>
          <w:i/>
        </w:rPr>
        <w:footnoteReference w:id="29"/>
      </w:r>
      <w:r w:rsidR="00E774E2" w:rsidRPr="000A66A1">
        <w:rPr>
          <w:rFonts w:asciiTheme="minorHAnsi" w:hAnsiTheme="minorHAnsi"/>
        </w:rPr>
        <w:t>. The defendant in this case was charged with four counts of ABH and three counts of assaulting a police constable. He claimed that due to his voluntary intoxication, he did not have the appropriate mens rea in order to be convicted. It was found in this case that the crime was of basic intent, therefore he was unable to use</w:t>
      </w:r>
      <w:r w:rsidR="00FF3072" w:rsidRPr="000A66A1">
        <w:rPr>
          <w:rFonts w:asciiTheme="minorHAnsi" w:hAnsiTheme="minorHAnsi"/>
        </w:rPr>
        <w:t xml:space="preserve"> his</w:t>
      </w:r>
      <w:r w:rsidR="00E774E2" w:rsidRPr="000A66A1">
        <w:rPr>
          <w:rFonts w:asciiTheme="minorHAnsi" w:hAnsiTheme="minorHAnsi"/>
        </w:rPr>
        <w:t xml:space="preserve"> intoxication </w:t>
      </w:r>
      <w:r w:rsidR="00FF3072" w:rsidRPr="000A66A1">
        <w:rPr>
          <w:rFonts w:asciiTheme="minorHAnsi" w:hAnsiTheme="minorHAnsi"/>
        </w:rPr>
        <w:t>to prevent a conviction</w:t>
      </w:r>
      <w:r w:rsidR="00E774E2" w:rsidRPr="000A66A1">
        <w:rPr>
          <w:rStyle w:val="FootnoteReference"/>
          <w:rFonts w:asciiTheme="minorHAnsi" w:hAnsiTheme="minorHAnsi"/>
        </w:rPr>
        <w:footnoteReference w:id="30"/>
      </w:r>
      <w:r w:rsidR="00A50497" w:rsidRPr="000A66A1">
        <w:rPr>
          <w:rFonts w:asciiTheme="minorHAnsi" w:hAnsiTheme="minorHAnsi"/>
        </w:rPr>
        <w:t>.</w:t>
      </w:r>
      <w:r w:rsidR="00E774E2" w:rsidRPr="000A66A1">
        <w:rPr>
          <w:rFonts w:asciiTheme="minorHAnsi" w:hAnsiTheme="minorHAnsi"/>
        </w:rPr>
        <w:t xml:space="preserve"> </w:t>
      </w:r>
    </w:p>
    <w:p w14:paraId="6D6C8370" w14:textId="77777777" w:rsidR="00E774E2" w:rsidRPr="000A66A1" w:rsidRDefault="00E774E2" w:rsidP="000A66A1">
      <w:pPr>
        <w:spacing w:line="360" w:lineRule="auto"/>
        <w:jc w:val="both"/>
        <w:rPr>
          <w:rFonts w:asciiTheme="minorHAnsi" w:hAnsiTheme="minorHAnsi"/>
        </w:rPr>
      </w:pPr>
    </w:p>
    <w:p w14:paraId="5EC83A04" w14:textId="4669F13C" w:rsidR="002336E5" w:rsidRPr="000A66A1" w:rsidRDefault="00E774E2" w:rsidP="000A66A1">
      <w:pPr>
        <w:spacing w:line="360" w:lineRule="auto"/>
        <w:jc w:val="both"/>
        <w:rPr>
          <w:rFonts w:asciiTheme="minorHAnsi" w:hAnsiTheme="minorHAnsi"/>
        </w:rPr>
      </w:pPr>
      <w:r w:rsidRPr="000A66A1">
        <w:rPr>
          <w:rFonts w:asciiTheme="minorHAnsi" w:hAnsiTheme="minorHAnsi"/>
        </w:rPr>
        <w:t>In this</w:t>
      </w:r>
      <w:r w:rsidR="002336E5" w:rsidRPr="000A66A1">
        <w:rPr>
          <w:rFonts w:asciiTheme="minorHAnsi" w:hAnsiTheme="minorHAnsi"/>
        </w:rPr>
        <w:t xml:space="preserve"> cas</w:t>
      </w:r>
      <w:r w:rsidRPr="000A66A1">
        <w:rPr>
          <w:rFonts w:asciiTheme="minorHAnsi" w:hAnsiTheme="minorHAnsi"/>
        </w:rPr>
        <w:t xml:space="preserve">e, </w:t>
      </w:r>
      <w:r w:rsidR="006236AE" w:rsidRPr="000A66A1">
        <w:rPr>
          <w:rFonts w:asciiTheme="minorHAnsi" w:hAnsiTheme="minorHAnsi"/>
        </w:rPr>
        <w:t>although all judges were unanimous on the resulting verdict, all</w:t>
      </w:r>
      <w:r w:rsidR="006D39EC" w:rsidRPr="000A66A1">
        <w:rPr>
          <w:rFonts w:asciiTheme="minorHAnsi" w:hAnsiTheme="minorHAnsi"/>
        </w:rPr>
        <w:t xml:space="preserve"> but one out of the seven</w:t>
      </w:r>
      <w:r w:rsidR="006236AE" w:rsidRPr="000A66A1">
        <w:rPr>
          <w:rFonts w:asciiTheme="minorHAnsi" w:hAnsiTheme="minorHAnsi"/>
        </w:rPr>
        <w:t xml:space="preserve"> had varying</w:t>
      </w:r>
      <w:r w:rsidR="006D39EC" w:rsidRPr="000A66A1">
        <w:rPr>
          <w:rFonts w:asciiTheme="minorHAnsi" w:hAnsiTheme="minorHAnsi"/>
        </w:rPr>
        <w:t xml:space="preserve"> judgements containing differing</w:t>
      </w:r>
      <w:r w:rsidR="006236AE" w:rsidRPr="000A66A1">
        <w:rPr>
          <w:rFonts w:asciiTheme="minorHAnsi" w:hAnsiTheme="minorHAnsi"/>
        </w:rPr>
        <w:t xml:space="preserve"> definitions of the terms ‘basic’ and ‘specific intent’</w:t>
      </w:r>
      <w:r w:rsidR="004857DB" w:rsidRPr="000A66A1">
        <w:rPr>
          <w:rStyle w:val="FootnoteReference"/>
          <w:rFonts w:asciiTheme="minorHAnsi" w:hAnsiTheme="minorHAnsi"/>
        </w:rPr>
        <w:footnoteReference w:id="31"/>
      </w:r>
      <w:r w:rsidRPr="000A66A1">
        <w:rPr>
          <w:rFonts w:asciiTheme="minorHAnsi" w:hAnsiTheme="minorHAnsi"/>
        </w:rPr>
        <w:t xml:space="preserve">. </w:t>
      </w:r>
      <w:r w:rsidR="006236AE" w:rsidRPr="000A66A1">
        <w:rPr>
          <w:rFonts w:asciiTheme="minorHAnsi" w:hAnsiTheme="minorHAnsi"/>
        </w:rPr>
        <w:t>As the entire intoxication doctrine is interpreted based on the distinction between ‘basic’ and ‘specific intent’</w:t>
      </w:r>
      <w:r w:rsidR="004857DB" w:rsidRPr="000A66A1">
        <w:rPr>
          <w:rFonts w:asciiTheme="minorHAnsi" w:hAnsiTheme="minorHAnsi"/>
        </w:rPr>
        <w:t>-</w:t>
      </w:r>
      <w:r w:rsidR="006236AE" w:rsidRPr="000A66A1">
        <w:rPr>
          <w:rFonts w:asciiTheme="minorHAnsi" w:hAnsiTheme="minorHAnsi"/>
        </w:rPr>
        <w:t xml:space="preserve"> it seems that more clarity is needed when it comes to the definitions to ensure that the law can be interpreted in a fair and consistent way</w:t>
      </w:r>
      <w:r w:rsidR="004857DB" w:rsidRPr="000A66A1">
        <w:rPr>
          <w:rStyle w:val="FootnoteReference"/>
          <w:rFonts w:asciiTheme="minorHAnsi" w:hAnsiTheme="minorHAnsi"/>
        </w:rPr>
        <w:footnoteReference w:id="32"/>
      </w:r>
      <w:r w:rsidR="006236AE" w:rsidRPr="000A66A1">
        <w:rPr>
          <w:rFonts w:asciiTheme="minorHAnsi" w:hAnsiTheme="minorHAnsi"/>
        </w:rPr>
        <w:t>.</w:t>
      </w:r>
      <w:r w:rsidR="004857DB" w:rsidRPr="000A66A1">
        <w:rPr>
          <w:rFonts w:asciiTheme="minorHAnsi" w:hAnsiTheme="minorHAnsi"/>
        </w:rPr>
        <w:t xml:space="preserve"> </w:t>
      </w:r>
    </w:p>
    <w:p w14:paraId="507C28F2" w14:textId="77777777" w:rsidR="004857DB" w:rsidRPr="000A66A1" w:rsidRDefault="004857DB" w:rsidP="000A66A1">
      <w:pPr>
        <w:spacing w:line="360" w:lineRule="auto"/>
        <w:jc w:val="both"/>
        <w:rPr>
          <w:rFonts w:asciiTheme="minorHAnsi" w:hAnsiTheme="minorHAnsi"/>
        </w:rPr>
      </w:pPr>
    </w:p>
    <w:p w14:paraId="142A4846" w14:textId="091F3965" w:rsidR="004857DB" w:rsidRPr="000A66A1" w:rsidRDefault="004857DB" w:rsidP="000A66A1">
      <w:pPr>
        <w:spacing w:line="360" w:lineRule="auto"/>
        <w:jc w:val="both"/>
        <w:rPr>
          <w:rFonts w:asciiTheme="minorHAnsi" w:hAnsiTheme="minorHAnsi"/>
        </w:rPr>
      </w:pPr>
      <w:r w:rsidRPr="000A66A1">
        <w:rPr>
          <w:rFonts w:asciiTheme="minorHAnsi" w:hAnsiTheme="minorHAnsi"/>
        </w:rPr>
        <w:t>‘Basic intent’ has been interpreted as meaning an offence that not does not have a ‘specific fault requirement of intention’.</w:t>
      </w:r>
      <w:r w:rsidRPr="000A66A1">
        <w:rPr>
          <w:rStyle w:val="FootnoteReference"/>
          <w:rFonts w:asciiTheme="minorHAnsi" w:hAnsiTheme="minorHAnsi"/>
        </w:rPr>
        <w:footnoteReference w:id="33"/>
      </w:r>
      <w:r w:rsidRPr="000A66A1">
        <w:rPr>
          <w:rFonts w:asciiTheme="minorHAnsi" w:hAnsiTheme="minorHAnsi"/>
        </w:rPr>
        <w:t xml:space="preserve"> This includes the offence of battery, as the mens rea element can include recklessness as to the application of force</w:t>
      </w:r>
      <w:r w:rsidRPr="000A66A1">
        <w:rPr>
          <w:rStyle w:val="FootnoteReference"/>
          <w:rFonts w:asciiTheme="minorHAnsi" w:hAnsiTheme="minorHAnsi"/>
        </w:rPr>
        <w:footnoteReference w:id="34"/>
      </w:r>
      <w:r w:rsidR="00FF3072" w:rsidRPr="000A66A1">
        <w:rPr>
          <w:rFonts w:asciiTheme="minorHAnsi" w:hAnsiTheme="minorHAnsi"/>
        </w:rPr>
        <w:t>.</w:t>
      </w:r>
      <w:r w:rsidRPr="000A66A1">
        <w:rPr>
          <w:rFonts w:asciiTheme="minorHAnsi" w:hAnsiTheme="minorHAnsi"/>
        </w:rPr>
        <w:t xml:space="preserve"> If D was intoxicated, and he was throwing around his arms with clenched fists and accidentally punched V in the face, this could still potentially be a battery. In cases involving a ‘basic intent’ offence, the prosecution can </w:t>
      </w:r>
      <w:r w:rsidR="00FF3072" w:rsidRPr="000A66A1">
        <w:rPr>
          <w:rFonts w:asciiTheme="minorHAnsi" w:hAnsiTheme="minorHAnsi"/>
        </w:rPr>
        <w:t xml:space="preserve">establish the </w:t>
      </w:r>
      <w:r w:rsidRPr="000A66A1">
        <w:rPr>
          <w:rFonts w:asciiTheme="minorHAnsi" w:hAnsiTheme="minorHAnsi"/>
        </w:rPr>
        <w:t xml:space="preserve">mens rea, even </w:t>
      </w:r>
      <w:r w:rsidRPr="000A66A1">
        <w:rPr>
          <w:rFonts w:asciiTheme="minorHAnsi" w:hAnsiTheme="minorHAnsi"/>
        </w:rPr>
        <w:lastRenderedPageBreak/>
        <w:t>if that required element was not actually</w:t>
      </w:r>
      <w:r w:rsidR="00FF3072" w:rsidRPr="000A66A1">
        <w:rPr>
          <w:rFonts w:asciiTheme="minorHAnsi" w:hAnsiTheme="minorHAnsi"/>
        </w:rPr>
        <w:t xml:space="preserve"> present</w:t>
      </w:r>
      <w:r w:rsidRPr="000A66A1">
        <w:rPr>
          <w:rFonts w:asciiTheme="minorHAnsi" w:hAnsiTheme="minorHAnsi"/>
        </w:rPr>
        <w:t xml:space="preserve">. Even if D did not have any foresight as to risk of injury at the time, the jury (or tribunal of fact) </w:t>
      </w:r>
      <w:r w:rsidR="00EE7936" w:rsidRPr="000A66A1">
        <w:rPr>
          <w:rFonts w:asciiTheme="minorHAnsi" w:hAnsiTheme="minorHAnsi"/>
        </w:rPr>
        <w:t>will be</w:t>
      </w:r>
      <w:r w:rsidRPr="000A66A1">
        <w:rPr>
          <w:rFonts w:asciiTheme="minorHAnsi" w:hAnsiTheme="minorHAnsi"/>
        </w:rPr>
        <w:t xml:space="preserve"> asked to decide whether D would have had the necessary mens rea if they had been sober</w:t>
      </w:r>
      <w:r w:rsidRPr="000A66A1">
        <w:rPr>
          <w:rStyle w:val="FootnoteReference"/>
          <w:rFonts w:asciiTheme="minorHAnsi" w:hAnsiTheme="minorHAnsi"/>
        </w:rPr>
        <w:footnoteReference w:id="35"/>
      </w:r>
      <w:r w:rsidR="00FF3072" w:rsidRPr="000A66A1">
        <w:rPr>
          <w:rFonts w:asciiTheme="minorHAnsi" w:hAnsiTheme="minorHAnsi"/>
        </w:rPr>
        <w:t>.</w:t>
      </w:r>
      <w:r w:rsidRPr="000A66A1">
        <w:rPr>
          <w:rFonts w:asciiTheme="minorHAnsi" w:hAnsiTheme="minorHAnsi"/>
        </w:rPr>
        <w:t xml:space="preserve"> The presence of intoxication in these circumstances does not automatically prove the existence of mens rea, it allows the prosecution to ask the jury to consider whether they would have had it if they had not been intoxicated</w:t>
      </w:r>
      <w:r w:rsidRPr="000A66A1">
        <w:rPr>
          <w:rStyle w:val="FootnoteReference"/>
          <w:rFonts w:asciiTheme="minorHAnsi" w:hAnsiTheme="minorHAnsi"/>
        </w:rPr>
        <w:footnoteReference w:id="36"/>
      </w:r>
      <w:r w:rsidR="00FF3072" w:rsidRPr="000A66A1">
        <w:rPr>
          <w:rFonts w:asciiTheme="minorHAnsi" w:hAnsiTheme="minorHAnsi"/>
        </w:rPr>
        <w:t>.</w:t>
      </w:r>
      <w:r w:rsidRPr="000A66A1">
        <w:rPr>
          <w:rFonts w:asciiTheme="minorHAnsi" w:hAnsiTheme="minorHAnsi"/>
        </w:rPr>
        <w:t xml:space="preserve"> </w:t>
      </w:r>
    </w:p>
    <w:p w14:paraId="6D2D38BC" w14:textId="77777777" w:rsidR="00A3316F" w:rsidRPr="000A66A1" w:rsidRDefault="00A3316F" w:rsidP="000A66A1">
      <w:pPr>
        <w:spacing w:line="360" w:lineRule="auto"/>
        <w:jc w:val="both"/>
        <w:rPr>
          <w:rFonts w:asciiTheme="minorHAnsi" w:hAnsiTheme="minorHAnsi"/>
        </w:rPr>
      </w:pPr>
    </w:p>
    <w:p w14:paraId="375388E6" w14:textId="3FB94863" w:rsidR="002C2219" w:rsidRPr="000A66A1" w:rsidRDefault="002C2219" w:rsidP="000A66A1">
      <w:pPr>
        <w:spacing w:line="360" w:lineRule="auto"/>
        <w:jc w:val="both"/>
        <w:rPr>
          <w:rFonts w:asciiTheme="minorHAnsi" w:hAnsiTheme="minorHAnsi"/>
        </w:rPr>
      </w:pPr>
      <w:r w:rsidRPr="000A66A1">
        <w:rPr>
          <w:rFonts w:asciiTheme="minorHAnsi" w:hAnsiTheme="minorHAnsi"/>
        </w:rPr>
        <w:t xml:space="preserve">The judgements in </w:t>
      </w:r>
      <w:r w:rsidRPr="000A66A1">
        <w:rPr>
          <w:rFonts w:asciiTheme="minorHAnsi" w:hAnsiTheme="minorHAnsi"/>
          <w:i/>
        </w:rPr>
        <w:t>Majewski</w:t>
      </w:r>
      <w:r w:rsidR="004857DB" w:rsidRPr="000A66A1">
        <w:rPr>
          <w:rStyle w:val="FootnoteReference"/>
          <w:rFonts w:asciiTheme="minorHAnsi" w:hAnsiTheme="minorHAnsi"/>
          <w:i/>
        </w:rPr>
        <w:footnoteReference w:id="37"/>
      </w:r>
      <w:r w:rsidRPr="000A66A1">
        <w:rPr>
          <w:rFonts w:asciiTheme="minorHAnsi" w:hAnsiTheme="minorHAnsi"/>
        </w:rPr>
        <w:t xml:space="preserve"> suggest that there are two types of ‘specific int</w:t>
      </w:r>
      <w:r w:rsidR="00E30098" w:rsidRPr="000A66A1">
        <w:rPr>
          <w:rFonts w:asciiTheme="minorHAnsi" w:hAnsiTheme="minorHAnsi"/>
        </w:rPr>
        <w:t>ent’ offences. The first labelled</w:t>
      </w:r>
      <w:r w:rsidRPr="000A66A1">
        <w:rPr>
          <w:rFonts w:asciiTheme="minorHAnsi" w:hAnsiTheme="minorHAnsi"/>
        </w:rPr>
        <w:t xml:space="preserve"> by Lord Elwyn Jones </w:t>
      </w:r>
      <w:r w:rsidR="00E30098" w:rsidRPr="000A66A1">
        <w:rPr>
          <w:rFonts w:asciiTheme="minorHAnsi" w:hAnsiTheme="minorHAnsi"/>
        </w:rPr>
        <w:t>as a crime with ‘ulterior intent’</w:t>
      </w:r>
      <w:r w:rsidR="004857DB" w:rsidRPr="000A66A1">
        <w:rPr>
          <w:rStyle w:val="FootnoteReference"/>
          <w:rFonts w:asciiTheme="minorHAnsi" w:hAnsiTheme="minorHAnsi"/>
        </w:rPr>
        <w:footnoteReference w:id="38"/>
      </w:r>
      <w:r w:rsidR="00E30098" w:rsidRPr="000A66A1">
        <w:rPr>
          <w:rFonts w:asciiTheme="minorHAnsi" w:hAnsiTheme="minorHAnsi"/>
        </w:rPr>
        <w:t xml:space="preserve">. </w:t>
      </w:r>
      <w:r w:rsidR="0037480D" w:rsidRPr="000A66A1">
        <w:rPr>
          <w:rFonts w:asciiTheme="minorHAnsi" w:hAnsiTheme="minorHAnsi"/>
        </w:rPr>
        <w:t>This is where the mens rea of the crime goes beyond the actus reus</w:t>
      </w:r>
      <w:r w:rsidR="004857DB" w:rsidRPr="000A66A1">
        <w:rPr>
          <w:rStyle w:val="FootnoteReference"/>
          <w:rFonts w:asciiTheme="minorHAnsi" w:hAnsiTheme="minorHAnsi"/>
        </w:rPr>
        <w:footnoteReference w:id="39"/>
      </w:r>
      <w:r w:rsidR="0037480D" w:rsidRPr="000A66A1">
        <w:rPr>
          <w:rFonts w:asciiTheme="minorHAnsi" w:hAnsiTheme="minorHAnsi"/>
        </w:rPr>
        <w:t>.</w:t>
      </w:r>
      <w:r w:rsidR="00834D52" w:rsidRPr="000A66A1">
        <w:rPr>
          <w:rFonts w:asciiTheme="minorHAnsi" w:hAnsiTheme="minorHAnsi"/>
        </w:rPr>
        <w:t xml:space="preserve"> </w:t>
      </w:r>
      <w:r w:rsidR="0037480D" w:rsidRPr="000A66A1">
        <w:rPr>
          <w:rFonts w:asciiTheme="minorHAnsi" w:hAnsiTheme="minorHAnsi"/>
        </w:rPr>
        <w:t>An example of this type of offence would be theft</w:t>
      </w:r>
      <w:r w:rsidR="004857DB" w:rsidRPr="000A66A1">
        <w:rPr>
          <w:rStyle w:val="FootnoteReference"/>
          <w:rFonts w:asciiTheme="minorHAnsi" w:hAnsiTheme="minorHAnsi"/>
        </w:rPr>
        <w:footnoteReference w:id="40"/>
      </w:r>
      <w:r w:rsidR="0037480D" w:rsidRPr="000A66A1">
        <w:rPr>
          <w:rFonts w:asciiTheme="minorHAnsi" w:hAnsiTheme="minorHAnsi"/>
        </w:rPr>
        <w:t xml:space="preserve">.The actus reus requires D to </w:t>
      </w:r>
      <w:r w:rsidR="00283A5A" w:rsidRPr="000A66A1">
        <w:rPr>
          <w:rFonts w:asciiTheme="minorHAnsi" w:hAnsiTheme="minorHAnsi"/>
        </w:rPr>
        <w:t>‘</w:t>
      </w:r>
      <w:r w:rsidR="0037480D" w:rsidRPr="000A66A1">
        <w:rPr>
          <w:rFonts w:asciiTheme="minorHAnsi" w:hAnsiTheme="minorHAnsi"/>
        </w:rPr>
        <w:t>appropriate property belonging to another</w:t>
      </w:r>
      <w:r w:rsidR="00283A5A" w:rsidRPr="000A66A1">
        <w:rPr>
          <w:rFonts w:asciiTheme="minorHAnsi" w:hAnsiTheme="minorHAnsi"/>
        </w:rPr>
        <w:t>’</w:t>
      </w:r>
      <w:r w:rsidR="0037480D" w:rsidRPr="000A66A1">
        <w:rPr>
          <w:rFonts w:asciiTheme="minorHAnsi" w:hAnsiTheme="minorHAnsi"/>
        </w:rPr>
        <w:t xml:space="preserve"> for them to be found guilty of this offence</w:t>
      </w:r>
      <w:r w:rsidR="004857DB" w:rsidRPr="000A66A1">
        <w:rPr>
          <w:rStyle w:val="FootnoteReference"/>
          <w:rFonts w:asciiTheme="minorHAnsi" w:hAnsiTheme="minorHAnsi"/>
        </w:rPr>
        <w:footnoteReference w:id="41"/>
      </w:r>
      <w:r w:rsidR="0037480D" w:rsidRPr="000A66A1">
        <w:rPr>
          <w:rFonts w:asciiTheme="minorHAnsi" w:hAnsiTheme="minorHAnsi"/>
        </w:rPr>
        <w:t xml:space="preserve">. The mere actus reus on its own </w:t>
      </w:r>
      <w:r w:rsidR="00FF3072" w:rsidRPr="000A66A1">
        <w:rPr>
          <w:rFonts w:asciiTheme="minorHAnsi" w:hAnsiTheme="minorHAnsi"/>
        </w:rPr>
        <w:t>does</w:t>
      </w:r>
      <w:r w:rsidR="0037480D" w:rsidRPr="000A66A1">
        <w:rPr>
          <w:rFonts w:asciiTheme="minorHAnsi" w:hAnsiTheme="minorHAnsi"/>
        </w:rPr>
        <w:t xml:space="preserve"> not actually </w:t>
      </w:r>
      <w:r w:rsidR="00FF3072" w:rsidRPr="000A66A1">
        <w:rPr>
          <w:rFonts w:asciiTheme="minorHAnsi" w:hAnsiTheme="minorHAnsi"/>
        </w:rPr>
        <w:t xml:space="preserve">constitute </w:t>
      </w:r>
      <w:r w:rsidR="0037480D" w:rsidRPr="000A66A1">
        <w:rPr>
          <w:rFonts w:asciiTheme="minorHAnsi" w:hAnsiTheme="minorHAnsi"/>
        </w:rPr>
        <w:t xml:space="preserve">a crime. To pick up a pen of another person is </w:t>
      </w:r>
      <w:r w:rsidR="005D55B8" w:rsidRPr="000A66A1">
        <w:rPr>
          <w:rFonts w:asciiTheme="minorHAnsi" w:hAnsiTheme="minorHAnsi"/>
        </w:rPr>
        <w:t xml:space="preserve">technically </w:t>
      </w:r>
      <w:r w:rsidR="0037480D" w:rsidRPr="000A66A1">
        <w:rPr>
          <w:rFonts w:asciiTheme="minorHAnsi" w:hAnsiTheme="minorHAnsi"/>
        </w:rPr>
        <w:t>‘appropriating property belonging to another’</w:t>
      </w:r>
      <w:r w:rsidR="004857DB" w:rsidRPr="000A66A1">
        <w:rPr>
          <w:rStyle w:val="FootnoteReference"/>
          <w:rFonts w:asciiTheme="minorHAnsi" w:hAnsiTheme="minorHAnsi"/>
        </w:rPr>
        <w:footnoteReference w:id="42"/>
      </w:r>
      <w:r w:rsidR="004857DB" w:rsidRPr="000A66A1">
        <w:rPr>
          <w:rFonts w:asciiTheme="minorHAnsi" w:hAnsiTheme="minorHAnsi"/>
        </w:rPr>
        <w:t>. H</w:t>
      </w:r>
      <w:r w:rsidR="0037480D" w:rsidRPr="000A66A1">
        <w:rPr>
          <w:rFonts w:asciiTheme="minorHAnsi" w:hAnsiTheme="minorHAnsi"/>
        </w:rPr>
        <w:t>owev</w:t>
      </w:r>
      <w:r w:rsidR="0047745F" w:rsidRPr="000A66A1">
        <w:rPr>
          <w:rFonts w:asciiTheme="minorHAnsi" w:hAnsiTheme="minorHAnsi"/>
        </w:rPr>
        <w:t>er</w:t>
      </w:r>
      <w:r w:rsidR="004857DB" w:rsidRPr="000A66A1">
        <w:rPr>
          <w:rFonts w:asciiTheme="minorHAnsi" w:hAnsiTheme="minorHAnsi"/>
        </w:rPr>
        <w:t>,</w:t>
      </w:r>
      <w:r w:rsidR="0047745F" w:rsidRPr="000A66A1">
        <w:rPr>
          <w:rFonts w:asciiTheme="minorHAnsi" w:hAnsiTheme="minorHAnsi"/>
        </w:rPr>
        <w:t xml:space="preserve"> it would not be considered to be</w:t>
      </w:r>
      <w:r w:rsidR="0037480D" w:rsidRPr="000A66A1">
        <w:rPr>
          <w:rFonts w:asciiTheme="minorHAnsi" w:hAnsiTheme="minorHAnsi"/>
        </w:rPr>
        <w:t xml:space="preserve"> a theft due to the </w:t>
      </w:r>
      <w:r w:rsidR="00CE62A8" w:rsidRPr="000A66A1">
        <w:rPr>
          <w:rFonts w:asciiTheme="minorHAnsi" w:hAnsiTheme="minorHAnsi"/>
        </w:rPr>
        <w:t>absence of the mens rea components.</w:t>
      </w:r>
      <w:r w:rsidR="00283A5A" w:rsidRPr="000A66A1">
        <w:rPr>
          <w:rFonts w:asciiTheme="minorHAnsi" w:hAnsiTheme="minorHAnsi"/>
        </w:rPr>
        <w:t xml:space="preserve"> Simply appropriating an item in itself will not constitute a theft, the ‘dishonesty’ in relation to that appropriation and the ‘intention to permanently deprive’, will.</w:t>
      </w:r>
      <w:r w:rsidR="004857DB" w:rsidRPr="000A66A1">
        <w:rPr>
          <w:rFonts w:asciiTheme="minorHAnsi" w:hAnsiTheme="minorHAnsi"/>
        </w:rPr>
        <w:t xml:space="preserve"> </w:t>
      </w:r>
      <w:r w:rsidR="00CE62A8" w:rsidRPr="000A66A1">
        <w:rPr>
          <w:rFonts w:asciiTheme="minorHAnsi" w:hAnsiTheme="minorHAnsi"/>
        </w:rPr>
        <w:t>Therefore</w:t>
      </w:r>
      <w:r w:rsidR="00F26C2D" w:rsidRPr="000A66A1">
        <w:rPr>
          <w:rFonts w:asciiTheme="minorHAnsi" w:hAnsiTheme="minorHAnsi"/>
        </w:rPr>
        <w:t>,</w:t>
      </w:r>
      <w:r w:rsidR="00CE62A8" w:rsidRPr="000A66A1">
        <w:rPr>
          <w:rFonts w:asciiTheme="minorHAnsi" w:hAnsiTheme="minorHAnsi"/>
        </w:rPr>
        <w:t xml:space="preserve"> the criminal nature of </w:t>
      </w:r>
      <w:r w:rsidR="005D55B8" w:rsidRPr="000A66A1">
        <w:rPr>
          <w:rFonts w:asciiTheme="minorHAnsi" w:hAnsiTheme="minorHAnsi"/>
        </w:rPr>
        <w:t xml:space="preserve">this </w:t>
      </w:r>
      <w:r w:rsidR="00CE62A8" w:rsidRPr="000A66A1">
        <w:rPr>
          <w:rFonts w:asciiTheme="minorHAnsi" w:hAnsiTheme="minorHAnsi"/>
        </w:rPr>
        <w:t>offe</w:t>
      </w:r>
      <w:r w:rsidR="00F163E2" w:rsidRPr="000A66A1">
        <w:rPr>
          <w:rFonts w:asciiTheme="minorHAnsi" w:hAnsiTheme="minorHAnsi"/>
        </w:rPr>
        <w:t xml:space="preserve">nce </w:t>
      </w:r>
      <w:r w:rsidR="00CE62A8" w:rsidRPr="000A66A1">
        <w:rPr>
          <w:rFonts w:asciiTheme="minorHAnsi" w:hAnsiTheme="minorHAnsi"/>
        </w:rPr>
        <w:t>is nestled within the mens rea.</w:t>
      </w:r>
      <w:r w:rsidR="00F163E2" w:rsidRPr="000A66A1">
        <w:rPr>
          <w:rFonts w:asciiTheme="minorHAnsi" w:hAnsiTheme="minorHAnsi"/>
        </w:rPr>
        <w:t xml:space="preserve"> It determines the criminal character of the entire crime</w:t>
      </w:r>
      <w:r w:rsidR="004857DB" w:rsidRPr="000A66A1">
        <w:rPr>
          <w:rStyle w:val="FootnoteReference"/>
          <w:rFonts w:asciiTheme="minorHAnsi" w:hAnsiTheme="minorHAnsi"/>
        </w:rPr>
        <w:footnoteReference w:id="43"/>
      </w:r>
      <w:r w:rsidR="00F163E2" w:rsidRPr="000A66A1">
        <w:rPr>
          <w:rFonts w:asciiTheme="minorHAnsi" w:hAnsiTheme="minorHAnsi"/>
        </w:rPr>
        <w:t xml:space="preserve">. </w:t>
      </w:r>
      <w:r w:rsidR="0047745F" w:rsidRPr="000A66A1">
        <w:rPr>
          <w:rFonts w:asciiTheme="minorHAnsi" w:hAnsiTheme="minorHAnsi"/>
        </w:rPr>
        <w:t>Compared to the definition of a ‘basic intent’ offence, the mens rea of theft does go beyond the actus reus</w:t>
      </w:r>
      <w:r w:rsidR="005D55B8" w:rsidRPr="000A66A1">
        <w:rPr>
          <w:rFonts w:asciiTheme="minorHAnsi" w:hAnsiTheme="minorHAnsi"/>
        </w:rPr>
        <w:t>, meaning it will be classed as a ‘specific intent’ crime</w:t>
      </w:r>
      <w:r w:rsidR="0047745F" w:rsidRPr="000A66A1">
        <w:rPr>
          <w:rFonts w:asciiTheme="minorHAnsi" w:hAnsiTheme="minorHAnsi"/>
        </w:rPr>
        <w:t>.</w:t>
      </w:r>
    </w:p>
    <w:p w14:paraId="048957C3" w14:textId="77777777" w:rsidR="00F163E2" w:rsidRPr="000A66A1" w:rsidRDefault="00F163E2" w:rsidP="000A66A1">
      <w:pPr>
        <w:spacing w:line="360" w:lineRule="auto"/>
        <w:jc w:val="both"/>
        <w:rPr>
          <w:rFonts w:asciiTheme="minorHAnsi" w:hAnsiTheme="minorHAnsi"/>
        </w:rPr>
      </w:pPr>
    </w:p>
    <w:p w14:paraId="1AED312A" w14:textId="6281F4EE" w:rsidR="006236AE" w:rsidRPr="000A66A1" w:rsidRDefault="009519AD" w:rsidP="000A66A1">
      <w:pPr>
        <w:spacing w:line="360" w:lineRule="auto"/>
        <w:jc w:val="both"/>
        <w:rPr>
          <w:rFonts w:asciiTheme="minorHAnsi" w:hAnsiTheme="minorHAnsi"/>
        </w:rPr>
      </w:pPr>
      <w:r w:rsidRPr="000A66A1">
        <w:rPr>
          <w:rFonts w:asciiTheme="minorHAnsi" w:hAnsiTheme="minorHAnsi"/>
        </w:rPr>
        <w:t>Lord Simon identifie</w:t>
      </w:r>
      <w:r w:rsidR="00A51FBF" w:rsidRPr="000A66A1">
        <w:rPr>
          <w:rFonts w:asciiTheme="minorHAnsi" w:hAnsiTheme="minorHAnsi"/>
        </w:rPr>
        <w:t>d the other type of offence as</w:t>
      </w:r>
      <w:r w:rsidRPr="000A66A1">
        <w:rPr>
          <w:rFonts w:asciiTheme="minorHAnsi" w:hAnsiTheme="minorHAnsi"/>
        </w:rPr>
        <w:t xml:space="preserve"> ‘purposive intent’</w:t>
      </w:r>
      <w:r w:rsidR="004857DB" w:rsidRPr="000A66A1">
        <w:rPr>
          <w:rStyle w:val="FootnoteReference"/>
          <w:rFonts w:asciiTheme="minorHAnsi" w:hAnsiTheme="minorHAnsi"/>
        </w:rPr>
        <w:footnoteReference w:id="44"/>
      </w:r>
      <w:r w:rsidR="004857DB" w:rsidRPr="000A66A1">
        <w:rPr>
          <w:rFonts w:asciiTheme="minorHAnsi" w:hAnsiTheme="minorHAnsi"/>
        </w:rPr>
        <w:t xml:space="preserve">. This denotes </w:t>
      </w:r>
      <w:r w:rsidRPr="000A66A1">
        <w:rPr>
          <w:rFonts w:asciiTheme="minorHAnsi" w:hAnsiTheme="minorHAnsi"/>
        </w:rPr>
        <w:t>simply an intention rather than recklessness</w:t>
      </w:r>
      <w:r w:rsidR="004857DB" w:rsidRPr="000A66A1">
        <w:rPr>
          <w:rStyle w:val="FootnoteReference"/>
          <w:rFonts w:asciiTheme="minorHAnsi" w:hAnsiTheme="minorHAnsi"/>
        </w:rPr>
        <w:footnoteReference w:id="45"/>
      </w:r>
      <w:r w:rsidRPr="000A66A1">
        <w:rPr>
          <w:rFonts w:asciiTheme="minorHAnsi" w:hAnsiTheme="minorHAnsi"/>
        </w:rPr>
        <w:t>. For example</w:t>
      </w:r>
      <w:r w:rsidR="004857DB" w:rsidRPr="000A66A1">
        <w:rPr>
          <w:rFonts w:asciiTheme="minorHAnsi" w:hAnsiTheme="minorHAnsi"/>
        </w:rPr>
        <w:t>,</w:t>
      </w:r>
      <w:r w:rsidRPr="000A66A1">
        <w:rPr>
          <w:rFonts w:asciiTheme="minorHAnsi" w:hAnsiTheme="minorHAnsi"/>
        </w:rPr>
        <w:t xml:space="preserve"> with murder, </w:t>
      </w:r>
      <w:r w:rsidR="00672661" w:rsidRPr="000A66A1">
        <w:rPr>
          <w:rFonts w:asciiTheme="minorHAnsi" w:hAnsiTheme="minorHAnsi"/>
        </w:rPr>
        <w:t xml:space="preserve">the mens rea is </w:t>
      </w:r>
      <w:r w:rsidRPr="000A66A1">
        <w:rPr>
          <w:rFonts w:asciiTheme="minorHAnsi" w:hAnsiTheme="minorHAnsi"/>
        </w:rPr>
        <w:t>either an intention to kill or the intention to cause serious harm</w:t>
      </w:r>
      <w:r w:rsidR="004857DB" w:rsidRPr="000A66A1">
        <w:rPr>
          <w:rStyle w:val="FootnoteReference"/>
          <w:rFonts w:asciiTheme="minorHAnsi" w:hAnsiTheme="minorHAnsi"/>
        </w:rPr>
        <w:footnoteReference w:id="46"/>
      </w:r>
      <w:r w:rsidRPr="000A66A1">
        <w:rPr>
          <w:rFonts w:asciiTheme="minorHAnsi" w:hAnsiTheme="minorHAnsi"/>
        </w:rPr>
        <w:t xml:space="preserve">. </w:t>
      </w:r>
      <w:r w:rsidRPr="000A66A1">
        <w:rPr>
          <w:rFonts w:asciiTheme="minorHAnsi" w:hAnsiTheme="minorHAnsi"/>
        </w:rPr>
        <w:lastRenderedPageBreak/>
        <w:t>For this offence, recklessness would not suffice</w:t>
      </w:r>
      <w:r w:rsidR="004857DB" w:rsidRPr="000A66A1">
        <w:rPr>
          <w:rFonts w:asciiTheme="minorHAnsi" w:hAnsiTheme="minorHAnsi"/>
        </w:rPr>
        <w:t xml:space="preserve"> </w:t>
      </w:r>
      <w:r w:rsidRPr="000A66A1">
        <w:rPr>
          <w:rFonts w:asciiTheme="minorHAnsi" w:hAnsiTheme="minorHAnsi"/>
        </w:rPr>
        <w:t>so it is an offence with purposive intent</w:t>
      </w:r>
      <w:r w:rsidR="004857DB" w:rsidRPr="000A66A1">
        <w:rPr>
          <w:rStyle w:val="FootnoteReference"/>
          <w:rFonts w:asciiTheme="minorHAnsi" w:hAnsiTheme="minorHAnsi"/>
        </w:rPr>
        <w:footnoteReference w:id="47"/>
      </w:r>
      <w:r w:rsidRPr="000A66A1">
        <w:rPr>
          <w:rFonts w:asciiTheme="minorHAnsi" w:hAnsiTheme="minorHAnsi"/>
        </w:rPr>
        <w:t>.</w:t>
      </w:r>
    </w:p>
    <w:p w14:paraId="7A6B8415" w14:textId="77777777" w:rsidR="009F77C8" w:rsidRPr="000A66A1" w:rsidRDefault="009F77C8" w:rsidP="000A66A1">
      <w:pPr>
        <w:spacing w:line="360" w:lineRule="auto"/>
        <w:jc w:val="both"/>
        <w:rPr>
          <w:rFonts w:asciiTheme="minorHAnsi" w:hAnsiTheme="minorHAnsi"/>
        </w:rPr>
      </w:pPr>
    </w:p>
    <w:p w14:paraId="0995E8EF" w14:textId="7FA0A4EA" w:rsidR="009D1CC3" w:rsidRPr="000A66A1" w:rsidRDefault="003D30AB" w:rsidP="000A66A1">
      <w:pPr>
        <w:spacing w:line="360" w:lineRule="auto"/>
        <w:jc w:val="both"/>
        <w:rPr>
          <w:rFonts w:asciiTheme="minorHAnsi" w:hAnsiTheme="minorHAnsi"/>
        </w:rPr>
      </w:pPr>
      <w:r w:rsidRPr="000A66A1">
        <w:rPr>
          <w:rFonts w:asciiTheme="minorHAnsi" w:hAnsiTheme="minorHAnsi"/>
        </w:rPr>
        <w:t>This distinction</w:t>
      </w:r>
      <w:r w:rsidR="009F77C8" w:rsidRPr="000A66A1">
        <w:rPr>
          <w:rFonts w:asciiTheme="minorHAnsi" w:hAnsiTheme="minorHAnsi"/>
        </w:rPr>
        <w:t xml:space="preserve"> </w:t>
      </w:r>
      <w:r w:rsidR="00283A5A" w:rsidRPr="000A66A1">
        <w:rPr>
          <w:rFonts w:asciiTheme="minorHAnsi" w:hAnsiTheme="minorHAnsi"/>
        </w:rPr>
        <w:t xml:space="preserve">between basic and specific intent </w:t>
      </w:r>
      <w:r w:rsidR="009F77C8" w:rsidRPr="000A66A1">
        <w:rPr>
          <w:rFonts w:asciiTheme="minorHAnsi" w:hAnsiTheme="minorHAnsi"/>
        </w:rPr>
        <w:t>takes into account moral sensitivity</w:t>
      </w:r>
      <w:r w:rsidR="00A51FBF" w:rsidRPr="000A66A1">
        <w:rPr>
          <w:rFonts w:asciiTheme="minorHAnsi" w:hAnsiTheme="minorHAnsi"/>
        </w:rPr>
        <w:t xml:space="preserve"> by excluding specific</w:t>
      </w:r>
      <w:r w:rsidR="009F77C8" w:rsidRPr="000A66A1">
        <w:rPr>
          <w:rFonts w:asciiTheme="minorHAnsi" w:hAnsiTheme="minorHAnsi"/>
        </w:rPr>
        <w:t xml:space="preserve"> intent offences from the doctrine. For offences</w:t>
      </w:r>
      <w:r w:rsidR="00283A5A" w:rsidRPr="000A66A1">
        <w:rPr>
          <w:rFonts w:asciiTheme="minorHAnsi" w:hAnsiTheme="minorHAnsi"/>
        </w:rPr>
        <w:t xml:space="preserve"> wi</w:t>
      </w:r>
      <w:r w:rsidR="00660AC7" w:rsidRPr="000A66A1">
        <w:rPr>
          <w:rFonts w:asciiTheme="minorHAnsi" w:hAnsiTheme="minorHAnsi"/>
        </w:rPr>
        <w:t>t</w:t>
      </w:r>
      <w:r w:rsidR="00283A5A" w:rsidRPr="000A66A1">
        <w:rPr>
          <w:rFonts w:asciiTheme="minorHAnsi" w:hAnsiTheme="minorHAnsi"/>
        </w:rPr>
        <w:t>h a more serious mens rea</w:t>
      </w:r>
      <w:r w:rsidR="009F77C8" w:rsidRPr="000A66A1">
        <w:rPr>
          <w:rFonts w:asciiTheme="minorHAnsi" w:hAnsiTheme="minorHAnsi"/>
        </w:rPr>
        <w:t>, an intoxicated wrongdoer is not held to the same standard as the most serious offender for that crime</w:t>
      </w:r>
      <w:r w:rsidR="004857DB" w:rsidRPr="000A66A1">
        <w:rPr>
          <w:rStyle w:val="FootnoteReference"/>
          <w:rFonts w:asciiTheme="minorHAnsi" w:hAnsiTheme="minorHAnsi"/>
        </w:rPr>
        <w:footnoteReference w:id="48"/>
      </w:r>
      <w:r w:rsidR="009F77C8" w:rsidRPr="000A66A1">
        <w:rPr>
          <w:rFonts w:asciiTheme="minorHAnsi" w:hAnsiTheme="minorHAnsi"/>
        </w:rPr>
        <w:t>.</w:t>
      </w:r>
      <w:r w:rsidR="000D3320" w:rsidRPr="000A66A1">
        <w:rPr>
          <w:rFonts w:asciiTheme="minorHAnsi" w:hAnsiTheme="minorHAnsi"/>
        </w:rPr>
        <w:t xml:space="preserve"> Rather than intoxication acting as a defence, it really just prohibits the prosecution from being able to prove the presence o</w:t>
      </w:r>
      <w:r w:rsidRPr="000A66A1">
        <w:rPr>
          <w:rFonts w:asciiTheme="minorHAnsi" w:hAnsiTheme="minorHAnsi"/>
        </w:rPr>
        <w:t>f</w:t>
      </w:r>
      <w:r w:rsidR="000D3320" w:rsidRPr="000A66A1">
        <w:rPr>
          <w:rFonts w:asciiTheme="minorHAnsi" w:hAnsiTheme="minorHAnsi"/>
        </w:rPr>
        <w:t xml:space="preserve"> mens rea in cases where there is ‘specific intent’.</w:t>
      </w:r>
    </w:p>
    <w:p w14:paraId="143B96DA" w14:textId="77777777" w:rsidR="00857EB7" w:rsidRPr="000A66A1" w:rsidRDefault="00857EB7" w:rsidP="000A66A1">
      <w:pPr>
        <w:spacing w:line="360" w:lineRule="auto"/>
        <w:jc w:val="both"/>
        <w:rPr>
          <w:rFonts w:asciiTheme="minorHAnsi" w:hAnsiTheme="minorHAnsi"/>
          <w:u w:val="single"/>
        </w:rPr>
      </w:pPr>
    </w:p>
    <w:p w14:paraId="61C98450" w14:textId="1F2FF46C" w:rsidR="009365B4" w:rsidRPr="000A66A1" w:rsidRDefault="004F7571" w:rsidP="000A66A1">
      <w:pPr>
        <w:spacing w:line="360" w:lineRule="auto"/>
        <w:jc w:val="both"/>
        <w:rPr>
          <w:rFonts w:asciiTheme="minorHAnsi" w:hAnsiTheme="minorHAnsi"/>
        </w:rPr>
      </w:pPr>
      <w:r w:rsidRPr="000A66A1">
        <w:rPr>
          <w:rFonts w:asciiTheme="minorHAnsi" w:hAnsiTheme="minorHAnsi"/>
        </w:rPr>
        <w:t>The structure of this article reflects an important contrast between offences of violence and offences against property.</w:t>
      </w:r>
      <w:r w:rsidR="00BE4D5D" w:rsidRPr="000A66A1">
        <w:rPr>
          <w:rFonts w:asciiTheme="minorHAnsi" w:hAnsiTheme="minorHAnsi"/>
        </w:rPr>
        <w:t xml:space="preserve"> </w:t>
      </w:r>
      <w:r w:rsidR="009365B4" w:rsidRPr="000A66A1">
        <w:rPr>
          <w:rFonts w:asciiTheme="minorHAnsi" w:hAnsiTheme="minorHAnsi"/>
        </w:rPr>
        <w:t>With</w:t>
      </w:r>
      <w:r w:rsidR="00C113C6" w:rsidRPr="000A66A1">
        <w:rPr>
          <w:rFonts w:asciiTheme="minorHAnsi" w:hAnsiTheme="minorHAnsi"/>
        </w:rPr>
        <w:t xml:space="preserve"> violent offences</w:t>
      </w:r>
      <w:r w:rsidR="009365B4" w:rsidRPr="000A66A1">
        <w:rPr>
          <w:rFonts w:asciiTheme="minorHAnsi" w:hAnsiTheme="minorHAnsi"/>
        </w:rPr>
        <w:t xml:space="preserve">, generally there is some form of overlap of </w:t>
      </w:r>
      <w:r w:rsidR="001E25CA" w:rsidRPr="000A66A1">
        <w:rPr>
          <w:rFonts w:asciiTheme="minorHAnsi" w:hAnsiTheme="minorHAnsi"/>
        </w:rPr>
        <w:t xml:space="preserve">the </w:t>
      </w:r>
      <w:r w:rsidR="009365B4" w:rsidRPr="000A66A1">
        <w:rPr>
          <w:rFonts w:asciiTheme="minorHAnsi" w:hAnsiTheme="minorHAnsi"/>
        </w:rPr>
        <w:t>actus reus</w:t>
      </w:r>
      <w:r w:rsidR="00B26B37" w:rsidRPr="000A66A1">
        <w:rPr>
          <w:rFonts w:asciiTheme="minorHAnsi" w:hAnsiTheme="minorHAnsi"/>
        </w:rPr>
        <w:t xml:space="preserve"> between two separate offences</w:t>
      </w:r>
      <w:r w:rsidR="001E25CA" w:rsidRPr="000A66A1">
        <w:rPr>
          <w:rFonts w:asciiTheme="minorHAnsi" w:hAnsiTheme="minorHAnsi"/>
        </w:rPr>
        <w:t xml:space="preserve"> within the same class</w:t>
      </w:r>
      <w:r w:rsidR="00B26B37" w:rsidRPr="000A66A1">
        <w:rPr>
          <w:rFonts w:asciiTheme="minorHAnsi" w:hAnsiTheme="minorHAnsi"/>
        </w:rPr>
        <w:t>. With</w:t>
      </w:r>
      <w:r w:rsidR="004857DB" w:rsidRPr="000A66A1">
        <w:rPr>
          <w:rFonts w:asciiTheme="minorHAnsi" w:hAnsiTheme="minorHAnsi"/>
        </w:rPr>
        <w:t xml:space="preserve"> both</w:t>
      </w:r>
      <w:r w:rsidR="00B26B37" w:rsidRPr="000A66A1">
        <w:rPr>
          <w:rFonts w:asciiTheme="minorHAnsi" w:hAnsiTheme="minorHAnsi"/>
        </w:rPr>
        <w:t xml:space="preserve"> </w:t>
      </w:r>
      <w:r w:rsidR="004857DB" w:rsidRPr="000A66A1">
        <w:rPr>
          <w:rFonts w:asciiTheme="minorHAnsi" w:hAnsiTheme="minorHAnsi"/>
        </w:rPr>
        <w:t xml:space="preserve">section </w:t>
      </w:r>
      <w:r w:rsidR="00B26B37" w:rsidRPr="000A66A1">
        <w:rPr>
          <w:rFonts w:asciiTheme="minorHAnsi" w:hAnsiTheme="minorHAnsi"/>
        </w:rPr>
        <w:t>18</w:t>
      </w:r>
      <w:r w:rsidR="004857DB" w:rsidRPr="000A66A1">
        <w:rPr>
          <w:rStyle w:val="FootnoteReference"/>
          <w:rFonts w:asciiTheme="minorHAnsi" w:hAnsiTheme="minorHAnsi"/>
        </w:rPr>
        <w:footnoteReference w:id="49"/>
      </w:r>
      <w:r w:rsidR="00B26B37" w:rsidRPr="000A66A1">
        <w:rPr>
          <w:rFonts w:asciiTheme="minorHAnsi" w:hAnsiTheme="minorHAnsi"/>
        </w:rPr>
        <w:t xml:space="preserve"> and s</w:t>
      </w:r>
      <w:r w:rsidR="004857DB" w:rsidRPr="000A66A1">
        <w:rPr>
          <w:rFonts w:asciiTheme="minorHAnsi" w:hAnsiTheme="minorHAnsi"/>
        </w:rPr>
        <w:t xml:space="preserve">ection </w:t>
      </w:r>
      <w:r w:rsidR="00B26B37" w:rsidRPr="000A66A1">
        <w:rPr>
          <w:rFonts w:asciiTheme="minorHAnsi" w:hAnsiTheme="minorHAnsi"/>
        </w:rPr>
        <w:t>20</w:t>
      </w:r>
      <w:r w:rsidR="004857DB" w:rsidRPr="000A66A1">
        <w:rPr>
          <w:rStyle w:val="FootnoteReference"/>
          <w:rFonts w:asciiTheme="minorHAnsi" w:hAnsiTheme="minorHAnsi"/>
        </w:rPr>
        <w:footnoteReference w:id="50"/>
      </w:r>
      <w:r w:rsidR="00B26B37" w:rsidRPr="000A66A1">
        <w:rPr>
          <w:rFonts w:asciiTheme="minorHAnsi" w:hAnsiTheme="minorHAnsi"/>
        </w:rPr>
        <w:t xml:space="preserve"> for </w:t>
      </w:r>
      <w:r w:rsidR="004857DB" w:rsidRPr="000A66A1">
        <w:rPr>
          <w:rFonts w:asciiTheme="minorHAnsi" w:hAnsiTheme="minorHAnsi"/>
        </w:rPr>
        <w:t>Grievous Bodily Harm (‘</w:t>
      </w:r>
      <w:r w:rsidR="00B26B37" w:rsidRPr="000A66A1">
        <w:rPr>
          <w:rFonts w:asciiTheme="minorHAnsi" w:hAnsiTheme="minorHAnsi"/>
        </w:rPr>
        <w:t>GBH</w:t>
      </w:r>
      <w:r w:rsidR="004857DB" w:rsidRPr="000A66A1">
        <w:rPr>
          <w:rFonts w:asciiTheme="minorHAnsi" w:hAnsiTheme="minorHAnsi"/>
        </w:rPr>
        <w:t>’)</w:t>
      </w:r>
      <w:r w:rsidR="00B26B37" w:rsidRPr="000A66A1">
        <w:rPr>
          <w:rFonts w:asciiTheme="minorHAnsi" w:hAnsiTheme="minorHAnsi"/>
        </w:rPr>
        <w:t xml:space="preserve">, the actus reus is the same, the </w:t>
      </w:r>
      <w:r w:rsidR="001E25CA" w:rsidRPr="000A66A1">
        <w:rPr>
          <w:rFonts w:asciiTheme="minorHAnsi" w:hAnsiTheme="minorHAnsi"/>
        </w:rPr>
        <w:t xml:space="preserve">only </w:t>
      </w:r>
      <w:r w:rsidR="00B26B37" w:rsidRPr="000A66A1">
        <w:rPr>
          <w:rFonts w:asciiTheme="minorHAnsi" w:hAnsiTheme="minorHAnsi"/>
        </w:rPr>
        <w:t>differentiating factor is the mens rea</w:t>
      </w:r>
      <w:r w:rsidR="004857DB" w:rsidRPr="000A66A1">
        <w:rPr>
          <w:rStyle w:val="FootnoteReference"/>
          <w:rFonts w:asciiTheme="minorHAnsi" w:hAnsiTheme="minorHAnsi"/>
        </w:rPr>
        <w:footnoteReference w:id="51"/>
      </w:r>
      <w:r w:rsidR="00B26B37" w:rsidRPr="000A66A1">
        <w:rPr>
          <w:rFonts w:asciiTheme="minorHAnsi" w:hAnsiTheme="minorHAnsi"/>
        </w:rPr>
        <w:t>.</w:t>
      </w:r>
      <w:r w:rsidR="009365B4" w:rsidRPr="000A66A1">
        <w:rPr>
          <w:rFonts w:asciiTheme="minorHAnsi" w:hAnsiTheme="minorHAnsi"/>
        </w:rPr>
        <w:t xml:space="preserve"> </w:t>
      </w:r>
      <w:r w:rsidR="00B26B37" w:rsidRPr="000A66A1">
        <w:rPr>
          <w:rFonts w:asciiTheme="minorHAnsi" w:hAnsiTheme="minorHAnsi"/>
        </w:rPr>
        <w:t xml:space="preserve">This is the same </w:t>
      </w:r>
      <w:r w:rsidR="00AF39CE" w:rsidRPr="000A66A1">
        <w:rPr>
          <w:rFonts w:asciiTheme="minorHAnsi" w:hAnsiTheme="minorHAnsi"/>
        </w:rPr>
        <w:t>distinction between</w:t>
      </w:r>
      <w:r w:rsidR="00B26B37" w:rsidRPr="000A66A1">
        <w:rPr>
          <w:rFonts w:asciiTheme="minorHAnsi" w:hAnsiTheme="minorHAnsi"/>
        </w:rPr>
        <w:t xml:space="preserve"> murder</w:t>
      </w:r>
      <w:r w:rsidR="00C113C6" w:rsidRPr="000A66A1">
        <w:rPr>
          <w:rStyle w:val="FootnoteReference"/>
          <w:rFonts w:asciiTheme="minorHAnsi" w:hAnsiTheme="minorHAnsi"/>
        </w:rPr>
        <w:footnoteReference w:id="52"/>
      </w:r>
      <w:r w:rsidR="00B26B37" w:rsidRPr="000A66A1">
        <w:rPr>
          <w:rFonts w:asciiTheme="minorHAnsi" w:hAnsiTheme="minorHAnsi"/>
        </w:rPr>
        <w:t xml:space="preserve"> and manslaughter</w:t>
      </w:r>
      <w:r w:rsidR="004857DB" w:rsidRPr="000A66A1">
        <w:rPr>
          <w:rStyle w:val="FootnoteReference"/>
          <w:rFonts w:asciiTheme="minorHAnsi" w:hAnsiTheme="minorHAnsi"/>
        </w:rPr>
        <w:footnoteReference w:id="53"/>
      </w:r>
      <w:r w:rsidR="00394F7D" w:rsidRPr="000A66A1">
        <w:rPr>
          <w:rFonts w:asciiTheme="minorHAnsi" w:hAnsiTheme="minorHAnsi"/>
        </w:rPr>
        <w:t xml:space="preserve">. The result is the </w:t>
      </w:r>
      <w:r w:rsidR="008478A3" w:rsidRPr="000A66A1">
        <w:rPr>
          <w:rFonts w:asciiTheme="minorHAnsi" w:hAnsiTheme="minorHAnsi"/>
        </w:rPr>
        <w:t>death</w:t>
      </w:r>
      <w:r w:rsidR="00394F7D" w:rsidRPr="000A66A1">
        <w:rPr>
          <w:rFonts w:asciiTheme="minorHAnsi" w:hAnsiTheme="minorHAnsi"/>
        </w:rPr>
        <w:t xml:space="preserve"> of the victim, but the mens rea for each crime differs. One crime is specific, </w:t>
      </w:r>
      <w:r w:rsidR="004857DB" w:rsidRPr="000A66A1">
        <w:rPr>
          <w:rFonts w:asciiTheme="minorHAnsi" w:hAnsiTheme="minorHAnsi"/>
        </w:rPr>
        <w:t xml:space="preserve">the other </w:t>
      </w:r>
      <w:r w:rsidR="00394F7D" w:rsidRPr="000A66A1">
        <w:rPr>
          <w:rFonts w:asciiTheme="minorHAnsi" w:hAnsiTheme="minorHAnsi"/>
        </w:rPr>
        <w:t xml:space="preserve">is basic. This allows </w:t>
      </w:r>
      <w:r w:rsidR="00B05409" w:rsidRPr="000A66A1">
        <w:rPr>
          <w:rFonts w:asciiTheme="minorHAnsi" w:hAnsiTheme="minorHAnsi"/>
        </w:rPr>
        <w:t xml:space="preserve">for </w:t>
      </w:r>
      <w:r w:rsidR="00394F7D" w:rsidRPr="000A66A1">
        <w:rPr>
          <w:rFonts w:asciiTheme="minorHAnsi" w:hAnsiTheme="minorHAnsi"/>
        </w:rPr>
        <w:t>the prosecution to prosecute a defendant for s</w:t>
      </w:r>
      <w:r w:rsidR="004857DB" w:rsidRPr="000A66A1">
        <w:rPr>
          <w:rFonts w:asciiTheme="minorHAnsi" w:hAnsiTheme="minorHAnsi"/>
        </w:rPr>
        <w:t xml:space="preserve">ection </w:t>
      </w:r>
      <w:r w:rsidR="00394F7D" w:rsidRPr="000A66A1">
        <w:rPr>
          <w:rFonts w:asciiTheme="minorHAnsi" w:hAnsiTheme="minorHAnsi"/>
        </w:rPr>
        <w:t>20</w:t>
      </w:r>
      <w:r w:rsidR="004857DB" w:rsidRPr="000A66A1">
        <w:rPr>
          <w:rStyle w:val="FootnoteReference"/>
          <w:rFonts w:asciiTheme="minorHAnsi" w:hAnsiTheme="minorHAnsi"/>
        </w:rPr>
        <w:footnoteReference w:id="54"/>
      </w:r>
      <w:r w:rsidR="00394F7D" w:rsidRPr="000A66A1">
        <w:rPr>
          <w:rFonts w:asciiTheme="minorHAnsi" w:hAnsiTheme="minorHAnsi"/>
        </w:rPr>
        <w:t xml:space="preserve"> and manslaughter</w:t>
      </w:r>
      <w:r w:rsidR="00235272" w:rsidRPr="000A66A1">
        <w:rPr>
          <w:rFonts w:asciiTheme="minorHAnsi" w:hAnsiTheme="minorHAnsi"/>
        </w:rPr>
        <w:t xml:space="preserve"> when</w:t>
      </w:r>
      <w:r w:rsidR="00394F7D" w:rsidRPr="000A66A1">
        <w:rPr>
          <w:rFonts w:asciiTheme="minorHAnsi" w:hAnsiTheme="minorHAnsi"/>
        </w:rPr>
        <w:t xml:space="preserve"> they are </w:t>
      </w:r>
      <w:r w:rsidR="0079581C" w:rsidRPr="000A66A1">
        <w:rPr>
          <w:rFonts w:asciiTheme="minorHAnsi" w:hAnsiTheme="minorHAnsi"/>
        </w:rPr>
        <w:t xml:space="preserve">generally </w:t>
      </w:r>
      <w:r w:rsidR="00394F7D" w:rsidRPr="000A66A1">
        <w:rPr>
          <w:rFonts w:asciiTheme="minorHAnsi" w:hAnsiTheme="minorHAnsi"/>
        </w:rPr>
        <w:t xml:space="preserve">unable to </w:t>
      </w:r>
      <w:r w:rsidR="004857DB" w:rsidRPr="000A66A1">
        <w:rPr>
          <w:rFonts w:asciiTheme="minorHAnsi" w:hAnsiTheme="minorHAnsi"/>
        </w:rPr>
        <w:t>prosecute</w:t>
      </w:r>
      <w:r w:rsidR="00394F7D" w:rsidRPr="000A66A1">
        <w:rPr>
          <w:rFonts w:asciiTheme="minorHAnsi" w:hAnsiTheme="minorHAnsi"/>
        </w:rPr>
        <w:t xml:space="preserve"> for s</w:t>
      </w:r>
      <w:r w:rsidR="004857DB" w:rsidRPr="000A66A1">
        <w:rPr>
          <w:rFonts w:asciiTheme="minorHAnsi" w:hAnsiTheme="minorHAnsi"/>
        </w:rPr>
        <w:t xml:space="preserve">ection </w:t>
      </w:r>
      <w:r w:rsidR="00394F7D" w:rsidRPr="000A66A1">
        <w:rPr>
          <w:rFonts w:asciiTheme="minorHAnsi" w:hAnsiTheme="minorHAnsi"/>
        </w:rPr>
        <w:t xml:space="preserve">18 </w:t>
      </w:r>
      <w:r w:rsidR="004857DB" w:rsidRPr="000A66A1">
        <w:rPr>
          <w:rFonts w:asciiTheme="minorHAnsi" w:hAnsiTheme="minorHAnsi"/>
        </w:rPr>
        <w:t xml:space="preserve">offences or </w:t>
      </w:r>
      <w:r w:rsidR="00394F7D" w:rsidRPr="000A66A1">
        <w:rPr>
          <w:rFonts w:asciiTheme="minorHAnsi" w:hAnsiTheme="minorHAnsi"/>
        </w:rPr>
        <w:t xml:space="preserve">murder. This is </w:t>
      </w:r>
      <w:r w:rsidR="004857DB" w:rsidRPr="000A66A1">
        <w:rPr>
          <w:rFonts w:asciiTheme="minorHAnsi" w:hAnsiTheme="minorHAnsi"/>
        </w:rPr>
        <w:t xml:space="preserve">since both </w:t>
      </w:r>
      <w:r w:rsidR="00394F7D" w:rsidRPr="000A66A1">
        <w:rPr>
          <w:rFonts w:asciiTheme="minorHAnsi" w:hAnsiTheme="minorHAnsi"/>
        </w:rPr>
        <w:t>s</w:t>
      </w:r>
      <w:r w:rsidR="004857DB" w:rsidRPr="000A66A1">
        <w:rPr>
          <w:rFonts w:asciiTheme="minorHAnsi" w:hAnsiTheme="minorHAnsi"/>
        </w:rPr>
        <w:t xml:space="preserve">ection </w:t>
      </w:r>
      <w:r w:rsidR="00394F7D" w:rsidRPr="000A66A1">
        <w:rPr>
          <w:rFonts w:asciiTheme="minorHAnsi" w:hAnsiTheme="minorHAnsi"/>
        </w:rPr>
        <w:t>20</w:t>
      </w:r>
      <w:r w:rsidR="004857DB" w:rsidRPr="000A66A1">
        <w:rPr>
          <w:rStyle w:val="FootnoteReference"/>
          <w:rFonts w:asciiTheme="minorHAnsi" w:hAnsiTheme="minorHAnsi"/>
        </w:rPr>
        <w:footnoteReference w:id="55"/>
      </w:r>
      <w:r w:rsidR="00394F7D" w:rsidRPr="000A66A1">
        <w:rPr>
          <w:rFonts w:asciiTheme="minorHAnsi" w:hAnsiTheme="minorHAnsi"/>
        </w:rPr>
        <w:t xml:space="preserve"> and manslaughter are </w:t>
      </w:r>
      <w:r w:rsidR="00E674E6" w:rsidRPr="000A66A1">
        <w:rPr>
          <w:rFonts w:asciiTheme="minorHAnsi" w:hAnsiTheme="minorHAnsi"/>
        </w:rPr>
        <w:t xml:space="preserve">of </w:t>
      </w:r>
      <w:r w:rsidR="005D55B8" w:rsidRPr="000A66A1">
        <w:rPr>
          <w:rFonts w:asciiTheme="minorHAnsi" w:hAnsiTheme="minorHAnsi"/>
        </w:rPr>
        <w:t>‘</w:t>
      </w:r>
      <w:r w:rsidR="00394F7D" w:rsidRPr="000A66A1">
        <w:rPr>
          <w:rFonts w:asciiTheme="minorHAnsi" w:hAnsiTheme="minorHAnsi"/>
        </w:rPr>
        <w:t>basic</w:t>
      </w:r>
      <w:r w:rsidR="00E674E6" w:rsidRPr="000A66A1">
        <w:rPr>
          <w:rFonts w:asciiTheme="minorHAnsi" w:hAnsiTheme="minorHAnsi"/>
        </w:rPr>
        <w:t xml:space="preserve"> intent</w:t>
      </w:r>
      <w:r w:rsidR="005D55B8" w:rsidRPr="000A66A1">
        <w:rPr>
          <w:rFonts w:asciiTheme="minorHAnsi" w:hAnsiTheme="minorHAnsi"/>
        </w:rPr>
        <w:t>’</w:t>
      </w:r>
      <w:r w:rsidR="00235272" w:rsidRPr="000A66A1">
        <w:rPr>
          <w:rFonts w:asciiTheme="minorHAnsi" w:hAnsiTheme="minorHAnsi"/>
        </w:rPr>
        <w:t>, w</w:t>
      </w:r>
      <w:r w:rsidR="00394F7D" w:rsidRPr="000A66A1">
        <w:rPr>
          <w:rFonts w:asciiTheme="minorHAnsi" w:hAnsiTheme="minorHAnsi"/>
        </w:rPr>
        <w:t>hereas s</w:t>
      </w:r>
      <w:r w:rsidR="004857DB" w:rsidRPr="000A66A1">
        <w:rPr>
          <w:rFonts w:asciiTheme="minorHAnsi" w:hAnsiTheme="minorHAnsi"/>
        </w:rPr>
        <w:t xml:space="preserve">ection </w:t>
      </w:r>
      <w:r w:rsidR="00394F7D" w:rsidRPr="000A66A1">
        <w:rPr>
          <w:rFonts w:asciiTheme="minorHAnsi" w:hAnsiTheme="minorHAnsi"/>
        </w:rPr>
        <w:t xml:space="preserve">18 and murder are </w:t>
      </w:r>
      <w:r w:rsidR="004857DB" w:rsidRPr="000A66A1">
        <w:rPr>
          <w:rFonts w:asciiTheme="minorHAnsi" w:hAnsiTheme="minorHAnsi"/>
        </w:rPr>
        <w:t xml:space="preserve">of </w:t>
      </w:r>
      <w:r w:rsidR="005D55B8" w:rsidRPr="000A66A1">
        <w:rPr>
          <w:rFonts w:asciiTheme="minorHAnsi" w:hAnsiTheme="minorHAnsi"/>
        </w:rPr>
        <w:t>‘</w:t>
      </w:r>
      <w:r w:rsidR="00394F7D" w:rsidRPr="000A66A1">
        <w:rPr>
          <w:rFonts w:asciiTheme="minorHAnsi" w:hAnsiTheme="minorHAnsi"/>
        </w:rPr>
        <w:t>specific</w:t>
      </w:r>
      <w:r w:rsidR="005D55B8" w:rsidRPr="000A66A1">
        <w:rPr>
          <w:rFonts w:asciiTheme="minorHAnsi" w:hAnsiTheme="minorHAnsi"/>
        </w:rPr>
        <w:t>’</w:t>
      </w:r>
      <w:r w:rsidR="004857DB" w:rsidRPr="000A66A1">
        <w:rPr>
          <w:rFonts w:asciiTheme="minorHAnsi" w:hAnsiTheme="minorHAnsi"/>
        </w:rPr>
        <w:t xml:space="preserve"> intent. </w:t>
      </w:r>
      <w:r w:rsidRPr="000A66A1">
        <w:rPr>
          <w:rFonts w:asciiTheme="minorHAnsi" w:hAnsiTheme="minorHAnsi"/>
        </w:rPr>
        <w:t xml:space="preserve">Section </w:t>
      </w:r>
      <w:r w:rsidR="00E14B7B" w:rsidRPr="000A66A1">
        <w:rPr>
          <w:rFonts w:asciiTheme="minorHAnsi" w:hAnsiTheme="minorHAnsi"/>
        </w:rPr>
        <w:t>I</w:t>
      </w:r>
      <w:r w:rsidR="004E36E1" w:rsidRPr="000A66A1">
        <w:rPr>
          <w:rFonts w:asciiTheme="minorHAnsi" w:hAnsiTheme="minorHAnsi"/>
        </w:rPr>
        <w:t xml:space="preserve"> will discuss how intoxication works in relation to these offence</w:t>
      </w:r>
      <w:r w:rsidR="00B05409" w:rsidRPr="000A66A1">
        <w:rPr>
          <w:rFonts w:asciiTheme="minorHAnsi" w:hAnsiTheme="minorHAnsi"/>
        </w:rPr>
        <w:t>s</w:t>
      </w:r>
      <w:r w:rsidR="004E36E1" w:rsidRPr="000A66A1">
        <w:rPr>
          <w:rFonts w:asciiTheme="minorHAnsi" w:hAnsiTheme="minorHAnsi"/>
        </w:rPr>
        <w:t xml:space="preserve">. It will also highlight a brief overview of the rationale behind the way intoxication works for both </w:t>
      </w:r>
      <w:r w:rsidR="005D55B8" w:rsidRPr="000A66A1">
        <w:rPr>
          <w:rFonts w:asciiTheme="minorHAnsi" w:hAnsiTheme="minorHAnsi"/>
        </w:rPr>
        <w:t>‘</w:t>
      </w:r>
      <w:r w:rsidR="004E36E1" w:rsidRPr="000A66A1">
        <w:rPr>
          <w:rFonts w:asciiTheme="minorHAnsi" w:hAnsiTheme="minorHAnsi"/>
        </w:rPr>
        <w:t>specific</w:t>
      </w:r>
      <w:r w:rsidR="005D55B8" w:rsidRPr="000A66A1">
        <w:rPr>
          <w:rFonts w:asciiTheme="minorHAnsi" w:hAnsiTheme="minorHAnsi"/>
        </w:rPr>
        <w:t>’</w:t>
      </w:r>
      <w:r w:rsidR="004E36E1" w:rsidRPr="000A66A1">
        <w:rPr>
          <w:rFonts w:asciiTheme="minorHAnsi" w:hAnsiTheme="minorHAnsi"/>
        </w:rPr>
        <w:t xml:space="preserve"> and </w:t>
      </w:r>
      <w:r w:rsidR="005D55B8" w:rsidRPr="000A66A1">
        <w:rPr>
          <w:rFonts w:asciiTheme="minorHAnsi" w:hAnsiTheme="minorHAnsi"/>
        </w:rPr>
        <w:t>‘</w:t>
      </w:r>
      <w:r w:rsidR="004E36E1" w:rsidRPr="000A66A1">
        <w:rPr>
          <w:rFonts w:asciiTheme="minorHAnsi" w:hAnsiTheme="minorHAnsi"/>
        </w:rPr>
        <w:t>basic intent</w:t>
      </w:r>
      <w:r w:rsidR="005D55B8" w:rsidRPr="000A66A1">
        <w:rPr>
          <w:rFonts w:asciiTheme="minorHAnsi" w:hAnsiTheme="minorHAnsi"/>
        </w:rPr>
        <w:t>’</w:t>
      </w:r>
      <w:r w:rsidR="004E36E1" w:rsidRPr="000A66A1">
        <w:rPr>
          <w:rFonts w:asciiTheme="minorHAnsi" w:hAnsiTheme="minorHAnsi"/>
        </w:rPr>
        <w:t xml:space="preserve"> crimes.</w:t>
      </w:r>
    </w:p>
    <w:p w14:paraId="64CC5EAF" w14:textId="77777777" w:rsidR="000D25D9" w:rsidRPr="000A66A1" w:rsidRDefault="000D25D9" w:rsidP="000A66A1">
      <w:pPr>
        <w:spacing w:line="360" w:lineRule="auto"/>
        <w:jc w:val="both"/>
        <w:rPr>
          <w:rFonts w:asciiTheme="minorHAnsi" w:hAnsiTheme="minorHAnsi"/>
        </w:rPr>
      </w:pPr>
    </w:p>
    <w:p w14:paraId="0F593AD7" w14:textId="5D4D91ED" w:rsidR="000D25D9" w:rsidRPr="000A66A1" w:rsidRDefault="000D25D9" w:rsidP="000A66A1">
      <w:pPr>
        <w:spacing w:line="360" w:lineRule="auto"/>
        <w:jc w:val="both"/>
        <w:rPr>
          <w:rFonts w:asciiTheme="minorHAnsi" w:hAnsiTheme="minorHAnsi"/>
        </w:rPr>
      </w:pPr>
      <w:r w:rsidRPr="000A66A1">
        <w:rPr>
          <w:rFonts w:asciiTheme="minorHAnsi" w:hAnsiTheme="minorHAnsi"/>
        </w:rPr>
        <w:t xml:space="preserve">As there are numerous property offences that fit within the definition of </w:t>
      </w:r>
      <w:r w:rsidR="005D55B8" w:rsidRPr="000A66A1">
        <w:rPr>
          <w:rFonts w:asciiTheme="minorHAnsi" w:hAnsiTheme="minorHAnsi"/>
        </w:rPr>
        <w:t>‘</w:t>
      </w:r>
      <w:r w:rsidRPr="000A66A1">
        <w:rPr>
          <w:rFonts w:asciiTheme="minorHAnsi" w:hAnsiTheme="minorHAnsi"/>
        </w:rPr>
        <w:t>ulterior intent</w:t>
      </w:r>
      <w:r w:rsidR="005D55B8" w:rsidRPr="000A66A1">
        <w:rPr>
          <w:rFonts w:asciiTheme="minorHAnsi" w:hAnsiTheme="minorHAnsi"/>
        </w:rPr>
        <w:t>’</w:t>
      </w:r>
      <w:r w:rsidRPr="000A66A1">
        <w:rPr>
          <w:rFonts w:asciiTheme="minorHAnsi" w:hAnsiTheme="minorHAnsi"/>
        </w:rPr>
        <w:t xml:space="preserve"> and therefore </w:t>
      </w:r>
      <w:r w:rsidR="005D55B8" w:rsidRPr="000A66A1">
        <w:rPr>
          <w:rFonts w:asciiTheme="minorHAnsi" w:hAnsiTheme="minorHAnsi"/>
        </w:rPr>
        <w:t>‘</w:t>
      </w:r>
      <w:r w:rsidRPr="000A66A1">
        <w:rPr>
          <w:rFonts w:asciiTheme="minorHAnsi" w:hAnsiTheme="minorHAnsi"/>
        </w:rPr>
        <w:t>specific intent</w:t>
      </w:r>
      <w:r w:rsidR="005D55B8" w:rsidRPr="000A66A1">
        <w:rPr>
          <w:rFonts w:asciiTheme="minorHAnsi" w:hAnsiTheme="minorHAnsi"/>
        </w:rPr>
        <w:t>’</w:t>
      </w:r>
      <w:r w:rsidRPr="000A66A1">
        <w:rPr>
          <w:rFonts w:asciiTheme="minorHAnsi" w:hAnsiTheme="minorHAnsi"/>
        </w:rPr>
        <w:t xml:space="preserve">, there is a potential for defendants to evade </w:t>
      </w:r>
      <w:r w:rsidRPr="000A66A1">
        <w:rPr>
          <w:rFonts w:asciiTheme="minorHAnsi" w:hAnsiTheme="minorHAnsi"/>
        </w:rPr>
        <w:lastRenderedPageBreak/>
        <w:t xml:space="preserve">liability when intoxicated. </w:t>
      </w:r>
      <w:r w:rsidR="00235272" w:rsidRPr="000A66A1">
        <w:rPr>
          <w:rFonts w:asciiTheme="minorHAnsi" w:hAnsiTheme="minorHAnsi"/>
        </w:rPr>
        <w:t>T</w:t>
      </w:r>
      <w:r w:rsidRPr="000A66A1">
        <w:rPr>
          <w:rFonts w:asciiTheme="minorHAnsi" w:hAnsiTheme="minorHAnsi"/>
        </w:rPr>
        <w:t xml:space="preserve">here are no offences that have </w:t>
      </w:r>
      <w:r w:rsidR="00672661" w:rsidRPr="000A66A1">
        <w:rPr>
          <w:rFonts w:asciiTheme="minorHAnsi" w:hAnsiTheme="minorHAnsi"/>
        </w:rPr>
        <w:t xml:space="preserve">an </w:t>
      </w:r>
      <w:r w:rsidRPr="000A66A1">
        <w:rPr>
          <w:rFonts w:asciiTheme="minorHAnsi" w:hAnsiTheme="minorHAnsi"/>
        </w:rPr>
        <w:t xml:space="preserve">overlapping actus reus with </w:t>
      </w:r>
      <w:r w:rsidR="00235272" w:rsidRPr="000A66A1">
        <w:rPr>
          <w:rFonts w:asciiTheme="minorHAnsi" w:hAnsiTheme="minorHAnsi"/>
        </w:rPr>
        <w:t xml:space="preserve">theft, robbery and burglary and therefore have no corresponding offences that the defendant </w:t>
      </w:r>
      <w:r w:rsidR="004F7571" w:rsidRPr="000A66A1">
        <w:rPr>
          <w:rFonts w:asciiTheme="minorHAnsi" w:hAnsiTheme="minorHAnsi"/>
        </w:rPr>
        <w:t>can</w:t>
      </w:r>
      <w:r w:rsidR="00235272" w:rsidRPr="000A66A1">
        <w:rPr>
          <w:rFonts w:asciiTheme="minorHAnsi" w:hAnsiTheme="minorHAnsi"/>
        </w:rPr>
        <w:t xml:space="preserve"> be charged with. </w:t>
      </w:r>
      <w:r w:rsidRPr="000A66A1">
        <w:rPr>
          <w:rFonts w:asciiTheme="minorHAnsi" w:hAnsiTheme="minorHAnsi"/>
        </w:rPr>
        <w:t xml:space="preserve">The issue with this is that the prosecution </w:t>
      </w:r>
      <w:r w:rsidR="00E674E6" w:rsidRPr="000A66A1">
        <w:rPr>
          <w:rFonts w:asciiTheme="minorHAnsi" w:hAnsiTheme="minorHAnsi"/>
        </w:rPr>
        <w:t>may</w:t>
      </w:r>
      <w:r w:rsidRPr="000A66A1">
        <w:rPr>
          <w:rFonts w:asciiTheme="minorHAnsi" w:hAnsiTheme="minorHAnsi"/>
        </w:rPr>
        <w:t xml:space="preserve"> be unable to prosecute a defendant for any type of</w:t>
      </w:r>
      <w:r w:rsidR="00E674E6" w:rsidRPr="000A66A1">
        <w:rPr>
          <w:rFonts w:asciiTheme="minorHAnsi" w:hAnsiTheme="minorHAnsi"/>
        </w:rPr>
        <w:t xml:space="preserve"> property</w:t>
      </w:r>
      <w:r w:rsidRPr="000A66A1">
        <w:rPr>
          <w:rFonts w:asciiTheme="minorHAnsi" w:hAnsiTheme="minorHAnsi"/>
        </w:rPr>
        <w:t xml:space="preserve"> offence if </w:t>
      </w:r>
      <w:r w:rsidR="00B05409" w:rsidRPr="000A66A1">
        <w:rPr>
          <w:rFonts w:asciiTheme="minorHAnsi" w:hAnsiTheme="minorHAnsi"/>
        </w:rPr>
        <w:t>the presence of</w:t>
      </w:r>
      <w:r w:rsidR="00033163" w:rsidRPr="000A66A1">
        <w:rPr>
          <w:rFonts w:asciiTheme="minorHAnsi" w:hAnsiTheme="minorHAnsi"/>
        </w:rPr>
        <w:t xml:space="preserve"> intoxication prevents them from</w:t>
      </w:r>
      <w:r w:rsidR="00207A36" w:rsidRPr="000A66A1">
        <w:rPr>
          <w:rFonts w:asciiTheme="minorHAnsi" w:hAnsiTheme="minorHAnsi"/>
        </w:rPr>
        <w:t xml:space="preserve"> being able to</w:t>
      </w:r>
      <w:r w:rsidR="00033163" w:rsidRPr="000A66A1">
        <w:rPr>
          <w:rFonts w:asciiTheme="minorHAnsi" w:hAnsiTheme="minorHAnsi"/>
        </w:rPr>
        <w:t xml:space="preserve"> establ</w:t>
      </w:r>
      <w:r w:rsidR="00207A36" w:rsidRPr="000A66A1">
        <w:rPr>
          <w:rFonts w:asciiTheme="minorHAnsi" w:hAnsiTheme="minorHAnsi"/>
        </w:rPr>
        <w:t>ish</w:t>
      </w:r>
      <w:r w:rsidR="00033163" w:rsidRPr="000A66A1">
        <w:rPr>
          <w:rFonts w:asciiTheme="minorHAnsi" w:hAnsiTheme="minorHAnsi"/>
        </w:rPr>
        <w:t xml:space="preserve"> the fault element</w:t>
      </w:r>
      <w:r w:rsidR="00B05409" w:rsidRPr="000A66A1">
        <w:rPr>
          <w:rFonts w:asciiTheme="minorHAnsi" w:hAnsiTheme="minorHAnsi"/>
        </w:rPr>
        <w:t xml:space="preserve"> of that offence</w:t>
      </w:r>
      <w:r w:rsidRPr="000A66A1">
        <w:rPr>
          <w:rFonts w:asciiTheme="minorHAnsi" w:hAnsiTheme="minorHAnsi"/>
        </w:rPr>
        <w:t xml:space="preserve">. This inconsistency will be discussed further in </w:t>
      </w:r>
      <w:r w:rsidR="004F7571" w:rsidRPr="000A66A1">
        <w:rPr>
          <w:rFonts w:asciiTheme="minorHAnsi" w:hAnsiTheme="minorHAnsi"/>
        </w:rPr>
        <w:t xml:space="preserve">Section </w:t>
      </w:r>
      <w:r w:rsidR="00E14B7B" w:rsidRPr="000A66A1">
        <w:rPr>
          <w:rFonts w:asciiTheme="minorHAnsi" w:hAnsiTheme="minorHAnsi"/>
        </w:rPr>
        <w:t>II</w:t>
      </w:r>
      <w:r w:rsidRPr="000A66A1">
        <w:rPr>
          <w:rFonts w:asciiTheme="minorHAnsi" w:hAnsiTheme="minorHAnsi"/>
        </w:rPr>
        <w:t>.</w:t>
      </w:r>
      <w:r w:rsidR="00BF6C73" w:rsidRPr="000A66A1">
        <w:rPr>
          <w:rFonts w:asciiTheme="minorHAnsi" w:hAnsiTheme="minorHAnsi"/>
        </w:rPr>
        <w:t xml:space="preserve"> This </w:t>
      </w:r>
      <w:r w:rsidR="004F7571" w:rsidRPr="000A66A1">
        <w:rPr>
          <w:rFonts w:asciiTheme="minorHAnsi" w:hAnsiTheme="minorHAnsi"/>
        </w:rPr>
        <w:t xml:space="preserve">Section </w:t>
      </w:r>
      <w:r w:rsidR="00BF6C73" w:rsidRPr="000A66A1">
        <w:rPr>
          <w:rFonts w:asciiTheme="minorHAnsi" w:hAnsiTheme="minorHAnsi"/>
        </w:rPr>
        <w:t>will also analyse the change made to the dishonesty test for theft.</w:t>
      </w:r>
      <w:r w:rsidR="009D1CC3" w:rsidRPr="000A66A1">
        <w:rPr>
          <w:rFonts w:asciiTheme="minorHAnsi" w:hAnsiTheme="minorHAnsi"/>
        </w:rPr>
        <w:t xml:space="preserve"> This change</w:t>
      </w:r>
      <w:r w:rsidR="00235272" w:rsidRPr="000A66A1">
        <w:rPr>
          <w:rFonts w:asciiTheme="minorHAnsi" w:hAnsiTheme="minorHAnsi"/>
        </w:rPr>
        <w:t xml:space="preserve"> </w:t>
      </w:r>
      <w:r w:rsidR="009D1CC3" w:rsidRPr="000A66A1">
        <w:rPr>
          <w:rFonts w:asciiTheme="minorHAnsi" w:hAnsiTheme="minorHAnsi"/>
        </w:rPr>
        <w:t xml:space="preserve">essentially transformed the original objective </w:t>
      </w:r>
      <w:r w:rsidR="009D1CC3" w:rsidRPr="000A66A1">
        <w:rPr>
          <w:rFonts w:asciiTheme="minorHAnsi" w:hAnsiTheme="minorHAnsi"/>
          <w:i/>
        </w:rPr>
        <w:t>and</w:t>
      </w:r>
      <w:r w:rsidR="009D1CC3" w:rsidRPr="000A66A1">
        <w:rPr>
          <w:rFonts w:asciiTheme="minorHAnsi" w:hAnsiTheme="minorHAnsi"/>
        </w:rPr>
        <w:t xml:space="preserve"> subjective test into an objective test.</w:t>
      </w:r>
      <w:r w:rsidR="00BF6C73" w:rsidRPr="000A66A1">
        <w:rPr>
          <w:rFonts w:asciiTheme="minorHAnsi" w:hAnsiTheme="minorHAnsi"/>
        </w:rPr>
        <w:t xml:space="preserve"> </w:t>
      </w:r>
      <w:r w:rsidR="00235272" w:rsidRPr="000A66A1">
        <w:rPr>
          <w:rFonts w:asciiTheme="minorHAnsi" w:hAnsiTheme="minorHAnsi"/>
        </w:rPr>
        <w:t xml:space="preserve">This </w:t>
      </w:r>
      <w:r w:rsidR="004F7571" w:rsidRPr="000A66A1">
        <w:rPr>
          <w:rFonts w:asciiTheme="minorHAnsi" w:hAnsiTheme="minorHAnsi"/>
        </w:rPr>
        <w:t xml:space="preserve">Section </w:t>
      </w:r>
      <w:r w:rsidR="00BF6C73" w:rsidRPr="000A66A1">
        <w:rPr>
          <w:rFonts w:asciiTheme="minorHAnsi" w:hAnsiTheme="minorHAnsi"/>
        </w:rPr>
        <w:t xml:space="preserve">will explore the potential implications of the </w:t>
      </w:r>
      <w:r w:rsidR="004857DB" w:rsidRPr="000A66A1">
        <w:rPr>
          <w:rFonts w:asciiTheme="minorHAnsi" w:hAnsiTheme="minorHAnsi"/>
        </w:rPr>
        <w:t xml:space="preserve">judgement in </w:t>
      </w:r>
      <w:r w:rsidR="00BF6C73" w:rsidRPr="000A66A1">
        <w:rPr>
          <w:rFonts w:asciiTheme="minorHAnsi" w:hAnsiTheme="minorHAnsi"/>
          <w:i/>
        </w:rPr>
        <w:t>Ivey v Genting Casino</w:t>
      </w:r>
      <w:r w:rsidR="00D331FA" w:rsidRPr="000A66A1">
        <w:rPr>
          <w:rStyle w:val="FootnoteReference"/>
          <w:rFonts w:asciiTheme="minorHAnsi" w:hAnsiTheme="minorHAnsi"/>
          <w:i/>
        </w:rPr>
        <w:footnoteReference w:id="56"/>
      </w:r>
      <w:r w:rsidR="00BF6C73" w:rsidRPr="000A66A1">
        <w:rPr>
          <w:rFonts w:asciiTheme="minorHAnsi" w:hAnsiTheme="minorHAnsi"/>
        </w:rPr>
        <w:t xml:space="preserve"> on the doctrine of intoxication</w:t>
      </w:r>
      <w:r w:rsidR="00033163" w:rsidRPr="000A66A1">
        <w:rPr>
          <w:rFonts w:asciiTheme="minorHAnsi" w:hAnsiTheme="minorHAnsi"/>
        </w:rPr>
        <w:t xml:space="preserve"> and whether this change will affect the way offenders can be prosecuted in </w:t>
      </w:r>
      <w:r w:rsidR="00235272" w:rsidRPr="000A66A1">
        <w:rPr>
          <w:rFonts w:asciiTheme="minorHAnsi" w:hAnsiTheme="minorHAnsi"/>
        </w:rPr>
        <w:t>property</w:t>
      </w:r>
      <w:r w:rsidR="00033163" w:rsidRPr="000A66A1">
        <w:rPr>
          <w:rFonts w:asciiTheme="minorHAnsi" w:hAnsiTheme="minorHAnsi"/>
        </w:rPr>
        <w:t xml:space="preserve"> cases involving intoxication</w:t>
      </w:r>
      <w:r w:rsidR="00BF6C73" w:rsidRPr="000A66A1">
        <w:rPr>
          <w:rFonts w:asciiTheme="minorHAnsi" w:hAnsiTheme="minorHAnsi"/>
        </w:rPr>
        <w:t>.</w:t>
      </w:r>
      <w:r w:rsidR="00235272" w:rsidRPr="000A66A1">
        <w:rPr>
          <w:rFonts w:asciiTheme="minorHAnsi" w:hAnsiTheme="minorHAnsi"/>
        </w:rPr>
        <w:t xml:space="preserve"> </w:t>
      </w:r>
    </w:p>
    <w:p w14:paraId="1F7B1082" w14:textId="77777777" w:rsidR="000D25D9" w:rsidRPr="000A66A1" w:rsidRDefault="000D25D9" w:rsidP="000A66A1">
      <w:pPr>
        <w:spacing w:line="360" w:lineRule="auto"/>
        <w:jc w:val="both"/>
        <w:rPr>
          <w:rFonts w:asciiTheme="minorHAnsi" w:hAnsiTheme="minorHAnsi"/>
        </w:rPr>
      </w:pPr>
    </w:p>
    <w:p w14:paraId="542A679A" w14:textId="727FE05B" w:rsidR="00FA4613" w:rsidRPr="000A66A1" w:rsidRDefault="00857EB7" w:rsidP="000A66A1">
      <w:pPr>
        <w:spacing w:line="360" w:lineRule="auto"/>
        <w:jc w:val="both"/>
        <w:rPr>
          <w:rFonts w:asciiTheme="minorHAnsi" w:hAnsiTheme="minorHAnsi"/>
        </w:rPr>
      </w:pPr>
      <w:r w:rsidRPr="000A66A1">
        <w:rPr>
          <w:rFonts w:asciiTheme="minorHAnsi" w:hAnsiTheme="minorHAnsi"/>
        </w:rPr>
        <w:t>Section</w:t>
      </w:r>
      <w:r w:rsidR="000D25D9" w:rsidRPr="000A66A1">
        <w:rPr>
          <w:rFonts w:asciiTheme="minorHAnsi" w:hAnsiTheme="minorHAnsi"/>
        </w:rPr>
        <w:t xml:space="preserve"> </w:t>
      </w:r>
      <w:r w:rsidR="000809B8" w:rsidRPr="000A66A1">
        <w:rPr>
          <w:rFonts w:asciiTheme="minorHAnsi" w:hAnsiTheme="minorHAnsi"/>
        </w:rPr>
        <w:t>III</w:t>
      </w:r>
      <w:r w:rsidR="00BC09FC" w:rsidRPr="000A66A1">
        <w:rPr>
          <w:rFonts w:asciiTheme="minorHAnsi" w:hAnsiTheme="minorHAnsi"/>
        </w:rPr>
        <w:t xml:space="preserve"> </w:t>
      </w:r>
      <w:r w:rsidR="000D25D9" w:rsidRPr="000A66A1">
        <w:rPr>
          <w:rFonts w:asciiTheme="minorHAnsi" w:hAnsiTheme="minorHAnsi"/>
        </w:rPr>
        <w:t>will go on to</w:t>
      </w:r>
      <w:r w:rsidR="004E36E1" w:rsidRPr="000A66A1">
        <w:rPr>
          <w:rFonts w:asciiTheme="minorHAnsi" w:hAnsiTheme="minorHAnsi"/>
        </w:rPr>
        <w:t xml:space="preserve"> discuss</w:t>
      </w:r>
      <w:r w:rsidR="000D25D9" w:rsidRPr="000A66A1">
        <w:rPr>
          <w:rFonts w:asciiTheme="minorHAnsi" w:hAnsiTheme="minorHAnsi"/>
        </w:rPr>
        <w:t xml:space="preserve"> potential ideas for reform</w:t>
      </w:r>
      <w:r w:rsidR="004E36E1" w:rsidRPr="000A66A1">
        <w:rPr>
          <w:rFonts w:asciiTheme="minorHAnsi" w:hAnsiTheme="minorHAnsi"/>
        </w:rPr>
        <w:t xml:space="preserve"> in order to alleviate any problems discussed in the previous </w:t>
      </w:r>
      <w:r w:rsidR="008C0798" w:rsidRPr="000A66A1">
        <w:rPr>
          <w:rFonts w:asciiTheme="minorHAnsi" w:hAnsiTheme="minorHAnsi"/>
        </w:rPr>
        <w:t>sections</w:t>
      </w:r>
      <w:r w:rsidR="000D25D9" w:rsidRPr="000A66A1">
        <w:rPr>
          <w:rFonts w:asciiTheme="minorHAnsi" w:hAnsiTheme="minorHAnsi"/>
        </w:rPr>
        <w:t xml:space="preserve">. </w:t>
      </w:r>
      <w:r w:rsidR="008478A3" w:rsidRPr="000A66A1">
        <w:rPr>
          <w:rFonts w:asciiTheme="minorHAnsi" w:hAnsiTheme="minorHAnsi"/>
        </w:rPr>
        <w:t xml:space="preserve">Ideas </w:t>
      </w:r>
      <w:r w:rsidR="0008161E" w:rsidRPr="000A66A1">
        <w:rPr>
          <w:rFonts w:asciiTheme="minorHAnsi" w:hAnsiTheme="minorHAnsi"/>
        </w:rPr>
        <w:t>w</w:t>
      </w:r>
      <w:r w:rsidR="008478A3" w:rsidRPr="000A66A1">
        <w:rPr>
          <w:rFonts w:asciiTheme="minorHAnsi" w:hAnsiTheme="minorHAnsi"/>
        </w:rPr>
        <w:t xml:space="preserve">ill include all relevant reforms </w:t>
      </w:r>
      <w:r w:rsidR="0008161E" w:rsidRPr="000A66A1">
        <w:rPr>
          <w:rFonts w:asciiTheme="minorHAnsi" w:hAnsiTheme="minorHAnsi"/>
        </w:rPr>
        <w:t>proposed by The Law Commission</w:t>
      </w:r>
      <w:r w:rsidR="004857DB" w:rsidRPr="000A66A1">
        <w:rPr>
          <w:rStyle w:val="FootnoteReference"/>
          <w:rFonts w:asciiTheme="minorHAnsi" w:hAnsiTheme="minorHAnsi"/>
        </w:rPr>
        <w:footnoteReference w:id="57"/>
      </w:r>
      <w:r w:rsidR="00B05409" w:rsidRPr="000A66A1">
        <w:rPr>
          <w:rFonts w:asciiTheme="minorHAnsi" w:hAnsiTheme="minorHAnsi"/>
        </w:rPr>
        <w:t xml:space="preserve"> as well as the potential relationship between proposed reforms and the changes arising from the </w:t>
      </w:r>
      <w:r w:rsidR="00B05409" w:rsidRPr="000A66A1">
        <w:rPr>
          <w:rFonts w:asciiTheme="minorHAnsi" w:hAnsiTheme="minorHAnsi"/>
          <w:i/>
          <w:iCs/>
        </w:rPr>
        <w:t>Ivey</w:t>
      </w:r>
      <w:r w:rsidR="00B05409" w:rsidRPr="000A66A1">
        <w:rPr>
          <w:rFonts w:asciiTheme="minorHAnsi" w:hAnsiTheme="minorHAnsi"/>
        </w:rPr>
        <w:t xml:space="preserve"> decision. </w:t>
      </w:r>
      <w:r w:rsidR="00033163" w:rsidRPr="000A66A1">
        <w:rPr>
          <w:rFonts w:asciiTheme="minorHAnsi" w:hAnsiTheme="minorHAnsi"/>
        </w:rPr>
        <w:t>All ideas will then be analysed and compared to our</w:t>
      </w:r>
      <w:r w:rsidR="00B05409" w:rsidRPr="000A66A1">
        <w:rPr>
          <w:rFonts w:asciiTheme="minorHAnsi" w:hAnsiTheme="minorHAnsi"/>
        </w:rPr>
        <w:t xml:space="preserve"> current</w:t>
      </w:r>
      <w:r w:rsidR="00033163" w:rsidRPr="000A66A1">
        <w:rPr>
          <w:rFonts w:asciiTheme="minorHAnsi" w:hAnsiTheme="minorHAnsi"/>
        </w:rPr>
        <w:t xml:space="preserve"> model, to understand whether reforms and codification would result in the desired effect on the justice system and society as a whole.</w:t>
      </w:r>
      <w:r w:rsidR="00E674E6" w:rsidRPr="000A66A1">
        <w:rPr>
          <w:rFonts w:asciiTheme="minorHAnsi" w:hAnsiTheme="minorHAnsi"/>
        </w:rPr>
        <w:t xml:space="preserve"> </w:t>
      </w:r>
    </w:p>
    <w:p w14:paraId="098A6C80" w14:textId="1E712279" w:rsidR="005F7B00" w:rsidRPr="000A66A1" w:rsidRDefault="005F7B00" w:rsidP="000A66A1">
      <w:pPr>
        <w:spacing w:line="360" w:lineRule="auto"/>
        <w:jc w:val="both"/>
        <w:rPr>
          <w:rFonts w:asciiTheme="minorHAnsi" w:hAnsiTheme="minorHAnsi"/>
        </w:rPr>
      </w:pPr>
    </w:p>
    <w:p w14:paraId="754449BB" w14:textId="48D4AA08" w:rsidR="005F7B00" w:rsidRPr="000A66A1" w:rsidRDefault="005F7B00" w:rsidP="000A66A1">
      <w:pPr>
        <w:spacing w:line="360" w:lineRule="auto"/>
        <w:jc w:val="both"/>
        <w:rPr>
          <w:rFonts w:asciiTheme="minorHAnsi" w:hAnsiTheme="minorHAnsi"/>
        </w:rPr>
      </w:pPr>
      <w:r w:rsidRPr="000A66A1">
        <w:rPr>
          <w:rFonts w:asciiTheme="minorHAnsi" w:hAnsiTheme="minorHAnsi"/>
        </w:rPr>
        <w:t>Although it can be argued that issues with intoxication tend not to cause</w:t>
      </w:r>
      <w:r w:rsidR="00072415" w:rsidRPr="000A66A1">
        <w:rPr>
          <w:rFonts w:asciiTheme="minorHAnsi" w:hAnsiTheme="minorHAnsi"/>
        </w:rPr>
        <w:t xml:space="preserve"> many difficulties in practice, the doctrine should work in a way that allows for culpability to be taken into account. </w:t>
      </w:r>
      <w:r w:rsidR="00B05409" w:rsidRPr="000A66A1">
        <w:rPr>
          <w:rFonts w:asciiTheme="minorHAnsi" w:hAnsiTheme="minorHAnsi"/>
        </w:rPr>
        <w:t xml:space="preserve">Individuals </w:t>
      </w:r>
      <w:r w:rsidR="00072415" w:rsidRPr="000A66A1">
        <w:rPr>
          <w:rFonts w:asciiTheme="minorHAnsi" w:hAnsiTheme="minorHAnsi"/>
        </w:rPr>
        <w:t>should be able to follow the law with the expectation that they will be judged accordingly.</w:t>
      </w:r>
      <w:r w:rsidR="00033163" w:rsidRPr="000A66A1">
        <w:rPr>
          <w:rFonts w:asciiTheme="minorHAnsi" w:hAnsiTheme="minorHAnsi"/>
        </w:rPr>
        <w:t xml:space="preserve"> Issues with intoxication seem to be getting progressively worse, particularly due to the</w:t>
      </w:r>
      <w:r w:rsidR="00B05409" w:rsidRPr="000A66A1">
        <w:rPr>
          <w:rFonts w:asciiTheme="minorHAnsi" w:hAnsiTheme="minorHAnsi"/>
        </w:rPr>
        <w:t xml:space="preserve"> growing </w:t>
      </w:r>
      <w:r w:rsidR="00033163" w:rsidRPr="000A66A1">
        <w:rPr>
          <w:rFonts w:asciiTheme="minorHAnsi" w:hAnsiTheme="minorHAnsi"/>
        </w:rPr>
        <w:t xml:space="preserve">culture </w:t>
      </w:r>
      <w:r w:rsidR="00B05409" w:rsidRPr="000A66A1">
        <w:rPr>
          <w:rFonts w:asciiTheme="minorHAnsi" w:hAnsiTheme="minorHAnsi"/>
        </w:rPr>
        <w:t>surrounding</w:t>
      </w:r>
      <w:r w:rsidR="00033163" w:rsidRPr="000A66A1">
        <w:rPr>
          <w:rFonts w:asciiTheme="minorHAnsi" w:hAnsiTheme="minorHAnsi"/>
        </w:rPr>
        <w:t xml:space="preserve"> drugs. It is important to understand the way intoxication can and should be interpreted to validate the position for future offenders</w:t>
      </w:r>
      <w:r w:rsidR="00033163" w:rsidRPr="000A66A1">
        <w:rPr>
          <w:rStyle w:val="FootnoteReference"/>
          <w:rFonts w:asciiTheme="minorHAnsi" w:hAnsiTheme="minorHAnsi"/>
        </w:rPr>
        <w:footnoteReference w:id="58"/>
      </w:r>
      <w:r w:rsidR="00B05409" w:rsidRPr="000A66A1">
        <w:rPr>
          <w:rFonts w:asciiTheme="minorHAnsi" w:hAnsiTheme="minorHAnsi"/>
        </w:rPr>
        <w:t>.</w:t>
      </w:r>
      <w:r w:rsidR="00D331FA" w:rsidRPr="000A66A1">
        <w:rPr>
          <w:rFonts w:asciiTheme="minorHAnsi" w:hAnsiTheme="minorHAnsi"/>
        </w:rPr>
        <w:t xml:space="preserve"> This </w:t>
      </w:r>
      <w:r w:rsidR="00B05409" w:rsidRPr="000A66A1">
        <w:rPr>
          <w:rFonts w:asciiTheme="minorHAnsi" w:hAnsiTheme="minorHAnsi"/>
        </w:rPr>
        <w:t>article</w:t>
      </w:r>
      <w:r w:rsidR="00D331FA" w:rsidRPr="000A66A1">
        <w:rPr>
          <w:rFonts w:asciiTheme="minorHAnsi" w:hAnsiTheme="minorHAnsi"/>
        </w:rPr>
        <w:t xml:space="preserve"> aims to create a compromise between the importance of accurate culpability and public safety, with reference to the significance of codification. </w:t>
      </w:r>
    </w:p>
    <w:p w14:paraId="58357197" w14:textId="03C976DF" w:rsidR="008D515C" w:rsidRPr="000A66A1" w:rsidRDefault="008D515C" w:rsidP="000A66A1">
      <w:pPr>
        <w:spacing w:line="360" w:lineRule="auto"/>
        <w:jc w:val="both"/>
        <w:rPr>
          <w:rFonts w:asciiTheme="minorHAnsi" w:hAnsiTheme="minorHAnsi"/>
          <w:u w:val="single"/>
        </w:rPr>
      </w:pPr>
    </w:p>
    <w:p w14:paraId="0298E4E7" w14:textId="620C3E6F" w:rsidR="0043759B" w:rsidRPr="000A66A1" w:rsidRDefault="004F7571" w:rsidP="000A66A1">
      <w:pPr>
        <w:spacing w:line="360" w:lineRule="auto"/>
        <w:jc w:val="center"/>
        <w:rPr>
          <w:rFonts w:asciiTheme="minorHAnsi" w:hAnsiTheme="minorHAnsi"/>
          <w:b/>
          <w:u w:val="single"/>
        </w:rPr>
      </w:pPr>
      <w:r w:rsidRPr="000A66A1">
        <w:rPr>
          <w:rFonts w:asciiTheme="minorHAnsi" w:hAnsiTheme="minorHAnsi"/>
          <w:b/>
          <w:u w:val="single"/>
        </w:rPr>
        <w:t>I. Offences Against the Person</w:t>
      </w:r>
    </w:p>
    <w:p w14:paraId="6ABD358C" w14:textId="3B78E94E" w:rsidR="00EB4846" w:rsidRPr="000A66A1" w:rsidRDefault="00EB4846" w:rsidP="000A66A1">
      <w:pPr>
        <w:spacing w:line="360" w:lineRule="auto"/>
        <w:jc w:val="both"/>
        <w:rPr>
          <w:rFonts w:asciiTheme="minorHAnsi" w:hAnsiTheme="minorHAnsi"/>
        </w:rPr>
      </w:pPr>
    </w:p>
    <w:p w14:paraId="0933FC30" w14:textId="4DF6C659" w:rsidR="00EB4846" w:rsidRPr="000A66A1" w:rsidRDefault="00EB4846" w:rsidP="000A66A1">
      <w:pPr>
        <w:spacing w:line="360" w:lineRule="auto"/>
        <w:jc w:val="both"/>
        <w:rPr>
          <w:rFonts w:asciiTheme="minorHAnsi" w:hAnsiTheme="minorHAnsi"/>
          <w:u w:val="single"/>
        </w:rPr>
      </w:pPr>
      <w:r w:rsidRPr="000A66A1">
        <w:rPr>
          <w:rFonts w:asciiTheme="minorHAnsi" w:hAnsiTheme="minorHAnsi"/>
          <w:u w:val="single"/>
        </w:rPr>
        <w:t>Violent Offences – Basic Intent</w:t>
      </w:r>
    </w:p>
    <w:p w14:paraId="2D99A2A4" w14:textId="7A013641" w:rsidR="00C3248A" w:rsidRPr="000A66A1" w:rsidRDefault="00C3248A" w:rsidP="000A66A1">
      <w:pPr>
        <w:spacing w:line="360" w:lineRule="auto"/>
        <w:jc w:val="both"/>
        <w:rPr>
          <w:rFonts w:asciiTheme="minorHAnsi" w:hAnsiTheme="minorHAnsi"/>
        </w:rPr>
      </w:pPr>
    </w:p>
    <w:p w14:paraId="5CFF5624" w14:textId="30EDE3E8" w:rsidR="00BA7FA9" w:rsidRPr="000A66A1" w:rsidRDefault="00BA7FA9" w:rsidP="000A66A1">
      <w:pPr>
        <w:spacing w:line="360" w:lineRule="auto"/>
        <w:jc w:val="both"/>
        <w:rPr>
          <w:rFonts w:asciiTheme="minorHAnsi" w:hAnsiTheme="minorHAnsi"/>
        </w:rPr>
      </w:pPr>
      <w:r w:rsidRPr="000A66A1">
        <w:rPr>
          <w:rFonts w:asciiTheme="minorHAnsi" w:hAnsiTheme="minorHAnsi"/>
        </w:rPr>
        <w:t xml:space="preserve">To properly understand the relationship between </w:t>
      </w:r>
      <w:r w:rsidR="00AE24F6" w:rsidRPr="000A66A1">
        <w:rPr>
          <w:rFonts w:asciiTheme="minorHAnsi" w:hAnsiTheme="minorHAnsi"/>
        </w:rPr>
        <w:t>‘</w:t>
      </w:r>
      <w:r w:rsidR="004E36E1" w:rsidRPr="000A66A1">
        <w:rPr>
          <w:rFonts w:asciiTheme="minorHAnsi" w:hAnsiTheme="minorHAnsi"/>
        </w:rPr>
        <w:t>basic</w:t>
      </w:r>
      <w:r w:rsidR="00AE24F6" w:rsidRPr="000A66A1">
        <w:rPr>
          <w:rFonts w:asciiTheme="minorHAnsi" w:hAnsiTheme="minorHAnsi"/>
        </w:rPr>
        <w:t>’</w:t>
      </w:r>
      <w:r w:rsidR="004E36E1" w:rsidRPr="000A66A1">
        <w:rPr>
          <w:rFonts w:asciiTheme="minorHAnsi" w:hAnsiTheme="minorHAnsi"/>
        </w:rPr>
        <w:t xml:space="preserve"> and </w:t>
      </w:r>
      <w:r w:rsidR="00AE24F6" w:rsidRPr="000A66A1">
        <w:rPr>
          <w:rFonts w:asciiTheme="minorHAnsi" w:hAnsiTheme="minorHAnsi"/>
        </w:rPr>
        <w:t>‘</w:t>
      </w:r>
      <w:r w:rsidR="004E36E1" w:rsidRPr="000A66A1">
        <w:rPr>
          <w:rFonts w:asciiTheme="minorHAnsi" w:hAnsiTheme="minorHAnsi"/>
        </w:rPr>
        <w:t>specific</w:t>
      </w:r>
      <w:r w:rsidR="00AE24F6" w:rsidRPr="000A66A1">
        <w:rPr>
          <w:rFonts w:asciiTheme="minorHAnsi" w:hAnsiTheme="minorHAnsi"/>
        </w:rPr>
        <w:t>’</w:t>
      </w:r>
      <w:r w:rsidRPr="000A66A1">
        <w:rPr>
          <w:rFonts w:asciiTheme="minorHAnsi" w:hAnsiTheme="minorHAnsi"/>
        </w:rPr>
        <w:t xml:space="preserve"> offences and the doctrine of intoxication, it is important to </w:t>
      </w:r>
      <w:r w:rsidR="00205D38" w:rsidRPr="000A66A1">
        <w:rPr>
          <w:rFonts w:asciiTheme="minorHAnsi" w:hAnsiTheme="minorHAnsi"/>
        </w:rPr>
        <w:t>dissect</w:t>
      </w:r>
      <w:r w:rsidRPr="000A66A1">
        <w:rPr>
          <w:rFonts w:asciiTheme="minorHAnsi" w:hAnsiTheme="minorHAnsi"/>
        </w:rPr>
        <w:t xml:space="preserve"> the definitions </w:t>
      </w:r>
      <w:r w:rsidR="004E36E1" w:rsidRPr="000A66A1">
        <w:rPr>
          <w:rFonts w:asciiTheme="minorHAnsi" w:hAnsiTheme="minorHAnsi"/>
        </w:rPr>
        <w:t>of each offence</w:t>
      </w:r>
      <w:r w:rsidRPr="000A66A1">
        <w:rPr>
          <w:rFonts w:asciiTheme="minorHAnsi" w:hAnsiTheme="minorHAnsi"/>
        </w:rPr>
        <w:t xml:space="preserve">. Assault and battery are examples of basic intent offences, as they both require an element of recklessness as the mens rea. </w:t>
      </w:r>
      <w:r w:rsidR="00AE24F6" w:rsidRPr="000A66A1">
        <w:rPr>
          <w:rFonts w:asciiTheme="minorHAnsi" w:hAnsiTheme="minorHAnsi"/>
        </w:rPr>
        <w:t xml:space="preserve">They can be committed with </w:t>
      </w:r>
      <w:r w:rsidR="00205D38" w:rsidRPr="000A66A1">
        <w:rPr>
          <w:rFonts w:asciiTheme="minorHAnsi" w:hAnsiTheme="minorHAnsi"/>
        </w:rPr>
        <w:t>intent;</w:t>
      </w:r>
      <w:r w:rsidR="00AE24F6" w:rsidRPr="000A66A1">
        <w:rPr>
          <w:rFonts w:asciiTheme="minorHAnsi" w:hAnsiTheme="minorHAnsi"/>
        </w:rPr>
        <w:t xml:space="preserve"> </w:t>
      </w:r>
      <w:r w:rsidR="00205D38" w:rsidRPr="000A66A1">
        <w:rPr>
          <w:rFonts w:asciiTheme="minorHAnsi" w:hAnsiTheme="minorHAnsi"/>
        </w:rPr>
        <w:t>however,</w:t>
      </w:r>
      <w:r w:rsidR="00AE24F6" w:rsidRPr="000A66A1">
        <w:rPr>
          <w:rFonts w:asciiTheme="minorHAnsi" w:hAnsiTheme="minorHAnsi"/>
        </w:rPr>
        <w:t xml:space="preserve"> it is important to note that recklessness </w:t>
      </w:r>
      <w:r w:rsidR="00AE24F6" w:rsidRPr="000A66A1">
        <w:rPr>
          <w:rFonts w:asciiTheme="minorHAnsi" w:hAnsiTheme="minorHAnsi"/>
          <w:i/>
        </w:rPr>
        <w:t xml:space="preserve">could </w:t>
      </w:r>
      <w:r w:rsidR="00AE24F6" w:rsidRPr="000A66A1">
        <w:rPr>
          <w:rFonts w:asciiTheme="minorHAnsi" w:hAnsiTheme="minorHAnsi"/>
        </w:rPr>
        <w:t xml:space="preserve">suffice. </w:t>
      </w:r>
      <w:r w:rsidRPr="000A66A1">
        <w:rPr>
          <w:rFonts w:asciiTheme="minorHAnsi" w:hAnsiTheme="minorHAnsi"/>
        </w:rPr>
        <w:t xml:space="preserve">The definitions for both assault and battery are set out in case law, neither have a statutory definition. The definition for assault is where D </w:t>
      </w:r>
      <w:r w:rsidR="00AE24F6" w:rsidRPr="000A66A1">
        <w:rPr>
          <w:rFonts w:asciiTheme="minorHAnsi" w:hAnsiTheme="minorHAnsi"/>
        </w:rPr>
        <w:t>‘</w:t>
      </w:r>
      <w:r w:rsidRPr="000A66A1">
        <w:rPr>
          <w:rFonts w:asciiTheme="minorHAnsi" w:hAnsiTheme="minorHAnsi"/>
        </w:rPr>
        <w:t>intentionally or recklessly causes V to apprehend immediate unlawful personal violence’</w:t>
      </w:r>
      <w:r w:rsidRPr="000A66A1">
        <w:rPr>
          <w:rStyle w:val="FootnoteReference"/>
          <w:rFonts w:asciiTheme="minorHAnsi" w:hAnsiTheme="minorHAnsi"/>
        </w:rPr>
        <w:footnoteReference w:id="59"/>
      </w:r>
      <w:r w:rsidR="001E077F" w:rsidRPr="000A66A1">
        <w:rPr>
          <w:rFonts w:asciiTheme="minorHAnsi" w:hAnsiTheme="minorHAnsi"/>
        </w:rPr>
        <w:t>.</w:t>
      </w:r>
      <w:r w:rsidRPr="000A66A1">
        <w:rPr>
          <w:rFonts w:asciiTheme="minorHAnsi" w:hAnsiTheme="minorHAnsi"/>
        </w:rPr>
        <w:t xml:space="preserve"> The mens rea for this crime can either be intentional, or it can be that D was reckless as to whether any apprehension was caused to V.</w:t>
      </w:r>
    </w:p>
    <w:p w14:paraId="6C171202" w14:textId="642FF715" w:rsidR="00BA7FA9" w:rsidRPr="000A66A1" w:rsidRDefault="00BA7FA9" w:rsidP="000A66A1">
      <w:pPr>
        <w:spacing w:line="360" w:lineRule="auto"/>
        <w:jc w:val="both"/>
        <w:rPr>
          <w:rFonts w:asciiTheme="minorHAnsi" w:hAnsiTheme="minorHAnsi"/>
        </w:rPr>
      </w:pPr>
    </w:p>
    <w:p w14:paraId="1F26C5DC" w14:textId="59E2CD0F" w:rsidR="00BA7FA9" w:rsidRPr="000A66A1" w:rsidRDefault="00BA7FA9" w:rsidP="000A66A1">
      <w:pPr>
        <w:spacing w:line="360" w:lineRule="auto"/>
        <w:jc w:val="both"/>
        <w:rPr>
          <w:rFonts w:asciiTheme="minorHAnsi" w:hAnsiTheme="minorHAnsi"/>
        </w:rPr>
      </w:pPr>
      <w:r w:rsidRPr="000A66A1">
        <w:rPr>
          <w:rFonts w:asciiTheme="minorHAnsi" w:hAnsiTheme="minorHAnsi"/>
        </w:rPr>
        <w:t xml:space="preserve">The definition of battery is the </w:t>
      </w:r>
      <w:r w:rsidR="00AE24F6" w:rsidRPr="000A66A1">
        <w:rPr>
          <w:rFonts w:asciiTheme="minorHAnsi" w:hAnsiTheme="minorHAnsi"/>
        </w:rPr>
        <w:t>‘</w:t>
      </w:r>
      <w:r w:rsidRPr="000A66A1">
        <w:rPr>
          <w:rFonts w:asciiTheme="minorHAnsi" w:hAnsiTheme="minorHAnsi"/>
        </w:rPr>
        <w:t>unlawful application of force by the defendant upon the victim</w:t>
      </w:r>
      <w:r w:rsidR="00AE24F6" w:rsidRPr="000A66A1">
        <w:rPr>
          <w:rFonts w:asciiTheme="minorHAnsi" w:hAnsiTheme="minorHAnsi"/>
        </w:rPr>
        <w:t>’</w:t>
      </w:r>
      <w:r w:rsidRPr="000A66A1">
        <w:rPr>
          <w:rStyle w:val="FootnoteReference"/>
          <w:rFonts w:asciiTheme="minorHAnsi" w:hAnsiTheme="minorHAnsi"/>
        </w:rPr>
        <w:footnoteReference w:id="60"/>
      </w:r>
      <w:r w:rsidR="001E077F" w:rsidRPr="000A66A1">
        <w:rPr>
          <w:rFonts w:asciiTheme="minorHAnsi" w:hAnsiTheme="minorHAnsi"/>
        </w:rPr>
        <w:t>.</w:t>
      </w:r>
      <w:r w:rsidRPr="000A66A1">
        <w:rPr>
          <w:rFonts w:asciiTheme="minorHAnsi" w:hAnsiTheme="minorHAnsi"/>
        </w:rPr>
        <w:t xml:space="preserve"> </w:t>
      </w:r>
      <w:r w:rsidR="00812CE3" w:rsidRPr="000A66A1">
        <w:rPr>
          <w:rFonts w:asciiTheme="minorHAnsi" w:hAnsiTheme="minorHAnsi"/>
        </w:rPr>
        <w:t xml:space="preserve">The mens rea of this offence includes any </w:t>
      </w:r>
      <w:r w:rsidR="00AE24F6" w:rsidRPr="000A66A1">
        <w:rPr>
          <w:rFonts w:asciiTheme="minorHAnsi" w:hAnsiTheme="minorHAnsi"/>
        </w:rPr>
        <w:t>‘</w:t>
      </w:r>
      <w:r w:rsidR="00812CE3" w:rsidRPr="000A66A1">
        <w:rPr>
          <w:rFonts w:asciiTheme="minorHAnsi" w:hAnsiTheme="minorHAnsi"/>
        </w:rPr>
        <w:t>intentional or reckless touching</w:t>
      </w:r>
      <w:r w:rsidR="00AE24F6" w:rsidRPr="000A66A1">
        <w:rPr>
          <w:rFonts w:asciiTheme="minorHAnsi" w:hAnsiTheme="minorHAnsi"/>
        </w:rPr>
        <w:t>’</w:t>
      </w:r>
      <w:r w:rsidR="00812CE3" w:rsidRPr="000A66A1">
        <w:rPr>
          <w:rFonts w:asciiTheme="minorHAnsi" w:hAnsiTheme="minorHAnsi"/>
        </w:rPr>
        <w:t>, it doesn’t even need to be “hostile, rude or aggressive”</w:t>
      </w:r>
      <w:r w:rsidR="00812CE3" w:rsidRPr="000A66A1">
        <w:rPr>
          <w:rStyle w:val="FootnoteReference"/>
          <w:rFonts w:asciiTheme="minorHAnsi" w:hAnsiTheme="minorHAnsi"/>
        </w:rPr>
        <w:footnoteReference w:id="61"/>
      </w:r>
      <w:r w:rsidR="00812CE3" w:rsidRPr="000A66A1">
        <w:rPr>
          <w:rFonts w:asciiTheme="minorHAnsi" w:hAnsiTheme="minorHAnsi"/>
        </w:rPr>
        <w:t xml:space="preserve">. As both battery and assault include an element of recklessness, both will therefore be offences of basic intent. </w:t>
      </w:r>
      <w:r w:rsidR="00E46E50" w:rsidRPr="000A66A1">
        <w:rPr>
          <w:rFonts w:asciiTheme="minorHAnsi" w:hAnsiTheme="minorHAnsi"/>
        </w:rPr>
        <w:t xml:space="preserve">Both offences will still be basic intent offences even though it is possible to have an intention other than </w:t>
      </w:r>
      <w:r w:rsidR="0002774C" w:rsidRPr="000A66A1">
        <w:rPr>
          <w:rFonts w:asciiTheme="minorHAnsi" w:hAnsiTheme="minorHAnsi"/>
        </w:rPr>
        <w:t>recklessness</w:t>
      </w:r>
      <w:r w:rsidR="00205D38" w:rsidRPr="000A66A1">
        <w:rPr>
          <w:rStyle w:val="FootnoteReference"/>
          <w:rFonts w:asciiTheme="minorHAnsi" w:hAnsiTheme="minorHAnsi"/>
        </w:rPr>
        <w:footnoteReference w:id="62"/>
      </w:r>
      <w:r w:rsidR="00E46E50" w:rsidRPr="000A66A1">
        <w:rPr>
          <w:rFonts w:asciiTheme="minorHAnsi" w:hAnsiTheme="minorHAnsi"/>
        </w:rPr>
        <w:t xml:space="preserve">. </w:t>
      </w:r>
      <w:r w:rsidR="00F90FC2" w:rsidRPr="000A66A1">
        <w:rPr>
          <w:rFonts w:asciiTheme="minorHAnsi" w:hAnsiTheme="minorHAnsi"/>
        </w:rPr>
        <w:t>The elements of recklessness are always subjective</w:t>
      </w:r>
      <w:r w:rsidR="00F90FC2" w:rsidRPr="000A66A1">
        <w:rPr>
          <w:rStyle w:val="FootnoteReference"/>
          <w:rFonts w:asciiTheme="minorHAnsi" w:hAnsiTheme="minorHAnsi"/>
        </w:rPr>
        <w:footnoteReference w:id="63"/>
      </w:r>
      <w:r w:rsidR="00F90FC2" w:rsidRPr="000A66A1">
        <w:rPr>
          <w:rFonts w:asciiTheme="minorHAnsi" w:hAnsiTheme="minorHAnsi"/>
        </w:rPr>
        <w:t>, meaning that it depends on D’s genuine belief. It requires that D ‘foresees and appreciates some risk’</w:t>
      </w:r>
      <w:r w:rsidR="00F90FC2" w:rsidRPr="000A66A1" w:rsidDel="00205D38">
        <w:rPr>
          <w:rStyle w:val="FootnoteReference"/>
          <w:rFonts w:asciiTheme="minorHAnsi" w:hAnsiTheme="minorHAnsi"/>
        </w:rPr>
        <w:footnoteReference w:id="64"/>
      </w:r>
      <w:r w:rsidR="001E077F" w:rsidRPr="000A66A1">
        <w:rPr>
          <w:rFonts w:asciiTheme="minorHAnsi" w:hAnsiTheme="minorHAnsi"/>
        </w:rPr>
        <w:t>.</w:t>
      </w:r>
    </w:p>
    <w:p w14:paraId="3AB149CC" w14:textId="3E68DDC4" w:rsidR="00F90FC2" w:rsidRPr="000A66A1" w:rsidRDefault="00F90FC2" w:rsidP="000A66A1">
      <w:pPr>
        <w:spacing w:line="360" w:lineRule="auto"/>
        <w:jc w:val="both"/>
        <w:rPr>
          <w:rFonts w:asciiTheme="minorHAnsi" w:hAnsiTheme="minorHAnsi"/>
        </w:rPr>
      </w:pPr>
    </w:p>
    <w:p w14:paraId="58108D0E" w14:textId="5BF10ACE" w:rsidR="00F90FC2" w:rsidRPr="000A66A1" w:rsidRDefault="00F90FC2" w:rsidP="000A66A1">
      <w:pPr>
        <w:spacing w:line="360" w:lineRule="auto"/>
        <w:jc w:val="both"/>
        <w:rPr>
          <w:rFonts w:asciiTheme="minorHAnsi" w:hAnsiTheme="minorHAnsi"/>
        </w:rPr>
      </w:pPr>
      <w:r w:rsidRPr="000A66A1">
        <w:rPr>
          <w:rFonts w:asciiTheme="minorHAnsi" w:hAnsiTheme="minorHAnsi"/>
        </w:rPr>
        <w:t>The offence of Actual Bodily Harm</w:t>
      </w:r>
      <w:r w:rsidR="00205D38" w:rsidRPr="000A66A1">
        <w:rPr>
          <w:rStyle w:val="FootnoteReference"/>
          <w:rFonts w:asciiTheme="minorHAnsi" w:hAnsiTheme="minorHAnsi"/>
        </w:rPr>
        <w:footnoteReference w:id="65"/>
      </w:r>
      <w:r w:rsidRPr="000A66A1">
        <w:rPr>
          <w:rFonts w:asciiTheme="minorHAnsi" w:hAnsiTheme="minorHAnsi"/>
        </w:rPr>
        <w:t xml:space="preserve"> (</w:t>
      </w:r>
      <w:r w:rsidR="00205D38" w:rsidRPr="000A66A1">
        <w:rPr>
          <w:rFonts w:asciiTheme="minorHAnsi" w:hAnsiTheme="minorHAnsi"/>
        </w:rPr>
        <w:t>‘</w:t>
      </w:r>
      <w:r w:rsidRPr="000A66A1">
        <w:rPr>
          <w:rFonts w:asciiTheme="minorHAnsi" w:hAnsiTheme="minorHAnsi"/>
        </w:rPr>
        <w:t>ABH</w:t>
      </w:r>
      <w:r w:rsidR="00205D38" w:rsidRPr="000A66A1">
        <w:rPr>
          <w:rFonts w:asciiTheme="minorHAnsi" w:hAnsiTheme="minorHAnsi"/>
        </w:rPr>
        <w:t>’</w:t>
      </w:r>
      <w:r w:rsidRPr="000A66A1">
        <w:rPr>
          <w:rFonts w:asciiTheme="minorHAnsi" w:hAnsiTheme="minorHAnsi"/>
        </w:rPr>
        <w:t>) is also a basic intent offence. The definition i</w:t>
      </w:r>
      <w:r w:rsidR="00CE54D8" w:rsidRPr="000A66A1">
        <w:rPr>
          <w:rFonts w:asciiTheme="minorHAnsi" w:hAnsiTheme="minorHAnsi"/>
        </w:rPr>
        <w:t>n</w:t>
      </w:r>
      <w:r w:rsidRPr="000A66A1">
        <w:rPr>
          <w:rFonts w:asciiTheme="minorHAnsi" w:hAnsiTheme="minorHAnsi"/>
        </w:rPr>
        <w:t xml:space="preserve"> statute is ‘an assault occasioning ABH’</w:t>
      </w:r>
      <w:r w:rsidRPr="000A66A1">
        <w:rPr>
          <w:rStyle w:val="FootnoteReference"/>
          <w:rFonts w:asciiTheme="minorHAnsi" w:hAnsiTheme="minorHAnsi"/>
        </w:rPr>
        <w:footnoteReference w:id="66"/>
      </w:r>
      <w:r w:rsidR="00205D38" w:rsidRPr="000A66A1">
        <w:rPr>
          <w:rFonts w:asciiTheme="minorHAnsi" w:hAnsiTheme="minorHAnsi"/>
        </w:rPr>
        <w:t>. A</w:t>
      </w:r>
      <w:r w:rsidRPr="000A66A1">
        <w:rPr>
          <w:rFonts w:asciiTheme="minorHAnsi" w:hAnsiTheme="minorHAnsi"/>
        </w:rPr>
        <w:t>lthough</w:t>
      </w:r>
      <w:r w:rsidR="00205D38" w:rsidRPr="000A66A1">
        <w:rPr>
          <w:rFonts w:asciiTheme="minorHAnsi" w:hAnsiTheme="minorHAnsi"/>
        </w:rPr>
        <w:t>,</w:t>
      </w:r>
      <w:r w:rsidRPr="000A66A1">
        <w:rPr>
          <w:rFonts w:asciiTheme="minorHAnsi" w:hAnsiTheme="minorHAnsi"/>
        </w:rPr>
        <w:t xml:space="preserve"> </w:t>
      </w:r>
      <w:r w:rsidR="00CE54D8" w:rsidRPr="000A66A1">
        <w:rPr>
          <w:rFonts w:asciiTheme="minorHAnsi" w:hAnsiTheme="minorHAnsi"/>
        </w:rPr>
        <w:t xml:space="preserve">it has been </w:t>
      </w:r>
      <w:r w:rsidR="00CE54D8" w:rsidRPr="000A66A1">
        <w:rPr>
          <w:rFonts w:asciiTheme="minorHAnsi" w:hAnsiTheme="minorHAnsi"/>
        </w:rPr>
        <w:lastRenderedPageBreak/>
        <w:t>determined to</w:t>
      </w:r>
      <w:r w:rsidRPr="000A66A1">
        <w:rPr>
          <w:rFonts w:asciiTheme="minorHAnsi" w:hAnsiTheme="minorHAnsi"/>
        </w:rPr>
        <w:t xml:space="preserve"> include a battery occasioning ABH</w:t>
      </w:r>
      <w:r w:rsidRPr="000A66A1">
        <w:rPr>
          <w:rStyle w:val="FootnoteReference"/>
          <w:rFonts w:asciiTheme="minorHAnsi" w:hAnsiTheme="minorHAnsi"/>
        </w:rPr>
        <w:footnoteReference w:id="67"/>
      </w:r>
      <w:r w:rsidR="00CE54D8" w:rsidRPr="000A66A1">
        <w:rPr>
          <w:rFonts w:asciiTheme="minorHAnsi" w:hAnsiTheme="minorHAnsi"/>
        </w:rPr>
        <w:t xml:space="preserve"> through case law</w:t>
      </w:r>
      <w:r w:rsidRPr="000A66A1">
        <w:rPr>
          <w:rFonts w:asciiTheme="minorHAnsi" w:hAnsiTheme="minorHAnsi"/>
        </w:rPr>
        <w:t xml:space="preserve">. </w:t>
      </w:r>
      <w:r w:rsidR="00DB41C8" w:rsidRPr="000A66A1">
        <w:rPr>
          <w:rFonts w:asciiTheme="minorHAnsi" w:hAnsiTheme="minorHAnsi"/>
        </w:rPr>
        <w:t>The mens rea is therefore the same as it is for assault and battery, depending on which offence resulted in the injury. No additional mens rea is required, only that D either ‘intended or was reckless as to the injury inflicted’</w:t>
      </w:r>
      <w:r w:rsidR="00DB41C8" w:rsidRPr="000A66A1">
        <w:rPr>
          <w:rStyle w:val="FootnoteReference"/>
          <w:rFonts w:asciiTheme="minorHAnsi" w:hAnsiTheme="minorHAnsi"/>
        </w:rPr>
        <w:footnoteReference w:id="68"/>
      </w:r>
      <w:r w:rsidR="00DB41C8" w:rsidRPr="000A66A1">
        <w:rPr>
          <w:rFonts w:asciiTheme="minorHAnsi" w:hAnsiTheme="minorHAnsi"/>
        </w:rPr>
        <w:t>, with some appreciation of the risk involved.</w:t>
      </w:r>
      <w:r w:rsidR="00DB41C8" w:rsidRPr="000A66A1">
        <w:rPr>
          <w:rStyle w:val="FootnoteReference"/>
          <w:rFonts w:asciiTheme="minorHAnsi" w:hAnsiTheme="minorHAnsi"/>
        </w:rPr>
        <w:footnoteReference w:id="69"/>
      </w:r>
      <w:r w:rsidR="00DB41C8" w:rsidRPr="000A66A1">
        <w:rPr>
          <w:rFonts w:asciiTheme="minorHAnsi" w:hAnsiTheme="minorHAnsi"/>
        </w:rPr>
        <w:t xml:space="preserve"> As recklessness can suffice for the mens rea, this results in ABH being an offence of basic intent.</w:t>
      </w:r>
    </w:p>
    <w:p w14:paraId="6DB7EDD9" w14:textId="442C8DDA" w:rsidR="00DB41C8" w:rsidRPr="000A66A1" w:rsidRDefault="00DB41C8" w:rsidP="000A66A1">
      <w:pPr>
        <w:spacing w:line="360" w:lineRule="auto"/>
        <w:jc w:val="both"/>
        <w:rPr>
          <w:rFonts w:asciiTheme="minorHAnsi" w:hAnsiTheme="minorHAnsi"/>
        </w:rPr>
      </w:pPr>
    </w:p>
    <w:p w14:paraId="7C4AACF3" w14:textId="0D2BF4F7" w:rsidR="00DB41C8" w:rsidRPr="000A66A1" w:rsidRDefault="00DB41C8" w:rsidP="000A66A1">
      <w:pPr>
        <w:spacing w:line="360" w:lineRule="auto"/>
        <w:jc w:val="both"/>
        <w:rPr>
          <w:rFonts w:asciiTheme="minorHAnsi" w:hAnsiTheme="minorHAnsi"/>
        </w:rPr>
      </w:pPr>
      <w:r w:rsidRPr="000A66A1">
        <w:rPr>
          <w:rFonts w:asciiTheme="minorHAnsi" w:hAnsiTheme="minorHAnsi"/>
        </w:rPr>
        <w:t xml:space="preserve">This is also how mens rea </w:t>
      </w:r>
      <w:r w:rsidR="00205D38" w:rsidRPr="000A66A1">
        <w:rPr>
          <w:rFonts w:asciiTheme="minorHAnsi" w:hAnsiTheme="minorHAnsi"/>
        </w:rPr>
        <w:t xml:space="preserve">is exercised in </w:t>
      </w:r>
      <w:r w:rsidRPr="000A66A1">
        <w:rPr>
          <w:rFonts w:asciiTheme="minorHAnsi" w:hAnsiTheme="minorHAnsi"/>
        </w:rPr>
        <w:t xml:space="preserve">the </w:t>
      </w:r>
      <w:r w:rsidR="00CE54D8" w:rsidRPr="000A66A1">
        <w:rPr>
          <w:rFonts w:asciiTheme="minorHAnsi" w:hAnsiTheme="minorHAnsi"/>
        </w:rPr>
        <w:t>offence under s</w:t>
      </w:r>
      <w:r w:rsidR="00205D38" w:rsidRPr="000A66A1">
        <w:rPr>
          <w:rFonts w:asciiTheme="minorHAnsi" w:hAnsiTheme="minorHAnsi"/>
        </w:rPr>
        <w:t xml:space="preserve">ection </w:t>
      </w:r>
      <w:r w:rsidR="00CE54D8" w:rsidRPr="000A66A1">
        <w:rPr>
          <w:rFonts w:asciiTheme="minorHAnsi" w:hAnsiTheme="minorHAnsi"/>
        </w:rPr>
        <w:t>20</w:t>
      </w:r>
      <w:r w:rsidR="00CE54D8" w:rsidRPr="000A66A1">
        <w:rPr>
          <w:rStyle w:val="FootnoteReference"/>
          <w:rFonts w:asciiTheme="minorHAnsi" w:hAnsiTheme="minorHAnsi"/>
        </w:rPr>
        <w:footnoteReference w:id="70"/>
      </w:r>
      <w:r w:rsidRPr="000A66A1">
        <w:rPr>
          <w:rFonts w:asciiTheme="minorHAnsi" w:hAnsiTheme="minorHAnsi"/>
        </w:rPr>
        <w:t xml:space="preserve"> </w:t>
      </w:r>
      <w:r w:rsidR="00CE54D8" w:rsidRPr="000A66A1">
        <w:rPr>
          <w:rFonts w:asciiTheme="minorHAnsi" w:hAnsiTheme="minorHAnsi"/>
        </w:rPr>
        <w:t xml:space="preserve">for </w:t>
      </w:r>
      <w:r w:rsidR="00205D38" w:rsidRPr="000A66A1">
        <w:rPr>
          <w:rFonts w:asciiTheme="minorHAnsi" w:hAnsiTheme="minorHAnsi"/>
        </w:rPr>
        <w:t xml:space="preserve">GBH. </w:t>
      </w:r>
      <w:r w:rsidR="00CE54D8" w:rsidRPr="000A66A1">
        <w:rPr>
          <w:rFonts w:asciiTheme="minorHAnsi" w:hAnsiTheme="minorHAnsi"/>
        </w:rPr>
        <w:t>There are two offence</w:t>
      </w:r>
      <w:r w:rsidR="00205D38" w:rsidRPr="000A66A1">
        <w:rPr>
          <w:rFonts w:asciiTheme="minorHAnsi" w:hAnsiTheme="minorHAnsi"/>
        </w:rPr>
        <w:t>s</w:t>
      </w:r>
      <w:r w:rsidR="00CE54D8" w:rsidRPr="000A66A1">
        <w:rPr>
          <w:rFonts w:asciiTheme="minorHAnsi" w:hAnsiTheme="minorHAnsi"/>
        </w:rPr>
        <w:t xml:space="preserve"> of GBH, which can be used to highlight how the intoxication doctrine works in practice when it comes to violent offences. </w:t>
      </w:r>
      <w:r w:rsidRPr="000A66A1">
        <w:rPr>
          <w:rFonts w:asciiTheme="minorHAnsi" w:hAnsiTheme="minorHAnsi"/>
        </w:rPr>
        <w:t>The first one</w:t>
      </w:r>
      <w:r w:rsidR="0022163A" w:rsidRPr="000A66A1">
        <w:rPr>
          <w:rFonts w:asciiTheme="minorHAnsi" w:hAnsiTheme="minorHAnsi"/>
        </w:rPr>
        <w:t>, under s</w:t>
      </w:r>
      <w:r w:rsidR="00205D38" w:rsidRPr="000A66A1">
        <w:rPr>
          <w:rFonts w:asciiTheme="minorHAnsi" w:hAnsiTheme="minorHAnsi"/>
        </w:rPr>
        <w:t xml:space="preserve">ection </w:t>
      </w:r>
      <w:r w:rsidR="0022163A" w:rsidRPr="000A66A1">
        <w:rPr>
          <w:rFonts w:asciiTheme="minorHAnsi" w:hAnsiTheme="minorHAnsi"/>
        </w:rPr>
        <w:t>20</w:t>
      </w:r>
      <w:r w:rsidR="0022163A" w:rsidRPr="000A66A1">
        <w:rPr>
          <w:rStyle w:val="FootnoteReference"/>
          <w:rFonts w:asciiTheme="minorHAnsi" w:hAnsiTheme="minorHAnsi"/>
        </w:rPr>
        <w:footnoteReference w:id="71"/>
      </w:r>
      <w:r w:rsidR="0022163A" w:rsidRPr="000A66A1">
        <w:rPr>
          <w:rFonts w:asciiTheme="minorHAnsi" w:hAnsiTheme="minorHAnsi"/>
        </w:rPr>
        <w:t xml:space="preserve"> is the lesser of the two offences</w:t>
      </w:r>
      <w:r w:rsidR="00205D38" w:rsidRPr="000A66A1">
        <w:rPr>
          <w:rFonts w:asciiTheme="minorHAnsi" w:hAnsiTheme="minorHAnsi"/>
        </w:rPr>
        <w:t xml:space="preserve"> as i</w:t>
      </w:r>
      <w:r w:rsidR="0022163A" w:rsidRPr="000A66A1">
        <w:rPr>
          <w:rFonts w:asciiTheme="minorHAnsi" w:hAnsiTheme="minorHAnsi"/>
        </w:rPr>
        <w:t>t is classed as a basic intent offence. The definition of this offence is that D has to ‘unlawfully and maliciously wound or inflict any GBH on another person’</w:t>
      </w:r>
      <w:r w:rsidR="00205D38" w:rsidRPr="000A66A1">
        <w:rPr>
          <w:rStyle w:val="FootnoteReference"/>
          <w:rFonts w:asciiTheme="minorHAnsi" w:hAnsiTheme="minorHAnsi"/>
        </w:rPr>
        <w:footnoteReference w:id="72"/>
      </w:r>
      <w:r w:rsidR="0022163A" w:rsidRPr="000A66A1">
        <w:rPr>
          <w:rFonts w:asciiTheme="minorHAnsi" w:hAnsiTheme="minorHAnsi"/>
        </w:rPr>
        <w:t>. The mens rea required for this offence is that D has either the intention to cause wounding or GBH, or that they are reckless as to the causing of some harm</w:t>
      </w:r>
      <w:r w:rsidR="00205D38" w:rsidRPr="000A66A1">
        <w:rPr>
          <w:rStyle w:val="FootnoteReference"/>
          <w:rFonts w:asciiTheme="minorHAnsi" w:hAnsiTheme="minorHAnsi"/>
        </w:rPr>
        <w:footnoteReference w:id="73"/>
      </w:r>
      <w:r w:rsidR="0022163A" w:rsidRPr="000A66A1">
        <w:rPr>
          <w:rFonts w:asciiTheme="minorHAnsi" w:hAnsiTheme="minorHAnsi"/>
        </w:rPr>
        <w:t xml:space="preserve">. </w:t>
      </w:r>
      <w:r w:rsidR="00B35480" w:rsidRPr="000A66A1">
        <w:rPr>
          <w:rFonts w:asciiTheme="minorHAnsi" w:hAnsiTheme="minorHAnsi"/>
        </w:rPr>
        <w:t>The rules of subjective recklessness will apply here too</w:t>
      </w:r>
      <w:r w:rsidR="00205D38" w:rsidRPr="000A66A1">
        <w:rPr>
          <w:rFonts w:asciiTheme="minorHAnsi" w:hAnsiTheme="minorHAnsi"/>
        </w:rPr>
        <w:t xml:space="preserve"> </w:t>
      </w:r>
      <w:r w:rsidR="00B35480" w:rsidRPr="000A66A1">
        <w:rPr>
          <w:rFonts w:asciiTheme="minorHAnsi" w:hAnsiTheme="minorHAnsi"/>
        </w:rPr>
        <w:t>so D only has to foresee the risk of some harm rather than serious harm</w:t>
      </w:r>
      <w:r w:rsidR="00B35480" w:rsidRPr="000A66A1" w:rsidDel="00205D38">
        <w:rPr>
          <w:rStyle w:val="FootnoteReference"/>
          <w:rFonts w:asciiTheme="minorHAnsi" w:hAnsiTheme="minorHAnsi"/>
        </w:rPr>
        <w:footnoteReference w:id="74"/>
      </w:r>
      <w:r w:rsidR="001F5171" w:rsidRPr="000A66A1">
        <w:rPr>
          <w:rFonts w:asciiTheme="minorHAnsi" w:hAnsiTheme="minorHAnsi"/>
        </w:rPr>
        <w:t>.</w:t>
      </w:r>
    </w:p>
    <w:p w14:paraId="0424088A" w14:textId="75684E8D" w:rsidR="00CF2016" w:rsidRPr="000A66A1" w:rsidRDefault="00CF2016" w:rsidP="000A66A1">
      <w:pPr>
        <w:spacing w:line="360" w:lineRule="auto"/>
        <w:jc w:val="both"/>
        <w:rPr>
          <w:rFonts w:asciiTheme="minorHAnsi" w:hAnsiTheme="minorHAnsi"/>
        </w:rPr>
      </w:pPr>
    </w:p>
    <w:p w14:paraId="3D9A6ECF" w14:textId="5FE0E4B4" w:rsidR="00CF2016" w:rsidRPr="000A66A1" w:rsidRDefault="00CF2016" w:rsidP="000A66A1">
      <w:pPr>
        <w:spacing w:line="360" w:lineRule="auto"/>
        <w:jc w:val="both"/>
        <w:rPr>
          <w:rFonts w:asciiTheme="minorHAnsi" w:hAnsiTheme="minorHAnsi"/>
        </w:rPr>
      </w:pPr>
      <w:r w:rsidRPr="000A66A1">
        <w:rPr>
          <w:rFonts w:asciiTheme="minorHAnsi" w:hAnsiTheme="minorHAnsi"/>
        </w:rPr>
        <w:t xml:space="preserve">The only </w:t>
      </w:r>
      <w:r w:rsidR="00205D38" w:rsidRPr="000A66A1">
        <w:rPr>
          <w:rFonts w:asciiTheme="minorHAnsi" w:hAnsiTheme="minorHAnsi"/>
        </w:rPr>
        <w:t>difference separating</w:t>
      </w:r>
      <w:r w:rsidRPr="000A66A1">
        <w:rPr>
          <w:rFonts w:asciiTheme="minorHAnsi" w:hAnsiTheme="minorHAnsi"/>
        </w:rPr>
        <w:t xml:space="preserve"> ABH and s</w:t>
      </w:r>
      <w:r w:rsidR="00205D38" w:rsidRPr="000A66A1">
        <w:rPr>
          <w:rFonts w:asciiTheme="minorHAnsi" w:hAnsiTheme="minorHAnsi"/>
        </w:rPr>
        <w:t xml:space="preserve">ection </w:t>
      </w:r>
      <w:r w:rsidRPr="000A66A1">
        <w:rPr>
          <w:rFonts w:asciiTheme="minorHAnsi" w:hAnsiTheme="minorHAnsi"/>
        </w:rPr>
        <w:t>20</w:t>
      </w:r>
      <w:r w:rsidR="00205D38" w:rsidRPr="000A66A1">
        <w:rPr>
          <w:rStyle w:val="FootnoteReference"/>
          <w:rFonts w:asciiTheme="minorHAnsi" w:hAnsiTheme="minorHAnsi"/>
        </w:rPr>
        <w:footnoteReference w:id="75"/>
      </w:r>
      <w:r w:rsidRPr="000A66A1">
        <w:rPr>
          <w:rFonts w:asciiTheme="minorHAnsi" w:hAnsiTheme="minorHAnsi"/>
        </w:rPr>
        <w:t xml:space="preserve"> GBH from the offences of assault and battery, is the </w:t>
      </w:r>
      <w:r w:rsidR="00205D38" w:rsidRPr="000A66A1">
        <w:rPr>
          <w:rFonts w:asciiTheme="minorHAnsi" w:hAnsiTheme="minorHAnsi"/>
        </w:rPr>
        <w:t xml:space="preserve">criminal </w:t>
      </w:r>
      <w:r w:rsidR="00375135" w:rsidRPr="000A66A1">
        <w:rPr>
          <w:rFonts w:asciiTheme="minorHAnsi" w:hAnsiTheme="minorHAnsi"/>
        </w:rPr>
        <w:t>consequence rather than the conduct</w:t>
      </w:r>
      <w:r w:rsidR="00205D38" w:rsidRPr="000A66A1">
        <w:rPr>
          <w:rFonts w:asciiTheme="minorHAnsi" w:hAnsiTheme="minorHAnsi"/>
        </w:rPr>
        <w:t xml:space="preserve"> itself</w:t>
      </w:r>
      <w:r w:rsidRPr="000A66A1">
        <w:rPr>
          <w:rFonts w:asciiTheme="minorHAnsi" w:hAnsiTheme="minorHAnsi"/>
        </w:rPr>
        <w:t>. For ABH and GBH</w:t>
      </w:r>
      <w:r w:rsidR="001F5896" w:rsidRPr="000A66A1">
        <w:rPr>
          <w:rStyle w:val="FootnoteReference"/>
          <w:rFonts w:asciiTheme="minorHAnsi" w:hAnsiTheme="minorHAnsi"/>
        </w:rPr>
        <w:footnoteReference w:id="76"/>
      </w:r>
      <w:r w:rsidRPr="000A66A1">
        <w:rPr>
          <w:rFonts w:asciiTheme="minorHAnsi" w:hAnsiTheme="minorHAnsi"/>
        </w:rPr>
        <w:t>, the maximum penalty is 5 years imprisonment</w:t>
      </w:r>
      <w:r w:rsidR="00205D38" w:rsidRPr="000A66A1">
        <w:rPr>
          <w:rStyle w:val="FootnoteReference"/>
          <w:rFonts w:asciiTheme="minorHAnsi" w:hAnsiTheme="minorHAnsi"/>
        </w:rPr>
        <w:footnoteReference w:id="77"/>
      </w:r>
      <w:r w:rsidR="00CE54D8" w:rsidRPr="000A66A1">
        <w:rPr>
          <w:rFonts w:asciiTheme="minorHAnsi" w:hAnsiTheme="minorHAnsi"/>
        </w:rPr>
        <w:t>,</w:t>
      </w:r>
      <w:r w:rsidRPr="000A66A1">
        <w:rPr>
          <w:rFonts w:asciiTheme="minorHAnsi" w:hAnsiTheme="minorHAnsi"/>
        </w:rPr>
        <w:t xml:space="preserve"> </w:t>
      </w:r>
      <w:r w:rsidR="00CE54D8" w:rsidRPr="000A66A1">
        <w:rPr>
          <w:rFonts w:asciiTheme="minorHAnsi" w:hAnsiTheme="minorHAnsi"/>
        </w:rPr>
        <w:t xml:space="preserve">whereas for assault and battery, the maximum penalty </w:t>
      </w:r>
      <w:r w:rsidR="00283046" w:rsidRPr="000A66A1">
        <w:rPr>
          <w:rFonts w:asciiTheme="minorHAnsi" w:hAnsiTheme="minorHAnsi"/>
        </w:rPr>
        <w:t>is</w:t>
      </w:r>
      <w:r w:rsidR="00CE54D8" w:rsidRPr="000A66A1">
        <w:rPr>
          <w:rFonts w:asciiTheme="minorHAnsi" w:hAnsiTheme="minorHAnsi"/>
        </w:rPr>
        <w:t xml:space="preserve"> 6 month</w:t>
      </w:r>
      <w:r w:rsidR="00283046" w:rsidRPr="000A66A1">
        <w:rPr>
          <w:rFonts w:asciiTheme="minorHAnsi" w:hAnsiTheme="minorHAnsi"/>
        </w:rPr>
        <w:t>s</w:t>
      </w:r>
      <w:r w:rsidR="00205D38" w:rsidRPr="000A66A1">
        <w:rPr>
          <w:rStyle w:val="FootnoteReference"/>
          <w:rFonts w:asciiTheme="minorHAnsi" w:hAnsiTheme="minorHAnsi"/>
        </w:rPr>
        <w:footnoteReference w:id="78"/>
      </w:r>
      <w:r w:rsidR="00CE54D8" w:rsidRPr="000A66A1">
        <w:rPr>
          <w:rFonts w:asciiTheme="minorHAnsi" w:hAnsiTheme="minorHAnsi"/>
        </w:rPr>
        <w:t>.</w:t>
      </w:r>
      <w:r w:rsidR="001F5896" w:rsidRPr="000A66A1">
        <w:rPr>
          <w:rFonts w:asciiTheme="minorHAnsi" w:hAnsiTheme="minorHAnsi"/>
        </w:rPr>
        <w:t xml:space="preserve"> </w:t>
      </w:r>
      <w:r w:rsidR="00205D38" w:rsidRPr="000A66A1">
        <w:rPr>
          <w:rFonts w:asciiTheme="minorHAnsi" w:hAnsiTheme="minorHAnsi"/>
        </w:rPr>
        <w:t xml:space="preserve">This </w:t>
      </w:r>
      <w:r w:rsidR="00E245C7" w:rsidRPr="000A66A1">
        <w:rPr>
          <w:rFonts w:asciiTheme="minorHAnsi" w:hAnsiTheme="minorHAnsi"/>
        </w:rPr>
        <w:t>is evidence</w:t>
      </w:r>
      <w:r w:rsidR="00205D38" w:rsidRPr="000A66A1">
        <w:rPr>
          <w:rFonts w:asciiTheme="minorHAnsi" w:hAnsiTheme="minorHAnsi"/>
        </w:rPr>
        <w:t xml:space="preserve"> that</w:t>
      </w:r>
      <w:r w:rsidR="00E245C7" w:rsidRPr="000A66A1">
        <w:rPr>
          <w:rFonts w:asciiTheme="minorHAnsi" w:hAnsiTheme="minorHAnsi"/>
        </w:rPr>
        <w:t xml:space="preserve"> the level of punishment changes depending on the severity of the consequence, rather than the conduct itself. </w:t>
      </w:r>
    </w:p>
    <w:p w14:paraId="7811F166" w14:textId="6366C0D3" w:rsidR="0092119D" w:rsidRPr="000A66A1" w:rsidRDefault="0092119D" w:rsidP="000A66A1">
      <w:pPr>
        <w:spacing w:line="360" w:lineRule="auto"/>
        <w:jc w:val="both"/>
        <w:rPr>
          <w:rFonts w:asciiTheme="minorHAnsi" w:hAnsiTheme="minorHAnsi"/>
        </w:rPr>
      </w:pPr>
    </w:p>
    <w:p w14:paraId="780058B5" w14:textId="6A615C1A" w:rsidR="0092119D" w:rsidRPr="000A66A1" w:rsidRDefault="00CE54D8" w:rsidP="000A66A1">
      <w:pPr>
        <w:spacing w:line="360" w:lineRule="auto"/>
        <w:jc w:val="both"/>
        <w:rPr>
          <w:rFonts w:asciiTheme="minorHAnsi" w:hAnsiTheme="minorHAnsi"/>
        </w:rPr>
      </w:pPr>
      <w:r w:rsidRPr="000A66A1">
        <w:rPr>
          <w:rFonts w:asciiTheme="minorHAnsi" w:hAnsiTheme="minorHAnsi"/>
        </w:rPr>
        <w:lastRenderedPageBreak/>
        <w:t>Unlawful act</w:t>
      </w:r>
      <w:r w:rsidR="003D0EBB" w:rsidRPr="000A66A1">
        <w:rPr>
          <w:rFonts w:asciiTheme="minorHAnsi" w:hAnsiTheme="minorHAnsi"/>
        </w:rPr>
        <w:t xml:space="preserve"> manslaughter works in a similar way to ABH and GBH in that the result of the offence categorises how D will be prosecuted, even though the mens rea remains the same. </w:t>
      </w:r>
      <w:r w:rsidRPr="000A66A1">
        <w:rPr>
          <w:rFonts w:asciiTheme="minorHAnsi" w:hAnsiTheme="minorHAnsi"/>
        </w:rPr>
        <w:t xml:space="preserve">The definition of </w:t>
      </w:r>
      <w:r w:rsidR="00205D38" w:rsidRPr="000A66A1">
        <w:rPr>
          <w:rFonts w:asciiTheme="minorHAnsi" w:hAnsiTheme="minorHAnsi"/>
        </w:rPr>
        <w:t xml:space="preserve">unlawful act manslaughter </w:t>
      </w:r>
      <w:r w:rsidRPr="000A66A1">
        <w:rPr>
          <w:rFonts w:asciiTheme="minorHAnsi" w:hAnsiTheme="minorHAnsi"/>
        </w:rPr>
        <w:t>requires</w:t>
      </w:r>
      <w:r w:rsidR="00836773" w:rsidRPr="000A66A1">
        <w:rPr>
          <w:rFonts w:asciiTheme="minorHAnsi" w:hAnsiTheme="minorHAnsi"/>
        </w:rPr>
        <w:t xml:space="preserve"> D </w:t>
      </w:r>
      <w:r w:rsidRPr="000A66A1">
        <w:rPr>
          <w:rFonts w:asciiTheme="minorHAnsi" w:hAnsiTheme="minorHAnsi"/>
        </w:rPr>
        <w:t xml:space="preserve">to </w:t>
      </w:r>
      <w:r w:rsidR="00836773" w:rsidRPr="000A66A1">
        <w:rPr>
          <w:rFonts w:asciiTheme="minorHAnsi" w:hAnsiTheme="minorHAnsi"/>
        </w:rPr>
        <w:t>‘commit an unlawful act which results in the death of another’</w:t>
      </w:r>
      <w:r w:rsidR="00205D38" w:rsidRPr="000A66A1">
        <w:rPr>
          <w:rStyle w:val="FootnoteReference"/>
          <w:rFonts w:asciiTheme="minorHAnsi" w:hAnsiTheme="minorHAnsi"/>
        </w:rPr>
        <w:footnoteReference w:id="79"/>
      </w:r>
      <w:r w:rsidR="00836773" w:rsidRPr="000A66A1">
        <w:rPr>
          <w:rFonts w:asciiTheme="minorHAnsi" w:hAnsiTheme="minorHAnsi"/>
        </w:rPr>
        <w:t>. For this type of manslaughter, it must be established that there was an unlawful act, and that all elements of that act are proven</w:t>
      </w:r>
      <w:r w:rsidR="00205D38" w:rsidRPr="000A66A1">
        <w:rPr>
          <w:rStyle w:val="FootnoteReference"/>
          <w:rFonts w:asciiTheme="minorHAnsi" w:hAnsiTheme="minorHAnsi"/>
        </w:rPr>
        <w:footnoteReference w:id="80"/>
      </w:r>
      <w:r w:rsidR="00836773" w:rsidRPr="000A66A1">
        <w:rPr>
          <w:rFonts w:asciiTheme="minorHAnsi" w:hAnsiTheme="minorHAnsi"/>
        </w:rPr>
        <w:t xml:space="preserve">. </w:t>
      </w:r>
      <w:r w:rsidR="00E82FD9" w:rsidRPr="000A66A1">
        <w:rPr>
          <w:rFonts w:asciiTheme="minorHAnsi" w:hAnsiTheme="minorHAnsi"/>
        </w:rPr>
        <w:t xml:space="preserve">Other types of manslaughter will not be discussed throughout this project. </w:t>
      </w:r>
      <w:r w:rsidR="00A86465" w:rsidRPr="000A66A1">
        <w:rPr>
          <w:rFonts w:asciiTheme="minorHAnsi" w:hAnsiTheme="minorHAnsi"/>
        </w:rPr>
        <w:t>The unlawful act must also have been dangerous, which means that there must be the ‘risk of some harm, albeit not serious harm’</w:t>
      </w:r>
      <w:r w:rsidR="00A86465" w:rsidRPr="000A66A1">
        <w:rPr>
          <w:rStyle w:val="FootnoteReference"/>
          <w:rFonts w:asciiTheme="minorHAnsi" w:hAnsiTheme="minorHAnsi"/>
        </w:rPr>
        <w:footnoteReference w:id="81"/>
      </w:r>
      <w:r w:rsidR="00A86465" w:rsidRPr="000A66A1">
        <w:rPr>
          <w:rFonts w:asciiTheme="minorHAnsi" w:hAnsiTheme="minorHAnsi"/>
        </w:rPr>
        <w:t xml:space="preserve">. </w:t>
      </w:r>
      <w:r w:rsidRPr="000A66A1">
        <w:rPr>
          <w:rFonts w:asciiTheme="minorHAnsi" w:hAnsiTheme="minorHAnsi"/>
        </w:rPr>
        <w:t>It does not need to relate to the ‘ensuing death’</w:t>
      </w:r>
      <w:r w:rsidRPr="000A66A1">
        <w:rPr>
          <w:rStyle w:val="FootnoteReference"/>
          <w:rFonts w:asciiTheme="minorHAnsi" w:hAnsiTheme="minorHAnsi"/>
        </w:rPr>
        <w:footnoteReference w:id="82"/>
      </w:r>
      <w:r w:rsidRPr="000A66A1">
        <w:rPr>
          <w:rFonts w:asciiTheme="minorHAnsi" w:hAnsiTheme="minorHAnsi"/>
        </w:rPr>
        <w:t xml:space="preserve">. </w:t>
      </w:r>
      <w:r w:rsidR="00A86465" w:rsidRPr="000A66A1">
        <w:rPr>
          <w:rFonts w:asciiTheme="minorHAnsi" w:hAnsiTheme="minorHAnsi"/>
        </w:rPr>
        <w:t xml:space="preserve">This means that the unlawful act can be any of the basic intent crimes explained above, therefore the mens rea will still </w:t>
      </w:r>
      <w:r w:rsidRPr="000A66A1">
        <w:rPr>
          <w:rFonts w:asciiTheme="minorHAnsi" w:hAnsiTheme="minorHAnsi"/>
        </w:rPr>
        <w:t xml:space="preserve">be </w:t>
      </w:r>
      <w:r w:rsidR="00A86465" w:rsidRPr="000A66A1">
        <w:rPr>
          <w:rFonts w:asciiTheme="minorHAnsi" w:hAnsiTheme="minorHAnsi"/>
        </w:rPr>
        <w:t>subjective recklessness</w:t>
      </w:r>
      <w:r w:rsidRPr="000A66A1">
        <w:rPr>
          <w:rFonts w:asciiTheme="minorHAnsi" w:hAnsiTheme="minorHAnsi"/>
        </w:rPr>
        <w:t>.</w:t>
      </w:r>
      <w:r w:rsidR="00A86465" w:rsidRPr="000A66A1">
        <w:rPr>
          <w:rFonts w:asciiTheme="minorHAnsi" w:hAnsiTheme="minorHAnsi"/>
        </w:rPr>
        <w:t xml:space="preserve"> </w:t>
      </w:r>
      <w:r w:rsidRPr="000A66A1">
        <w:rPr>
          <w:rFonts w:asciiTheme="minorHAnsi" w:hAnsiTheme="minorHAnsi"/>
        </w:rPr>
        <w:t>The maximum sentence is however life imprisonment</w:t>
      </w:r>
      <w:r w:rsidR="00723D10" w:rsidRPr="000A66A1">
        <w:rPr>
          <w:rStyle w:val="FootnoteReference"/>
          <w:rFonts w:asciiTheme="minorHAnsi" w:hAnsiTheme="minorHAnsi"/>
        </w:rPr>
        <w:footnoteReference w:id="83"/>
      </w:r>
      <w:r w:rsidR="00723D10" w:rsidRPr="000A66A1">
        <w:rPr>
          <w:rFonts w:asciiTheme="minorHAnsi" w:hAnsiTheme="minorHAnsi"/>
        </w:rPr>
        <w:t xml:space="preserve"> due to the extreme nature of the consequence of such an offence. </w:t>
      </w:r>
      <w:r w:rsidR="00205D38" w:rsidRPr="000A66A1">
        <w:rPr>
          <w:rFonts w:asciiTheme="minorHAnsi" w:hAnsiTheme="minorHAnsi"/>
        </w:rPr>
        <w:t>However, this</w:t>
      </w:r>
      <w:r w:rsidRPr="000A66A1">
        <w:rPr>
          <w:rFonts w:asciiTheme="minorHAnsi" w:hAnsiTheme="minorHAnsi"/>
        </w:rPr>
        <w:t xml:space="preserve"> is not how </w:t>
      </w:r>
      <w:r w:rsidR="00205D38" w:rsidRPr="000A66A1">
        <w:rPr>
          <w:rFonts w:asciiTheme="minorHAnsi" w:hAnsiTheme="minorHAnsi"/>
        </w:rPr>
        <w:t xml:space="preserve">the sentencing works in practice </w:t>
      </w:r>
      <w:r w:rsidRPr="000A66A1">
        <w:rPr>
          <w:rFonts w:asciiTheme="minorHAnsi" w:hAnsiTheme="minorHAnsi"/>
        </w:rPr>
        <w:t xml:space="preserve">when the offence </w:t>
      </w:r>
      <w:r w:rsidR="00205D38" w:rsidRPr="000A66A1">
        <w:rPr>
          <w:rFonts w:asciiTheme="minorHAnsi" w:hAnsiTheme="minorHAnsi"/>
        </w:rPr>
        <w:t>is in relation to</w:t>
      </w:r>
      <w:r w:rsidRPr="000A66A1">
        <w:rPr>
          <w:rFonts w:asciiTheme="minorHAnsi" w:hAnsiTheme="minorHAnsi"/>
        </w:rPr>
        <w:t xml:space="preserve"> intoxicat</w:t>
      </w:r>
      <w:r w:rsidR="00205D38" w:rsidRPr="000A66A1">
        <w:rPr>
          <w:rFonts w:asciiTheme="minorHAnsi" w:hAnsiTheme="minorHAnsi"/>
        </w:rPr>
        <w:t>ed offenders.</w:t>
      </w:r>
    </w:p>
    <w:p w14:paraId="3ACF91C0" w14:textId="48174F70" w:rsidR="00A824F1" w:rsidRPr="000A66A1" w:rsidRDefault="00A824F1" w:rsidP="000A66A1">
      <w:pPr>
        <w:spacing w:line="360" w:lineRule="auto"/>
        <w:jc w:val="both"/>
        <w:rPr>
          <w:rFonts w:asciiTheme="minorHAnsi" w:hAnsiTheme="minorHAnsi"/>
        </w:rPr>
      </w:pPr>
    </w:p>
    <w:p w14:paraId="7918BAB8" w14:textId="6E2C3065" w:rsidR="00205D38" w:rsidRPr="000A66A1" w:rsidRDefault="00A824F1" w:rsidP="000A66A1">
      <w:pPr>
        <w:spacing w:line="360" w:lineRule="auto"/>
        <w:jc w:val="both"/>
        <w:rPr>
          <w:rFonts w:asciiTheme="minorHAnsi" w:hAnsiTheme="minorHAnsi"/>
        </w:rPr>
      </w:pPr>
      <w:r w:rsidRPr="000A66A1">
        <w:rPr>
          <w:rFonts w:asciiTheme="minorHAnsi" w:hAnsiTheme="minorHAnsi"/>
        </w:rPr>
        <w:t xml:space="preserve">All of the offences described above are basic intent offences, as they involve an element of recklessness. In the case of </w:t>
      </w:r>
      <w:r w:rsidRPr="000A66A1">
        <w:rPr>
          <w:rFonts w:asciiTheme="minorHAnsi" w:hAnsiTheme="minorHAnsi"/>
          <w:i/>
        </w:rPr>
        <w:t>Majewski</w:t>
      </w:r>
      <w:r w:rsidRPr="000A66A1">
        <w:rPr>
          <w:rFonts w:asciiTheme="minorHAnsi" w:hAnsiTheme="minorHAnsi"/>
        </w:rPr>
        <w:t xml:space="preserve">, it was </w:t>
      </w:r>
      <w:r w:rsidR="00205D38" w:rsidRPr="000A66A1">
        <w:rPr>
          <w:rFonts w:asciiTheme="minorHAnsi" w:hAnsiTheme="minorHAnsi"/>
        </w:rPr>
        <w:t>held</w:t>
      </w:r>
      <w:r w:rsidRPr="000A66A1">
        <w:rPr>
          <w:rFonts w:asciiTheme="minorHAnsi" w:hAnsiTheme="minorHAnsi"/>
        </w:rPr>
        <w:t xml:space="preserve"> that although the presence of intoxication will not act as a substitution for the mens rea, the tribunal of fact are directed to consider whether D would have foreseen the relevant risk if he had been sober</w:t>
      </w:r>
      <w:r w:rsidR="00205D38" w:rsidRPr="000A66A1">
        <w:rPr>
          <w:rStyle w:val="FootnoteReference"/>
          <w:rFonts w:asciiTheme="minorHAnsi" w:hAnsiTheme="minorHAnsi"/>
        </w:rPr>
        <w:footnoteReference w:id="84"/>
      </w:r>
      <w:r w:rsidRPr="000A66A1">
        <w:rPr>
          <w:rFonts w:asciiTheme="minorHAnsi" w:hAnsiTheme="minorHAnsi"/>
        </w:rPr>
        <w:t xml:space="preserve">. </w:t>
      </w:r>
      <w:r w:rsidR="00375135" w:rsidRPr="000A66A1">
        <w:rPr>
          <w:rFonts w:asciiTheme="minorHAnsi" w:hAnsiTheme="minorHAnsi"/>
        </w:rPr>
        <w:t xml:space="preserve">The </w:t>
      </w:r>
      <w:r w:rsidR="00375135" w:rsidRPr="000A66A1">
        <w:rPr>
          <w:rFonts w:asciiTheme="minorHAnsi" w:hAnsiTheme="minorHAnsi"/>
          <w:i/>
        </w:rPr>
        <w:t>Majewski</w:t>
      </w:r>
      <w:r w:rsidR="00205D38" w:rsidRPr="000A66A1">
        <w:rPr>
          <w:rStyle w:val="FootnoteReference"/>
          <w:rFonts w:asciiTheme="minorHAnsi" w:hAnsiTheme="minorHAnsi"/>
          <w:i/>
        </w:rPr>
        <w:footnoteReference w:id="85"/>
      </w:r>
      <w:r w:rsidR="00375135" w:rsidRPr="000A66A1">
        <w:rPr>
          <w:rFonts w:asciiTheme="minorHAnsi" w:hAnsiTheme="minorHAnsi"/>
        </w:rPr>
        <w:t xml:space="preserve"> rule therefore </w:t>
      </w:r>
      <w:r w:rsidR="00CD7B1D" w:rsidRPr="000A66A1">
        <w:rPr>
          <w:rFonts w:asciiTheme="minorHAnsi" w:hAnsiTheme="minorHAnsi"/>
        </w:rPr>
        <w:t>has the effect that</w:t>
      </w:r>
      <w:r w:rsidR="00375135" w:rsidRPr="000A66A1">
        <w:rPr>
          <w:rFonts w:asciiTheme="minorHAnsi" w:hAnsiTheme="minorHAnsi"/>
        </w:rPr>
        <w:t xml:space="preserve"> the relevance of the intoxication is severely diminished. </w:t>
      </w:r>
      <w:r w:rsidR="00205D38" w:rsidRPr="000A66A1">
        <w:rPr>
          <w:rFonts w:asciiTheme="minorHAnsi" w:hAnsiTheme="minorHAnsi"/>
        </w:rPr>
        <w:t>This said, t</w:t>
      </w:r>
      <w:r w:rsidR="007B1B92" w:rsidRPr="000A66A1">
        <w:rPr>
          <w:rFonts w:asciiTheme="minorHAnsi" w:hAnsiTheme="minorHAnsi"/>
        </w:rPr>
        <w:t>here has been confusion amongst academics</w:t>
      </w:r>
      <w:r w:rsidR="00E82FD9" w:rsidRPr="000A66A1">
        <w:rPr>
          <w:rStyle w:val="FootnoteReference"/>
          <w:rFonts w:asciiTheme="minorHAnsi" w:hAnsiTheme="minorHAnsi"/>
        </w:rPr>
        <w:footnoteReference w:id="86"/>
      </w:r>
      <w:r w:rsidR="007B1B92" w:rsidRPr="000A66A1">
        <w:rPr>
          <w:rFonts w:asciiTheme="minorHAnsi" w:hAnsiTheme="minorHAnsi"/>
        </w:rPr>
        <w:t xml:space="preserve"> about the effect that intoxication has on the prosecution of basic intent crimes. Some interpret the decision in </w:t>
      </w:r>
      <w:r w:rsidR="007B1B92" w:rsidRPr="000A66A1">
        <w:rPr>
          <w:rFonts w:asciiTheme="minorHAnsi" w:hAnsiTheme="minorHAnsi"/>
          <w:i/>
        </w:rPr>
        <w:t>Majewski</w:t>
      </w:r>
      <w:r w:rsidR="00205D38" w:rsidRPr="000A66A1">
        <w:rPr>
          <w:rStyle w:val="FootnoteReference"/>
          <w:rFonts w:asciiTheme="minorHAnsi" w:hAnsiTheme="minorHAnsi"/>
          <w:i/>
        </w:rPr>
        <w:footnoteReference w:id="87"/>
      </w:r>
      <w:r w:rsidR="007B1B92" w:rsidRPr="000A66A1">
        <w:rPr>
          <w:rFonts w:asciiTheme="minorHAnsi" w:hAnsiTheme="minorHAnsi"/>
        </w:rPr>
        <w:t xml:space="preserve"> as meaning that the presence of intoxication essentially proves that the fault element is present</w:t>
      </w:r>
      <w:r w:rsidR="00205D38" w:rsidRPr="000A66A1">
        <w:rPr>
          <w:rStyle w:val="FootnoteReference"/>
          <w:rFonts w:asciiTheme="minorHAnsi" w:hAnsiTheme="minorHAnsi"/>
        </w:rPr>
        <w:footnoteReference w:id="88"/>
      </w:r>
      <w:r w:rsidR="007B1B92" w:rsidRPr="000A66A1">
        <w:rPr>
          <w:rFonts w:asciiTheme="minorHAnsi" w:hAnsiTheme="minorHAnsi"/>
        </w:rPr>
        <w:t xml:space="preserve">. </w:t>
      </w:r>
      <w:r w:rsidR="00205D38" w:rsidRPr="000A66A1">
        <w:rPr>
          <w:rFonts w:asciiTheme="minorHAnsi" w:hAnsiTheme="minorHAnsi"/>
        </w:rPr>
        <w:t>T</w:t>
      </w:r>
      <w:r w:rsidR="007B1B92" w:rsidRPr="000A66A1">
        <w:rPr>
          <w:rFonts w:asciiTheme="minorHAnsi" w:hAnsiTheme="minorHAnsi"/>
        </w:rPr>
        <w:t>hat the intoxication alone will pr</w:t>
      </w:r>
      <w:r w:rsidR="00EB4846" w:rsidRPr="000A66A1">
        <w:rPr>
          <w:rFonts w:asciiTheme="minorHAnsi" w:hAnsiTheme="minorHAnsi"/>
        </w:rPr>
        <w:t>ovi</w:t>
      </w:r>
      <w:r w:rsidR="007B1B92" w:rsidRPr="000A66A1">
        <w:rPr>
          <w:rFonts w:asciiTheme="minorHAnsi" w:hAnsiTheme="minorHAnsi"/>
        </w:rPr>
        <w:t xml:space="preserve">de evidence of </w:t>
      </w:r>
      <w:r w:rsidR="00154746" w:rsidRPr="000A66A1">
        <w:rPr>
          <w:rFonts w:asciiTheme="minorHAnsi" w:hAnsiTheme="minorHAnsi"/>
        </w:rPr>
        <w:t xml:space="preserve">some form of </w:t>
      </w:r>
      <w:r w:rsidR="007B1B92" w:rsidRPr="000A66A1">
        <w:rPr>
          <w:rFonts w:asciiTheme="minorHAnsi" w:hAnsiTheme="minorHAnsi"/>
        </w:rPr>
        <w:lastRenderedPageBreak/>
        <w:t>recklessness. This has proved not to be the case</w:t>
      </w:r>
      <w:r w:rsidR="00154746" w:rsidRPr="000A66A1">
        <w:rPr>
          <w:rStyle w:val="FootnoteReference"/>
          <w:rFonts w:asciiTheme="minorHAnsi" w:hAnsiTheme="minorHAnsi"/>
        </w:rPr>
        <w:footnoteReference w:id="89"/>
      </w:r>
      <w:r w:rsidR="001F5171" w:rsidRPr="000A66A1">
        <w:rPr>
          <w:rFonts w:asciiTheme="minorHAnsi" w:hAnsiTheme="minorHAnsi"/>
        </w:rPr>
        <w:t>.</w:t>
      </w:r>
      <w:r w:rsidR="007B1B92" w:rsidRPr="000A66A1">
        <w:rPr>
          <w:rFonts w:asciiTheme="minorHAnsi" w:hAnsiTheme="minorHAnsi"/>
        </w:rPr>
        <w:t xml:space="preserve"> The </w:t>
      </w:r>
      <w:r w:rsidR="00205D38" w:rsidRPr="000A66A1">
        <w:rPr>
          <w:rFonts w:asciiTheme="minorHAnsi" w:hAnsiTheme="minorHAnsi"/>
        </w:rPr>
        <w:t xml:space="preserve">significant </w:t>
      </w:r>
      <w:r w:rsidR="007B1B92" w:rsidRPr="000A66A1">
        <w:rPr>
          <w:rFonts w:asciiTheme="minorHAnsi" w:hAnsiTheme="minorHAnsi"/>
        </w:rPr>
        <w:t>effect that</w:t>
      </w:r>
      <w:r w:rsidR="00EB4846" w:rsidRPr="000A66A1">
        <w:rPr>
          <w:rFonts w:asciiTheme="minorHAnsi" w:hAnsiTheme="minorHAnsi"/>
        </w:rPr>
        <w:t xml:space="preserve"> the</w:t>
      </w:r>
      <w:r w:rsidR="007B1B92" w:rsidRPr="000A66A1">
        <w:rPr>
          <w:rFonts w:asciiTheme="minorHAnsi" w:hAnsiTheme="minorHAnsi"/>
        </w:rPr>
        <w:t xml:space="preserve"> </w:t>
      </w:r>
      <w:r w:rsidR="007B1B92" w:rsidRPr="000A66A1">
        <w:rPr>
          <w:rFonts w:asciiTheme="minorHAnsi" w:hAnsiTheme="minorHAnsi"/>
          <w:i/>
        </w:rPr>
        <w:t>Majewski</w:t>
      </w:r>
      <w:r w:rsidR="00205D38" w:rsidRPr="000A66A1">
        <w:rPr>
          <w:rStyle w:val="FootnoteReference"/>
          <w:rFonts w:asciiTheme="minorHAnsi" w:hAnsiTheme="minorHAnsi"/>
          <w:i/>
        </w:rPr>
        <w:footnoteReference w:id="90"/>
      </w:r>
      <w:r w:rsidR="007B1B92" w:rsidRPr="000A66A1">
        <w:rPr>
          <w:rFonts w:asciiTheme="minorHAnsi" w:hAnsiTheme="minorHAnsi"/>
        </w:rPr>
        <w:t xml:space="preserve"> rule has had simply prevents D from using their intoxication to prove that the mens rea element was not there</w:t>
      </w:r>
      <w:r w:rsidR="00205D38" w:rsidRPr="000A66A1">
        <w:rPr>
          <w:rFonts w:asciiTheme="minorHAnsi" w:hAnsiTheme="minorHAnsi"/>
        </w:rPr>
        <w:t>. H</w:t>
      </w:r>
      <w:r w:rsidR="00154746" w:rsidRPr="000A66A1">
        <w:rPr>
          <w:rFonts w:asciiTheme="minorHAnsi" w:hAnsiTheme="minorHAnsi"/>
        </w:rPr>
        <w:t>owever</w:t>
      </w:r>
      <w:r w:rsidR="00205D38" w:rsidRPr="000A66A1">
        <w:rPr>
          <w:rFonts w:asciiTheme="minorHAnsi" w:hAnsiTheme="minorHAnsi"/>
        </w:rPr>
        <w:t>,</w:t>
      </w:r>
      <w:r w:rsidR="00154746" w:rsidRPr="000A66A1">
        <w:rPr>
          <w:rFonts w:asciiTheme="minorHAnsi" w:hAnsiTheme="minorHAnsi"/>
        </w:rPr>
        <w:t xml:space="preserve"> </w:t>
      </w:r>
      <w:r w:rsidR="00205D38" w:rsidRPr="000A66A1">
        <w:rPr>
          <w:rFonts w:asciiTheme="minorHAnsi" w:hAnsiTheme="minorHAnsi"/>
        </w:rPr>
        <w:t xml:space="preserve">this is </w:t>
      </w:r>
      <w:r w:rsidR="00154746" w:rsidRPr="000A66A1">
        <w:rPr>
          <w:rFonts w:asciiTheme="minorHAnsi" w:hAnsiTheme="minorHAnsi"/>
        </w:rPr>
        <w:t>only when the intoxication is voluntary</w:t>
      </w:r>
      <w:r w:rsidR="00205D38" w:rsidRPr="000A66A1">
        <w:rPr>
          <w:rFonts w:asciiTheme="minorHAnsi" w:hAnsiTheme="minorHAnsi"/>
        </w:rPr>
        <w:t xml:space="preserve"> and for </w:t>
      </w:r>
      <w:r w:rsidR="00154746" w:rsidRPr="000A66A1">
        <w:rPr>
          <w:rFonts w:asciiTheme="minorHAnsi" w:hAnsiTheme="minorHAnsi"/>
        </w:rPr>
        <w:t>basic intent crimes</w:t>
      </w:r>
      <w:r w:rsidR="007B1B92" w:rsidRPr="000A66A1" w:rsidDel="00205D38">
        <w:rPr>
          <w:rStyle w:val="FootnoteReference"/>
          <w:rFonts w:asciiTheme="minorHAnsi" w:hAnsiTheme="minorHAnsi"/>
        </w:rPr>
        <w:footnoteReference w:id="91"/>
      </w:r>
      <w:r w:rsidR="001F5171" w:rsidRPr="000A66A1">
        <w:rPr>
          <w:rFonts w:asciiTheme="minorHAnsi" w:hAnsiTheme="minorHAnsi"/>
        </w:rPr>
        <w:t>.</w:t>
      </w:r>
      <w:r w:rsidR="007B1B92" w:rsidRPr="000A66A1">
        <w:rPr>
          <w:rFonts w:asciiTheme="minorHAnsi" w:hAnsiTheme="minorHAnsi"/>
        </w:rPr>
        <w:t xml:space="preserve"> </w:t>
      </w:r>
    </w:p>
    <w:p w14:paraId="79EEA19B" w14:textId="77777777" w:rsidR="00205D38" w:rsidRPr="000A66A1" w:rsidRDefault="00205D38" w:rsidP="000A66A1">
      <w:pPr>
        <w:spacing w:line="360" w:lineRule="auto"/>
        <w:jc w:val="both"/>
        <w:rPr>
          <w:rFonts w:asciiTheme="minorHAnsi" w:hAnsiTheme="minorHAnsi"/>
        </w:rPr>
      </w:pPr>
    </w:p>
    <w:p w14:paraId="5B708320" w14:textId="50312283" w:rsidR="00205D38" w:rsidRPr="000A66A1" w:rsidRDefault="007B1B92" w:rsidP="000A66A1">
      <w:pPr>
        <w:spacing w:line="360" w:lineRule="auto"/>
        <w:jc w:val="both"/>
        <w:rPr>
          <w:rFonts w:asciiTheme="minorHAnsi" w:hAnsiTheme="minorHAnsi"/>
          <w:u w:val="single"/>
        </w:rPr>
      </w:pPr>
      <w:r w:rsidRPr="000A66A1">
        <w:rPr>
          <w:rFonts w:asciiTheme="minorHAnsi" w:hAnsiTheme="minorHAnsi"/>
        </w:rPr>
        <w:t>There are arguments against this method, as some believe that it undermines the basic principles of criminal law</w:t>
      </w:r>
      <w:r w:rsidR="00E82FD9" w:rsidRPr="000A66A1">
        <w:rPr>
          <w:rFonts w:asciiTheme="minorHAnsi" w:hAnsiTheme="minorHAnsi"/>
        </w:rPr>
        <w:t>.</w:t>
      </w:r>
      <w:r w:rsidRPr="000A66A1">
        <w:rPr>
          <w:rFonts w:asciiTheme="minorHAnsi" w:hAnsiTheme="minorHAnsi"/>
        </w:rPr>
        <w:t xml:space="preserve"> </w:t>
      </w:r>
      <w:r w:rsidR="00E82FD9" w:rsidRPr="000A66A1">
        <w:rPr>
          <w:rFonts w:asciiTheme="minorHAnsi" w:hAnsiTheme="minorHAnsi"/>
        </w:rPr>
        <w:t>There is</w:t>
      </w:r>
      <w:r w:rsidRPr="000A66A1">
        <w:rPr>
          <w:rFonts w:asciiTheme="minorHAnsi" w:hAnsiTheme="minorHAnsi"/>
        </w:rPr>
        <w:t xml:space="preserve"> the requirement of </w:t>
      </w:r>
      <w:r w:rsidR="00EB4846" w:rsidRPr="000A66A1">
        <w:rPr>
          <w:rFonts w:asciiTheme="minorHAnsi" w:hAnsiTheme="minorHAnsi"/>
        </w:rPr>
        <w:t xml:space="preserve">establishing the </w:t>
      </w:r>
      <w:r w:rsidRPr="000A66A1">
        <w:rPr>
          <w:rFonts w:asciiTheme="minorHAnsi" w:hAnsiTheme="minorHAnsi"/>
        </w:rPr>
        <w:t>mens rea and actus reus</w:t>
      </w:r>
      <w:r w:rsidR="00205D38" w:rsidRPr="000A66A1">
        <w:rPr>
          <w:rFonts w:asciiTheme="minorHAnsi" w:hAnsiTheme="minorHAnsi"/>
        </w:rPr>
        <w:t xml:space="preserve"> </w:t>
      </w:r>
      <w:r w:rsidR="00E82FD9" w:rsidRPr="000A66A1">
        <w:rPr>
          <w:rStyle w:val="FootnoteReference"/>
          <w:rFonts w:asciiTheme="minorHAnsi" w:hAnsiTheme="minorHAnsi"/>
        </w:rPr>
        <w:footnoteReference w:id="92"/>
      </w:r>
      <w:r w:rsidR="00E82FD9" w:rsidRPr="000A66A1">
        <w:rPr>
          <w:rFonts w:asciiTheme="minorHAnsi" w:hAnsiTheme="minorHAnsi"/>
        </w:rPr>
        <w:t xml:space="preserve"> throughout criminal law, however the way the intoxication doctrine works makes it so the mens rea does not have to be established in cases</w:t>
      </w:r>
      <w:r w:rsidR="001F5171" w:rsidRPr="000A66A1">
        <w:rPr>
          <w:rFonts w:asciiTheme="minorHAnsi" w:hAnsiTheme="minorHAnsi"/>
        </w:rPr>
        <w:t xml:space="preserve"> involving basic intent offences</w:t>
      </w:r>
      <w:r w:rsidR="00E82FD9" w:rsidRPr="000A66A1">
        <w:rPr>
          <w:rFonts w:asciiTheme="minorHAnsi" w:hAnsiTheme="minorHAnsi"/>
        </w:rPr>
        <w:t xml:space="preserve">. </w:t>
      </w:r>
      <w:r w:rsidRPr="000A66A1">
        <w:rPr>
          <w:rFonts w:asciiTheme="minorHAnsi" w:hAnsiTheme="minorHAnsi"/>
        </w:rPr>
        <w:t xml:space="preserve">This is described as the simple definitional logic rule, as these academics believe that the law should be followed as it is. They believe that if the fault element cannot be proved, there should be no </w:t>
      </w:r>
      <w:r w:rsidR="00EB4846" w:rsidRPr="000A66A1">
        <w:rPr>
          <w:rFonts w:asciiTheme="minorHAnsi" w:hAnsiTheme="minorHAnsi"/>
        </w:rPr>
        <w:t>conviction</w:t>
      </w:r>
      <w:r w:rsidRPr="000A66A1">
        <w:rPr>
          <w:rFonts w:asciiTheme="minorHAnsi" w:hAnsiTheme="minorHAnsi"/>
        </w:rPr>
        <w:t>, even with basic intent offences</w:t>
      </w:r>
      <w:r w:rsidR="00205D38" w:rsidRPr="000A66A1">
        <w:rPr>
          <w:rStyle w:val="FootnoteReference"/>
          <w:rFonts w:asciiTheme="minorHAnsi" w:hAnsiTheme="minorHAnsi"/>
        </w:rPr>
        <w:footnoteReference w:id="93"/>
      </w:r>
      <w:r w:rsidRPr="000A66A1">
        <w:rPr>
          <w:rFonts w:asciiTheme="minorHAnsi" w:hAnsiTheme="minorHAnsi"/>
        </w:rPr>
        <w:t>.</w:t>
      </w:r>
      <w:r w:rsidR="00154746" w:rsidRPr="000A66A1">
        <w:rPr>
          <w:rFonts w:asciiTheme="minorHAnsi" w:hAnsiTheme="minorHAnsi"/>
        </w:rPr>
        <w:t xml:space="preserve"> This will be discussed further once ‘specific intent’ crimes have been explained.</w:t>
      </w:r>
    </w:p>
    <w:p w14:paraId="01C3A13C" w14:textId="77777777" w:rsidR="00205D38" w:rsidRPr="000A66A1" w:rsidRDefault="00205D38" w:rsidP="000A66A1">
      <w:pPr>
        <w:spacing w:line="360" w:lineRule="auto"/>
        <w:jc w:val="both"/>
        <w:rPr>
          <w:rFonts w:asciiTheme="minorHAnsi" w:hAnsiTheme="minorHAnsi"/>
          <w:u w:val="single"/>
        </w:rPr>
      </w:pPr>
    </w:p>
    <w:p w14:paraId="0CF2026E" w14:textId="77777777" w:rsidR="001F5171" w:rsidRPr="000A66A1" w:rsidRDefault="001F5171" w:rsidP="000A66A1">
      <w:pPr>
        <w:spacing w:line="360" w:lineRule="auto"/>
        <w:jc w:val="both"/>
        <w:rPr>
          <w:rFonts w:asciiTheme="minorHAnsi" w:hAnsiTheme="minorHAnsi"/>
          <w:u w:val="single"/>
        </w:rPr>
      </w:pPr>
    </w:p>
    <w:p w14:paraId="1B8E721D" w14:textId="77777777" w:rsidR="001F5171" w:rsidRPr="000A66A1" w:rsidRDefault="001F5171" w:rsidP="000A66A1">
      <w:pPr>
        <w:spacing w:line="360" w:lineRule="auto"/>
        <w:jc w:val="both"/>
        <w:rPr>
          <w:rFonts w:asciiTheme="minorHAnsi" w:hAnsiTheme="minorHAnsi"/>
          <w:u w:val="single"/>
        </w:rPr>
      </w:pPr>
    </w:p>
    <w:p w14:paraId="534C7164" w14:textId="3B53DE93" w:rsidR="00EB4846" w:rsidRPr="000A66A1" w:rsidRDefault="00EB4846" w:rsidP="000A66A1">
      <w:pPr>
        <w:spacing w:line="360" w:lineRule="auto"/>
        <w:jc w:val="both"/>
        <w:rPr>
          <w:rFonts w:asciiTheme="minorHAnsi" w:hAnsiTheme="minorHAnsi"/>
          <w:u w:val="single"/>
        </w:rPr>
      </w:pPr>
      <w:r w:rsidRPr="000A66A1">
        <w:rPr>
          <w:rFonts w:asciiTheme="minorHAnsi" w:hAnsiTheme="minorHAnsi"/>
          <w:u w:val="single"/>
        </w:rPr>
        <w:t>Violent Offences – Specific Intent</w:t>
      </w:r>
    </w:p>
    <w:p w14:paraId="08964C2D" w14:textId="08F51F23" w:rsidR="007B1B92" w:rsidRPr="000A66A1" w:rsidRDefault="007B1B92" w:rsidP="000A66A1">
      <w:pPr>
        <w:spacing w:line="360" w:lineRule="auto"/>
        <w:jc w:val="both"/>
        <w:rPr>
          <w:rFonts w:asciiTheme="minorHAnsi" w:hAnsiTheme="minorHAnsi"/>
        </w:rPr>
      </w:pPr>
    </w:p>
    <w:p w14:paraId="3A67BB49" w14:textId="62D8383E" w:rsidR="007B1B92" w:rsidRPr="000A66A1" w:rsidRDefault="00EB4846" w:rsidP="000A66A1">
      <w:pPr>
        <w:spacing w:line="360" w:lineRule="auto"/>
        <w:jc w:val="both"/>
        <w:rPr>
          <w:rFonts w:asciiTheme="minorHAnsi" w:hAnsiTheme="minorHAnsi"/>
        </w:rPr>
      </w:pPr>
      <w:r w:rsidRPr="000A66A1">
        <w:rPr>
          <w:rFonts w:asciiTheme="minorHAnsi" w:hAnsiTheme="minorHAnsi"/>
        </w:rPr>
        <w:t>This simple definitional logic approach is</w:t>
      </w:r>
      <w:r w:rsidR="00154746" w:rsidRPr="000A66A1">
        <w:rPr>
          <w:rFonts w:asciiTheme="minorHAnsi" w:hAnsiTheme="minorHAnsi"/>
        </w:rPr>
        <w:t xml:space="preserve"> however</w:t>
      </w:r>
      <w:r w:rsidRPr="000A66A1">
        <w:rPr>
          <w:rFonts w:asciiTheme="minorHAnsi" w:hAnsiTheme="minorHAnsi"/>
        </w:rPr>
        <w:t xml:space="preserve"> taken when it comes to prosecuting specific intent crimes, even when there is an element of intoxication present</w:t>
      </w:r>
      <w:r w:rsidR="006516FC" w:rsidRPr="000A66A1">
        <w:rPr>
          <w:rStyle w:val="FootnoteReference"/>
          <w:rFonts w:asciiTheme="minorHAnsi" w:hAnsiTheme="minorHAnsi"/>
        </w:rPr>
        <w:footnoteReference w:id="94"/>
      </w:r>
      <w:r w:rsidRPr="000A66A1">
        <w:rPr>
          <w:rFonts w:asciiTheme="minorHAnsi" w:hAnsiTheme="minorHAnsi"/>
        </w:rPr>
        <w:t xml:space="preserve">. </w:t>
      </w:r>
      <w:r w:rsidR="007B1B92" w:rsidRPr="000A66A1">
        <w:rPr>
          <w:rFonts w:asciiTheme="minorHAnsi" w:hAnsiTheme="minorHAnsi"/>
        </w:rPr>
        <w:t xml:space="preserve">If an offence cannot be established with the mens rea of recklessness, the crime will </w:t>
      </w:r>
      <w:r w:rsidR="00205D38" w:rsidRPr="000A66A1">
        <w:rPr>
          <w:rFonts w:asciiTheme="minorHAnsi" w:hAnsiTheme="minorHAnsi"/>
        </w:rPr>
        <w:t xml:space="preserve">then </w:t>
      </w:r>
      <w:r w:rsidR="007B1B92" w:rsidRPr="000A66A1">
        <w:rPr>
          <w:rFonts w:asciiTheme="minorHAnsi" w:hAnsiTheme="minorHAnsi"/>
        </w:rPr>
        <w:t xml:space="preserve">be of specific intent. The </w:t>
      </w:r>
      <w:r w:rsidR="00205D38" w:rsidRPr="000A66A1">
        <w:rPr>
          <w:rFonts w:asciiTheme="minorHAnsi" w:hAnsiTheme="minorHAnsi"/>
        </w:rPr>
        <w:t xml:space="preserve">core </w:t>
      </w:r>
      <w:r w:rsidR="007B1B92" w:rsidRPr="000A66A1">
        <w:rPr>
          <w:rFonts w:asciiTheme="minorHAnsi" w:hAnsiTheme="minorHAnsi"/>
        </w:rPr>
        <w:t>examples of specific intent offences are murder and s</w:t>
      </w:r>
      <w:r w:rsidR="00205D38" w:rsidRPr="000A66A1">
        <w:rPr>
          <w:rFonts w:asciiTheme="minorHAnsi" w:hAnsiTheme="minorHAnsi"/>
        </w:rPr>
        <w:t xml:space="preserve">ection </w:t>
      </w:r>
      <w:r w:rsidR="007B1B92" w:rsidRPr="000A66A1">
        <w:rPr>
          <w:rFonts w:asciiTheme="minorHAnsi" w:hAnsiTheme="minorHAnsi"/>
        </w:rPr>
        <w:t xml:space="preserve">18 GBH. When D commits one of these offences whilst intoxicated, </w:t>
      </w:r>
      <w:r w:rsidR="00934878" w:rsidRPr="000A66A1">
        <w:rPr>
          <w:rFonts w:asciiTheme="minorHAnsi" w:hAnsiTheme="minorHAnsi"/>
        </w:rPr>
        <w:t>it is possible for that intoxication to prevent the mens rea from being established</w:t>
      </w:r>
      <w:r w:rsidR="00E57C12" w:rsidRPr="000A66A1">
        <w:rPr>
          <w:rStyle w:val="FootnoteReference"/>
          <w:rFonts w:asciiTheme="minorHAnsi" w:hAnsiTheme="minorHAnsi"/>
        </w:rPr>
        <w:footnoteReference w:id="95"/>
      </w:r>
      <w:r w:rsidR="00712D80" w:rsidRPr="000A66A1">
        <w:rPr>
          <w:rFonts w:asciiTheme="minorHAnsi" w:hAnsiTheme="minorHAnsi"/>
        </w:rPr>
        <w:t>.</w:t>
      </w:r>
    </w:p>
    <w:p w14:paraId="3888B790" w14:textId="77777777" w:rsidR="007B1B92" w:rsidRPr="000A66A1" w:rsidRDefault="007B1B92" w:rsidP="000A66A1">
      <w:pPr>
        <w:spacing w:line="360" w:lineRule="auto"/>
        <w:jc w:val="both"/>
        <w:rPr>
          <w:rFonts w:asciiTheme="minorHAnsi" w:hAnsiTheme="minorHAnsi"/>
        </w:rPr>
      </w:pPr>
    </w:p>
    <w:p w14:paraId="6FF6D332" w14:textId="613047F7" w:rsidR="007B1B92" w:rsidRPr="000A66A1" w:rsidRDefault="007B1B92" w:rsidP="000A66A1">
      <w:pPr>
        <w:spacing w:line="360" w:lineRule="auto"/>
        <w:jc w:val="both"/>
        <w:rPr>
          <w:rFonts w:asciiTheme="minorHAnsi" w:hAnsiTheme="minorHAnsi"/>
        </w:rPr>
      </w:pPr>
      <w:r w:rsidRPr="000A66A1">
        <w:rPr>
          <w:rFonts w:asciiTheme="minorHAnsi" w:hAnsiTheme="minorHAnsi"/>
        </w:rPr>
        <w:lastRenderedPageBreak/>
        <w:t>With s</w:t>
      </w:r>
      <w:r w:rsidR="00205D38" w:rsidRPr="000A66A1">
        <w:rPr>
          <w:rFonts w:asciiTheme="minorHAnsi" w:hAnsiTheme="minorHAnsi"/>
        </w:rPr>
        <w:t xml:space="preserve">ection </w:t>
      </w:r>
      <w:r w:rsidRPr="000A66A1">
        <w:rPr>
          <w:rFonts w:asciiTheme="minorHAnsi" w:hAnsiTheme="minorHAnsi"/>
        </w:rPr>
        <w:t xml:space="preserve">18 GBH, the actus reus is exactly the same as </w:t>
      </w:r>
      <w:r w:rsidR="00205D38" w:rsidRPr="000A66A1">
        <w:rPr>
          <w:rFonts w:asciiTheme="minorHAnsi" w:hAnsiTheme="minorHAnsi"/>
        </w:rPr>
        <w:t xml:space="preserve">a </w:t>
      </w:r>
      <w:r w:rsidRPr="000A66A1">
        <w:rPr>
          <w:rFonts w:asciiTheme="minorHAnsi" w:hAnsiTheme="minorHAnsi"/>
        </w:rPr>
        <w:t>s</w:t>
      </w:r>
      <w:r w:rsidR="00205D38" w:rsidRPr="000A66A1">
        <w:rPr>
          <w:rFonts w:asciiTheme="minorHAnsi" w:hAnsiTheme="minorHAnsi"/>
        </w:rPr>
        <w:t xml:space="preserve">ection </w:t>
      </w:r>
      <w:r w:rsidRPr="000A66A1">
        <w:rPr>
          <w:rFonts w:asciiTheme="minorHAnsi" w:hAnsiTheme="minorHAnsi"/>
        </w:rPr>
        <w:t>20 offence. The only difference lies within the mens rea. It is more serious as an offence, which is reflected in the sentence as it carries a maximum prison sentence of life</w:t>
      </w:r>
      <w:r w:rsidR="00E57C12" w:rsidRPr="000A66A1">
        <w:rPr>
          <w:rStyle w:val="FootnoteReference"/>
          <w:rFonts w:asciiTheme="minorHAnsi" w:hAnsiTheme="minorHAnsi"/>
        </w:rPr>
        <w:footnoteReference w:id="96"/>
      </w:r>
      <w:r w:rsidR="00205D38" w:rsidRPr="000A66A1">
        <w:rPr>
          <w:rFonts w:asciiTheme="minorHAnsi" w:hAnsiTheme="minorHAnsi"/>
        </w:rPr>
        <w:t>.</w:t>
      </w:r>
      <w:r w:rsidRPr="000A66A1">
        <w:rPr>
          <w:rFonts w:asciiTheme="minorHAnsi" w:hAnsiTheme="minorHAnsi"/>
        </w:rPr>
        <w:t xml:space="preserve"> The mens rea for this must be an intention to cause GBH or wounding, recklessness as to that result will not suffice</w:t>
      </w:r>
      <w:r w:rsidR="00E57C12" w:rsidRPr="000A66A1">
        <w:rPr>
          <w:rStyle w:val="FootnoteReference"/>
          <w:rFonts w:asciiTheme="minorHAnsi" w:hAnsiTheme="minorHAnsi"/>
        </w:rPr>
        <w:footnoteReference w:id="97"/>
      </w:r>
      <w:r w:rsidR="00E57C12" w:rsidRPr="000A66A1">
        <w:rPr>
          <w:rFonts w:asciiTheme="minorHAnsi" w:hAnsiTheme="minorHAnsi"/>
        </w:rPr>
        <w:t>.</w:t>
      </w:r>
    </w:p>
    <w:p w14:paraId="6B1114BB" w14:textId="77777777" w:rsidR="007B1B92" w:rsidRPr="000A66A1" w:rsidRDefault="007B1B92" w:rsidP="000A66A1">
      <w:pPr>
        <w:spacing w:line="360" w:lineRule="auto"/>
        <w:jc w:val="both"/>
        <w:rPr>
          <w:rFonts w:asciiTheme="minorHAnsi" w:hAnsiTheme="minorHAnsi"/>
        </w:rPr>
      </w:pPr>
    </w:p>
    <w:p w14:paraId="0955359C" w14:textId="568A9832" w:rsidR="007B1B92" w:rsidRPr="000A66A1" w:rsidRDefault="007B1B92" w:rsidP="000A66A1">
      <w:pPr>
        <w:spacing w:line="360" w:lineRule="auto"/>
        <w:jc w:val="both"/>
        <w:rPr>
          <w:rFonts w:asciiTheme="minorHAnsi" w:hAnsiTheme="minorHAnsi"/>
        </w:rPr>
      </w:pPr>
      <w:r w:rsidRPr="000A66A1">
        <w:rPr>
          <w:rFonts w:asciiTheme="minorHAnsi" w:hAnsiTheme="minorHAnsi"/>
        </w:rPr>
        <w:t>The relationship between murder and unlawful act manslaughter is very similar. Although not set out in statute, the definition of murder is the ‘unlawful killing of a human being… with malice aforethought’</w:t>
      </w:r>
      <w:r w:rsidR="00E57C12" w:rsidRPr="000A66A1">
        <w:rPr>
          <w:rStyle w:val="FootnoteReference"/>
          <w:rFonts w:asciiTheme="minorHAnsi" w:hAnsiTheme="minorHAnsi"/>
        </w:rPr>
        <w:footnoteReference w:id="98"/>
      </w:r>
      <w:r w:rsidRPr="000A66A1">
        <w:rPr>
          <w:rFonts w:asciiTheme="minorHAnsi" w:hAnsiTheme="minorHAnsi"/>
        </w:rPr>
        <w:t>. The mens rea of this has been interpreted to mean the ‘intention to kill or cause GBH’</w:t>
      </w:r>
      <w:r w:rsidRPr="000A66A1">
        <w:rPr>
          <w:rStyle w:val="FootnoteReference"/>
          <w:rFonts w:asciiTheme="minorHAnsi" w:hAnsiTheme="minorHAnsi"/>
        </w:rPr>
        <w:footnoteReference w:id="99"/>
      </w:r>
      <w:r w:rsidR="00D35A06" w:rsidRPr="000A66A1">
        <w:rPr>
          <w:rFonts w:asciiTheme="minorHAnsi" w:hAnsiTheme="minorHAnsi"/>
        </w:rPr>
        <w:t>.</w:t>
      </w:r>
      <w:r w:rsidRPr="000A66A1">
        <w:rPr>
          <w:rFonts w:asciiTheme="minorHAnsi" w:hAnsiTheme="minorHAnsi"/>
        </w:rPr>
        <w:t xml:space="preserve"> The result of this offence is the death of another person, </w:t>
      </w:r>
      <w:r w:rsidR="00205D38" w:rsidRPr="000A66A1">
        <w:rPr>
          <w:rFonts w:asciiTheme="minorHAnsi" w:hAnsiTheme="minorHAnsi"/>
        </w:rPr>
        <w:t>similarly to</w:t>
      </w:r>
      <w:r w:rsidRPr="000A66A1">
        <w:rPr>
          <w:rFonts w:asciiTheme="minorHAnsi" w:hAnsiTheme="minorHAnsi"/>
        </w:rPr>
        <w:t xml:space="preserve"> </w:t>
      </w:r>
      <w:r w:rsidR="00EB4846" w:rsidRPr="000A66A1">
        <w:rPr>
          <w:rFonts w:asciiTheme="minorHAnsi" w:hAnsiTheme="minorHAnsi"/>
        </w:rPr>
        <w:t>unlawful act</w:t>
      </w:r>
      <w:r w:rsidRPr="000A66A1">
        <w:rPr>
          <w:rFonts w:asciiTheme="minorHAnsi" w:hAnsiTheme="minorHAnsi"/>
        </w:rPr>
        <w:t xml:space="preserve"> manslaughter </w:t>
      </w:r>
      <w:r w:rsidR="00205D38" w:rsidRPr="000A66A1">
        <w:rPr>
          <w:rFonts w:asciiTheme="minorHAnsi" w:hAnsiTheme="minorHAnsi"/>
        </w:rPr>
        <w:t xml:space="preserve">as </w:t>
      </w:r>
      <w:r w:rsidRPr="000A66A1">
        <w:rPr>
          <w:rFonts w:asciiTheme="minorHAnsi" w:hAnsiTheme="minorHAnsi"/>
        </w:rPr>
        <w:t xml:space="preserve">discussed above. If both elements of murder are </w:t>
      </w:r>
      <w:r w:rsidR="00EB4846" w:rsidRPr="000A66A1">
        <w:rPr>
          <w:rFonts w:asciiTheme="minorHAnsi" w:hAnsiTheme="minorHAnsi"/>
        </w:rPr>
        <w:t>established</w:t>
      </w:r>
      <w:r w:rsidRPr="000A66A1">
        <w:rPr>
          <w:rFonts w:asciiTheme="minorHAnsi" w:hAnsiTheme="minorHAnsi"/>
        </w:rPr>
        <w:t>, D will receive a mandatory life sentence</w:t>
      </w:r>
      <w:r w:rsidR="00205D38" w:rsidRPr="000A66A1">
        <w:rPr>
          <w:rStyle w:val="FootnoteReference"/>
          <w:rFonts w:asciiTheme="minorHAnsi" w:hAnsiTheme="minorHAnsi"/>
        </w:rPr>
        <w:footnoteReference w:id="100"/>
      </w:r>
      <w:r w:rsidRPr="000A66A1">
        <w:rPr>
          <w:rFonts w:asciiTheme="minorHAnsi" w:hAnsiTheme="minorHAnsi"/>
        </w:rPr>
        <w:t>. Unless any of the three partial defences to murder apply, the court cannot pass a lower sentence even in mitigating circumstances</w:t>
      </w:r>
      <w:r w:rsidR="00205D38" w:rsidRPr="000A66A1">
        <w:rPr>
          <w:rStyle w:val="FootnoteReference"/>
          <w:rFonts w:asciiTheme="minorHAnsi" w:hAnsiTheme="minorHAnsi"/>
        </w:rPr>
        <w:footnoteReference w:id="101"/>
      </w:r>
      <w:r w:rsidRPr="000A66A1">
        <w:rPr>
          <w:rFonts w:asciiTheme="minorHAnsi" w:hAnsiTheme="minorHAnsi"/>
        </w:rPr>
        <w:t>.</w:t>
      </w:r>
    </w:p>
    <w:p w14:paraId="24F655E6" w14:textId="77777777" w:rsidR="007B1B92" w:rsidRPr="000A66A1" w:rsidRDefault="007B1B92" w:rsidP="000A66A1">
      <w:pPr>
        <w:spacing w:line="360" w:lineRule="auto"/>
        <w:jc w:val="both"/>
        <w:rPr>
          <w:rFonts w:asciiTheme="minorHAnsi" w:hAnsiTheme="minorHAnsi"/>
        </w:rPr>
      </w:pPr>
    </w:p>
    <w:p w14:paraId="3EB82B73" w14:textId="41BEB7A3" w:rsidR="007B1B92" w:rsidRPr="000A66A1" w:rsidRDefault="00205D38" w:rsidP="000A66A1">
      <w:pPr>
        <w:spacing w:line="360" w:lineRule="auto"/>
        <w:jc w:val="both"/>
        <w:rPr>
          <w:rFonts w:asciiTheme="minorHAnsi" w:hAnsiTheme="minorHAnsi"/>
        </w:rPr>
      </w:pPr>
      <w:r w:rsidRPr="000A66A1">
        <w:rPr>
          <w:rFonts w:asciiTheme="minorHAnsi" w:hAnsiTheme="minorHAnsi"/>
        </w:rPr>
        <w:t>The presence of intoxication can prevent the mens rea from being established by the prosecution a</w:t>
      </w:r>
      <w:r w:rsidR="007B1B92" w:rsidRPr="000A66A1">
        <w:rPr>
          <w:rFonts w:asciiTheme="minorHAnsi" w:hAnsiTheme="minorHAnsi"/>
        </w:rPr>
        <w:t>s both murder and s</w:t>
      </w:r>
      <w:r w:rsidRPr="000A66A1">
        <w:rPr>
          <w:rFonts w:asciiTheme="minorHAnsi" w:hAnsiTheme="minorHAnsi"/>
        </w:rPr>
        <w:t xml:space="preserve">ection </w:t>
      </w:r>
      <w:r w:rsidR="007B1B92" w:rsidRPr="000A66A1">
        <w:rPr>
          <w:rFonts w:asciiTheme="minorHAnsi" w:hAnsiTheme="minorHAnsi"/>
        </w:rPr>
        <w:t>18</w:t>
      </w:r>
      <w:r w:rsidRPr="000A66A1">
        <w:rPr>
          <w:rStyle w:val="FootnoteReference"/>
          <w:rFonts w:asciiTheme="minorHAnsi" w:hAnsiTheme="minorHAnsi"/>
        </w:rPr>
        <w:footnoteReference w:id="102"/>
      </w:r>
      <w:r w:rsidR="007B1B92" w:rsidRPr="000A66A1">
        <w:rPr>
          <w:rFonts w:asciiTheme="minorHAnsi" w:hAnsiTheme="minorHAnsi"/>
        </w:rPr>
        <w:t xml:space="preserve"> GBH are specific intent offences</w:t>
      </w:r>
      <w:r w:rsidRPr="000A66A1">
        <w:rPr>
          <w:rStyle w:val="FootnoteReference"/>
          <w:rFonts w:asciiTheme="minorHAnsi" w:hAnsiTheme="minorHAnsi"/>
        </w:rPr>
        <w:footnoteReference w:id="103"/>
      </w:r>
      <w:r w:rsidRPr="000A66A1">
        <w:rPr>
          <w:rFonts w:asciiTheme="minorHAnsi" w:hAnsiTheme="minorHAnsi"/>
        </w:rPr>
        <w:t xml:space="preserve">. </w:t>
      </w:r>
      <w:r w:rsidR="007B1B92" w:rsidRPr="000A66A1">
        <w:rPr>
          <w:rFonts w:asciiTheme="minorHAnsi" w:hAnsiTheme="minorHAnsi"/>
        </w:rPr>
        <w:t>It is left to the jury to decide whether they believe that D had the required state of mind at the relevant time</w:t>
      </w:r>
      <w:r w:rsidR="00971134" w:rsidRPr="000A66A1">
        <w:rPr>
          <w:rFonts w:asciiTheme="minorHAnsi" w:hAnsiTheme="minorHAnsi"/>
        </w:rPr>
        <w:t xml:space="preserve"> for that offence</w:t>
      </w:r>
      <w:r w:rsidR="007B1B92" w:rsidRPr="000A66A1">
        <w:rPr>
          <w:rStyle w:val="FootnoteReference"/>
          <w:rFonts w:asciiTheme="minorHAnsi" w:hAnsiTheme="minorHAnsi"/>
        </w:rPr>
        <w:footnoteReference w:id="104"/>
      </w:r>
      <w:r w:rsidRPr="000A66A1">
        <w:rPr>
          <w:rFonts w:asciiTheme="minorHAnsi" w:hAnsiTheme="minorHAnsi"/>
        </w:rPr>
        <w:t>.</w:t>
      </w:r>
      <w:r w:rsidR="007B1B92" w:rsidRPr="000A66A1">
        <w:rPr>
          <w:rFonts w:asciiTheme="minorHAnsi" w:hAnsiTheme="minorHAnsi"/>
        </w:rPr>
        <w:t xml:space="preserve"> This means that if D commits a specific intent crime when intoxicated, this does not guarantee them any form of a ‘defence’. Intoxication can simply be used to prevent the prosecution from establishing the mens rea of the offence</w:t>
      </w:r>
      <w:r w:rsidRPr="000A66A1">
        <w:rPr>
          <w:rFonts w:asciiTheme="minorHAnsi" w:hAnsiTheme="minorHAnsi"/>
        </w:rPr>
        <w:t>. This would then result</w:t>
      </w:r>
      <w:r w:rsidR="00934878" w:rsidRPr="000A66A1">
        <w:rPr>
          <w:rFonts w:asciiTheme="minorHAnsi" w:hAnsiTheme="minorHAnsi"/>
        </w:rPr>
        <w:t xml:space="preserve"> in either an acquittal or a different conviction</w:t>
      </w:r>
      <w:r w:rsidR="007B1B92" w:rsidRPr="000A66A1">
        <w:rPr>
          <w:rStyle w:val="FootnoteReference"/>
          <w:rFonts w:asciiTheme="minorHAnsi" w:hAnsiTheme="minorHAnsi"/>
        </w:rPr>
        <w:footnoteReference w:id="105"/>
      </w:r>
      <w:r w:rsidRPr="000A66A1">
        <w:rPr>
          <w:rFonts w:asciiTheme="minorHAnsi" w:hAnsiTheme="minorHAnsi"/>
        </w:rPr>
        <w:t xml:space="preserve"> such as</w:t>
      </w:r>
      <w:r w:rsidR="00971134" w:rsidRPr="000A66A1">
        <w:rPr>
          <w:rFonts w:asciiTheme="minorHAnsi" w:hAnsiTheme="minorHAnsi"/>
        </w:rPr>
        <w:t xml:space="preserve"> one of the basic intent crimes within </w:t>
      </w:r>
      <w:r w:rsidR="00971134" w:rsidRPr="000A66A1">
        <w:rPr>
          <w:rFonts w:asciiTheme="minorHAnsi" w:hAnsiTheme="minorHAnsi"/>
        </w:rPr>
        <w:lastRenderedPageBreak/>
        <w:t>the same bracket. T</w:t>
      </w:r>
      <w:r w:rsidR="007B1B92" w:rsidRPr="000A66A1">
        <w:rPr>
          <w:rFonts w:asciiTheme="minorHAnsi" w:hAnsiTheme="minorHAnsi"/>
        </w:rPr>
        <w:t>he jury are instructed to “have regard to all the evidence… and on that basis to ask themselves whether they feel sure that at the material time the defendant had the requisite intent”</w:t>
      </w:r>
      <w:r w:rsidR="007B1B92" w:rsidRPr="000A66A1">
        <w:rPr>
          <w:rStyle w:val="FootnoteReference"/>
          <w:rFonts w:asciiTheme="minorHAnsi" w:hAnsiTheme="minorHAnsi"/>
        </w:rPr>
        <w:footnoteReference w:id="106"/>
      </w:r>
      <w:r w:rsidRPr="000A66A1">
        <w:rPr>
          <w:rFonts w:asciiTheme="minorHAnsi" w:hAnsiTheme="minorHAnsi"/>
        </w:rPr>
        <w:t xml:space="preserve"> i.e. the jury must weigh up all evidence presented in order to make a decision to the defendant’s intent. </w:t>
      </w:r>
      <w:r w:rsidR="007B1B92" w:rsidRPr="000A66A1">
        <w:rPr>
          <w:rFonts w:asciiTheme="minorHAnsi" w:hAnsiTheme="minorHAnsi"/>
        </w:rPr>
        <w:t xml:space="preserve">The presence of intoxication in relation to specific intent crimes </w:t>
      </w:r>
      <w:r w:rsidRPr="000A66A1">
        <w:rPr>
          <w:rFonts w:asciiTheme="minorHAnsi" w:hAnsiTheme="minorHAnsi"/>
        </w:rPr>
        <w:t>provides</w:t>
      </w:r>
      <w:r w:rsidR="007B1B92" w:rsidRPr="000A66A1">
        <w:rPr>
          <w:rFonts w:asciiTheme="minorHAnsi" w:hAnsiTheme="minorHAnsi"/>
        </w:rPr>
        <w:t xml:space="preserve"> difficult</w:t>
      </w:r>
      <w:r w:rsidRPr="000A66A1">
        <w:rPr>
          <w:rFonts w:asciiTheme="minorHAnsi" w:hAnsiTheme="minorHAnsi"/>
        </w:rPr>
        <w:t>y</w:t>
      </w:r>
      <w:r w:rsidR="007B1B92" w:rsidRPr="000A66A1">
        <w:rPr>
          <w:rFonts w:asciiTheme="minorHAnsi" w:hAnsiTheme="minorHAnsi"/>
        </w:rPr>
        <w:t xml:space="preserve"> for the prosecution to prove all elements of the offence beyond reasonable doubt</w:t>
      </w:r>
      <w:r w:rsidR="007B1B92" w:rsidRPr="000A66A1">
        <w:rPr>
          <w:rStyle w:val="FootnoteReference"/>
          <w:rFonts w:asciiTheme="minorHAnsi" w:hAnsiTheme="minorHAnsi"/>
        </w:rPr>
        <w:footnoteReference w:id="107"/>
      </w:r>
      <w:r w:rsidRPr="000A66A1">
        <w:rPr>
          <w:rFonts w:asciiTheme="minorHAnsi" w:hAnsiTheme="minorHAnsi"/>
        </w:rPr>
        <w:t>.</w:t>
      </w:r>
    </w:p>
    <w:p w14:paraId="5628F794" w14:textId="7CAED6C2" w:rsidR="007B1B92" w:rsidRPr="000A66A1" w:rsidRDefault="007B1B92" w:rsidP="000A66A1">
      <w:pPr>
        <w:spacing w:line="360" w:lineRule="auto"/>
        <w:jc w:val="both"/>
        <w:rPr>
          <w:rFonts w:asciiTheme="minorHAnsi" w:hAnsiTheme="minorHAnsi"/>
        </w:rPr>
      </w:pPr>
    </w:p>
    <w:p w14:paraId="3031C2D7" w14:textId="2D926369" w:rsidR="00205D38" w:rsidRDefault="00205D38" w:rsidP="000A66A1">
      <w:pPr>
        <w:spacing w:line="360" w:lineRule="auto"/>
        <w:jc w:val="both"/>
        <w:rPr>
          <w:rFonts w:asciiTheme="minorHAnsi" w:hAnsiTheme="minorHAnsi"/>
        </w:rPr>
      </w:pPr>
      <w:r w:rsidRPr="000A66A1">
        <w:rPr>
          <w:rFonts w:asciiTheme="minorHAnsi" w:hAnsiTheme="minorHAnsi"/>
        </w:rPr>
        <w:t>Ultimately, t</w:t>
      </w:r>
      <w:r w:rsidR="007B1B92" w:rsidRPr="000A66A1">
        <w:rPr>
          <w:rFonts w:asciiTheme="minorHAnsi" w:hAnsiTheme="minorHAnsi"/>
        </w:rPr>
        <w:t xml:space="preserve">he presence of intoxication can prevent someone from being charged with murder if it thwarts the prosecutions attempt to prove there was an intention to kill or cause GBH. If this occurs, the prosecution can then prove the elements from unlawful act manslaughter instead. </w:t>
      </w:r>
      <w:r w:rsidR="00934878" w:rsidRPr="000A66A1">
        <w:rPr>
          <w:rFonts w:asciiTheme="minorHAnsi" w:hAnsiTheme="minorHAnsi"/>
        </w:rPr>
        <w:t xml:space="preserve">The difference in culpability between a sober murder and an intoxicated murder will then be represented by the offence </w:t>
      </w:r>
      <w:r w:rsidR="007477BE" w:rsidRPr="000A66A1">
        <w:rPr>
          <w:rFonts w:asciiTheme="minorHAnsi" w:hAnsiTheme="minorHAnsi"/>
        </w:rPr>
        <w:t>charged</w:t>
      </w:r>
      <w:r w:rsidR="00925560" w:rsidRPr="000A66A1">
        <w:rPr>
          <w:rFonts w:asciiTheme="minorHAnsi" w:hAnsiTheme="minorHAnsi"/>
        </w:rPr>
        <w:t xml:space="preserve"> and the sentence passed</w:t>
      </w:r>
      <w:r w:rsidR="00934878" w:rsidRPr="000A66A1">
        <w:rPr>
          <w:rFonts w:asciiTheme="minorHAnsi" w:hAnsiTheme="minorHAnsi"/>
        </w:rPr>
        <w:t xml:space="preserve">. </w:t>
      </w:r>
      <w:r w:rsidRPr="000A66A1">
        <w:rPr>
          <w:rFonts w:asciiTheme="minorHAnsi" w:hAnsiTheme="minorHAnsi"/>
        </w:rPr>
        <w:t>Similarly, both</w:t>
      </w:r>
      <w:r w:rsidR="007B1B92" w:rsidRPr="000A66A1">
        <w:rPr>
          <w:rFonts w:asciiTheme="minorHAnsi" w:hAnsiTheme="minorHAnsi"/>
        </w:rPr>
        <w:t xml:space="preserve"> s</w:t>
      </w:r>
      <w:r w:rsidRPr="000A66A1">
        <w:rPr>
          <w:rFonts w:asciiTheme="minorHAnsi" w:hAnsiTheme="minorHAnsi"/>
        </w:rPr>
        <w:t xml:space="preserve">ection </w:t>
      </w:r>
      <w:r w:rsidR="007B1B92" w:rsidRPr="000A66A1">
        <w:rPr>
          <w:rFonts w:asciiTheme="minorHAnsi" w:hAnsiTheme="minorHAnsi"/>
        </w:rPr>
        <w:t>18</w:t>
      </w:r>
      <w:r w:rsidRPr="000A66A1">
        <w:rPr>
          <w:rStyle w:val="FootnoteReference"/>
          <w:rFonts w:asciiTheme="minorHAnsi" w:hAnsiTheme="minorHAnsi"/>
        </w:rPr>
        <w:footnoteReference w:id="108"/>
      </w:r>
      <w:r w:rsidR="007B1B92" w:rsidRPr="000A66A1">
        <w:rPr>
          <w:rFonts w:asciiTheme="minorHAnsi" w:hAnsiTheme="minorHAnsi"/>
        </w:rPr>
        <w:t xml:space="preserve"> and s</w:t>
      </w:r>
      <w:r w:rsidRPr="000A66A1">
        <w:rPr>
          <w:rFonts w:asciiTheme="minorHAnsi" w:hAnsiTheme="minorHAnsi"/>
        </w:rPr>
        <w:t xml:space="preserve">ection </w:t>
      </w:r>
      <w:r w:rsidR="007B1B92" w:rsidRPr="000A66A1">
        <w:rPr>
          <w:rFonts w:asciiTheme="minorHAnsi" w:hAnsiTheme="minorHAnsi"/>
        </w:rPr>
        <w:t>20</w:t>
      </w:r>
      <w:r w:rsidRPr="000A66A1">
        <w:rPr>
          <w:rStyle w:val="FootnoteReference"/>
          <w:rFonts w:asciiTheme="minorHAnsi" w:hAnsiTheme="minorHAnsi"/>
        </w:rPr>
        <w:footnoteReference w:id="109"/>
      </w:r>
      <w:r w:rsidRPr="000A66A1">
        <w:rPr>
          <w:rFonts w:asciiTheme="minorHAnsi" w:hAnsiTheme="minorHAnsi"/>
        </w:rPr>
        <w:t xml:space="preserve"> </w:t>
      </w:r>
      <w:r w:rsidR="007B1B92" w:rsidRPr="000A66A1">
        <w:rPr>
          <w:rFonts w:asciiTheme="minorHAnsi" w:hAnsiTheme="minorHAnsi"/>
        </w:rPr>
        <w:t xml:space="preserve">have the same actus reus with differing mens rea, allowing </w:t>
      </w:r>
      <w:r w:rsidRPr="000A66A1">
        <w:rPr>
          <w:rFonts w:asciiTheme="minorHAnsi" w:hAnsiTheme="minorHAnsi"/>
        </w:rPr>
        <w:t xml:space="preserve">section </w:t>
      </w:r>
      <w:r w:rsidR="007B1B92" w:rsidRPr="000A66A1">
        <w:rPr>
          <w:rFonts w:asciiTheme="minorHAnsi" w:hAnsiTheme="minorHAnsi"/>
        </w:rPr>
        <w:t>20</w:t>
      </w:r>
      <w:r w:rsidRPr="000A66A1">
        <w:rPr>
          <w:rStyle w:val="FootnoteReference"/>
          <w:rFonts w:asciiTheme="minorHAnsi" w:hAnsiTheme="minorHAnsi"/>
        </w:rPr>
        <w:footnoteReference w:id="110"/>
      </w:r>
      <w:r w:rsidR="007B1B92" w:rsidRPr="000A66A1">
        <w:rPr>
          <w:rFonts w:asciiTheme="minorHAnsi" w:hAnsiTheme="minorHAnsi"/>
        </w:rPr>
        <w:t xml:space="preserve"> to be used when s</w:t>
      </w:r>
      <w:r w:rsidRPr="000A66A1">
        <w:rPr>
          <w:rFonts w:asciiTheme="minorHAnsi" w:hAnsiTheme="minorHAnsi"/>
        </w:rPr>
        <w:t xml:space="preserve">ection </w:t>
      </w:r>
      <w:r w:rsidR="007B1B92" w:rsidRPr="000A66A1">
        <w:rPr>
          <w:rFonts w:asciiTheme="minorHAnsi" w:hAnsiTheme="minorHAnsi"/>
        </w:rPr>
        <w:t>18</w:t>
      </w:r>
      <w:r w:rsidRPr="000A66A1">
        <w:rPr>
          <w:rStyle w:val="FootnoteReference"/>
          <w:rFonts w:asciiTheme="minorHAnsi" w:hAnsiTheme="minorHAnsi"/>
        </w:rPr>
        <w:footnoteReference w:id="111"/>
      </w:r>
      <w:r w:rsidR="007B1B92" w:rsidRPr="000A66A1">
        <w:rPr>
          <w:rFonts w:asciiTheme="minorHAnsi" w:hAnsiTheme="minorHAnsi"/>
        </w:rPr>
        <w:t xml:space="preserve"> cannot be due to intoxication.</w:t>
      </w:r>
      <w:r w:rsidRPr="000A66A1">
        <w:rPr>
          <w:rFonts w:asciiTheme="minorHAnsi" w:hAnsiTheme="minorHAnsi"/>
        </w:rPr>
        <w:t xml:space="preserve"> </w:t>
      </w:r>
      <w:r w:rsidR="007B1B92" w:rsidRPr="000A66A1">
        <w:rPr>
          <w:rFonts w:asciiTheme="minorHAnsi" w:hAnsiTheme="minorHAnsi"/>
        </w:rPr>
        <w:t>This was pointed out by Professor Ashworth</w:t>
      </w:r>
      <w:r w:rsidRPr="000A66A1">
        <w:rPr>
          <w:rFonts w:asciiTheme="minorHAnsi" w:hAnsiTheme="minorHAnsi"/>
        </w:rPr>
        <w:t>:</w:t>
      </w:r>
    </w:p>
    <w:p w14:paraId="63FC7F58" w14:textId="77777777" w:rsidR="000A66A1" w:rsidRPr="000A66A1" w:rsidRDefault="000A66A1" w:rsidP="000A66A1">
      <w:pPr>
        <w:spacing w:line="360" w:lineRule="auto"/>
        <w:jc w:val="both"/>
        <w:rPr>
          <w:rFonts w:asciiTheme="minorHAnsi" w:hAnsiTheme="minorHAnsi"/>
        </w:rPr>
      </w:pPr>
    </w:p>
    <w:p w14:paraId="5A169D9B" w14:textId="7C07E95A" w:rsidR="00205D38" w:rsidRDefault="007B1B92" w:rsidP="000A66A1">
      <w:pPr>
        <w:spacing w:line="360" w:lineRule="auto"/>
        <w:ind w:firstLine="720"/>
        <w:jc w:val="both"/>
        <w:rPr>
          <w:rFonts w:asciiTheme="minorHAnsi" w:hAnsiTheme="minorHAnsi"/>
          <w:i/>
        </w:rPr>
      </w:pPr>
      <w:r w:rsidRPr="000A66A1">
        <w:rPr>
          <w:rFonts w:asciiTheme="minorHAnsi" w:hAnsiTheme="minorHAnsi"/>
          <w:i/>
        </w:rPr>
        <w:t>“</w:t>
      </w:r>
      <w:r w:rsidR="00205D38" w:rsidRPr="000A66A1">
        <w:rPr>
          <w:rFonts w:asciiTheme="minorHAnsi" w:hAnsiTheme="minorHAnsi"/>
          <w:i/>
        </w:rPr>
        <w:t>M</w:t>
      </w:r>
      <w:r w:rsidRPr="000A66A1">
        <w:rPr>
          <w:rFonts w:asciiTheme="minorHAnsi" w:hAnsiTheme="minorHAnsi"/>
          <w:i/>
        </w:rPr>
        <w:t>urder and wounding with intent are crimes of specific intent, and there is no great loss of social defence in allowing intoxication to negative the intent required for those crimes when the amplitude of the basic intent offences of manslaughter and unlawful wounding lies beneath them – ensuring D’s conviction and liability to sentence”</w:t>
      </w:r>
      <w:r w:rsidRPr="000A66A1">
        <w:rPr>
          <w:rStyle w:val="FootnoteReference"/>
          <w:rFonts w:asciiTheme="minorHAnsi" w:hAnsiTheme="minorHAnsi"/>
          <w:i/>
        </w:rPr>
        <w:footnoteReference w:id="112"/>
      </w:r>
      <w:r w:rsidR="00205D38" w:rsidRPr="000A66A1">
        <w:rPr>
          <w:rFonts w:asciiTheme="minorHAnsi" w:hAnsiTheme="minorHAnsi"/>
          <w:i/>
        </w:rPr>
        <w:t>.</w:t>
      </w:r>
      <w:r w:rsidRPr="000A66A1">
        <w:rPr>
          <w:rFonts w:asciiTheme="minorHAnsi" w:hAnsiTheme="minorHAnsi"/>
          <w:i/>
        </w:rPr>
        <w:t xml:space="preserve"> </w:t>
      </w:r>
    </w:p>
    <w:p w14:paraId="56900CC4" w14:textId="77777777" w:rsidR="000A66A1" w:rsidRPr="000A66A1" w:rsidRDefault="000A66A1" w:rsidP="000A66A1">
      <w:pPr>
        <w:spacing w:line="360" w:lineRule="auto"/>
        <w:ind w:firstLine="720"/>
        <w:jc w:val="both"/>
        <w:rPr>
          <w:rFonts w:asciiTheme="minorHAnsi" w:hAnsiTheme="minorHAnsi"/>
          <w:i/>
        </w:rPr>
      </w:pPr>
    </w:p>
    <w:p w14:paraId="3EAFFACC" w14:textId="5E02E505" w:rsidR="00971134" w:rsidRPr="000A66A1" w:rsidRDefault="00971134" w:rsidP="000A66A1">
      <w:pPr>
        <w:spacing w:line="360" w:lineRule="auto"/>
        <w:jc w:val="both"/>
        <w:rPr>
          <w:rFonts w:asciiTheme="minorHAnsi" w:hAnsiTheme="minorHAnsi"/>
        </w:rPr>
      </w:pPr>
      <w:r w:rsidRPr="000A66A1">
        <w:rPr>
          <w:rFonts w:asciiTheme="minorHAnsi" w:hAnsiTheme="minorHAnsi"/>
        </w:rPr>
        <w:t xml:space="preserve">By allowing offenders to still receive some form of conviction, it allows the intoxication doctrine to work well in practice. </w:t>
      </w:r>
    </w:p>
    <w:p w14:paraId="00DCBB81" w14:textId="77777777" w:rsidR="00971134" w:rsidRPr="000A66A1" w:rsidRDefault="00971134" w:rsidP="000A66A1">
      <w:pPr>
        <w:spacing w:line="360" w:lineRule="auto"/>
        <w:jc w:val="both"/>
        <w:rPr>
          <w:rFonts w:asciiTheme="minorHAnsi" w:hAnsiTheme="minorHAnsi"/>
        </w:rPr>
      </w:pPr>
    </w:p>
    <w:p w14:paraId="7BA291BE" w14:textId="3C8B841A" w:rsidR="00205D38" w:rsidRPr="000A66A1" w:rsidRDefault="00205D38" w:rsidP="000A66A1">
      <w:pPr>
        <w:spacing w:line="360" w:lineRule="auto"/>
        <w:jc w:val="both"/>
        <w:rPr>
          <w:rFonts w:asciiTheme="minorHAnsi" w:hAnsiTheme="minorHAnsi"/>
          <w:i/>
        </w:rPr>
      </w:pPr>
      <w:r w:rsidRPr="000A66A1">
        <w:rPr>
          <w:rFonts w:asciiTheme="minorHAnsi" w:hAnsiTheme="minorHAnsi"/>
        </w:rPr>
        <w:lastRenderedPageBreak/>
        <w:t xml:space="preserve">This is further reflected by </w:t>
      </w:r>
      <w:r w:rsidR="007B1B92" w:rsidRPr="000A66A1">
        <w:rPr>
          <w:rFonts w:asciiTheme="minorHAnsi" w:hAnsiTheme="minorHAnsi"/>
        </w:rPr>
        <w:t>Law Commission</w:t>
      </w:r>
      <w:r w:rsidR="000657B1" w:rsidRPr="000A66A1">
        <w:rPr>
          <w:rFonts w:asciiTheme="minorHAnsi" w:hAnsiTheme="minorHAnsi"/>
        </w:rPr>
        <w:t>’s decision</w:t>
      </w:r>
      <w:r w:rsidR="007B1B92" w:rsidRPr="000A66A1">
        <w:rPr>
          <w:rFonts w:asciiTheme="minorHAnsi" w:hAnsiTheme="minorHAnsi"/>
        </w:rPr>
        <w:t xml:space="preserve"> in their 199</w:t>
      </w:r>
      <w:r w:rsidR="005A6D28" w:rsidRPr="000A66A1">
        <w:rPr>
          <w:rFonts w:asciiTheme="minorHAnsi" w:hAnsiTheme="minorHAnsi"/>
        </w:rPr>
        <w:t>3</w:t>
      </w:r>
      <w:r w:rsidR="007B1B92" w:rsidRPr="000A66A1">
        <w:rPr>
          <w:rFonts w:asciiTheme="minorHAnsi" w:hAnsiTheme="minorHAnsi"/>
        </w:rPr>
        <w:t xml:space="preserve"> report</w:t>
      </w:r>
      <w:r w:rsidRPr="000A66A1">
        <w:rPr>
          <w:rStyle w:val="FootnoteReference"/>
          <w:rFonts w:asciiTheme="minorHAnsi" w:hAnsiTheme="minorHAnsi"/>
        </w:rPr>
        <w:footnoteReference w:id="113"/>
      </w:r>
      <w:r w:rsidR="007B1B92" w:rsidRPr="000A66A1">
        <w:rPr>
          <w:rFonts w:asciiTheme="minorHAnsi" w:hAnsiTheme="minorHAnsi"/>
        </w:rPr>
        <w:t xml:space="preserve"> to </w:t>
      </w:r>
      <w:r w:rsidR="000657B1" w:rsidRPr="000A66A1">
        <w:rPr>
          <w:rFonts w:asciiTheme="minorHAnsi" w:hAnsiTheme="minorHAnsi"/>
        </w:rPr>
        <w:t>abandon their earlier recommendation</w:t>
      </w:r>
      <w:r w:rsidR="000657B1" w:rsidRPr="000A66A1">
        <w:rPr>
          <w:rStyle w:val="FootnoteReference"/>
          <w:rFonts w:asciiTheme="minorHAnsi" w:hAnsiTheme="minorHAnsi"/>
        </w:rPr>
        <w:footnoteReference w:id="114"/>
      </w:r>
      <w:r w:rsidR="000657B1" w:rsidRPr="000A66A1">
        <w:rPr>
          <w:rFonts w:asciiTheme="minorHAnsi" w:hAnsiTheme="minorHAnsi"/>
        </w:rPr>
        <w:t xml:space="preserve"> to </w:t>
      </w:r>
      <w:r w:rsidR="007B1B92" w:rsidRPr="000A66A1">
        <w:rPr>
          <w:rFonts w:asciiTheme="minorHAnsi" w:hAnsiTheme="minorHAnsi"/>
        </w:rPr>
        <w:t xml:space="preserve">abolish the </w:t>
      </w:r>
      <w:r w:rsidR="007B1B92" w:rsidRPr="000A66A1">
        <w:rPr>
          <w:rFonts w:asciiTheme="minorHAnsi" w:hAnsiTheme="minorHAnsi"/>
          <w:i/>
        </w:rPr>
        <w:t>Majewski</w:t>
      </w:r>
      <w:r w:rsidR="000657B1" w:rsidRPr="000A66A1">
        <w:rPr>
          <w:rFonts w:asciiTheme="minorHAnsi" w:hAnsiTheme="minorHAnsi"/>
          <w:i/>
        </w:rPr>
        <w:t xml:space="preserve"> </w:t>
      </w:r>
      <w:r w:rsidR="007B1B92" w:rsidRPr="000A66A1">
        <w:rPr>
          <w:rFonts w:asciiTheme="minorHAnsi" w:hAnsiTheme="minorHAnsi"/>
        </w:rPr>
        <w:t>rule</w:t>
      </w:r>
      <w:r w:rsidR="000657B1" w:rsidRPr="000A66A1">
        <w:rPr>
          <w:rFonts w:asciiTheme="minorHAnsi" w:hAnsiTheme="minorHAnsi"/>
        </w:rPr>
        <w:t xml:space="preserve"> on the grounds that</w:t>
      </w:r>
      <w:r w:rsidR="005A6D28" w:rsidRPr="000A66A1">
        <w:rPr>
          <w:rFonts w:asciiTheme="minorHAnsi" w:hAnsiTheme="minorHAnsi"/>
        </w:rPr>
        <w:t xml:space="preserve"> they had no preferred alternative and believed </w:t>
      </w:r>
      <w:r w:rsidR="000657B1" w:rsidRPr="000A66A1">
        <w:rPr>
          <w:rFonts w:asciiTheme="minorHAnsi" w:hAnsiTheme="minorHAnsi"/>
        </w:rPr>
        <w:t>the rule worked</w:t>
      </w:r>
      <w:r w:rsidR="005A6D28" w:rsidRPr="000A66A1">
        <w:rPr>
          <w:rFonts w:asciiTheme="minorHAnsi" w:hAnsiTheme="minorHAnsi"/>
        </w:rPr>
        <w:t xml:space="preserve"> well in practice. The </w:t>
      </w:r>
      <w:r w:rsidR="005A6D28" w:rsidRPr="000A66A1">
        <w:rPr>
          <w:rFonts w:asciiTheme="minorHAnsi" w:hAnsiTheme="minorHAnsi"/>
          <w:i/>
        </w:rPr>
        <w:t>Majewski</w:t>
      </w:r>
      <w:r w:rsidR="005A6D28" w:rsidRPr="000A66A1">
        <w:rPr>
          <w:rFonts w:asciiTheme="minorHAnsi" w:hAnsiTheme="minorHAnsi"/>
        </w:rPr>
        <w:t xml:space="preserve"> rule does seem to offer fair prosecution for offenders in relation to voluntary and violent offences. The practicalities of using a corresponding offence to still attain some form of conviction should be extrapolated and used in relation to other offences</w:t>
      </w:r>
      <w:r w:rsidR="00925560" w:rsidRPr="000A66A1">
        <w:rPr>
          <w:rFonts w:asciiTheme="minorHAnsi" w:hAnsiTheme="minorHAnsi"/>
        </w:rPr>
        <w:t>, particularly in relation to property offences</w:t>
      </w:r>
      <w:r w:rsidR="005A6D28" w:rsidRPr="000A66A1">
        <w:rPr>
          <w:rFonts w:asciiTheme="minorHAnsi" w:hAnsiTheme="minorHAnsi"/>
        </w:rPr>
        <w:t xml:space="preserve">. </w:t>
      </w:r>
    </w:p>
    <w:p w14:paraId="1D7EAEED" w14:textId="77777777" w:rsidR="00F04BE5" w:rsidRPr="000A66A1" w:rsidRDefault="00F04BE5" w:rsidP="000A66A1">
      <w:pPr>
        <w:spacing w:line="360" w:lineRule="auto"/>
        <w:jc w:val="both"/>
        <w:rPr>
          <w:rFonts w:asciiTheme="minorHAnsi" w:hAnsiTheme="minorHAnsi"/>
        </w:rPr>
      </w:pPr>
    </w:p>
    <w:p w14:paraId="3385ABFA" w14:textId="52CA8DBB" w:rsidR="003C0F56" w:rsidRPr="000A66A1" w:rsidRDefault="003C0F56" w:rsidP="000A66A1">
      <w:pPr>
        <w:spacing w:line="360" w:lineRule="auto"/>
        <w:jc w:val="both"/>
        <w:rPr>
          <w:rFonts w:asciiTheme="minorHAnsi" w:hAnsiTheme="minorHAnsi"/>
          <w:u w:val="single"/>
        </w:rPr>
      </w:pPr>
      <w:r w:rsidRPr="000A66A1">
        <w:rPr>
          <w:rFonts w:asciiTheme="minorHAnsi" w:hAnsiTheme="minorHAnsi"/>
          <w:u w:val="single"/>
        </w:rPr>
        <w:t xml:space="preserve">The Subjectivism </w:t>
      </w:r>
      <w:r w:rsidR="00F04BE5" w:rsidRPr="000A66A1">
        <w:rPr>
          <w:rFonts w:asciiTheme="minorHAnsi" w:hAnsiTheme="minorHAnsi"/>
          <w:u w:val="single"/>
        </w:rPr>
        <w:t>v</w:t>
      </w:r>
      <w:r w:rsidRPr="000A66A1">
        <w:rPr>
          <w:rFonts w:asciiTheme="minorHAnsi" w:hAnsiTheme="minorHAnsi"/>
          <w:u w:val="single"/>
        </w:rPr>
        <w:t xml:space="preserve"> Absolutis</w:t>
      </w:r>
      <w:r w:rsidR="00CD7B1D" w:rsidRPr="000A66A1">
        <w:rPr>
          <w:rFonts w:asciiTheme="minorHAnsi" w:hAnsiTheme="minorHAnsi"/>
          <w:u w:val="single"/>
        </w:rPr>
        <w:t>m</w:t>
      </w:r>
      <w:r w:rsidRPr="000A66A1">
        <w:rPr>
          <w:rFonts w:asciiTheme="minorHAnsi" w:hAnsiTheme="minorHAnsi"/>
          <w:u w:val="single"/>
        </w:rPr>
        <w:t xml:space="preserve"> </w:t>
      </w:r>
      <w:r w:rsidR="00205D38" w:rsidRPr="000A66A1">
        <w:rPr>
          <w:rFonts w:asciiTheme="minorHAnsi" w:hAnsiTheme="minorHAnsi"/>
          <w:u w:val="single"/>
        </w:rPr>
        <w:t>D</w:t>
      </w:r>
      <w:r w:rsidRPr="000A66A1">
        <w:rPr>
          <w:rFonts w:asciiTheme="minorHAnsi" w:hAnsiTheme="minorHAnsi"/>
          <w:u w:val="single"/>
        </w:rPr>
        <w:t>ebate</w:t>
      </w:r>
    </w:p>
    <w:p w14:paraId="750FA5A1" w14:textId="77777777" w:rsidR="003C0F56" w:rsidRPr="000A66A1" w:rsidRDefault="003C0F56" w:rsidP="000A66A1">
      <w:pPr>
        <w:spacing w:line="360" w:lineRule="auto"/>
        <w:jc w:val="both"/>
        <w:rPr>
          <w:rFonts w:asciiTheme="minorHAnsi" w:hAnsiTheme="minorHAnsi"/>
        </w:rPr>
      </w:pPr>
    </w:p>
    <w:p w14:paraId="60F7C5EC" w14:textId="0441D841" w:rsidR="00205D38" w:rsidRPr="000A66A1" w:rsidRDefault="00621E6A" w:rsidP="000A66A1">
      <w:pPr>
        <w:spacing w:line="360" w:lineRule="auto"/>
        <w:jc w:val="both"/>
        <w:rPr>
          <w:rFonts w:asciiTheme="minorHAnsi" w:hAnsiTheme="minorHAnsi"/>
        </w:rPr>
      </w:pPr>
      <w:r w:rsidRPr="000A66A1">
        <w:rPr>
          <w:rFonts w:asciiTheme="minorHAnsi" w:hAnsiTheme="minorHAnsi"/>
        </w:rPr>
        <w:t>Sometimes, criminal courts interpret the law by using strict subjectivism</w:t>
      </w:r>
      <w:r w:rsidR="00205D38" w:rsidRPr="000A66A1">
        <w:rPr>
          <w:rStyle w:val="FootnoteReference"/>
          <w:rFonts w:asciiTheme="minorHAnsi" w:hAnsiTheme="minorHAnsi"/>
        </w:rPr>
        <w:footnoteReference w:id="115"/>
      </w:r>
      <w:r w:rsidRPr="000A66A1">
        <w:rPr>
          <w:rFonts w:asciiTheme="minorHAnsi" w:hAnsiTheme="minorHAnsi"/>
        </w:rPr>
        <w:t xml:space="preserve">. </w:t>
      </w:r>
      <w:r w:rsidR="00205D38" w:rsidRPr="000A66A1">
        <w:rPr>
          <w:rFonts w:asciiTheme="minorHAnsi" w:hAnsiTheme="minorHAnsi"/>
        </w:rPr>
        <w:t>‘Strict subjectivism’ denotes</w:t>
      </w:r>
      <w:r w:rsidR="00EE34B4" w:rsidRPr="000A66A1">
        <w:rPr>
          <w:rFonts w:asciiTheme="minorHAnsi" w:hAnsiTheme="minorHAnsi"/>
        </w:rPr>
        <w:t xml:space="preserve"> a simple interpretation of the law. </w:t>
      </w:r>
      <w:r w:rsidR="00205D38" w:rsidRPr="000A66A1">
        <w:rPr>
          <w:rFonts w:asciiTheme="minorHAnsi" w:hAnsiTheme="minorHAnsi"/>
        </w:rPr>
        <w:t>Practically speaking, the court will examine the case at hand</w:t>
      </w:r>
      <w:r w:rsidRPr="000A66A1">
        <w:rPr>
          <w:rFonts w:asciiTheme="minorHAnsi" w:hAnsiTheme="minorHAnsi"/>
        </w:rPr>
        <w:t xml:space="preserve"> and apply the law </w:t>
      </w:r>
      <w:r w:rsidR="00205D38" w:rsidRPr="000A66A1">
        <w:rPr>
          <w:rFonts w:asciiTheme="minorHAnsi" w:hAnsiTheme="minorHAnsi"/>
        </w:rPr>
        <w:t>in consideration of the</w:t>
      </w:r>
      <w:r w:rsidRPr="000A66A1">
        <w:rPr>
          <w:rFonts w:asciiTheme="minorHAnsi" w:hAnsiTheme="minorHAnsi"/>
        </w:rPr>
        <w:t xml:space="preserve"> circumstances of the case. If the courts interpret</w:t>
      </w:r>
      <w:r w:rsidR="00205D38" w:rsidRPr="000A66A1">
        <w:rPr>
          <w:rFonts w:asciiTheme="minorHAnsi" w:hAnsiTheme="minorHAnsi"/>
        </w:rPr>
        <w:t xml:space="preserve"> </w:t>
      </w:r>
      <w:r w:rsidRPr="000A66A1">
        <w:rPr>
          <w:rFonts w:asciiTheme="minorHAnsi" w:hAnsiTheme="minorHAnsi"/>
        </w:rPr>
        <w:t xml:space="preserve">law </w:t>
      </w:r>
      <w:r w:rsidR="00205D38" w:rsidRPr="000A66A1">
        <w:rPr>
          <w:rFonts w:asciiTheme="minorHAnsi" w:hAnsiTheme="minorHAnsi"/>
        </w:rPr>
        <w:t>this way</w:t>
      </w:r>
      <w:r w:rsidRPr="000A66A1">
        <w:rPr>
          <w:rFonts w:asciiTheme="minorHAnsi" w:hAnsiTheme="minorHAnsi"/>
        </w:rPr>
        <w:t xml:space="preserve"> in all cases </w:t>
      </w:r>
      <w:r w:rsidR="00205D38" w:rsidRPr="000A66A1">
        <w:rPr>
          <w:rFonts w:asciiTheme="minorHAnsi" w:hAnsiTheme="minorHAnsi"/>
        </w:rPr>
        <w:t xml:space="preserve">with </w:t>
      </w:r>
      <w:r w:rsidRPr="000A66A1">
        <w:rPr>
          <w:rFonts w:asciiTheme="minorHAnsi" w:hAnsiTheme="minorHAnsi"/>
        </w:rPr>
        <w:t>involv</w:t>
      </w:r>
      <w:r w:rsidR="00205D38" w:rsidRPr="000A66A1">
        <w:rPr>
          <w:rFonts w:asciiTheme="minorHAnsi" w:hAnsiTheme="minorHAnsi"/>
        </w:rPr>
        <w:t>ement of</w:t>
      </w:r>
      <w:r w:rsidRPr="000A66A1">
        <w:rPr>
          <w:rFonts w:asciiTheme="minorHAnsi" w:hAnsiTheme="minorHAnsi"/>
        </w:rPr>
        <w:t xml:space="preserve"> intoxication, </w:t>
      </w:r>
      <w:r w:rsidR="00205D38" w:rsidRPr="000A66A1">
        <w:rPr>
          <w:rFonts w:asciiTheme="minorHAnsi" w:hAnsiTheme="minorHAnsi"/>
        </w:rPr>
        <w:t>it is</w:t>
      </w:r>
      <w:r w:rsidRPr="000A66A1">
        <w:rPr>
          <w:rFonts w:asciiTheme="minorHAnsi" w:hAnsiTheme="minorHAnsi"/>
        </w:rPr>
        <w:t xml:space="preserve"> likely </w:t>
      </w:r>
      <w:r w:rsidR="00205D38" w:rsidRPr="000A66A1">
        <w:rPr>
          <w:rFonts w:asciiTheme="minorHAnsi" w:hAnsiTheme="minorHAnsi"/>
        </w:rPr>
        <w:t xml:space="preserve">to encourage </w:t>
      </w:r>
      <w:r w:rsidRPr="000A66A1">
        <w:rPr>
          <w:rFonts w:asciiTheme="minorHAnsi" w:hAnsiTheme="minorHAnsi"/>
        </w:rPr>
        <w:t xml:space="preserve">grave public policy concerns. If the law were to work in this way for </w:t>
      </w:r>
      <w:r w:rsidR="0081345D" w:rsidRPr="000A66A1">
        <w:rPr>
          <w:rFonts w:asciiTheme="minorHAnsi" w:hAnsiTheme="minorHAnsi"/>
        </w:rPr>
        <w:t>specific</w:t>
      </w:r>
      <w:r w:rsidRPr="000A66A1">
        <w:rPr>
          <w:rFonts w:asciiTheme="minorHAnsi" w:hAnsiTheme="minorHAnsi"/>
        </w:rPr>
        <w:t xml:space="preserve"> </w:t>
      </w:r>
      <w:r w:rsidRPr="000A66A1">
        <w:rPr>
          <w:rFonts w:asciiTheme="minorHAnsi" w:hAnsiTheme="minorHAnsi"/>
          <w:i/>
        </w:rPr>
        <w:t>and</w:t>
      </w:r>
      <w:r w:rsidRPr="000A66A1">
        <w:rPr>
          <w:rFonts w:asciiTheme="minorHAnsi" w:hAnsiTheme="minorHAnsi"/>
        </w:rPr>
        <w:t xml:space="preserve"> </w:t>
      </w:r>
      <w:r w:rsidR="0081345D" w:rsidRPr="000A66A1">
        <w:rPr>
          <w:rFonts w:asciiTheme="minorHAnsi" w:hAnsiTheme="minorHAnsi"/>
        </w:rPr>
        <w:t>basic intent</w:t>
      </w:r>
      <w:r w:rsidRPr="000A66A1">
        <w:rPr>
          <w:rFonts w:asciiTheme="minorHAnsi" w:hAnsiTheme="minorHAnsi"/>
        </w:rPr>
        <w:t xml:space="preserve"> offences, it would set a dangerous precedent</w:t>
      </w:r>
      <w:r w:rsidR="00205D38" w:rsidRPr="000A66A1">
        <w:rPr>
          <w:rFonts w:asciiTheme="minorHAnsi" w:hAnsiTheme="minorHAnsi"/>
        </w:rPr>
        <w:t xml:space="preserve">. This being, </w:t>
      </w:r>
      <w:r w:rsidRPr="000A66A1">
        <w:rPr>
          <w:rFonts w:asciiTheme="minorHAnsi" w:hAnsiTheme="minorHAnsi"/>
        </w:rPr>
        <w:t>the more intoxicat</w:t>
      </w:r>
      <w:r w:rsidR="003C0F56" w:rsidRPr="000A66A1">
        <w:rPr>
          <w:rFonts w:asciiTheme="minorHAnsi" w:hAnsiTheme="minorHAnsi"/>
        </w:rPr>
        <w:t>ed</w:t>
      </w:r>
      <w:r w:rsidRPr="000A66A1">
        <w:rPr>
          <w:rFonts w:asciiTheme="minorHAnsi" w:hAnsiTheme="minorHAnsi"/>
        </w:rPr>
        <w:t xml:space="preserve"> a person becomes, the less culpable they are. It would turn intoxication into a defence, as the prosecution would struggle to prove mens rea even for </w:t>
      </w:r>
      <w:r w:rsidR="003C0F56" w:rsidRPr="000A66A1">
        <w:rPr>
          <w:rFonts w:asciiTheme="minorHAnsi" w:hAnsiTheme="minorHAnsi"/>
        </w:rPr>
        <w:t xml:space="preserve">all classes of offences, </w:t>
      </w:r>
      <w:r w:rsidR="00205D38" w:rsidRPr="000A66A1">
        <w:rPr>
          <w:rFonts w:asciiTheme="minorHAnsi" w:hAnsiTheme="minorHAnsi"/>
        </w:rPr>
        <w:t>including</w:t>
      </w:r>
      <w:r w:rsidR="003C0F56" w:rsidRPr="000A66A1">
        <w:rPr>
          <w:rFonts w:asciiTheme="minorHAnsi" w:hAnsiTheme="minorHAnsi"/>
        </w:rPr>
        <w:t xml:space="preserve"> basic</w:t>
      </w:r>
      <w:r w:rsidR="00205D38" w:rsidRPr="000A66A1">
        <w:rPr>
          <w:rFonts w:asciiTheme="minorHAnsi" w:hAnsiTheme="minorHAnsi"/>
        </w:rPr>
        <w:t xml:space="preserve"> intent</w:t>
      </w:r>
      <w:r w:rsidR="00243CB6" w:rsidRPr="000A66A1">
        <w:rPr>
          <w:rStyle w:val="FootnoteReference"/>
          <w:rFonts w:asciiTheme="minorHAnsi" w:hAnsiTheme="minorHAnsi"/>
        </w:rPr>
        <w:footnoteReference w:id="116"/>
      </w:r>
      <w:r w:rsidR="00205D38" w:rsidRPr="000A66A1">
        <w:rPr>
          <w:rFonts w:asciiTheme="minorHAnsi" w:hAnsiTheme="minorHAnsi"/>
        </w:rPr>
        <w:t>.</w:t>
      </w:r>
      <w:r w:rsidRPr="000A66A1">
        <w:rPr>
          <w:rFonts w:asciiTheme="minorHAnsi" w:hAnsiTheme="minorHAnsi"/>
        </w:rPr>
        <w:t xml:space="preserve"> It would potentially encourage voluntary intoxication as a tactic for evading liability. </w:t>
      </w:r>
    </w:p>
    <w:p w14:paraId="48DD9857" w14:textId="77777777" w:rsidR="00975786" w:rsidRPr="000A66A1" w:rsidRDefault="00975786" w:rsidP="000A66A1">
      <w:pPr>
        <w:spacing w:line="360" w:lineRule="auto"/>
        <w:jc w:val="both"/>
        <w:rPr>
          <w:rFonts w:asciiTheme="minorHAnsi" w:hAnsiTheme="minorHAnsi"/>
        </w:rPr>
      </w:pPr>
    </w:p>
    <w:p w14:paraId="66C0AEC8" w14:textId="3ABB827B" w:rsidR="00EE34B4" w:rsidRPr="000A66A1" w:rsidRDefault="00975786" w:rsidP="000A66A1">
      <w:pPr>
        <w:spacing w:line="360" w:lineRule="auto"/>
        <w:jc w:val="both"/>
        <w:rPr>
          <w:rFonts w:asciiTheme="minorHAnsi" w:hAnsiTheme="minorHAnsi"/>
        </w:rPr>
      </w:pPr>
      <w:r w:rsidRPr="000A66A1">
        <w:rPr>
          <w:rFonts w:asciiTheme="minorHAnsi" w:hAnsiTheme="minorHAnsi"/>
        </w:rPr>
        <w:t xml:space="preserve">The </w:t>
      </w:r>
      <w:r w:rsidR="000F02B8" w:rsidRPr="000A66A1">
        <w:rPr>
          <w:rFonts w:asciiTheme="minorHAnsi" w:hAnsiTheme="minorHAnsi"/>
        </w:rPr>
        <w:t>arguments</w:t>
      </w:r>
      <w:r w:rsidRPr="000A66A1">
        <w:rPr>
          <w:rFonts w:asciiTheme="minorHAnsi" w:hAnsiTheme="minorHAnsi"/>
        </w:rPr>
        <w:t xml:space="preserve"> </w:t>
      </w:r>
      <w:r w:rsidR="000F02B8" w:rsidRPr="000A66A1">
        <w:rPr>
          <w:rFonts w:asciiTheme="minorHAnsi" w:hAnsiTheme="minorHAnsi"/>
        </w:rPr>
        <w:t>for and against</w:t>
      </w:r>
      <w:r w:rsidRPr="000A66A1">
        <w:rPr>
          <w:rFonts w:asciiTheme="minorHAnsi" w:hAnsiTheme="minorHAnsi"/>
        </w:rPr>
        <w:t xml:space="preserve"> th</w:t>
      </w:r>
      <w:r w:rsidR="00243CB6" w:rsidRPr="000A66A1">
        <w:rPr>
          <w:rFonts w:asciiTheme="minorHAnsi" w:hAnsiTheme="minorHAnsi"/>
        </w:rPr>
        <w:t>is approach</w:t>
      </w:r>
      <w:r w:rsidRPr="000A66A1">
        <w:rPr>
          <w:rFonts w:asciiTheme="minorHAnsi" w:hAnsiTheme="minorHAnsi"/>
        </w:rPr>
        <w:t xml:space="preserve"> </w:t>
      </w:r>
      <w:r w:rsidR="000F02B8" w:rsidRPr="000A66A1">
        <w:rPr>
          <w:rFonts w:asciiTheme="minorHAnsi" w:hAnsiTheme="minorHAnsi"/>
        </w:rPr>
        <w:t>discuss the</w:t>
      </w:r>
      <w:r w:rsidRPr="000A66A1">
        <w:rPr>
          <w:rFonts w:asciiTheme="minorHAnsi" w:hAnsiTheme="minorHAnsi"/>
        </w:rPr>
        <w:t xml:space="preserve"> balance between public policy and adhering to the underlying principles of criminal law. Some believe that it is more important to stay with strict definitional logic</w:t>
      </w:r>
      <w:r w:rsidR="00205D38" w:rsidRPr="000A66A1">
        <w:rPr>
          <w:rStyle w:val="FootnoteReference"/>
          <w:rFonts w:asciiTheme="minorHAnsi" w:hAnsiTheme="minorHAnsi"/>
        </w:rPr>
        <w:footnoteReference w:id="117"/>
      </w:r>
      <w:r w:rsidRPr="000A66A1">
        <w:rPr>
          <w:rFonts w:asciiTheme="minorHAnsi" w:hAnsiTheme="minorHAnsi"/>
        </w:rPr>
        <w:t xml:space="preserve">. If the law requires the proof of the actus reus and mens rea beyond reasonable doubt in basic intent </w:t>
      </w:r>
      <w:r w:rsidRPr="000A66A1">
        <w:rPr>
          <w:rFonts w:asciiTheme="minorHAnsi" w:hAnsiTheme="minorHAnsi"/>
        </w:rPr>
        <w:lastRenderedPageBreak/>
        <w:t>offences, then the presence of intoxication should not change this.</w:t>
      </w:r>
      <w:r w:rsidR="00205D38" w:rsidRPr="000A66A1">
        <w:rPr>
          <w:rFonts w:asciiTheme="minorHAnsi" w:hAnsiTheme="minorHAnsi"/>
        </w:rPr>
        <w:t xml:space="preserve"> </w:t>
      </w:r>
      <w:r w:rsidR="00621E6A" w:rsidRPr="000A66A1">
        <w:rPr>
          <w:rFonts w:asciiTheme="minorHAnsi" w:hAnsiTheme="minorHAnsi"/>
        </w:rPr>
        <w:t>Professor Sir John Smith</w:t>
      </w:r>
      <w:r w:rsidR="00205D38" w:rsidRPr="000A66A1">
        <w:rPr>
          <w:rStyle w:val="FootnoteReference"/>
          <w:rFonts w:asciiTheme="minorHAnsi" w:hAnsiTheme="minorHAnsi"/>
        </w:rPr>
        <w:footnoteReference w:id="118"/>
      </w:r>
      <w:r w:rsidR="00621E6A" w:rsidRPr="000A66A1">
        <w:rPr>
          <w:rFonts w:asciiTheme="minorHAnsi" w:hAnsiTheme="minorHAnsi"/>
        </w:rPr>
        <w:t xml:space="preserve"> suggested that the House of Lords should</w:t>
      </w:r>
      <w:r w:rsidR="00205D38" w:rsidRPr="000A66A1">
        <w:rPr>
          <w:rFonts w:asciiTheme="minorHAnsi" w:hAnsiTheme="minorHAnsi"/>
        </w:rPr>
        <w:t>:</w:t>
      </w:r>
    </w:p>
    <w:p w14:paraId="202EC8EF" w14:textId="57FE46B9" w:rsidR="00205D38" w:rsidRPr="000A66A1" w:rsidRDefault="00205D38" w:rsidP="000A66A1">
      <w:pPr>
        <w:spacing w:line="360" w:lineRule="auto"/>
        <w:ind w:firstLine="720"/>
        <w:jc w:val="both"/>
        <w:rPr>
          <w:rFonts w:asciiTheme="minorHAnsi" w:hAnsiTheme="minorHAnsi"/>
        </w:rPr>
      </w:pPr>
      <w:r w:rsidRPr="000A66A1">
        <w:rPr>
          <w:rFonts w:asciiTheme="minorHAnsi" w:hAnsiTheme="minorHAnsi"/>
          <w:i/>
        </w:rPr>
        <w:t>‘R</w:t>
      </w:r>
      <w:r w:rsidR="00621E6A" w:rsidRPr="000A66A1">
        <w:rPr>
          <w:rFonts w:asciiTheme="minorHAnsi" w:hAnsiTheme="minorHAnsi"/>
          <w:i/>
        </w:rPr>
        <w:t>ecognise that if a particular mens rea is an ingredient of an offence, no one can be convicted of that offence if he did not have the mens rea in question, whether he was drunk at the time or not</w:t>
      </w:r>
      <w:r w:rsidRPr="000A66A1">
        <w:rPr>
          <w:rFonts w:asciiTheme="minorHAnsi" w:hAnsiTheme="minorHAnsi"/>
          <w:i/>
        </w:rPr>
        <w:t>’</w:t>
      </w:r>
      <w:r w:rsidR="00621E6A" w:rsidRPr="000A66A1">
        <w:rPr>
          <w:rStyle w:val="FootnoteReference"/>
          <w:rFonts w:asciiTheme="minorHAnsi" w:hAnsiTheme="minorHAnsi"/>
        </w:rPr>
        <w:footnoteReference w:id="119"/>
      </w:r>
      <w:r w:rsidR="00621E6A" w:rsidRPr="000A66A1">
        <w:rPr>
          <w:rFonts w:asciiTheme="minorHAnsi" w:hAnsiTheme="minorHAnsi"/>
        </w:rPr>
        <w:t xml:space="preserve"> </w:t>
      </w:r>
      <w:r w:rsidRPr="000A66A1">
        <w:rPr>
          <w:rFonts w:asciiTheme="minorHAnsi" w:hAnsiTheme="minorHAnsi"/>
        </w:rPr>
        <w:t>.</w:t>
      </w:r>
    </w:p>
    <w:p w14:paraId="6D67A565" w14:textId="0A91C848" w:rsidR="00975786" w:rsidRPr="000A66A1" w:rsidRDefault="00621E6A" w:rsidP="000A66A1">
      <w:pPr>
        <w:spacing w:line="360" w:lineRule="auto"/>
        <w:jc w:val="both"/>
        <w:rPr>
          <w:rFonts w:asciiTheme="minorHAnsi" w:hAnsiTheme="minorHAnsi"/>
        </w:rPr>
      </w:pPr>
      <w:r w:rsidRPr="000A66A1">
        <w:rPr>
          <w:rFonts w:asciiTheme="minorHAnsi" w:hAnsiTheme="minorHAnsi"/>
        </w:rPr>
        <w:t>This is a fair argument</w:t>
      </w:r>
      <w:r w:rsidR="00205D38" w:rsidRPr="000A66A1">
        <w:rPr>
          <w:rFonts w:asciiTheme="minorHAnsi" w:hAnsiTheme="minorHAnsi"/>
        </w:rPr>
        <w:t xml:space="preserve"> </w:t>
      </w:r>
      <w:r w:rsidR="003C0F56" w:rsidRPr="000A66A1">
        <w:rPr>
          <w:rFonts w:asciiTheme="minorHAnsi" w:hAnsiTheme="minorHAnsi"/>
        </w:rPr>
        <w:t>as it uses the underlying principle of all criminal offences</w:t>
      </w:r>
      <w:r w:rsidRPr="000A66A1">
        <w:rPr>
          <w:rFonts w:asciiTheme="minorHAnsi" w:hAnsiTheme="minorHAnsi"/>
        </w:rPr>
        <w:t>. If someone commits an offence without the relevant mens rea for a basic intent crime, they should</w:t>
      </w:r>
      <w:r w:rsidR="00205D38" w:rsidRPr="000A66A1">
        <w:rPr>
          <w:rFonts w:asciiTheme="minorHAnsi" w:hAnsiTheme="minorHAnsi"/>
        </w:rPr>
        <w:t xml:space="preserve"> not</w:t>
      </w:r>
      <w:r w:rsidRPr="000A66A1">
        <w:rPr>
          <w:rFonts w:asciiTheme="minorHAnsi" w:hAnsiTheme="minorHAnsi"/>
        </w:rPr>
        <w:t xml:space="preserve"> be held to the same level of culpability as someone that did have the relevant mens rea.</w:t>
      </w:r>
      <w:r w:rsidR="00205D38" w:rsidRPr="000A66A1">
        <w:rPr>
          <w:rFonts w:asciiTheme="minorHAnsi" w:hAnsiTheme="minorHAnsi"/>
        </w:rPr>
        <w:t xml:space="preserve"> For example:</w:t>
      </w:r>
    </w:p>
    <w:p w14:paraId="470D0EC2" w14:textId="5AFC1319" w:rsidR="003C0F56" w:rsidRPr="000A66A1" w:rsidRDefault="003C0F56" w:rsidP="000A66A1">
      <w:pPr>
        <w:spacing w:line="360" w:lineRule="auto"/>
        <w:jc w:val="both"/>
        <w:rPr>
          <w:rFonts w:asciiTheme="minorHAnsi" w:hAnsiTheme="minorHAnsi"/>
        </w:rPr>
      </w:pPr>
    </w:p>
    <w:p w14:paraId="13759222" w14:textId="63EC6520" w:rsidR="003C0F56" w:rsidRPr="000A66A1" w:rsidRDefault="00FD7723" w:rsidP="000A66A1">
      <w:pPr>
        <w:spacing w:line="360" w:lineRule="auto"/>
        <w:ind w:firstLine="720"/>
        <w:rPr>
          <w:rFonts w:asciiTheme="minorHAnsi" w:hAnsiTheme="minorHAnsi"/>
        </w:rPr>
      </w:pPr>
      <w:r w:rsidRPr="000A66A1">
        <w:rPr>
          <w:rFonts w:asciiTheme="minorHAnsi" w:hAnsiTheme="minorHAnsi"/>
          <w:b/>
        </w:rPr>
        <w:t xml:space="preserve">Example </w:t>
      </w:r>
      <w:r w:rsidR="002D5F7D" w:rsidRPr="000A66A1">
        <w:rPr>
          <w:rFonts w:asciiTheme="minorHAnsi" w:hAnsiTheme="minorHAnsi"/>
          <w:b/>
        </w:rPr>
        <w:t>1A</w:t>
      </w:r>
      <w:r w:rsidRPr="000A66A1">
        <w:rPr>
          <w:rFonts w:asciiTheme="minorHAnsi" w:hAnsiTheme="minorHAnsi"/>
        </w:rPr>
        <w:t xml:space="preserve"> - </w:t>
      </w:r>
      <w:r w:rsidR="003C0F56" w:rsidRPr="000A66A1">
        <w:rPr>
          <w:rFonts w:asciiTheme="minorHAnsi" w:hAnsiTheme="minorHAnsi"/>
        </w:rPr>
        <w:t xml:space="preserve">If D </w:t>
      </w:r>
      <w:r w:rsidRPr="000A66A1">
        <w:rPr>
          <w:rFonts w:asciiTheme="minorHAnsi" w:hAnsiTheme="minorHAnsi"/>
        </w:rPr>
        <w:t>punched V with the intention of punching them, and that punch results in V having a black eye, D would be charged and most likely be convicted of ABH. Using the definition stated earlier, the offence of battery would be satisfied due to the unlawful application of force and the intention to apply that force. The offence of ABH would also be satisfied due to the result of the unlawful force.</w:t>
      </w:r>
    </w:p>
    <w:p w14:paraId="6029A6BB" w14:textId="4AF18DCC" w:rsidR="00FD7723" w:rsidRPr="000A66A1" w:rsidRDefault="00FD7723" w:rsidP="000A66A1">
      <w:pPr>
        <w:spacing w:line="360" w:lineRule="auto"/>
        <w:rPr>
          <w:rFonts w:asciiTheme="minorHAnsi" w:hAnsiTheme="minorHAnsi"/>
        </w:rPr>
      </w:pPr>
    </w:p>
    <w:p w14:paraId="2FD9A480" w14:textId="525A8091" w:rsidR="00FD7723" w:rsidRPr="000A66A1" w:rsidRDefault="00FD7723" w:rsidP="000A66A1">
      <w:pPr>
        <w:spacing w:line="360" w:lineRule="auto"/>
        <w:ind w:firstLine="720"/>
        <w:rPr>
          <w:rFonts w:asciiTheme="minorHAnsi" w:hAnsiTheme="minorHAnsi"/>
        </w:rPr>
      </w:pPr>
      <w:r w:rsidRPr="000A66A1">
        <w:rPr>
          <w:rFonts w:asciiTheme="minorHAnsi" w:hAnsiTheme="minorHAnsi"/>
          <w:b/>
        </w:rPr>
        <w:t xml:space="preserve">Example </w:t>
      </w:r>
      <w:r w:rsidR="002D5F7D" w:rsidRPr="000A66A1">
        <w:rPr>
          <w:rFonts w:asciiTheme="minorHAnsi" w:hAnsiTheme="minorHAnsi"/>
          <w:b/>
        </w:rPr>
        <w:t>1</w:t>
      </w:r>
      <w:r w:rsidRPr="000A66A1">
        <w:rPr>
          <w:rFonts w:asciiTheme="minorHAnsi" w:hAnsiTheme="minorHAnsi"/>
          <w:b/>
        </w:rPr>
        <w:t>B</w:t>
      </w:r>
      <w:r w:rsidRPr="000A66A1">
        <w:rPr>
          <w:rFonts w:asciiTheme="minorHAnsi" w:hAnsiTheme="minorHAnsi"/>
        </w:rPr>
        <w:t xml:space="preserve"> – If D was dancing in a busy club </w:t>
      </w:r>
      <w:r w:rsidR="000F02B8" w:rsidRPr="000A66A1">
        <w:rPr>
          <w:rFonts w:asciiTheme="minorHAnsi" w:hAnsiTheme="minorHAnsi"/>
        </w:rPr>
        <w:t xml:space="preserve">whilst severely intoxicated </w:t>
      </w:r>
      <w:r w:rsidRPr="000A66A1">
        <w:rPr>
          <w:rFonts w:asciiTheme="minorHAnsi" w:hAnsiTheme="minorHAnsi"/>
        </w:rPr>
        <w:t>with clenched fists and decided to swing his arms around, then accidentally punched V resulting in a black eye, D would be charged and most likely convicted of ABH. Although there was no intention to commit battery, the mens rea of the offence can also be satisfied through recklessness. No additional mens rea is required for ABH. Even though D was intoxicated, it is likely that when sober he would foresee some level of risk to injury resulting from his conduct.</w:t>
      </w:r>
    </w:p>
    <w:p w14:paraId="12F43E8D" w14:textId="0D599ABE" w:rsidR="00FD7723" w:rsidRPr="000A66A1" w:rsidRDefault="00FD7723" w:rsidP="000A66A1">
      <w:pPr>
        <w:spacing w:line="360" w:lineRule="auto"/>
        <w:jc w:val="both"/>
        <w:rPr>
          <w:rFonts w:asciiTheme="minorHAnsi" w:hAnsiTheme="minorHAnsi"/>
        </w:rPr>
      </w:pPr>
    </w:p>
    <w:p w14:paraId="29669CAA" w14:textId="40D4E049" w:rsidR="00FD7723" w:rsidRPr="000A66A1" w:rsidRDefault="00FD7723" w:rsidP="000A66A1">
      <w:pPr>
        <w:spacing w:line="360" w:lineRule="auto"/>
        <w:jc w:val="both"/>
        <w:rPr>
          <w:rFonts w:asciiTheme="minorHAnsi" w:hAnsiTheme="minorHAnsi"/>
        </w:rPr>
      </w:pPr>
      <w:r w:rsidRPr="000A66A1">
        <w:rPr>
          <w:rFonts w:asciiTheme="minorHAnsi" w:hAnsiTheme="minorHAnsi"/>
        </w:rPr>
        <w:t>Both examples show a large gap</w:t>
      </w:r>
      <w:r w:rsidR="00975786" w:rsidRPr="000A66A1">
        <w:rPr>
          <w:rFonts w:asciiTheme="minorHAnsi" w:hAnsiTheme="minorHAnsi"/>
        </w:rPr>
        <w:t xml:space="preserve"> between the potential culpability of offenders of the same crime. Although mitigating and aggravating factors would be taken into account when sentencing, the same label would be given to both offenders. There is understandably an argument as to why this is classed as unfair.</w:t>
      </w:r>
    </w:p>
    <w:p w14:paraId="41AD1DB2" w14:textId="295912F4" w:rsidR="00975786" w:rsidRPr="000A66A1" w:rsidRDefault="00975786" w:rsidP="000A66A1">
      <w:pPr>
        <w:spacing w:line="360" w:lineRule="auto"/>
        <w:jc w:val="both"/>
        <w:rPr>
          <w:rFonts w:asciiTheme="minorHAnsi" w:hAnsiTheme="minorHAnsi"/>
        </w:rPr>
      </w:pPr>
    </w:p>
    <w:p w14:paraId="54C2B84B" w14:textId="57856AF1" w:rsidR="00C3248A" w:rsidRPr="000A66A1" w:rsidRDefault="00975786" w:rsidP="000A66A1">
      <w:pPr>
        <w:spacing w:line="360" w:lineRule="auto"/>
        <w:jc w:val="both"/>
        <w:rPr>
          <w:rFonts w:asciiTheme="minorHAnsi" w:hAnsiTheme="minorHAnsi"/>
        </w:rPr>
      </w:pPr>
      <w:r w:rsidRPr="000A66A1">
        <w:rPr>
          <w:rFonts w:asciiTheme="minorHAnsi" w:hAnsiTheme="minorHAnsi"/>
        </w:rPr>
        <w:lastRenderedPageBreak/>
        <w:t>There is however also an argument that becoming intoxicated in the first place is enough to</w:t>
      </w:r>
      <w:r w:rsidR="000F02B8" w:rsidRPr="000A66A1">
        <w:rPr>
          <w:rFonts w:asciiTheme="minorHAnsi" w:hAnsiTheme="minorHAnsi"/>
        </w:rPr>
        <w:t xml:space="preserve"> warrant</w:t>
      </w:r>
      <w:r w:rsidRPr="000A66A1">
        <w:rPr>
          <w:rFonts w:asciiTheme="minorHAnsi" w:hAnsiTheme="minorHAnsi"/>
        </w:rPr>
        <w:t xml:space="preserve"> some form of accountability. </w:t>
      </w:r>
      <w:r w:rsidR="00C3248A" w:rsidRPr="000A66A1">
        <w:rPr>
          <w:rFonts w:asciiTheme="minorHAnsi" w:hAnsiTheme="minorHAnsi"/>
        </w:rPr>
        <w:t>Professor Glanville Williams</w:t>
      </w:r>
      <w:r w:rsidR="00205D38" w:rsidRPr="000A66A1">
        <w:rPr>
          <w:rStyle w:val="FootnoteReference"/>
          <w:rFonts w:asciiTheme="minorHAnsi" w:hAnsiTheme="minorHAnsi"/>
        </w:rPr>
        <w:footnoteReference w:id="120"/>
      </w:r>
      <w:r w:rsidR="00C3248A" w:rsidRPr="000A66A1">
        <w:rPr>
          <w:rFonts w:asciiTheme="minorHAnsi" w:hAnsiTheme="minorHAnsi"/>
        </w:rPr>
        <w:t xml:space="preserve"> </w:t>
      </w:r>
      <w:r w:rsidR="00205D38" w:rsidRPr="000A66A1">
        <w:rPr>
          <w:rFonts w:asciiTheme="minorHAnsi" w:hAnsiTheme="minorHAnsi"/>
        </w:rPr>
        <w:t>explained ‘</w:t>
      </w:r>
      <w:r w:rsidR="00C3248A" w:rsidRPr="000A66A1">
        <w:rPr>
          <w:rFonts w:asciiTheme="minorHAnsi" w:hAnsiTheme="minorHAnsi"/>
        </w:rPr>
        <w:t>it would be inimical to the safety of all of us if the judges announced that anyone could gain exemption from the criminal law by getting drunk</w:t>
      </w:r>
      <w:r w:rsidR="00205D38" w:rsidRPr="000A66A1">
        <w:rPr>
          <w:rFonts w:asciiTheme="minorHAnsi" w:hAnsiTheme="minorHAnsi"/>
        </w:rPr>
        <w:t>’</w:t>
      </w:r>
      <w:r w:rsidR="00C3248A" w:rsidRPr="000A66A1">
        <w:rPr>
          <w:rStyle w:val="FootnoteReference"/>
          <w:rFonts w:asciiTheme="minorHAnsi" w:hAnsiTheme="minorHAnsi"/>
        </w:rPr>
        <w:footnoteReference w:id="121"/>
      </w:r>
      <w:r w:rsidR="00205D38" w:rsidRPr="000A66A1">
        <w:rPr>
          <w:rFonts w:asciiTheme="minorHAnsi" w:hAnsiTheme="minorHAnsi"/>
        </w:rPr>
        <w:t xml:space="preserve">. This </w:t>
      </w:r>
      <w:r w:rsidR="00EE34B4" w:rsidRPr="000A66A1">
        <w:rPr>
          <w:rFonts w:asciiTheme="minorHAnsi" w:hAnsiTheme="minorHAnsi"/>
        </w:rPr>
        <w:t xml:space="preserve">demonstrates that by </w:t>
      </w:r>
      <w:r w:rsidR="00C3248A" w:rsidRPr="000A66A1">
        <w:rPr>
          <w:rFonts w:asciiTheme="minorHAnsi" w:hAnsiTheme="minorHAnsi"/>
        </w:rPr>
        <w:t>allowing the presence of intoxication to act as a full defence, public safety would be ignored.</w:t>
      </w:r>
    </w:p>
    <w:p w14:paraId="6844B4C7" w14:textId="2ED836CC" w:rsidR="004937A1" w:rsidRPr="000A66A1" w:rsidRDefault="004937A1" w:rsidP="000A66A1">
      <w:pPr>
        <w:spacing w:line="360" w:lineRule="auto"/>
        <w:jc w:val="both"/>
        <w:rPr>
          <w:rFonts w:asciiTheme="minorHAnsi" w:hAnsiTheme="minorHAnsi"/>
        </w:rPr>
      </w:pPr>
    </w:p>
    <w:p w14:paraId="37BAF74B" w14:textId="2AF8A274" w:rsidR="004937A1" w:rsidRPr="000A66A1" w:rsidRDefault="004937A1" w:rsidP="000A66A1">
      <w:pPr>
        <w:spacing w:line="360" w:lineRule="auto"/>
        <w:jc w:val="both"/>
        <w:rPr>
          <w:rFonts w:asciiTheme="minorHAnsi" w:hAnsiTheme="minorHAnsi"/>
        </w:rPr>
      </w:pPr>
      <w:r w:rsidRPr="000A66A1">
        <w:rPr>
          <w:rFonts w:asciiTheme="minorHAnsi" w:hAnsiTheme="minorHAnsi"/>
        </w:rPr>
        <w:t>Lord Simon</w:t>
      </w:r>
      <w:r w:rsidR="00205D38" w:rsidRPr="000A66A1">
        <w:rPr>
          <w:rStyle w:val="FootnoteReference"/>
          <w:rFonts w:asciiTheme="minorHAnsi" w:hAnsiTheme="minorHAnsi"/>
        </w:rPr>
        <w:footnoteReference w:id="122"/>
      </w:r>
      <w:r w:rsidRPr="000A66A1">
        <w:rPr>
          <w:rFonts w:asciiTheme="minorHAnsi" w:hAnsiTheme="minorHAnsi"/>
        </w:rPr>
        <w:t xml:space="preserve"> argued that allowing all offenders to evade liability on the basis that they lacked the requisite fault on account of their intoxication, would </w:t>
      </w:r>
      <w:r w:rsidR="00205D38" w:rsidRPr="000A66A1">
        <w:rPr>
          <w:rFonts w:asciiTheme="minorHAnsi" w:hAnsiTheme="minorHAnsi"/>
        </w:rPr>
        <w:t>‘</w:t>
      </w:r>
      <w:r w:rsidRPr="000A66A1">
        <w:rPr>
          <w:rFonts w:asciiTheme="minorHAnsi" w:hAnsiTheme="minorHAnsi"/>
        </w:rPr>
        <w:t>leave the citizens legally unprotected from unprovoked violence</w:t>
      </w:r>
      <w:r w:rsidR="00205D38" w:rsidRPr="000A66A1">
        <w:rPr>
          <w:rFonts w:asciiTheme="minorHAnsi" w:hAnsiTheme="minorHAnsi"/>
        </w:rPr>
        <w:t>’</w:t>
      </w:r>
      <w:r w:rsidRPr="000A66A1">
        <w:rPr>
          <w:rStyle w:val="FootnoteReference"/>
          <w:rFonts w:asciiTheme="minorHAnsi" w:hAnsiTheme="minorHAnsi"/>
        </w:rPr>
        <w:footnoteReference w:id="123"/>
      </w:r>
      <w:r w:rsidR="00205D38" w:rsidRPr="000A66A1">
        <w:rPr>
          <w:rFonts w:asciiTheme="minorHAnsi" w:hAnsiTheme="minorHAnsi"/>
        </w:rPr>
        <w:t>.</w:t>
      </w:r>
      <w:r w:rsidRPr="000A66A1">
        <w:rPr>
          <w:rFonts w:asciiTheme="minorHAnsi" w:hAnsiTheme="minorHAnsi"/>
        </w:rPr>
        <w:t xml:space="preserve"> </w:t>
      </w:r>
      <w:r w:rsidR="009924D6" w:rsidRPr="000A66A1">
        <w:rPr>
          <w:rFonts w:asciiTheme="minorHAnsi" w:hAnsiTheme="minorHAnsi"/>
        </w:rPr>
        <w:t>It would allow an attacker to deprive themselves of “the ability to know what he was doing by getting himself drunk”</w:t>
      </w:r>
      <w:r w:rsidR="00205D38" w:rsidRPr="000A66A1">
        <w:rPr>
          <w:rFonts w:asciiTheme="minorHAnsi" w:hAnsiTheme="minorHAnsi"/>
        </w:rPr>
        <w:t xml:space="preserve">. Then, they </w:t>
      </w:r>
      <w:r w:rsidR="009924D6" w:rsidRPr="000A66A1">
        <w:rPr>
          <w:rFonts w:asciiTheme="minorHAnsi" w:hAnsiTheme="minorHAnsi"/>
        </w:rPr>
        <w:t>would be held to be innocent of that crime</w:t>
      </w:r>
      <w:r w:rsidR="009924D6" w:rsidRPr="000A66A1">
        <w:rPr>
          <w:rStyle w:val="FootnoteReference"/>
          <w:rFonts w:asciiTheme="minorHAnsi" w:hAnsiTheme="minorHAnsi"/>
        </w:rPr>
        <w:footnoteReference w:id="124"/>
      </w:r>
      <w:r w:rsidR="00205D38" w:rsidRPr="000A66A1">
        <w:rPr>
          <w:rFonts w:asciiTheme="minorHAnsi" w:hAnsiTheme="minorHAnsi"/>
        </w:rPr>
        <w:t>.</w:t>
      </w:r>
    </w:p>
    <w:p w14:paraId="4D250557" w14:textId="77777777" w:rsidR="00C3248A" w:rsidRPr="000A66A1" w:rsidRDefault="00C3248A" w:rsidP="000A66A1">
      <w:pPr>
        <w:spacing w:line="360" w:lineRule="auto"/>
        <w:jc w:val="both"/>
        <w:rPr>
          <w:rFonts w:asciiTheme="minorHAnsi" w:hAnsiTheme="minorHAnsi"/>
        </w:rPr>
      </w:pPr>
    </w:p>
    <w:p w14:paraId="204AAA42" w14:textId="02A124B9" w:rsidR="00C3248A" w:rsidRPr="000A66A1" w:rsidRDefault="00C3248A" w:rsidP="000A66A1">
      <w:pPr>
        <w:spacing w:line="360" w:lineRule="auto"/>
        <w:jc w:val="both"/>
        <w:rPr>
          <w:rFonts w:asciiTheme="minorHAnsi" w:hAnsiTheme="minorHAnsi"/>
        </w:rPr>
      </w:pPr>
      <w:r w:rsidRPr="000A66A1">
        <w:rPr>
          <w:rFonts w:asciiTheme="minorHAnsi" w:hAnsiTheme="minorHAnsi"/>
        </w:rPr>
        <w:t xml:space="preserve">Criminal </w:t>
      </w:r>
      <w:r w:rsidR="00205D38" w:rsidRPr="000A66A1">
        <w:rPr>
          <w:rFonts w:asciiTheme="minorHAnsi" w:hAnsiTheme="minorHAnsi"/>
        </w:rPr>
        <w:t>c</w:t>
      </w:r>
      <w:r w:rsidRPr="000A66A1">
        <w:rPr>
          <w:rFonts w:asciiTheme="minorHAnsi" w:hAnsiTheme="minorHAnsi"/>
        </w:rPr>
        <w:t>ourts could take an absolutist view instead.</w:t>
      </w:r>
      <w:r w:rsidR="00EE34B4" w:rsidRPr="000A66A1">
        <w:rPr>
          <w:rFonts w:asciiTheme="minorHAnsi" w:hAnsiTheme="minorHAnsi"/>
        </w:rPr>
        <w:t>,</w:t>
      </w:r>
      <w:r w:rsidRPr="000A66A1">
        <w:rPr>
          <w:rFonts w:asciiTheme="minorHAnsi" w:hAnsiTheme="minorHAnsi"/>
        </w:rPr>
        <w:t xml:space="preserve"> </w:t>
      </w:r>
      <w:r w:rsidR="00EE34B4" w:rsidRPr="000A66A1">
        <w:rPr>
          <w:rFonts w:asciiTheme="minorHAnsi" w:hAnsiTheme="minorHAnsi"/>
        </w:rPr>
        <w:t>Which</w:t>
      </w:r>
      <w:r w:rsidRPr="000A66A1">
        <w:rPr>
          <w:rFonts w:asciiTheme="minorHAnsi" w:hAnsiTheme="minorHAnsi"/>
        </w:rPr>
        <w:t xml:space="preserve"> would prevent D from being able to use intoxication to escape liability </w:t>
      </w:r>
      <w:r w:rsidR="00975786" w:rsidRPr="000A66A1">
        <w:rPr>
          <w:rFonts w:asciiTheme="minorHAnsi" w:hAnsiTheme="minorHAnsi"/>
        </w:rPr>
        <w:t>for any crime</w:t>
      </w:r>
      <w:r w:rsidRPr="000A66A1">
        <w:rPr>
          <w:rFonts w:asciiTheme="minorHAnsi" w:hAnsiTheme="minorHAnsi"/>
        </w:rPr>
        <w:t>. This approach would only focus on D’s conduct and the result of that conduct rather than the mens rea element affected by intoxication. This would mean that even in specific intent cases, the prosecution could still prove that D had the required mens rea by ignoring the intoxication. There are positives to this approach, particularly the benefits it could have in relation to public safety</w:t>
      </w:r>
      <w:r w:rsidR="00205D38" w:rsidRPr="000A66A1">
        <w:rPr>
          <w:rFonts w:asciiTheme="minorHAnsi" w:hAnsiTheme="minorHAnsi"/>
        </w:rPr>
        <w:t xml:space="preserve"> as s</w:t>
      </w:r>
      <w:r w:rsidRPr="000A66A1">
        <w:rPr>
          <w:rFonts w:asciiTheme="minorHAnsi" w:hAnsiTheme="minorHAnsi"/>
        </w:rPr>
        <w:t>topping offenders from being able to rely on intoxication would act as a deterrent for many.</w:t>
      </w:r>
    </w:p>
    <w:p w14:paraId="6B725CAC" w14:textId="77777777" w:rsidR="00C3248A" w:rsidRPr="000A66A1" w:rsidRDefault="00C3248A" w:rsidP="000A66A1">
      <w:pPr>
        <w:spacing w:line="360" w:lineRule="auto"/>
        <w:jc w:val="both"/>
        <w:rPr>
          <w:rFonts w:asciiTheme="minorHAnsi" w:hAnsiTheme="minorHAnsi"/>
        </w:rPr>
      </w:pPr>
    </w:p>
    <w:p w14:paraId="632502C6" w14:textId="36A290DA" w:rsidR="00975786" w:rsidRPr="000A66A1" w:rsidRDefault="00205D38" w:rsidP="000A66A1">
      <w:pPr>
        <w:spacing w:line="360" w:lineRule="auto"/>
        <w:jc w:val="both"/>
        <w:rPr>
          <w:rFonts w:asciiTheme="minorHAnsi" w:hAnsiTheme="minorHAnsi"/>
        </w:rPr>
      </w:pPr>
      <w:r w:rsidRPr="000A66A1">
        <w:rPr>
          <w:rFonts w:asciiTheme="minorHAnsi" w:hAnsiTheme="minorHAnsi"/>
        </w:rPr>
        <w:t>However, f</w:t>
      </w:r>
      <w:r w:rsidR="00C3248A" w:rsidRPr="000A66A1">
        <w:rPr>
          <w:rFonts w:asciiTheme="minorHAnsi" w:hAnsiTheme="minorHAnsi"/>
        </w:rPr>
        <w:t>ollowing this approach would totally undermine one of the main principles of criminal law</w:t>
      </w:r>
      <w:r w:rsidRPr="000A66A1">
        <w:rPr>
          <w:rFonts w:asciiTheme="minorHAnsi" w:hAnsiTheme="minorHAnsi"/>
        </w:rPr>
        <w:t>:</w:t>
      </w:r>
      <w:r w:rsidR="00EE34B4" w:rsidRPr="000A66A1">
        <w:rPr>
          <w:rFonts w:asciiTheme="minorHAnsi" w:hAnsiTheme="minorHAnsi"/>
        </w:rPr>
        <w:t xml:space="preserve"> that both the actus reus and the mens rea must be established. </w:t>
      </w:r>
      <w:r w:rsidR="00C3248A" w:rsidRPr="000A66A1">
        <w:rPr>
          <w:rFonts w:asciiTheme="minorHAnsi" w:hAnsiTheme="minorHAnsi"/>
        </w:rPr>
        <w:t>Other than with strict liability offences, it must be proved that D had the required mens rea of the crime, as well as the required actus reus. By using an absolutist approach, prosecutors would be able to use the presence of intoxication to imply a mens rea that was</w:t>
      </w:r>
      <w:r w:rsidRPr="000A66A1">
        <w:rPr>
          <w:rFonts w:asciiTheme="minorHAnsi" w:hAnsiTheme="minorHAnsi"/>
        </w:rPr>
        <w:t xml:space="preserve"> not</w:t>
      </w:r>
      <w:r w:rsidR="00C3248A" w:rsidRPr="000A66A1">
        <w:rPr>
          <w:rFonts w:asciiTheme="minorHAnsi" w:hAnsiTheme="minorHAnsi"/>
        </w:rPr>
        <w:t xml:space="preserve"> actually present</w:t>
      </w:r>
      <w:r w:rsidR="00FC7766" w:rsidRPr="000A66A1">
        <w:rPr>
          <w:rFonts w:asciiTheme="minorHAnsi" w:hAnsiTheme="minorHAnsi"/>
        </w:rPr>
        <w:t xml:space="preserve">, for both basic intent </w:t>
      </w:r>
      <w:r w:rsidR="00FC7766" w:rsidRPr="000A66A1">
        <w:rPr>
          <w:rFonts w:asciiTheme="minorHAnsi" w:hAnsiTheme="minorHAnsi"/>
          <w:i/>
        </w:rPr>
        <w:t>and</w:t>
      </w:r>
      <w:r w:rsidR="00FC7766" w:rsidRPr="000A66A1">
        <w:rPr>
          <w:rFonts w:asciiTheme="minorHAnsi" w:hAnsiTheme="minorHAnsi"/>
        </w:rPr>
        <w:t xml:space="preserve"> specific </w:t>
      </w:r>
      <w:r w:rsidR="00FC7766" w:rsidRPr="000A66A1">
        <w:rPr>
          <w:rFonts w:asciiTheme="minorHAnsi" w:hAnsiTheme="minorHAnsi"/>
        </w:rPr>
        <w:lastRenderedPageBreak/>
        <w:t>intent crimes</w:t>
      </w:r>
      <w:r w:rsidR="000F02B8" w:rsidRPr="000A66A1">
        <w:rPr>
          <w:rStyle w:val="FootnoteReference"/>
          <w:rFonts w:asciiTheme="minorHAnsi" w:hAnsiTheme="minorHAnsi"/>
        </w:rPr>
        <w:footnoteReference w:id="125"/>
      </w:r>
      <w:r w:rsidR="00C3248A" w:rsidRPr="000A66A1">
        <w:rPr>
          <w:rFonts w:asciiTheme="minorHAnsi" w:hAnsiTheme="minorHAnsi"/>
        </w:rPr>
        <w:t xml:space="preserve"> </w:t>
      </w:r>
      <w:r w:rsidRPr="000A66A1">
        <w:rPr>
          <w:rFonts w:asciiTheme="minorHAnsi" w:hAnsiTheme="minorHAnsi"/>
        </w:rPr>
        <w:t xml:space="preserve">. </w:t>
      </w:r>
      <w:r w:rsidR="00C3248A" w:rsidRPr="000A66A1">
        <w:rPr>
          <w:rFonts w:asciiTheme="minorHAnsi" w:hAnsiTheme="minorHAnsi"/>
        </w:rPr>
        <w:t>Using this approach for all offences wouldn’t just undermine criminal law; it would also allow for a monumental difference in the moral culpability between the offence committed and the offence that D would then be charged with.</w:t>
      </w:r>
      <w:r w:rsidRPr="000A66A1">
        <w:rPr>
          <w:rFonts w:asciiTheme="minorHAnsi" w:hAnsiTheme="minorHAnsi"/>
        </w:rPr>
        <w:t xml:space="preserve"> For example:</w:t>
      </w:r>
    </w:p>
    <w:p w14:paraId="764167ED" w14:textId="77777777" w:rsidR="00975786" w:rsidRPr="000A66A1" w:rsidRDefault="00975786" w:rsidP="000A66A1">
      <w:pPr>
        <w:spacing w:line="360" w:lineRule="auto"/>
        <w:jc w:val="both"/>
        <w:rPr>
          <w:rFonts w:asciiTheme="minorHAnsi" w:hAnsiTheme="minorHAnsi"/>
        </w:rPr>
      </w:pPr>
    </w:p>
    <w:p w14:paraId="5412ED89" w14:textId="1259EFF6" w:rsidR="00836A31" w:rsidRPr="000A66A1" w:rsidRDefault="00975786" w:rsidP="000A66A1">
      <w:pPr>
        <w:spacing w:line="360" w:lineRule="auto"/>
        <w:ind w:firstLine="720"/>
        <w:jc w:val="both"/>
        <w:rPr>
          <w:rFonts w:asciiTheme="minorHAnsi" w:hAnsiTheme="minorHAnsi"/>
        </w:rPr>
      </w:pPr>
      <w:r w:rsidRPr="000A66A1">
        <w:rPr>
          <w:rFonts w:asciiTheme="minorHAnsi" w:hAnsiTheme="minorHAnsi"/>
          <w:b/>
        </w:rPr>
        <w:t xml:space="preserve">Example </w:t>
      </w:r>
      <w:r w:rsidR="002D5F7D" w:rsidRPr="000A66A1">
        <w:rPr>
          <w:rFonts w:asciiTheme="minorHAnsi" w:hAnsiTheme="minorHAnsi"/>
          <w:b/>
        </w:rPr>
        <w:t>2A</w:t>
      </w:r>
      <w:r w:rsidRPr="000A66A1">
        <w:rPr>
          <w:rFonts w:asciiTheme="minorHAnsi" w:hAnsiTheme="minorHAnsi"/>
        </w:rPr>
        <w:t xml:space="preserve"> –</w:t>
      </w:r>
      <w:r w:rsidR="00C3248A" w:rsidRPr="000A66A1">
        <w:rPr>
          <w:rFonts w:asciiTheme="minorHAnsi" w:hAnsiTheme="minorHAnsi"/>
        </w:rPr>
        <w:t xml:space="preserve"> </w:t>
      </w:r>
      <w:r w:rsidRPr="000A66A1">
        <w:rPr>
          <w:rFonts w:asciiTheme="minorHAnsi" w:hAnsiTheme="minorHAnsi"/>
        </w:rPr>
        <w:t>If D intentionally plans then stabs his wife 18 times resulting in her death, he would be charged and most likely convicted of murder.</w:t>
      </w:r>
    </w:p>
    <w:p w14:paraId="640FB389" w14:textId="3D4C076C" w:rsidR="00975786" w:rsidRPr="000A66A1" w:rsidRDefault="00836A31" w:rsidP="000A66A1">
      <w:pPr>
        <w:spacing w:line="360" w:lineRule="auto"/>
        <w:ind w:firstLine="720"/>
        <w:jc w:val="both"/>
        <w:rPr>
          <w:rFonts w:asciiTheme="minorHAnsi" w:hAnsiTheme="minorHAnsi"/>
        </w:rPr>
      </w:pPr>
      <w:r w:rsidRPr="000A66A1">
        <w:rPr>
          <w:rFonts w:asciiTheme="minorHAnsi" w:hAnsiTheme="minorHAnsi"/>
          <w:b/>
        </w:rPr>
        <w:t xml:space="preserve">Example </w:t>
      </w:r>
      <w:r w:rsidR="002D5F7D" w:rsidRPr="000A66A1">
        <w:rPr>
          <w:rFonts w:asciiTheme="minorHAnsi" w:hAnsiTheme="minorHAnsi"/>
          <w:b/>
        </w:rPr>
        <w:t>2B</w:t>
      </w:r>
      <w:r w:rsidRPr="000A66A1">
        <w:rPr>
          <w:rFonts w:asciiTheme="minorHAnsi" w:hAnsiTheme="minorHAnsi"/>
        </w:rPr>
        <w:t xml:space="preserve"> – If D stabs a stranger at a party </w:t>
      </w:r>
      <w:r w:rsidR="008873A2" w:rsidRPr="000A66A1">
        <w:rPr>
          <w:rFonts w:asciiTheme="minorHAnsi" w:hAnsiTheme="minorHAnsi"/>
        </w:rPr>
        <w:t xml:space="preserve">resulting in his death </w:t>
      </w:r>
      <w:r w:rsidRPr="000A66A1">
        <w:rPr>
          <w:rFonts w:asciiTheme="minorHAnsi" w:hAnsiTheme="minorHAnsi"/>
        </w:rPr>
        <w:t xml:space="preserve">because </w:t>
      </w:r>
      <w:r w:rsidR="00205D38" w:rsidRPr="000A66A1">
        <w:rPr>
          <w:rFonts w:asciiTheme="minorHAnsi" w:hAnsiTheme="minorHAnsi"/>
        </w:rPr>
        <w:t xml:space="preserve">he believed </w:t>
      </w:r>
      <w:r w:rsidRPr="000A66A1">
        <w:rPr>
          <w:rFonts w:asciiTheme="minorHAnsi" w:hAnsiTheme="minorHAnsi"/>
        </w:rPr>
        <w:t xml:space="preserve">he was </w:t>
      </w:r>
      <w:r w:rsidR="008873A2" w:rsidRPr="000A66A1">
        <w:rPr>
          <w:rFonts w:asciiTheme="minorHAnsi" w:hAnsiTheme="minorHAnsi"/>
        </w:rPr>
        <w:t>stabbing a pillow due to voluntary intoxication</w:t>
      </w:r>
      <w:r w:rsidR="00205D38" w:rsidRPr="000A66A1">
        <w:rPr>
          <w:rFonts w:asciiTheme="minorHAnsi" w:hAnsiTheme="minorHAnsi"/>
        </w:rPr>
        <w:t xml:space="preserve"> - </w:t>
      </w:r>
      <w:r w:rsidR="008873A2" w:rsidRPr="000A66A1">
        <w:rPr>
          <w:rFonts w:asciiTheme="minorHAnsi" w:hAnsiTheme="minorHAnsi"/>
        </w:rPr>
        <w:t>it is likely that he would not be charged and convicted of murder. If courts were to take an absolutist approach to specific intent crimes, then it is likely that D would be charged with murder</w:t>
      </w:r>
      <w:r w:rsidR="00205D38" w:rsidRPr="000A66A1">
        <w:rPr>
          <w:rFonts w:asciiTheme="minorHAnsi" w:hAnsiTheme="minorHAnsi"/>
        </w:rPr>
        <w:t xml:space="preserve">. This is since </w:t>
      </w:r>
      <w:r w:rsidR="008873A2" w:rsidRPr="000A66A1">
        <w:rPr>
          <w:rFonts w:asciiTheme="minorHAnsi" w:hAnsiTheme="minorHAnsi"/>
        </w:rPr>
        <w:t>only the result of the crime would be taken into account rather than the actual mens rea</w:t>
      </w:r>
      <w:r w:rsidR="004E53D9" w:rsidRPr="000A66A1">
        <w:rPr>
          <w:rFonts w:asciiTheme="minorHAnsi" w:hAnsiTheme="minorHAnsi"/>
        </w:rPr>
        <w:t xml:space="preserve"> as well as other circumstances</w:t>
      </w:r>
      <w:r w:rsidR="008873A2" w:rsidRPr="000A66A1">
        <w:rPr>
          <w:rFonts w:asciiTheme="minorHAnsi" w:hAnsiTheme="minorHAnsi"/>
        </w:rPr>
        <w:t>.</w:t>
      </w:r>
    </w:p>
    <w:p w14:paraId="70BE61A6" w14:textId="77777777" w:rsidR="00E94C4E" w:rsidRPr="000A66A1" w:rsidRDefault="00E94C4E" w:rsidP="000A66A1">
      <w:pPr>
        <w:spacing w:line="360" w:lineRule="auto"/>
        <w:ind w:firstLine="720"/>
        <w:jc w:val="both"/>
        <w:rPr>
          <w:rFonts w:asciiTheme="minorHAnsi" w:hAnsiTheme="minorHAnsi"/>
        </w:rPr>
      </w:pPr>
    </w:p>
    <w:p w14:paraId="1D5A2341" w14:textId="1025F87F" w:rsidR="00C3248A" w:rsidRPr="000A66A1" w:rsidRDefault="00C3248A" w:rsidP="000A66A1">
      <w:pPr>
        <w:spacing w:line="360" w:lineRule="auto"/>
        <w:jc w:val="both"/>
        <w:rPr>
          <w:rFonts w:asciiTheme="minorHAnsi" w:hAnsiTheme="minorHAnsi"/>
        </w:rPr>
      </w:pPr>
      <w:r w:rsidRPr="000A66A1">
        <w:rPr>
          <w:rFonts w:asciiTheme="minorHAnsi" w:hAnsiTheme="minorHAnsi"/>
        </w:rPr>
        <w:t>There would be a huge mismatch in moral culpability if the absolutist approach were to be used in specific intent offences, namely the more serious of offences</w:t>
      </w:r>
      <w:r w:rsidRPr="000A66A1">
        <w:rPr>
          <w:rStyle w:val="FootnoteReference"/>
          <w:rFonts w:asciiTheme="minorHAnsi" w:hAnsiTheme="minorHAnsi"/>
        </w:rPr>
        <w:footnoteReference w:id="126"/>
      </w:r>
      <w:r w:rsidR="00205D38" w:rsidRPr="000A66A1">
        <w:rPr>
          <w:rFonts w:asciiTheme="minorHAnsi" w:hAnsiTheme="minorHAnsi"/>
        </w:rPr>
        <w:t>.</w:t>
      </w:r>
      <w:r w:rsidRPr="000A66A1">
        <w:rPr>
          <w:rFonts w:asciiTheme="minorHAnsi" w:hAnsiTheme="minorHAnsi"/>
        </w:rPr>
        <w:t xml:space="preserve"> </w:t>
      </w:r>
      <w:r w:rsidR="008873A2" w:rsidRPr="000A66A1">
        <w:rPr>
          <w:rFonts w:asciiTheme="minorHAnsi" w:hAnsiTheme="minorHAnsi"/>
        </w:rPr>
        <w:t xml:space="preserve">Clearly, the moral culpability in these two examples </w:t>
      </w:r>
      <w:r w:rsidR="00755534" w:rsidRPr="000A66A1">
        <w:rPr>
          <w:rFonts w:asciiTheme="minorHAnsi" w:hAnsiTheme="minorHAnsi"/>
        </w:rPr>
        <w:t>is</w:t>
      </w:r>
      <w:r w:rsidR="008873A2" w:rsidRPr="000A66A1">
        <w:rPr>
          <w:rFonts w:asciiTheme="minorHAnsi" w:hAnsiTheme="minorHAnsi"/>
        </w:rPr>
        <w:t xml:space="preserve"> very different from each other. Due to the fact in cases of murder, a mandatory life sentence is given in all cases where partial defences are not used, both offenders in examples </w:t>
      </w:r>
      <w:r w:rsidR="002D5F7D" w:rsidRPr="000A66A1">
        <w:rPr>
          <w:rFonts w:asciiTheme="minorHAnsi" w:hAnsiTheme="minorHAnsi"/>
          <w:b/>
        </w:rPr>
        <w:t>2A</w:t>
      </w:r>
      <w:r w:rsidR="008873A2" w:rsidRPr="000A66A1">
        <w:rPr>
          <w:rFonts w:asciiTheme="minorHAnsi" w:hAnsiTheme="minorHAnsi"/>
        </w:rPr>
        <w:t xml:space="preserve"> and </w:t>
      </w:r>
      <w:r w:rsidR="002D5F7D" w:rsidRPr="000A66A1">
        <w:rPr>
          <w:rFonts w:asciiTheme="minorHAnsi" w:hAnsiTheme="minorHAnsi"/>
          <w:b/>
        </w:rPr>
        <w:t>2B</w:t>
      </w:r>
      <w:r w:rsidR="008873A2" w:rsidRPr="000A66A1">
        <w:rPr>
          <w:rFonts w:asciiTheme="minorHAnsi" w:hAnsiTheme="minorHAnsi"/>
        </w:rPr>
        <w:t xml:space="preserve"> would be given the same sentence. Taking the absolutist approach in relation to specific intent offences would encourage huge disproportionate sentenc</w:t>
      </w:r>
      <w:r w:rsidR="004E53D9" w:rsidRPr="000A66A1">
        <w:rPr>
          <w:rFonts w:asciiTheme="minorHAnsi" w:hAnsiTheme="minorHAnsi"/>
        </w:rPr>
        <w:t xml:space="preserve">ing </w:t>
      </w:r>
      <w:r w:rsidR="008873A2" w:rsidRPr="000A66A1">
        <w:rPr>
          <w:rFonts w:asciiTheme="minorHAnsi" w:hAnsiTheme="minorHAnsi"/>
        </w:rPr>
        <w:t>and label</w:t>
      </w:r>
      <w:r w:rsidR="004E53D9" w:rsidRPr="000A66A1">
        <w:rPr>
          <w:rFonts w:asciiTheme="minorHAnsi" w:hAnsiTheme="minorHAnsi"/>
        </w:rPr>
        <w:t>ling</w:t>
      </w:r>
      <w:r w:rsidR="008873A2" w:rsidRPr="000A66A1">
        <w:rPr>
          <w:rFonts w:asciiTheme="minorHAnsi" w:hAnsiTheme="minorHAnsi"/>
        </w:rPr>
        <w:t xml:space="preserve"> for intoxicated offenders compared to sober offenders.</w:t>
      </w:r>
    </w:p>
    <w:p w14:paraId="26073654" w14:textId="77777777" w:rsidR="00C3248A" w:rsidRPr="000A66A1" w:rsidRDefault="00C3248A" w:rsidP="000A66A1">
      <w:pPr>
        <w:spacing w:line="360" w:lineRule="auto"/>
        <w:jc w:val="both"/>
        <w:rPr>
          <w:rFonts w:asciiTheme="minorHAnsi" w:hAnsiTheme="minorHAnsi"/>
        </w:rPr>
      </w:pPr>
    </w:p>
    <w:p w14:paraId="7DBBF374" w14:textId="1BE38E8F" w:rsidR="00C3248A" w:rsidRPr="000A66A1" w:rsidRDefault="00C3248A" w:rsidP="000A66A1">
      <w:pPr>
        <w:spacing w:line="360" w:lineRule="auto"/>
        <w:jc w:val="both"/>
        <w:rPr>
          <w:rFonts w:asciiTheme="minorHAnsi" w:hAnsiTheme="minorHAnsi"/>
        </w:rPr>
      </w:pPr>
      <w:r w:rsidRPr="000A66A1">
        <w:rPr>
          <w:rFonts w:asciiTheme="minorHAnsi" w:hAnsiTheme="minorHAnsi"/>
        </w:rPr>
        <w:t xml:space="preserve">Even though this approach would encourage the importance of public safety, it would also encourage unfair charges brought against </w:t>
      </w:r>
      <w:r w:rsidR="007B1B92" w:rsidRPr="000A66A1">
        <w:rPr>
          <w:rFonts w:asciiTheme="minorHAnsi" w:hAnsiTheme="minorHAnsi"/>
        </w:rPr>
        <w:t>offenders</w:t>
      </w:r>
      <w:r w:rsidRPr="000A66A1">
        <w:rPr>
          <w:rFonts w:asciiTheme="minorHAnsi" w:hAnsiTheme="minorHAnsi"/>
        </w:rPr>
        <w:t xml:space="preserve">. There would be </w:t>
      </w:r>
      <w:r w:rsidR="007B1B92" w:rsidRPr="000A66A1">
        <w:rPr>
          <w:rFonts w:asciiTheme="minorHAnsi" w:hAnsiTheme="minorHAnsi"/>
        </w:rPr>
        <w:t xml:space="preserve">a </w:t>
      </w:r>
      <w:r w:rsidRPr="000A66A1">
        <w:rPr>
          <w:rFonts w:asciiTheme="minorHAnsi" w:hAnsiTheme="minorHAnsi"/>
        </w:rPr>
        <w:t>huge gap between the moral culpability of committing a murder and the moral culpability of becoming intoxicated. However, just because this approach would be unfair to impose on specific intent crimes, there are advantages to using it for basic intent crimes.</w:t>
      </w:r>
      <w:r w:rsidR="00205D38" w:rsidRPr="000A66A1">
        <w:rPr>
          <w:rFonts w:asciiTheme="minorHAnsi" w:hAnsiTheme="minorHAnsi"/>
        </w:rPr>
        <w:t xml:space="preserve"> </w:t>
      </w:r>
    </w:p>
    <w:p w14:paraId="2E779929" w14:textId="77777777" w:rsidR="00C3248A" w:rsidRPr="000A66A1" w:rsidRDefault="00C3248A" w:rsidP="000A66A1">
      <w:pPr>
        <w:spacing w:line="360" w:lineRule="auto"/>
        <w:jc w:val="both"/>
        <w:rPr>
          <w:rFonts w:asciiTheme="minorHAnsi" w:hAnsiTheme="minorHAnsi"/>
        </w:rPr>
      </w:pPr>
    </w:p>
    <w:p w14:paraId="282DBF72" w14:textId="0FD668E1" w:rsidR="00205D38" w:rsidRPr="000A66A1" w:rsidRDefault="00C3248A" w:rsidP="000A66A1">
      <w:pPr>
        <w:spacing w:line="360" w:lineRule="auto"/>
        <w:jc w:val="both"/>
        <w:rPr>
          <w:rFonts w:asciiTheme="minorHAnsi" w:hAnsiTheme="minorHAnsi"/>
        </w:rPr>
      </w:pPr>
      <w:r w:rsidRPr="000A66A1">
        <w:rPr>
          <w:rFonts w:asciiTheme="minorHAnsi" w:hAnsiTheme="minorHAnsi"/>
        </w:rPr>
        <w:lastRenderedPageBreak/>
        <w:t>The moral culpability of committing a basic intent crime could be similar to the moral culpability of becoming intoxicated. Lord Simon</w:t>
      </w:r>
      <w:r w:rsidR="00205D38" w:rsidRPr="000A66A1">
        <w:rPr>
          <w:rStyle w:val="FootnoteReference"/>
          <w:rFonts w:asciiTheme="minorHAnsi" w:hAnsiTheme="minorHAnsi"/>
        </w:rPr>
        <w:footnoteReference w:id="127"/>
      </w:r>
      <w:r w:rsidRPr="000A66A1">
        <w:rPr>
          <w:rFonts w:asciiTheme="minorHAnsi" w:hAnsiTheme="minorHAnsi"/>
        </w:rPr>
        <w:t xml:space="preserve"> </w:t>
      </w:r>
      <w:r w:rsidR="00205D38" w:rsidRPr="000A66A1">
        <w:rPr>
          <w:rFonts w:asciiTheme="minorHAnsi" w:hAnsiTheme="minorHAnsi"/>
        </w:rPr>
        <w:t xml:space="preserve"> held:</w:t>
      </w:r>
    </w:p>
    <w:p w14:paraId="34D9EBA3" w14:textId="0DDE4097" w:rsidR="004937A1" w:rsidRPr="000A66A1" w:rsidRDefault="00205D38" w:rsidP="000A66A1">
      <w:pPr>
        <w:spacing w:line="360" w:lineRule="auto"/>
        <w:ind w:firstLine="720"/>
        <w:jc w:val="both"/>
        <w:rPr>
          <w:rFonts w:asciiTheme="minorHAnsi" w:hAnsiTheme="minorHAnsi"/>
        </w:rPr>
      </w:pPr>
      <w:r w:rsidRPr="000A66A1">
        <w:rPr>
          <w:rFonts w:asciiTheme="minorHAnsi" w:hAnsiTheme="minorHAnsi"/>
        </w:rPr>
        <w:t>‘</w:t>
      </w:r>
      <w:r w:rsidRPr="000A66A1">
        <w:rPr>
          <w:rFonts w:asciiTheme="minorHAnsi" w:hAnsiTheme="minorHAnsi"/>
          <w:i/>
        </w:rPr>
        <w:t>A</w:t>
      </w:r>
      <w:r w:rsidR="00C3248A" w:rsidRPr="000A66A1">
        <w:rPr>
          <w:rFonts w:asciiTheme="minorHAnsi" w:hAnsiTheme="minorHAnsi"/>
          <w:i/>
        </w:rPr>
        <w:t xml:space="preserve"> mind rendered self-inducedly insensible through drink or drugs, to the nature of a prohibited act or to its probable consequence is as wrongful a mind as one which consciously contemplates the prohibited act and foresaw it’s probable consequence</w:t>
      </w:r>
      <w:r w:rsidRPr="000A66A1">
        <w:rPr>
          <w:rFonts w:asciiTheme="minorHAnsi" w:hAnsiTheme="minorHAnsi"/>
          <w:i/>
        </w:rPr>
        <w:t>’</w:t>
      </w:r>
      <w:r w:rsidR="00C3248A" w:rsidRPr="000A66A1">
        <w:rPr>
          <w:rStyle w:val="FootnoteReference"/>
          <w:rFonts w:asciiTheme="minorHAnsi" w:hAnsiTheme="minorHAnsi"/>
        </w:rPr>
        <w:footnoteReference w:id="128"/>
      </w:r>
      <w:r w:rsidRPr="000A66A1">
        <w:rPr>
          <w:rFonts w:asciiTheme="minorHAnsi" w:hAnsiTheme="minorHAnsi"/>
        </w:rPr>
        <w:t>.</w:t>
      </w:r>
      <w:r w:rsidR="00C3248A" w:rsidRPr="000A66A1">
        <w:rPr>
          <w:rFonts w:asciiTheme="minorHAnsi" w:hAnsiTheme="minorHAnsi"/>
        </w:rPr>
        <w:t xml:space="preserve"> </w:t>
      </w:r>
      <w:r w:rsidRPr="000A66A1">
        <w:rPr>
          <w:rFonts w:asciiTheme="minorHAnsi" w:hAnsiTheme="minorHAnsi"/>
        </w:rPr>
        <w:t>This suggests that</w:t>
      </w:r>
      <w:r w:rsidR="00EE34B4" w:rsidRPr="000A66A1">
        <w:rPr>
          <w:rFonts w:asciiTheme="minorHAnsi" w:hAnsiTheme="minorHAnsi"/>
        </w:rPr>
        <w:t xml:space="preserve"> </w:t>
      </w:r>
      <w:r w:rsidRPr="000A66A1">
        <w:rPr>
          <w:rFonts w:asciiTheme="minorHAnsi" w:hAnsiTheme="minorHAnsi"/>
        </w:rPr>
        <w:t>t</w:t>
      </w:r>
      <w:r w:rsidR="00C3248A" w:rsidRPr="000A66A1">
        <w:rPr>
          <w:rFonts w:asciiTheme="minorHAnsi" w:hAnsiTheme="minorHAnsi"/>
        </w:rPr>
        <w:t>he recklessness of becoming intoxicated is also similar to the recklessness required by offences like assault, battery and criminal damage. By knowing that there are links between intoxication and violent and reckless behaviours, it should prevent people from allowing themselves to voluntarily enter that state</w:t>
      </w:r>
      <w:r w:rsidR="00C3248A" w:rsidRPr="000A66A1">
        <w:rPr>
          <w:rStyle w:val="FootnoteReference"/>
          <w:rFonts w:asciiTheme="minorHAnsi" w:hAnsiTheme="minorHAnsi"/>
        </w:rPr>
        <w:footnoteReference w:id="129"/>
      </w:r>
      <w:r w:rsidRPr="000A66A1">
        <w:rPr>
          <w:rFonts w:asciiTheme="minorHAnsi" w:hAnsiTheme="minorHAnsi"/>
        </w:rPr>
        <w:t xml:space="preserve">. </w:t>
      </w:r>
    </w:p>
    <w:p w14:paraId="76781FA0" w14:textId="79623335" w:rsidR="00B7788C" w:rsidRPr="000A66A1" w:rsidRDefault="00B7788C" w:rsidP="000A66A1">
      <w:pPr>
        <w:spacing w:line="360" w:lineRule="auto"/>
        <w:jc w:val="both"/>
        <w:rPr>
          <w:rFonts w:asciiTheme="minorHAnsi" w:hAnsiTheme="minorHAnsi"/>
        </w:rPr>
      </w:pPr>
    </w:p>
    <w:p w14:paraId="0C361BB0" w14:textId="55DC0462" w:rsidR="00205D38" w:rsidRDefault="00B7788C" w:rsidP="000A66A1">
      <w:pPr>
        <w:spacing w:line="360" w:lineRule="auto"/>
        <w:jc w:val="both"/>
        <w:rPr>
          <w:rFonts w:asciiTheme="minorHAnsi" w:hAnsiTheme="minorHAnsi"/>
        </w:rPr>
      </w:pPr>
      <w:r w:rsidRPr="000A66A1">
        <w:rPr>
          <w:rFonts w:asciiTheme="minorHAnsi" w:hAnsiTheme="minorHAnsi"/>
        </w:rPr>
        <w:t>Even when it comes to prosecuting basic intent crimes, the foreseeability when sober is also taken into account. The approach is not entirely absolutist in nature</w:t>
      </w:r>
      <w:r w:rsidR="005B2565" w:rsidRPr="000A66A1">
        <w:rPr>
          <w:rFonts w:asciiTheme="minorHAnsi" w:hAnsiTheme="minorHAnsi"/>
        </w:rPr>
        <w:t>.</w:t>
      </w:r>
      <w:r w:rsidRPr="000A66A1">
        <w:rPr>
          <w:rFonts w:asciiTheme="minorHAnsi" w:hAnsiTheme="minorHAnsi"/>
        </w:rPr>
        <w:t xml:space="preserve"> It was shown in </w:t>
      </w:r>
      <w:r w:rsidRPr="000A66A1">
        <w:rPr>
          <w:rFonts w:asciiTheme="minorHAnsi" w:hAnsiTheme="minorHAnsi"/>
          <w:i/>
        </w:rPr>
        <w:t>Richardson</w:t>
      </w:r>
      <w:r w:rsidR="00205D38" w:rsidRPr="000A66A1">
        <w:rPr>
          <w:rStyle w:val="FootnoteReference"/>
          <w:rFonts w:asciiTheme="minorHAnsi" w:hAnsiTheme="minorHAnsi"/>
          <w:i/>
        </w:rPr>
        <w:footnoteReference w:id="130"/>
      </w:r>
      <w:r w:rsidRPr="000A66A1">
        <w:rPr>
          <w:rFonts w:asciiTheme="minorHAnsi" w:hAnsiTheme="minorHAnsi"/>
        </w:rPr>
        <w:t xml:space="preserve"> that </w:t>
      </w:r>
      <w:r w:rsidR="005B2565" w:rsidRPr="000A66A1">
        <w:rPr>
          <w:rFonts w:asciiTheme="minorHAnsi" w:hAnsiTheme="minorHAnsi"/>
        </w:rPr>
        <w:t xml:space="preserve">foreseeability </w:t>
      </w:r>
      <w:r w:rsidRPr="000A66A1">
        <w:rPr>
          <w:rFonts w:asciiTheme="minorHAnsi" w:hAnsiTheme="minorHAnsi"/>
        </w:rPr>
        <w:t>will be considered</w:t>
      </w:r>
      <w:r w:rsidR="00205D38" w:rsidRPr="000A66A1">
        <w:rPr>
          <w:rFonts w:asciiTheme="minorHAnsi" w:hAnsiTheme="minorHAnsi"/>
        </w:rPr>
        <w:t>.</w:t>
      </w:r>
      <w:r w:rsidRPr="000A66A1">
        <w:rPr>
          <w:rFonts w:asciiTheme="minorHAnsi" w:hAnsiTheme="minorHAnsi"/>
        </w:rPr>
        <w:t xml:space="preserve"> </w:t>
      </w:r>
      <w:r w:rsidR="00205D38" w:rsidRPr="000A66A1">
        <w:rPr>
          <w:rFonts w:asciiTheme="minorHAnsi" w:hAnsiTheme="minorHAnsi"/>
        </w:rPr>
        <w:t>It</w:t>
      </w:r>
      <w:r w:rsidRPr="000A66A1">
        <w:rPr>
          <w:rFonts w:asciiTheme="minorHAnsi" w:hAnsiTheme="minorHAnsi"/>
        </w:rPr>
        <w:t xml:space="preserve"> will</w:t>
      </w:r>
      <w:r w:rsidR="00BB3CDA" w:rsidRPr="000A66A1">
        <w:rPr>
          <w:rFonts w:asciiTheme="minorHAnsi" w:hAnsiTheme="minorHAnsi"/>
        </w:rPr>
        <w:t>,</w:t>
      </w:r>
      <w:r w:rsidRPr="000A66A1">
        <w:rPr>
          <w:rFonts w:asciiTheme="minorHAnsi" w:hAnsiTheme="minorHAnsi"/>
        </w:rPr>
        <w:t xml:space="preserve"> </w:t>
      </w:r>
      <w:r w:rsidR="00205D38" w:rsidRPr="000A66A1">
        <w:rPr>
          <w:rFonts w:asciiTheme="minorHAnsi" w:hAnsiTheme="minorHAnsi"/>
        </w:rPr>
        <w:t>however</w:t>
      </w:r>
      <w:r w:rsidR="00BB3CDA" w:rsidRPr="000A66A1">
        <w:rPr>
          <w:rFonts w:asciiTheme="minorHAnsi" w:hAnsiTheme="minorHAnsi"/>
        </w:rPr>
        <w:t>,</w:t>
      </w:r>
      <w:r w:rsidR="00205D38" w:rsidRPr="000A66A1">
        <w:rPr>
          <w:rFonts w:asciiTheme="minorHAnsi" w:hAnsiTheme="minorHAnsi"/>
        </w:rPr>
        <w:t xml:space="preserve"> </w:t>
      </w:r>
      <w:r w:rsidRPr="000A66A1">
        <w:rPr>
          <w:rFonts w:asciiTheme="minorHAnsi" w:hAnsiTheme="minorHAnsi"/>
        </w:rPr>
        <w:t xml:space="preserve">be decided on a case-by-case basis. Lord </w:t>
      </w:r>
      <w:proofErr w:type="spellStart"/>
      <w:r w:rsidRPr="000A66A1">
        <w:rPr>
          <w:rFonts w:asciiTheme="minorHAnsi" w:hAnsiTheme="minorHAnsi"/>
        </w:rPr>
        <w:t>Elwyn</w:t>
      </w:r>
      <w:proofErr w:type="spellEnd"/>
      <w:r w:rsidRPr="000A66A1">
        <w:rPr>
          <w:rFonts w:asciiTheme="minorHAnsi" w:hAnsiTheme="minorHAnsi"/>
        </w:rPr>
        <w:t>-Jones</w:t>
      </w:r>
      <w:r w:rsidR="00205D38" w:rsidRPr="000A66A1">
        <w:rPr>
          <w:rStyle w:val="FootnoteReference"/>
          <w:rFonts w:asciiTheme="minorHAnsi" w:hAnsiTheme="minorHAnsi"/>
        </w:rPr>
        <w:footnoteReference w:id="131"/>
      </w:r>
      <w:r w:rsidRPr="000A66A1">
        <w:rPr>
          <w:rFonts w:asciiTheme="minorHAnsi" w:hAnsiTheme="minorHAnsi"/>
        </w:rPr>
        <w:t xml:space="preserve"> proposed </w:t>
      </w:r>
      <w:r w:rsidR="00205D38" w:rsidRPr="000A66A1">
        <w:rPr>
          <w:rFonts w:asciiTheme="minorHAnsi" w:hAnsiTheme="minorHAnsi"/>
        </w:rPr>
        <w:t>the following:</w:t>
      </w:r>
    </w:p>
    <w:p w14:paraId="74A1006F" w14:textId="77777777" w:rsidR="000A66A1" w:rsidRPr="000A66A1" w:rsidRDefault="000A66A1" w:rsidP="000A66A1">
      <w:pPr>
        <w:spacing w:line="360" w:lineRule="auto"/>
        <w:jc w:val="both"/>
        <w:rPr>
          <w:rFonts w:asciiTheme="minorHAnsi" w:hAnsiTheme="minorHAnsi"/>
        </w:rPr>
      </w:pPr>
    </w:p>
    <w:p w14:paraId="11E2F985" w14:textId="5078BB42" w:rsidR="00205D38" w:rsidRDefault="00205D38" w:rsidP="000A66A1">
      <w:pPr>
        <w:spacing w:line="360" w:lineRule="auto"/>
        <w:ind w:firstLine="720"/>
        <w:jc w:val="both"/>
        <w:rPr>
          <w:rFonts w:asciiTheme="minorHAnsi" w:hAnsiTheme="minorHAnsi"/>
        </w:rPr>
      </w:pPr>
      <w:r w:rsidRPr="000A66A1">
        <w:rPr>
          <w:rFonts w:asciiTheme="minorHAnsi" w:hAnsiTheme="minorHAnsi"/>
          <w:i/>
        </w:rPr>
        <w:t>‘W</w:t>
      </w:r>
      <w:r w:rsidR="00B7788C" w:rsidRPr="000A66A1">
        <w:rPr>
          <w:rFonts w:asciiTheme="minorHAnsi" w:hAnsiTheme="minorHAnsi"/>
          <w:i/>
        </w:rPr>
        <w:t>hen recklessness establishes an element of the offence, if the actor, due to self-induced intoxication, is unaware of a risk of which he would have been aware had he been sober, such awareness is immaterial</w:t>
      </w:r>
      <w:r w:rsidRPr="000A66A1">
        <w:rPr>
          <w:rFonts w:asciiTheme="minorHAnsi" w:hAnsiTheme="minorHAnsi"/>
          <w:i/>
        </w:rPr>
        <w:t>’</w:t>
      </w:r>
      <w:r w:rsidR="00B7788C" w:rsidRPr="000A66A1">
        <w:rPr>
          <w:rStyle w:val="FootnoteReference"/>
          <w:rFonts w:asciiTheme="minorHAnsi" w:hAnsiTheme="minorHAnsi"/>
        </w:rPr>
        <w:footnoteReference w:id="132"/>
      </w:r>
      <w:r w:rsidRPr="000A66A1">
        <w:rPr>
          <w:rFonts w:asciiTheme="minorHAnsi" w:hAnsiTheme="minorHAnsi"/>
        </w:rPr>
        <w:t>.</w:t>
      </w:r>
    </w:p>
    <w:p w14:paraId="42B4BECD" w14:textId="77777777" w:rsidR="000A66A1" w:rsidRPr="000A66A1" w:rsidRDefault="000A66A1" w:rsidP="000A66A1">
      <w:pPr>
        <w:spacing w:line="360" w:lineRule="auto"/>
        <w:ind w:firstLine="720"/>
        <w:jc w:val="both"/>
        <w:rPr>
          <w:rFonts w:asciiTheme="minorHAnsi" w:hAnsiTheme="minorHAnsi"/>
        </w:rPr>
      </w:pPr>
    </w:p>
    <w:p w14:paraId="08E67C08" w14:textId="14D37461" w:rsidR="00B7788C" w:rsidRPr="000A66A1" w:rsidRDefault="00B7788C" w:rsidP="000A66A1">
      <w:pPr>
        <w:spacing w:line="360" w:lineRule="auto"/>
        <w:jc w:val="both"/>
        <w:rPr>
          <w:rFonts w:asciiTheme="minorHAnsi" w:hAnsiTheme="minorHAnsi"/>
        </w:rPr>
      </w:pPr>
      <w:r w:rsidRPr="000A66A1">
        <w:rPr>
          <w:rFonts w:asciiTheme="minorHAnsi" w:hAnsiTheme="minorHAnsi"/>
        </w:rPr>
        <w:t xml:space="preserve">This shows that although strict definitional logic is not used and should not be used for basic intent crimes, there is still an element of flexibility when </w:t>
      </w:r>
      <w:r w:rsidR="00205D38" w:rsidRPr="000A66A1">
        <w:rPr>
          <w:rFonts w:asciiTheme="minorHAnsi" w:hAnsiTheme="minorHAnsi"/>
        </w:rPr>
        <w:t>c</w:t>
      </w:r>
      <w:r w:rsidRPr="000A66A1">
        <w:rPr>
          <w:rFonts w:asciiTheme="minorHAnsi" w:hAnsiTheme="minorHAnsi"/>
        </w:rPr>
        <w:t xml:space="preserve">ourts decide on the fate of offenders. There is still the option to consider circumstances </w:t>
      </w:r>
      <w:r w:rsidR="00EE34B4" w:rsidRPr="000A66A1">
        <w:rPr>
          <w:rFonts w:asciiTheme="minorHAnsi" w:hAnsiTheme="minorHAnsi"/>
        </w:rPr>
        <w:t>of the offender</w:t>
      </w:r>
      <w:r w:rsidR="00205D38" w:rsidRPr="000A66A1">
        <w:rPr>
          <w:rFonts w:asciiTheme="minorHAnsi" w:hAnsiTheme="minorHAnsi"/>
        </w:rPr>
        <w:t xml:space="preserve"> </w:t>
      </w:r>
      <w:r w:rsidRPr="000A66A1">
        <w:rPr>
          <w:rFonts w:asciiTheme="minorHAnsi" w:hAnsiTheme="minorHAnsi"/>
        </w:rPr>
        <w:t xml:space="preserve">in order to </w:t>
      </w:r>
      <w:r w:rsidR="00EE34B4" w:rsidRPr="000A66A1">
        <w:rPr>
          <w:rFonts w:asciiTheme="minorHAnsi" w:hAnsiTheme="minorHAnsi"/>
        </w:rPr>
        <w:t>assess</w:t>
      </w:r>
      <w:r w:rsidR="006C7B67" w:rsidRPr="000A66A1">
        <w:rPr>
          <w:rFonts w:asciiTheme="minorHAnsi" w:hAnsiTheme="minorHAnsi"/>
        </w:rPr>
        <w:t xml:space="preserve"> the mentality when sober in order to allow</w:t>
      </w:r>
      <w:r w:rsidRPr="000A66A1">
        <w:rPr>
          <w:rFonts w:asciiTheme="minorHAnsi" w:hAnsiTheme="minorHAnsi"/>
        </w:rPr>
        <w:t xml:space="preserve"> just and fair sentences that mirror the culpability shown when committing the offence</w:t>
      </w:r>
      <w:r w:rsidR="002E1FF8" w:rsidRPr="000A66A1">
        <w:rPr>
          <w:rStyle w:val="FootnoteReference"/>
          <w:rFonts w:asciiTheme="minorHAnsi" w:hAnsiTheme="minorHAnsi"/>
        </w:rPr>
        <w:footnoteReference w:id="133"/>
      </w:r>
      <w:r w:rsidR="00205D38" w:rsidRPr="000A66A1">
        <w:rPr>
          <w:rFonts w:asciiTheme="minorHAnsi" w:hAnsiTheme="minorHAnsi"/>
        </w:rPr>
        <w:t xml:space="preserve">. </w:t>
      </w:r>
    </w:p>
    <w:p w14:paraId="2F100275" w14:textId="77777777" w:rsidR="00C3248A" w:rsidRPr="000A66A1" w:rsidRDefault="00C3248A" w:rsidP="000A66A1">
      <w:pPr>
        <w:spacing w:line="360" w:lineRule="auto"/>
        <w:jc w:val="both"/>
        <w:rPr>
          <w:rFonts w:asciiTheme="minorHAnsi" w:hAnsiTheme="minorHAnsi"/>
        </w:rPr>
      </w:pPr>
    </w:p>
    <w:p w14:paraId="71869162" w14:textId="77777777" w:rsidR="00205D38" w:rsidRPr="000A66A1" w:rsidRDefault="00C3248A" w:rsidP="000A66A1">
      <w:pPr>
        <w:spacing w:line="360" w:lineRule="auto"/>
        <w:jc w:val="both"/>
        <w:rPr>
          <w:rFonts w:asciiTheme="minorHAnsi" w:hAnsiTheme="minorHAnsi"/>
        </w:rPr>
      </w:pPr>
      <w:r w:rsidRPr="000A66A1">
        <w:rPr>
          <w:rFonts w:asciiTheme="minorHAnsi" w:hAnsiTheme="minorHAnsi"/>
        </w:rPr>
        <w:lastRenderedPageBreak/>
        <w:t>Lord Edmund-Davies</w:t>
      </w:r>
      <w:r w:rsidR="00205D38" w:rsidRPr="000A66A1">
        <w:rPr>
          <w:rStyle w:val="FootnoteReference"/>
          <w:rFonts w:asciiTheme="minorHAnsi" w:hAnsiTheme="minorHAnsi"/>
        </w:rPr>
        <w:footnoteReference w:id="134"/>
      </w:r>
      <w:r w:rsidRPr="000A66A1">
        <w:rPr>
          <w:rFonts w:asciiTheme="minorHAnsi" w:hAnsiTheme="minorHAnsi"/>
        </w:rPr>
        <w:t xml:space="preserve"> suggested that the current law on intoxication</w:t>
      </w:r>
      <w:r w:rsidR="00205D38" w:rsidRPr="000A66A1">
        <w:rPr>
          <w:rFonts w:asciiTheme="minorHAnsi" w:hAnsiTheme="minorHAnsi"/>
        </w:rPr>
        <w:t xml:space="preserve"> represents the following:</w:t>
      </w:r>
    </w:p>
    <w:p w14:paraId="4FCAD3BB" w14:textId="44764929" w:rsidR="00205D38" w:rsidRPr="000A66A1" w:rsidRDefault="00C3248A" w:rsidP="000A66A1">
      <w:pPr>
        <w:spacing w:line="360" w:lineRule="auto"/>
        <w:ind w:firstLine="720"/>
        <w:jc w:val="both"/>
        <w:rPr>
          <w:rFonts w:asciiTheme="minorHAnsi" w:hAnsiTheme="minorHAnsi"/>
        </w:rPr>
      </w:pPr>
      <w:r w:rsidRPr="000A66A1">
        <w:rPr>
          <w:rFonts w:asciiTheme="minorHAnsi" w:hAnsiTheme="minorHAnsi"/>
          <w:i/>
        </w:rPr>
        <w:t xml:space="preserve"> </w:t>
      </w:r>
      <w:r w:rsidR="00205D38" w:rsidRPr="000A66A1">
        <w:rPr>
          <w:rFonts w:asciiTheme="minorHAnsi" w:hAnsiTheme="minorHAnsi"/>
          <w:i/>
        </w:rPr>
        <w:t>‘A</w:t>
      </w:r>
      <w:r w:rsidRPr="000A66A1">
        <w:rPr>
          <w:rFonts w:asciiTheme="minorHAnsi" w:hAnsiTheme="minorHAnsi"/>
          <w:i/>
        </w:rPr>
        <w:t xml:space="preserve"> compromise between the imposition of inebriates in complete disregard of their condition, and the total exculpation required by the defendants actual state of mind at the time he committed the crime in issue</w:t>
      </w:r>
      <w:r w:rsidR="00205D38" w:rsidRPr="000A66A1">
        <w:rPr>
          <w:rFonts w:asciiTheme="minorHAnsi" w:hAnsiTheme="minorHAnsi"/>
          <w:i/>
        </w:rPr>
        <w:t>’</w:t>
      </w:r>
      <w:r w:rsidRPr="000A66A1">
        <w:rPr>
          <w:rStyle w:val="FootnoteReference"/>
          <w:rFonts w:asciiTheme="minorHAnsi" w:hAnsiTheme="minorHAnsi"/>
        </w:rPr>
        <w:footnoteReference w:id="135"/>
      </w:r>
      <w:r w:rsidR="00205D38" w:rsidRPr="000A66A1">
        <w:rPr>
          <w:rFonts w:asciiTheme="minorHAnsi" w:hAnsiTheme="minorHAnsi"/>
        </w:rPr>
        <w:t>.</w:t>
      </w:r>
    </w:p>
    <w:p w14:paraId="143B086A" w14:textId="1F692C29" w:rsidR="00C3248A" w:rsidRPr="000A66A1" w:rsidRDefault="00205D38" w:rsidP="000A66A1">
      <w:pPr>
        <w:spacing w:line="360" w:lineRule="auto"/>
        <w:jc w:val="both"/>
        <w:rPr>
          <w:rFonts w:asciiTheme="minorHAnsi" w:hAnsiTheme="minorHAnsi"/>
        </w:rPr>
      </w:pPr>
      <w:r w:rsidRPr="000A66A1">
        <w:rPr>
          <w:rFonts w:asciiTheme="minorHAnsi" w:hAnsiTheme="minorHAnsi"/>
        </w:rPr>
        <w:t>This suggests that t</w:t>
      </w:r>
      <w:r w:rsidR="00C3248A" w:rsidRPr="000A66A1">
        <w:rPr>
          <w:rFonts w:asciiTheme="minorHAnsi" w:hAnsiTheme="minorHAnsi"/>
        </w:rPr>
        <w:t>he current law works in a way that allows for a balancing act between strict subjectivism and an absolutist approach</w:t>
      </w:r>
      <w:r w:rsidR="002E1FF8" w:rsidRPr="000A66A1">
        <w:rPr>
          <w:rStyle w:val="FootnoteReference"/>
          <w:rFonts w:asciiTheme="minorHAnsi" w:hAnsiTheme="minorHAnsi"/>
        </w:rPr>
        <w:footnoteReference w:id="136"/>
      </w:r>
      <w:r w:rsidRPr="000A66A1">
        <w:rPr>
          <w:rFonts w:asciiTheme="minorHAnsi" w:hAnsiTheme="minorHAnsi"/>
        </w:rPr>
        <w:t>.</w:t>
      </w:r>
      <w:r w:rsidR="00C3248A" w:rsidRPr="000A66A1">
        <w:rPr>
          <w:rFonts w:asciiTheme="minorHAnsi" w:hAnsiTheme="minorHAnsi"/>
        </w:rPr>
        <w:t xml:space="preserve"> Interpreting specific intent crimes by using strict subjectivism allows for intoxication to be considered if no mens rea is present. This allows for intoxicated offenders to have their liability reduced due to the fact their moral culpability was not the same as a sober offender for the same crime. An absolutist view is used for basic intent crimes due to the moral culpability of becoming intoxicated being similar to the moral culpability of committing the crime. This compromise explains the theory behind the distinction between basic and specific intent. It </w:t>
      </w:r>
      <w:r w:rsidRPr="000A66A1">
        <w:rPr>
          <w:rFonts w:asciiTheme="minorHAnsi" w:hAnsiTheme="minorHAnsi"/>
        </w:rPr>
        <w:t xml:space="preserve">further </w:t>
      </w:r>
      <w:r w:rsidR="00C3248A" w:rsidRPr="000A66A1">
        <w:rPr>
          <w:rFonts w:asciiTheme="minorHAnsi" w:hAnsiTheme="minorHAnsi"/>
        </w:rPr>
        <w:t>explains the justification for the intoxication doctrine being used for basic intent crimes and not for specific intent crimes.</w:t>
      </w:r>
      <w:r w:rsidR="002E1FF8" w:rsidRPr="000A66A1">
        <w:rPr>
          <w:rFonts w:asciiTheme="minorHAnsi" w:hAnsiTheme="minorHAnsi"/>
        </w:rPr>
        <w:t xml:space="preserve"> Clearly this compromise works well for violent offences</w:t>
      </w:r>
      <w:r w:rsidR="006C7B67" w:rsidRPr="000A66A1">
        <w:rPr>
          <w:rFonts w:asciiTheme="minorHAnsi" w:hAnsiTheme="minorHAnsi"/>
        </w:rPr>
        <w:t xml:space="preserve"> as the prosecution can still attain some form of conviction</w:t>
      </w:r>
      <w:r w:rsidRPr="000A66A1">
        <w:rPr>
          <w:rFonts w:asciiTheme="minorHAnsi" w:hAnsiTheme="minorHAnsi"/>
        </w:rPr>
        <w:t>.</w:t>
      </w:r>
    </w:p>
    <w:p w14:paraId="21B4C5A6" w14:textId="2F0F2EE6" w:rsidR="00781918" w:rsidRPr="000A66A1" w:rsidRDefault="00781918" w:rsidP="000A66A1">
      <w:pPr>
        <w:spacing w:line="360" w:lineRule="auto"/>
        <w:jc w:val="both"/>
        <w:rPr>
          <w:rFonts w:asciiTheme="minorHAnsi" w:hAnsiTheme="minorHAnsi"/>
        </w:rPr>
      </w:pPr>
    </w:p>
    <w:p w14:paraId="4AB7DAD9" w14:textId="1B7510EE" w:rsidR="00205D38" w:rsidRPr="000A66A1" w:rsidRDefault="00781918" w:rsidP="000A66A1">
      <w:pPr>
        <w:spacing w:line="360" w:lineRule="auto"/>
        <w:jc w:val="both"/>
        <w:rPr>
          <w:rFonts w:asciiTheme="minorHAnsi" w:hAnsiTheme="minorHAnsi"/>
        </w:rPr>
      </w:pPr>
      <w:r w:rsidRPr="000A66A1">
        <w:rPr>
          <w:rFonts w:asciiTheme="minorHAnsi" w:hAnsiTheme="minorHAnsi"/>
        </w:rPr>
        <w:t xml:space="preserve">The </w:t>
      </w:r>
      <w:r w:rsidR="00205D38" w:rsidRPr="000A66A1">
        <w:rPr>
          <w:rFonts w:asciiTheme="minorHAnsi" w:hAnsiTheme="minorHAnsi"/>
        </w:rPr>
        <w:t>c</w:t>
      </w:r>
      <w:r w:rsidRPr="000A66A1">
        <w:rPr>
          <w:rFonts w:asciiTheme="minorHAnsi" w:hAnsiTheme="minorHAnsi"/>
        </w:rPr>
        <w:t>ourts have referenced three competing interests when deciding cases regarding intoxication</w:t>
      </w:r>
      <w:r w:rsidR="00205D38" w:rsidRPr="000A66A1">
        <w:rPr>
          <w:rFonts w:asciiTheme="minorHAnsi" w:hAnsiTheme="minorHAnsi"/>
        </w:rPr>
        <w:t>:</w:t>
      </w:r>
    </w:p>
    <w:p w14:paraId="76F436D7" w14:textId="0DEBCA95" w:rsidR="00205D38" w:rsidRPr="000A66A1" w:rsidRDefault="00781918" w:rsidP="000A66A1">
      <w:pPr>
        <w:pStyle w:val="ListParagraph"/>
        <w:numPr>
          <w:ilvl w:val="0"/>
          <w:numId w:val="4"/>
        </w:numPr>
        <w:spacing w:line="360" w:lineRule="auto"/>
        <w:jc w:val="both"/>
        <w:rPr>
          <w:rFonts w:asciiTheme="minorHAnsi" w:hAnsiTheme="minorHAnsi"/>
        </w:rPr>
      </w:pPr>
      <w:r w:rsidRPr="000A66A1">
        <w:rPr>
          <w:rFonts w:asciiTheme="minorHAnsi" w:hAnsiTheme="minorHAnsi"/>
        </w:rPr>
        <w:t xml:space="preserve"> </w:t>
      </w:r>
      <w:r w:rsidR="00205D38" w:rsidRPr="000A66A1">
        <w:rPr>
          <w:rFonts w:asciiTheme="minorHAnsi" w:hAnsiTheme="minorHAnsi"/>
        </w:rPr>
        <w:t>T</w:t>
      </w:r>
      <w:r w:rsidRPr="000A66A1">
        <w:rPr>
          <w:rFonts w:asciiTheme="minorHAnsi" w:hAnsiTheme="minorHAnsi"/>
        </w:rPr>
        <w:t>he need to label defendants correctly</w:t>
      </w:r>
      <w:r w:rsidR="00205D38" w:rsidRPr="000A66A1">
        <w:rPr>
          <w:rFonts w:asciiTheme="minorHAnsi" w:hAnsiTheme="minorHAnsi"/>
        </w:rPr>
        <w:t>;</w:t>
      </w:r>
    </w:p>
    <w:p w14:paraId="198B89BC" w14:textId="60CF60A1" w:rsidR="00205D38" w:rsidRPr="000A66A1" w:rsidRDefault="00205D38" w:rsidP="000A66A1">
      <w:pPr>
        <w:pStyle w:val="ListParagraph"/>
        <w:numPr>
          <w:ilvl w:val="0"/>
          <w:numId w:val="4"/>
        </w:numPr>
        <w:spacing w:line="360" w:lineRule="auto"/>
        <w:jc w:val="both"/>
        <w:rPr>
          <w:rFonts w:asciiTheme="minorHAnsi" w:hAnsiTheme="minorHAnsi"/>
        </w:rPr>
      </w:pPr>
      <w:r w:rsidRPr="000A66A1">
        <w:rPr>
          <w:rFonts w:asciiTheme="minorHAnsi" w:hAnsiTheme="minorHAnsi"/>
        </w:rPr>
        <w:t>T</w:t>
      </w:r>
      <w:r w:rsidR="00781918" w:rsidRPr="000A66A1">
        <w:rPr>
          <w:rFonts w:asciiTheme="minorHAnsi" w:hAnsiTheme="minorHAnsi"/>
        </w:rPr>
        <w:t>he need to respect the requirements of fault</w:t>
      </w:r>
      <w:r w:rsidRPr="000A66A1">
        <w:rPr>
          <w:rFonts w:asciiTheme="minorHAnsi" w:hAnsiTheme="minorHAnsi"/>
        </w:rPr>
        <w:t>;</w:t>
      </w:r>
      <w:r w:rsidR="00781918" w:rsidRPr="000A66A1">
        <w:rPr>
          <w:rFonts w:asciiTheme="minorHAnsi" w:hAnsiTheme="minorHAnsi"/>
        </w:rPr>
        <w:t xml:space="preserve"> and</w:t>
      </w:r>
    </w:p>
    <w:p w14:paraId="685BFA63" w14:textId="54C47064" w:rsidR="00205D38" w:rsidRDefault="00205D38" w:rsidP="000A66A1">
      <w:pPr>
        <w:pStyle w:val="ListParagraph"/>
        <w:numPr>
          <w:ilvl w:val="0"/>
          <w:numId w:val="4"/>
        </w:numPr>
        <w:spacing w:line="360" w:lineRule="auto"/>
        <w:jc w:val="both"/>
        <w:rPr>
          <w:rFonts w:asciiTheme="minorHAnsi" w:hAnsiTheme="minorHAnsi"/>
        </w:rPr>
      </w:pPr>
      <w:r w:rsidRPr="000A66A1">
        <w:rPr>
          <w:rFonts w:asciiTheme="minorHAnsi" w:hAnsiTheme="minorHAnsi"/>
        </w:rPr>
        <w:t>T</w:t>
      </w:r>
      <w:r w:rsidR="00781918" w:rsidRPr="000A66A1">
        <w:rPr>
          <w:rFonts w:asciiTheme="minorHAnsi" w:hAnsiTheme="minorHAnsi"/>
        </w:rPr>
        <w:t xml:space="preserve">he need to protect the public from drunken violence. </w:t>
      </w:r>
    </w:p>
    <w:p w14:paraId="0F188592" w14:textId="77777777" w:rsidR="000A66A1" w:rsidRPr="000A66A1" w:rsidRDefault="000A66A1" w:rsidP="000A66A1">
      <w:pPr>
        <w:pStyle w:val="ListParagraph"/>
        <w:spacing w:line="360" w:lineRule="auto"/>
        <w:jc w:val="both"/>
        <w:rPr>
          <w:rFonts w:asciiTheme="minorHAnsi" w:hAnsiTheme="minorHAnsi"/>
        </w:rPr>
      </w:pPr>
    </w:p>
    <w:p w14:paraId="44F57C1E" w14:textId="00122F60" w:rsidR="009924D6" w:rsidRPr="000A66A1" w:rsidRDefault="00781918" w:rsidP="000A66A1">
      <w:pPr>
        <w:spacing w:line="360" w:lineRule="auto"/>
        <w:jc w:val="both"/>
        <w:rPr>
          <w:rFonts w:asciiTheme="minorHAnsi" w:hAnsiTheme="minorHAnsi"/>
        </w:rPr>
      </w:pPr>
      <w:r w:rsidRPr="000A66A1">
        <w:rPr>
          <w:rFonts w:asciiTheme="minorHAnsi" w:hAnsiTheme="minorHAnsi"/>
        </w:rPr>
        <w:t xml:space="preserve">The Court of Appeal decided to strike the balance </w:t>
      </w:r>
      <w:r w:rsidR="003B42CB" w:rsidRPr="000A66A1">
        <w:rPr>
          <w:rFonts w:asciiTheme="minorHAnsi" w:hAnsiTheme="minorHAnsi"/>
        </w:rPr>
        <w:t xml:space="preserve">of </w:t>
      </w:r>
      <w:r w:rsidRPr="000A66A1">
        <w:rPr>
          <w:rFonts w:asciiTheme="minorHAnsi" w:hAnsiTheme="minorHAnsi"/>
        </w:rPr>
        <w:t>the three in favour of protecting the public</w:t>
      </w:r>
      <w:r w:rsidRPr="000A66A1">
        <w:rPr>
          <w:rStyle w:val="FootnoteReference"/>
          <w:rFonts w:asciiTheme="minorHAnsi" w:hAnsiTheme="minorHAnsi"/>
        </w:rPr>
        <w:footnoteReference w:id="137"/>
      </w:r>
      <w:r w:rsidR="00205D38" w:rsidRPr="000A66A1">
        <w:rPr>
          <w:rFonts w:asciiTheme="minorHAnsi" w:hAnsiTheme="minorHAnsi"/>
        </w:rPr>
        <w:t xml:space="preserve">. </w:t>
      </w:r>
      <w:r w:rsidR="009924D6" w:rsidRPr="000A66A1">
        <w:rPr>
          <w:rFonts w:asciiTheme="minorHAnsi" w:hAnsiTheme="minorHAnsi"/>
        </w:rPr>
        <w:t xml:space="preserve">The law must also ensure that the interests of the </w:t>
      </w:r>
      <w:r w:rsidR="00A30D29" w:rsidRPr="000A66A1">
        <w:rPr>
          <w:rFonts w:asciiTheme="minorHAnsi" w:hAnsiTheme="minorHAnsi"/>
        </w:rPr>
        <w:t xml:space="preserve">accused are protected when it comes to sentencing. The judge and magistrates will </w:t>
      </w:r>
      <w:r w:rsidR="00205D38" w:rsidRPr="000A66A1">
        <w:rPr>
          <w:rFonts w:asciiTheme="minorHAnsi" w:hAnsiTheme="minorHAnsi"/>
        </w:rPr>
        <w:t>‘</w:t>
      </w:r>
      <w:r w:rsidR="00A30D29" w:rsidRPr="000A66A1">
        <w:rPr>
          <w:rFonts w:asciiTheme="minorHAnsi" w:hAnsiTheme="minorHAnsi"/>
        </w:rPr>
        <w:t xml:space="preserve">always carefully take into account all the circumstances… before deciding which of the </w:t>
      </w:r>
      <w:r w:rsidR="00A30D29" w:rsidRPr="000A66A1">
        <w:rPr>
          <w:rFonts w:asciiTheme="minorHAnsi" w:hAnsiTheme="minorHAnsi"/>
        </w:rPr>
        <w:lastRenderedPageBreak/>
        <w:t>many courses open should be adopted</w:t>
      </w:r>
      <w:r w:rsidR="00205D38" w:rsidRPr="000A66A1">
        <w:rPr>
          <w:rFonts w:asciiTheme="minorHAnsi" w:hAnsiTheme="minorHAnsi"/>
        </w:rPr>
        <w:t>’</w:t>
      </w:r>
      <w:r w:rsidR="00A30D29" w:rsidRPr="000A66A1">
        <w:rPr>
          <w:rStyle w:val="FootnoteReference"/>
          <w:rFonts w:asciiTheme="minorHAnsi" w:hAnsiTheme="minorHAnsi"/>
        </w:rPr>
        <w:footnoteReference w:id="138"/>
      </w:r>
      <w:r w:rsidR="00205D38" w:rsidRPr="000A66A1">
        <w:rPr>
          <w:rFonts w:asciiTheme="minorHAnsi" w:hAnsiTheme="minorHAnsi"/>
        </w:rPr>
        <w:t>.</w:t>
      </w:r>
      <w:r w:rsidR="00A30D29" w:rsidRPr="000A66A1">
        <w:rPr>
          <w:rFonts w:asciiTheme="minorHAnsi" w:hAnsiTheme="minorHAnsi"/>
        </w:rPr>
        <w:t xml:space="preserve"> </w:t>
      </w:r>
      <w:r w:rsidR="00CE5518" w:rsidRPr="000A66A1">
        <w:rPr>
          <w:rFonts w:asciiTheme="minorHAnsi" w:hAnsiTheme="minorHAnsi"/>
        </w:rPr>
        <w:t xml:space="preserve">This </w:t>
      </w:r>
      <w:r w:rsidR="00205D38" w:rsidRPr="000A66A1">
        <w:rPr>
          <w:rFonts w:asciiTheme="minorHAnsi" w:hAnsiTheme="minorHAnsi"/>
        </w:rPr>
        <w:t xml:space="preserve">is evidence </w:t>
      </w:r>
      <w:r w:rsidR="00CE5518" w:rsidRPr="000A66A1">
        <w:rPr>
          <w:rFonts w:asciiTheme="minorHAnsi" w:hAnsiTheme="minorHAnsi"/>
        </w:rPr>
        <w:t>that not only public safety is considered</w:t>
      </w:r>
      <w:r w:rsidR="00620215" w:rsidRPr="000A66A1">
        <w:rPr>
          <w:rFonts w:asciiTheme="minorHAnsi" w:hAnsiTheme="minorHAnsi"/>
        </w:rPr>
        <w:t>,</w:t>
      </w:r>
      <w:r w:rsidR="00205D38" w:rsidRPr="000A66A1">
        <w:rPr>
          <w:rFonts w:asciiTheme="minorHAnsi" w:hAnsiTheme="minorHAnsi"/>
        </w:rPr>
        <w:t xml:space="preserve"> but</w:t>
      </w:r>
      <w:r w:rsidR="00CE5518" w:rsidRPr="000A66A1">
        <w:rPr>
          <w:rFonts w:asciiTheme="minorHAnsi" w:hAnsiTheme="minorHAnsi"/>
        </w:rPr>
        <w:t xml:space="preserve"> fairness and rehabilitation of offenders is considered too.</w:t>
      </w:r>
      <w:r w:rsidR="00205D38" w:rsidRPr="000A66A1">
        <w:rPr>
          <w:rFonts w:asciiTheme="minorHAnsi" w:hAnsiTheme="minorHAnsi"/>
        </w:rPr>
        <w:t xml:space="preserve"> </w:t>
      </w:r>
    </w:p>
    <w:p w14:paraId="7FDB65F4" w14:textId="0F38EC28" w:rsidR="00ED0E32" w:rsidRDefault="00ED0E32" w:rsidP="000A66A1">
      <w:pPr>
        <w:spacing w:line="360" w:lineRule="auto"/>
        <w:jc w:val="both"/>
        <w:rPr>
          <w:rFonts w:asciiTheme="minorHAnsi" w:hAnsiTheme="minorHAnsi"/>
        </w:rPr>
      </w:pPr>
    </w:p>
    <w:p w14:paraId="15C870A2" w14:textId="779BE13E" w:rsidR="000A66A1" w:rsidRDefault="000A66A1" w:rsidP="000A66A1">
      <w:pPr>
        <w:spacing w:line="360" w:lineRule="auto"/>
        <w:jc w:val="both"/>
        <w:rPr>
          <w:rFonts w:asciiTheme="minorHAnsi" w:hAnsiTheme="minorHAnsi"/>
        </w:rPr>
      </w:pPr>
    </w:p>
    <w:p w14:paraId="321CF273" w14:textId="6A8A8D19" w:rsidR="000A66A1" w:rsidRDefault="000A66A1" w:rsidP="000A66A1">
      <w:pPr>
        <w:spacing w:line="360" w:lineRule="auto"/>
        <w:jc w:val="both"/>
        <w:rPr>
          <w:rFonts w:asciiTheme="minorHAnsi" w:hAnsiTheme="minorHAnsi"/>
        </w:rPr>
      </w:pPr>
    </w:p>
    <w:p w14:paraId="6053EB05" w14:textId="2DEEE67B" w:rsidR="000A66A1" w:rsidRDefault="000A66A1" w:rsidP="000A66A1">
      <w:pPr>
        <w:spacing w:line="360" w:lineRule="auto"/>
        <w:jc w:val="both"/>
        <w:rPr>
          <w:rFonts w:asciiTheme="minorHAnsi" w:hAnsiTheme="minorHAnsi"/>
        </w:rPr>
      </w:pPr>
    </w:p>
    <w:p w14:paraId="410CBB66" w14:textId="7971ACE5" w:rsidR="000A66A1" w:rsidRDefault="000A66A1" w:rsidP="000A66A1">
      <w:pPr>
        <w:spacing w:line="360" w:lineRule="auto"/>
        <w:jc w:val="both"/>
        <w:rPr>
          <w:rFonts w:asciiTheme="minorHAnsi" w:hAnsiTheme="minorHAnsi"/>
        </w:rPr>
      </w:pPr>
    </w:p>
    <w:p w14:paraId="1902C54E" w14:textId="216E38BD" w:rsidR="000A66A1" w:rsidRDefault="000A66A1" w:rsidP="000A66A1">
      <w:pPr>
        <w:spacing w:line="360" w:lineRule="auto"/>
        <w:jc w:val="both"/>
        <w:rPr>
          <w:rFonts w:asciiTheme="minorHAnsi" w:hAnsiTheme="minorHAnsi"/>
        </w:rPr>
      </w:pPr>
    </w:p>
    <w:p w14:paraId="1C83603D" w14:textId="33ADDA89" w:rsidR="000A66A1" w:rsidRDefault="000A66A1" w:rsidP="000A66A1">
      <w:pPr>
        <w:spacing w:line="360" w:lineRule="auto"/>
        <w:jc w:val="both"/>
        <w:rPr>
          <w:rFonts w:asciiTheme="minorHAnsi" w:hAnsiTheme="minorHAnsi"/>
        </w:rPr>
      </w:pPr>
    </w:p>
    <w:p w14:paraId="2FA59C00" w14:textId="6FDF915B" w:rsidR="000A66A1" w:rsidRDefault="000A66A1" w:rsidP="000A66A1">
      <w:pPr>
        <w:spacing w:line="360" w:lineRule="auto"/>
        <w:jc w:val="both"/>
        <w:rPr>
          <w:rFonts w:asciiTheme="minorHAnsi" w:hAnsiTheme="minorHAnsi"/>
        </w:rPr>
      </w:pPr>
    </w:p>
    <w:p w14:paraId="6ED8379B" w14:textId="1908AD65" w:rsidR="000A66A1" w:rsidRDefault="000A66A1" w:rsidP="000A66A1">
      <w:pPr>
        <w:spacing w:line="360" w:lineRule="auto"/>
        <w:jc w:val="both"/>
        <w:rPr>
          <w:rFonts w:asciiTheme="minorHAnsi" w:hAnsiTheme="minorHAnsi"/>
        </w:rPr>
      </w:pPr>
    </w:p>
    <w:p w14:paraId="7CF0BF6C" w14:textId="16AAFC78" w:rsidR="000A66A1" w:rsidRDefault="000A66A1" w:rsidP="000A66A1">
      <w:pPr>
        <w:spacing w:line="360" w:lineRule="auto"/>
        <w:jc w:val="both"/>
        <w:rPr>
          <w:rFonts w:asciiTheme="minorHAnsi" w:hAnsiTheme="minorHAnsi"/>
        </w:rPr>
      </w:pPr>
    </w:p>
    <w:p w14:paraId="38A43620" w14:textId="5700CA1E" w:rsidR="000A66A1" w:rsidRDefault="000A66A1" w:rsidP="000A66A1">
      <w:pPr>
        <w:spacing w:line="360" w:lineRule="auto"/>
        <w:jc w:val="both"/>
        <w:rPr>
          <w:rFonts w:asciiTheme="minorHAnsi" w:hAnsiTheme="minorHAnsi"/>
        </w:rPr>
      </w:pPr>
    </w:p>
    <w:p w14:paraId="5456D111" w14:textId="54594FF4" w:rsidR="000A66A1" w:rsidRDefault="000A66A1" w:rsidP="000A66A1">
      <w:pPr>
        <w:spacing w:line="360" w:lineRule="auto"/>
        <w:jc w:val="both"/>
        <w:rPr>
          <w:rFonts w:asciiTheme="minorHAnsi" w:hAnsiTheme="minorHAnsi"/>
        </w:rPr>
      </w:pPr>
    </w:p>
    <w:p w14:paraId="015D2AF9" w14:textId="4CCE1E7E" w:rsidR="000A66A1" w:rsidRDefault="000A66A1" w:rsidP="000A66A1">
      <w:pPr>
        <w:spacing w:line="360" w:lineRule="auto"/>
        <w:jc w:val="both"/>
        <w:rPr>
          <w:rFonts w:asciiTheme="minorHAnsi" w:hAnsiTheme="minorHAnsi"/>
        </w:rPr>
      </w:pPr>
    </w:p>
    <w:p w14:paraId="1A74B7CB" w14:textId="04CCC7AD" w:rsidR="000A66A1" w:rsidRDefault="000A66A1" w:rsidP="000A66A1">
      <w:pPr>
        <w:spacing w:line="360" w:lineRule="auto"/>
        <w:jc w:val="both"/>
        <w:rPr>
          <w:rFonts w:asciiTheme="minorHAnsi" w:hAnsiTheme="minorHAnsi"/>
        </w:rPr>
      </w:pPr>
    </w:p>
    <w:p w14:paraId="3F14DA64" w14:textId="56156546" w:rsidR="000A66A1" w:rsidRDefault="000A66A1" w:rsidP="000A66A1">
      <w:pPr>
        <w:spacing w:line="360" w:lineRule="auto"/>
        <w:jc w:val="both"/>
        <w:rPr>
          <w:rFonts w:asciiTheme="minorHAnsi" w:hAnsiTheme="minorHAnsi"/>
        </w:rPr>
      </w:pPr>
    </w:p>
    <w:p w14:paraId="0DDB099F" w14:textId="51A48734" w:rsidR="000A66A1" w:rsidRDefault="000A66A1" w:rsidP="000A66A1">
      <w:pPr>
        <w:spacing w:line="360" w:lineRule="auto"/>
        <w:jc w:val="both"/>
        <w:rPr>
          <w:rFonts w:asciiTheme="minorHAnsi" w:hAnsiTheme="minorHAnsi"/>
        </w:rPr>
      </w:pPr>
    </w:p>
    <w:p w14:paraId="2FE3B2F4" w14:textId="52809126" w:rsidR="000A66A1" w:rsidRDefault="000A66A1" w:rsidP="000A66A1">
      <w:pPr>
        <w:spacing w:line="360" w:lineRule="auto"/>
        <w:jc w:val="both"/>
        <w:rPr>
          <w:rFonts w:asciiTheme="minorHAnsi" w:hAnsiTheme="minorHAnsi"/>
        </w:rPr>
      </w:pPr>
    </w:p>
    <w:p w14:paraId="294D4E73" w14:textId="7F3EA709" w:rsidR="000A66A1" w:rsidRDefault="000A66A1" w:rsidP="000A66A1">
      <w:pPr>
        <w:spacing w:line="360" w:lineRule="auto"/>
        <w:jc w:val="both"/>
        <w:rPr>
          <w:rFonts w:asciiTheme="minorHAnsi" w:hAnsiTheme="minorHAnsi"/>
        </w:rPr>
      </w:pPr>
    </w:p>
    <w:p w14:paraId="219AEEBF" w14:textId="20912617" w:rsidR="000A66A1" w:rsidRDefault="000A66A1" w:rsidP="000A66A1">
      <w:pPr>
        <w:spacing w:line="360" w:lineRule="auto"/>
        <w:jc w:val="both"/>
        <w:rPr>
          <w:rFonts w:asciiTheme="minorHAnsi" w:hAnsiTheme="minorHAnsi"/>
        </w:rPr>
      </w:pPr>
    </w:p>
    <w:p w14:paraId="7B6F0B5B" w14:textId="7CC7720B" w:rsidR="000A66A1" w:rsidRDefault="000A66A1" w:rsidP="000A66A1">
      <w:pPr>
        <w:spacing w:line="360" w:lineRule="auto"/>
        <w:jc w:val="both"/>
        <w:rPr>
          <w:rFonts w:asciiTheme="minorHAnsi" w:hAnsiTheme="minorHAnsi"/>
        </w:rPr>
      </w:pPr>
    </w:p>
    <w:p w14:paraId="0A6EF920" w14:textId="571F6395" w:rsidR="000A66A1" w:rsidRDefault="000A66A1" w:rsidP="000A66A1">
      <w:pPr>
        <w:spacing w:line="360" w:lineRule="auto"/>
        <w:jc w:val="both"/>
        <w:rPr>
          <w:rFonts w:asciiTheme="minorHAnsi" w:hAnsiTheme="minorHAnsi"/>
        </w:rPr>
      </w:pPr>
    </w:p>
    <w:p w14:paraId="6A3C3D51" w14:textId="3C5A35DD" w:rsidR="000A66A1" w:rsidRDefault="000A66A1" w:rsidP="000A66A1">
      <w:pPr>
        <w:spacing w:line="360" w:lineRule="auto"/>
        <w:jc w:val="both"/>
        <w:rPr>
          <w:rFonts w:asciiTheme="minorHAnsi" w:hAnsiTheme="minorHAnsi"/>
        </w:rPr>
      </w:pPr>
    </w:p>
    <w:p w14:paraId="6BD131A1" w14:textId="614E9730" w:rsidR="000A66A1" w:rsidRDefault="000A66A1" w:rsidP="000A66A1">
      <w:pPr>
        <w:spacing w:line="360" w:lineRule="auto"/>
        <w:jc w:val="both"/>
        <w:rPr>
          <w:rFonts w:asciiTheme="minorHAnsi" w:hAnsiTheme="minorHAnsi"/>
        </w:rPr>
      </w:pPr>
    </w:p>
    <w:p w14:paraId="1F0B005B" w14:textId="63F62930" w:rsidR="000A66A1" w:rsidRDefault="000A66A1" w:rsidP="000A66A1">
      <w:pPr>
        <w:spacing w:line="360" w:lineRule="auto"/>
        <w:jc w:val="both"/>
        <w:rPr>
          <w:rFonts w:asciiTheme="minorHAnsi" w:hAnsiTheme="minorHAnsi"/>
        </w:rPr>
      </w:pPr>
    </w:p>
    <w:p w14:paraId="759710B8" w14:textId="32547203" w:rsidR="000A66A1" w:rsidRDefault="000A66A1" w:rsidP="000A66A1">
      <w:pPr>
        <w:spacing w:line="360" w:lineRule="auto"/>
        <w:jc w:val="both"/>
        <w:rPr>
          <w:rFonts w:asciiTheme="minorHAnsi" w:hAnsiTheme="minorHAnsi"/>
        </w:rPr>
      </w:pPr>
    </w:p>
    <w:p w14:paraId="6CA6BBF2" w14:textId="6757A173" w:rsidR="000A66A1" w:rsidRDefault="000A66A1" w:rsidP="000A66A1">
      <w:pPr>
        <w:spacing w:line="360" w:lineRule="auto"/>
        <w:jc w:val="both"/>
        <w:rPr>
          <w:rFonts w:asciiTheme="minorHAnsi" w:hAnsiTheme="minorHAnsi"/>
        </w:rPr>
      </w:pPr>
    </w:p>
    <w:p w14:paraId="27D996F7" w14:textId="3FCB59EF" w:rsidR="000A66A1" w:rsidRDefault="000A66A1" w:rsidP="000A66A1">
      <w:pPr>
        <w:spacing w:line="360" w:lineRule="auto"/>
        <w:jc w:val="both"/>
        <w:rPr>
          <w:rFonts w:asciiTheme="minorHAnsi" w:hAnsiTheme="minorHAnsi"/>
        </w:rPr>
      </w:pPr>
    </w:p>
    <w:p w14:paraId="77460B0D" w14:textId="5C9FC07C" w:rsidR="000A66A1" w:rsidRDefault="000A66A1" w:rsidP="000A66A1">
      <w:pPr>
        <w:spacing w:line="360" w:lineRule="auto"/>
        <w:jc w:val="both"/>
        <w:rPr>
          <w:rFonts w:asciiTheme="minorHAnsi" w:hAnsiTheme="minorHAnsi"/>
        </w:rPr>
      </w:pPr>
    </w:p>
    <w:p w14:paraId="77A84044" w14:textId="59E03DF7" w:rsidR="000A66A1" w:rsidRDefault="000A66A1" w:rsidP="000A66A1">
      <w:pPr>
        <w:spacing w:line="360" w:lineRule="auto"/>
        <w:jc w:val="both"/>
        <w:rPr>
          <w:rFonts w:asciiTheme="minorHAnsi" w:hAnsiTheme="minorHAnsi"/>
        </w:rPr>
      </w:pPr>
    </w:p>
    <w:p w14:paraId="0AB6078C" w14:textId="77777777" w:rsidR="000A66A1" w:rsidRPr="000A66A1" w:rsidRDefault="000A66A1" w:rsidP="000A66A1">
      <w:pPr>
        <w:spacing w:line="360" w:lineRule="auto"/>
        <w:jc w:val="both"/>
        <w:rPr>
          <w:rFonts w:asciiTheme="minorHAnsi" w:hAnsiTheme="minorHAnsi"/>
        </w:rPr>
      </w:pPr>
    </w:p>
    <w:p w14:paraId="44904352" w14:textId="00444AF8" w:rsidR="00B24D94" w:rsidRPr="000A66A1" w:rsidRDefault="0047489E" w:rsidP="000A66A1">
      <w:pPr>
        <w:spacing w:line="360" w:lineRule="auto"/>
        <w:jc w:val="center"/>
        <w:rPr>
          <w:rFonts w:asciiTheme="minorHAnsi" w:hAnsiTheme="minorHAnsi"/>
          <w:b/>
          <w:u w:val="single"/>
        </w:rPr>
      </w:pPr>
      <w:r w:rsidRPr="000A66A1">
        <w:rPr>
          <w:rFonts w:asciiTheme="minorHAnsi" w:hAnsiTheme="minorHAnsi"/>
          <w:b/>
          <w:u w:val="single"/>
        </w:rPr>
        <w:t>II.</w:t>
      </w:r>
      <w:r w:rsidR="00B24D94" w:rsidRPr="000A66A1">
        <w:rPr>
          <w:rFonts w:asciiTheme="minorHAnsi" w:hAnsiTheme="minorHAnsi"/>
          <w:b/>
          <w:u w:val="single"/>
        </w:rPr>
        <w:t xml:space="preserve"> Property </w:t>
      </w:r>
      <w:r w:rsidR="00763F93" w:rsidRPr="000A66A1">
        <w:rPr>
          <w:rFonts w:asciiTheme="minorHAnsi" w:hAnsiTheme="minorHAnsi"/>
          <w:b/>
          <w:u w:val="single"/>
        </w:rPr>
        <w:t>O</w:t>
      </w:r>
      <w:r w:rsidR="00B24D94" w:rsidRPr="000A66A1">
        <w:rPr>
          <w:rFonts w:asciiTheme="minorHAnsi" w:hAnsiTheme="minorHAnsi"/>
          <w:b/>
          <w:u w:val="single"/>
        </w:rPr>
        <w:t>ffences</w:t>
      </w:r>
    </w:p>
    <w:p w14:paraId="6C12C556" w14:textId="27296E87" w:rsidR="00EF71CB" w:rsidRPr="000A66A1" w:rsidRDefault="00EF71CB" w:rsidP="000A66A1">
      <w:pPr>
        <w:spacing w:line="360" w:lineRule="auto"/>
        <w:jc w:val="both"/>
        <w:rPr>
          <w:rFonts w:asciiTheme="minorHAnsi" w:hAnsiTheme="minorHAnsi"/>
        </w:rPr>
      </w:pPr>
    </w:p>
    <w:p w14:paraId="7B81F54D" w14:textId="50464DF9" w:rsidR="00EF71CB" w:rsidRPr="000A66A1" w:rsidRDefault="000A5808" w:rsidP="000A66A1">
      <w:pPr>
        <w:spacing w:line="360" w:lineRule="auto"/>
        <w:jc w:val="both"/>
        <w:rPr>
          <w:rFonts w:asciiTheme="minorHAnsi" w:hAnsiTheme="minorHAnsi"/>
        </w:rPr>
      </w:pPr>
      <w:r w:rsidRPr="000A66A1">
        <w:rPr>
          <w:rFonts w:asciiTheme="minorHAnsi" w:hAnsiTheme="minorHAnsi"/>
        </w:rPr>
        <w:t xml:space="preserve">As analysed in </w:t>
      </w:r>
      <w:r w:rsidR="00925560" w:rsidRPr="000A66A1">
        <w:rPr>
          <w:rFonts w:asciiTheme="minorHAnsi" w:hAnsiTheme="minorHAnsi"/>
        </w:rPr>
        <w:t>S</w:t>
      </w:r>
      <w:r w:rsidR="0047489E" w:rsidRPr="000A66A1">
        <w:rPr>
          <w:rFonts w:asciiTheme="minorHAnsi" w:hAnsiTheme="minorHAnsi"/>
        </w:rPr>
        <w:t>ection I</w:t>
      </w:r>
      <w:r w:rsidRPr="000A66A1">
        <w:rPr>
          <w:rFonts w:asciiTheme="minorHAnsi" w:hAnsiTheme="minorHAnsi"/>
        </w:rPr>
        <w:t>, violent offences against other people are assessed on a case</w:t>
      </w:r>
      <w:r w:rsidR="00763F93" w:rsidRPr="000A66A1">
        <w:rPr>
          <w:rFonts w:asciiTheme="minorHAnsi" w:hAnsiTheme="minorHAnsi"/>
        </w:rPr>
        <w:t>-</w:t>
      </w:r>
      <w:r w:rsidRPr="000A66A1">
        <w:rPr>
          <w:rFonts w:asciiTheme="minorHAnsi" w:hAnsiTheme="minorHAnsi"/>
        </w:rPr>
        <w:t>by</w:t>
      </w:r>
      <w:r w:rsidR="00763F93" w:rsidRPr="000A66A1">
        <w:rPr>
          <w:rFonts w:asciiTheme="minorHAnsi" w:hAnsiTheme="minorHAnsi"/>
        </w:rPr>
        <w:t>-</w:t>
      </w:r>
      <w:r w:rsidRPr="000A66A1">
        <w:rPr>
          <w:rFonts w:asciiTheme="minorHAnsi" w:hAnsiTheme="minorHAnsi"/>
        </w:rPr>
        <w:t xml:space="preserve">case basis in order to understand the affect any intoxication had on D. The basic intent divide works in a way that allows offenders committing specific intent crimes to still be prosecuted with another offence that holds a lower level of culpability. </w:t>
      </w:r>
      <w:r w:rsidR="00C372AC" w:rsidRPr="000A66A1">
        <w:rPr>
          <w:rFonts w:asciiTheme="minorHAnsi" w:hAnsiTheme="minorHAnsi"/>
        </w:rPr>
        <w:t xml:space="preserve">Although there will always be </w:t>
      </w:r>
      <w:r w:rsidR="00925560" w:rsidRPr="000A66A1">
        <w:rPr>
          <w:rFonts w:asciiTheme="minorHAnsi" w:hAnsiTheme="minorHAnsi"/>
        </w:rPr>
        <w:t xml:space="preserve">arguments against this method, </w:t>
      </w:r>
      <w:r w:rsidR="00C372AC" w:rsidRPr="000A66A1">
        <w:rPr>
          <w:rFonts w:asciiTheme="minorHAnsi" w:hAnsiTheme="minorHAnsi"/>
        </w:rPr>
        <w:t xml:space="preserve">the practical benefits of corresponding elements of certain offences seem to work without </w:t>
      </w:r>
      <w:r w:rsidR="0037509C" w:rsidRPr="000A66A1">
        <w:rPr>
          <w:rFonts w:asciiTheme="minorHAnsi" w:hAnsiTheme="minorHAnsi"/>
        </w:rPr>
        <w:t>any</w:t>
      </w:r>
      <w:r w:rsidR="00620215" w:rsidRPr="000A66A1">
        <w:rPr>
          <w:rFonts w:asciiTheme="minorHAnsi" w:hAnsiTheme="minorHAnsi"/>
        </w:rPr>
        <w:t xml:space="preserve"> major</w:t>
      </w:r>
      <w:r w:rsidR="0037509C" w:rsidRPr="000A66A1">
        <w:rPr>
          <w:rFonts w:asciiTheme="minorHAnsi" w:hAnsiTheme="minorHAnsi"/>
        </w:rPr>
        <w:t xml:space="preserve"> moral objections.</w:t>
      </w:r>
    </w:p>
    <w:p w14:paraId="4DF30018" w14:textId="7E5769DD" w:rsidR="0037509C" w:rsidRPr="000A66A1" w:rsidRDefault="0037509C" w:rsidP="000A66A1">
      <w:pPr>
        <w:spacing w:line="360" w:lineRule="auto"/>
        <w:jc w:val="both"/>
        <w:rPr>
          <w:rFonts w:asciiTheme="minorHAnsi" w:hAnsiTheme="minorHAnsi"/>
        </w:rPr>
      </w:pPr>
    </w:p>
    <w:p w14:paraId="44EBBB95" w14:textId="07B0ED5D" w:rsidR="00777DE0" w:rsidRPr="000A66A1" w:rsidRDefault="0037509C" w:rsidP="000A66A1">
      <w:pPr>
        <w:spacing w:line="360" w:lineRule="auto"/>
        <w:jc w:val="both"/>
        <w:rPr>
          <w:rFonts w:asciiTheme="minorHAnsi" w:hAnsiTheme="minorHAnsi"/>
        </w:rPr>
      </w:pPr>
      <w:r w:rsidRPr="000A66A1">
        <w:rPr>
          <w:rFonts w:asciiTheme="minorHAnsi" w:hAnsiTheme="minorHAnsi"/>
        </w:rPr>
        <w:t xml:space="preserve">This </w:t>
      </w:r>
      <w:r w:rsidR="0047489E" w:rsidRPr="000A66A1">
        <w:rPr>
          <w:rFonts w:asciiTheme="minorHAnsi" w:hAnsiTheme="minorHAnsi"/>
        </w:rPr>
        <w:t xml:space="preserve">section </w:t>
      </w:r>
      <w:r w:rsidR="00925560" w:rsidRPr="000A66A1">
        <w:rPr>
          <w:rFonts w:asciiTheme="minorHAnsi" w:hAnsiTheme="minorHAnsi"/>
        </w:rPr>
        <w:t xml:space="preserve">will </w:t>
      </w:r>
      <w:r w:rsidRPr="000A66A1">
        <w:rPr>
          <w:rFonts w:asciiTheme="minorHAnsi" w:hAnsiTheme="minorHAnsi"/>
        </w:rPr>
        <w:t>discus</w:t>
      </w:r>
      <w:r w:rsidR="0047489E" w:rsidRPr="000A66A1">
        <w:rPr>
          <w:rFonts w:asciiTheme="minorHAnsi" w:hAnsiTheme="minorHAnsi"/>
        </w:rPr>
        <w:t>s</w:t>
      </w:r>
      <w:r w:rsidRPr="000A66A1">
        <w:rPr>
          <w:rFonts w:asciiTheme="minorHAnsi" w:hAnsiTheme="minorHAnsi"/>
        </w:rPr>
        <w:t xml:space="preserve"> the </w:t>
      </w:r>
      <w:r w:rsidR="0047489E" w:rsidRPr="000A66A1">
        <w:rPr>
          <w:rFonts w:asciiTheme="minorHAnsi" w:hAnsiTheme="minorHAnsi"/>
        </w:rPr>
        <w:t>e</w:t>
      </w:r>
      <w:r w:rsidRPr="000A66A1">
        <w:rPr>
          <w:rFonts w:asciiTheme="minorHAnsi" w:hAnsiTheme="minorHAnsi"/>
        </w:rPr>
        <w:t>ffect intoxication has when an offender has committed an offence in relation to property instead of another person</w:t>
      </w:r>
      <w:r w:rsidR="00925560" w:rsidRPr="000A66A1">
        <w:rPr>
          <w:rFonts w:asciiTheme="minorHAnsi" w:hAnsiTheme="minorHAnsi"/>
        </w:rPr>
        <w:t>.</w:t>
      </w:r>
      <w:r w:rsidR="0047489E" w:rsidRPr="000A66A1">
        <w:rPr>
          <w:rFonts w:asciiTheme="minorHAnsi" w:hAnsiTheme="minorHAnsi"/>
        </w:rPr>
        <w:t xml:space="preserve"> </w:t>
      </w:r>
      <w:r w:rsidR="00925560" w:rsidRPr="000A66A1">
        <w:rPr>
          <w:rFonts w:asciiTheme="minorHAnsi" w:hAnsiTheme="minorHAnsi"/>
        </w:rPr>
        <w:t>I</w:t>
      </w:r>
      <w:r w:rsidR="0047489E" w:rsidRPr="000A66A1">
        <w:rPr>
          <w:rFonts w:asciiTheme="minorHAnsi" w:hAnsiTheme="minorHAnsi"/>
        </w:rPr>
        <w:t>n particular</w:t>
      </w:r>
      <w:r w:rsidRPr="000A66A1">
        <w:rPr>
          <w:rFonts w:asciiTheme="minorHAnsi" w:hAnsiTheme="minorHAnsi"/>
        </w:rPr>
        <w:t xml:space="preserve"> whether the recent case of </w:t>
      </w:r>
      <w:r w:rsidRPr="000A66A1">
        <w:rPr>
          <w:rFonts w:asciiTheme="minorHAnsi" w:hAnsiTheme="minorHAnsi"/>
          <w:i/>
        </w:rPr>
        <w:t xml:space="preserve">Ivey </w:t>
      </w:r>
      <w:r w:rsidR="00777DE0" w:rsidRPr="000A66A1">
        <w:rPr>
          <w:rFonts w:asciiTheme="minorHAnsi" w:hAnsiTheme="minorHAnsi"/>
          <w:i/>
        </w:rPr>
        <w:t>v</w:t>
      </w:r>
      <w:r w:rsidRPr="000A66A1">
        <w:rPr>
          <w:rFonts w:asciiTheme="minorHAnsi" w:hAnsiTheme="minorHAnsi"/>
          <w:i/>
        </w:rPr>
        <w:t xml:space="preserve"> Genting</w:t>
      </w:r>
      <w:r w:rsidR="00777DE0" w:rsidRPr="000A66A1">
        <w:rPr>
          <w:rFonts w:asciiTheme="minorHAnsi" w:hAnsiTheme="minorHAnsi"/>
          <w:i/>
        </w:rPr>
        <w:t xml:space="preserve"> Casinos</w:t>
      </w:r>
      <w:r w:rsidR="00777DE0" w:rsidRPr="000A66A1">
        <w:rPr>
          <w:rStyle w:val="FootnoteReference"/>
          <w:rFonts w:asciiTheme="minorHAnsi" w:hAnsiTheme="minorHAnsi"/>
        </w:rPr>
        <w:footnoteReference w:id="139"/>
      </w:r>
      <w:r w:rsidR="00777DE0" w:rsidRPr="000A66A1">
        <w:rPr>
          <w:rFonts w:asciiTheme="minorHAnsi" w:hAnsiTheme="minorHAnsi"/>
        </w:rPr>
        <w:t xml:space="preserve"> has an effect on the relationship between intoxication and </w:t>
      </w:r>
      <w:r w:rsidR="00051DA1" w:rsidRPr="000A66A1">
        <w:rPr>
          <w:rFonts w:asciiTheme="minorHAnsi" w:hAnsiTheme="minorHAnsi"/>
        </w:rPr>
        <w:t>property offences</w:t>
      </w:r>
      <w:r w:rsidR="00777DE0" w:rsidRPr="000A66A1">
        <w:rPr>
          <w:rFonts w:asciiTheme="minorHAnsi" w:hAnsiTheme="minorHAnsi"/>
        </w:rPr>
        <w:t xml:space="preserve">. Although this case was </w:t>
      </w:r>
      <w:r w:rsidR="00205D38" w:rsidRPr="000A66A1">
        <w:rPr>
          <w:rFonts w:asciiTheme="minorHAnsi" w:hAnsiTheme="minorHAnsi"/>
        </w:rPr>
        <w:t>that of a civil matter</w:t>
      </w:r>
      <w:r w:rsidR="00777DE0" w:rsidRPr="000A66A1">
        <w:rPr>
          <w:rFonts w:asciiTheme="minorHAnsi" w:hAnsiTheme="minorHAnsi"/>
        </w:rPr>
        <w:t xml:space="preserve">, </w:t>
      </w:r>
      <w:r w:rsidR="00205D38" w:rsidRPr="000A66A1">
        <w:rPr>
          <w:rFonts w:asciiTheme="minorHAnsi" w:hAnsiTheme="minorHAnsi"/>
        </w:rPr>
        <w:t>it has undoubtedly</w:t>
      </w:r>
      <w:r w:rsidR="00777DE0" w:rsidRPr="000A66A1">
        <w:rPr>
          <w:rFonts w:asciiTheme="minorHAnsi" w:hAnsiTheme="minorHAnsi"/>
        </w:rPr>
        <w:t xml:space="preserve"> set a precedent in relation to the mens rea element of theft</w:t>
      </w:r>
      <w:r w:rsidR="003905E7" w:rsidRPr="000A66A1">
        <w:rPr>
          <w:rStyle w:val="FootnoteReference"/>
          <w:rFonts w:asciiTheme="minorHAnsi" w:hAnsiTheme="minorHAnsi"/>
        </w:rPr>
        <w:footnoteReference w:id="140"/>
      </w:r>
      <w:r w:rsidR="00205D38" w:rsidRPr="000A66A1">
        <w:rPr>
          <w:rFonts w:asciiTheme="minorHAnsi" w:hAnsiTheme="minorHAnsi"/>
        </w:rPr>
        <w:t>.</w:t>
      </w:r>
      <w:r w:rsidR="00777DE0" w:rsidRPr="000A66A1">
        <w:rPr>
          <w:rFonts w:asciiTheme="minorHAnsi" w:hAnsiTheme="minorHAnsi"/>
        </w:rPr>
        <w:t xml:space="preserve"> It is interesting to analyse the new interpretation of </w:t>
      </w:r>
      <w:r w:rsidR="0078783A" w:rsidRPr="000A66A1">
        <w:rPr>
          <w:rFonts w:asciiTheme="minorHAnsi" w:hAnsiTheme="minorHAnsi"/>
        </w:rPr>
        <w:t>dishonesty</w:t>
      </w:r>
      <w:r w:rsidR="00777DE0" w:rsidRPr="000A66A1">
        <w:rPr>
          <w:rFonts w:asciiTheme="minorHAnsi" w:hAnsiTheme="minorHAnsi"/>
        </w:rPr>
        <w:t>, and whether that interpretation wi</w:t>
      </w:r>
      <w:r w:rsidR="00536CAE" w:rsidRPr="000A66A1">
        <w:rPr>
          <w:rFonts w:asciiTheme="minorHAnsi" w:hAnsiTheme="minorHAnsi"/>
        </w:rPr>
        <w:t>ll</w:t>
      </w:r>
      <w:r w:rsidR="00777DE0" w:rsidRPr="000A66A1">
        <w:rPr>
          <w:rFonts w:asciiTheme="minorHAnsi" w:hAnsiTheme="minorHAnsi"/>
        </w:rPr>
        <w:t xml:space="preserve"> </w:t>
      </w:r>
      <w:r w:rsidR="00F118B1" w:rsidRPr="000A66A1">
        <w:rPr>
          <w:rFonts w:asciiTheme="minorHAnsi" w:hAnsiTheme="minorHAnsi"/>
        </w:rPr>
        <w:t xml:space="preserve">make theft </w:t>
      </w:r>
      <w:r w:rsidR="00051DA1" w:rsidRPr="000A66A1">
        <w:rPr>
          <w:rFonts w:asciiTheme="minorHAnsi" w:hAnsiTheme="minorHAnsi"/>
        </w:rPr>
        <w:t xml:space="preserve">and other property offences </w:t>
      </w:r>
      <w:r w:rsidR="00F118B1" w:rsidRPr="000A66A1">
        <w:rPr>
          <w:rFonts w:asciiTheme="minorHAnsi" w:hAnsiTheme="minorHAnsi"/>
        </w:rPr>
        <w:t>easier to prosecute</w:t>
      </w:r>
      <w:r w:rsidR="00777DE0" w:rsidRPr="000A66A1">
        <w:rPr>
          <w:rFonts w:asciiTheme="minorHAnsi" w:hAnsiTheme="minorHAnsi"/>
        </w:rPr>
        <w:t xml:space="preserve">. </w:t>
      </w:r>
      <w:r w:rsidR="00F118B1" w:rsidRPr="000A66A1">
        <w:rPr>
          <w:rFonts w:asciiTheme="minorHAnsi" w:hAnsiTheme="minorHAnsi"/>
        </w:rPr>
        <w:t>The new standard of dishonesty may</w:t>
      </w:r>
      <w:r w:rsidR="00536CAE" w:rsidRPr="000A66A1">
        <w:rPr>
          <w:rFonts w:asciiTheme="minorHAnsi" w:hAnsiTheme="minorHAnsi"/>
        </w:rPr>
        <w:t xml:space="preserve"> result in a stricter position on intoxicated offen</w:t>
      </w:r>
      <w:r w:rsidR="00763F93" w:rsidRPr="000A66A1">
        <w:rPr>
          <w:rFonts w:asciiTheme="minorHAnsi" w:hAnsiTheme="minorHAnsi"/>
        </w:rPr>
        <w:t>ders</w:t>
      </w:r>
      <w:r w:rsidR="00536CAE" w:rsidRPr="000A66A1">
        <w:rPr>
          <w:rFonts w:asciiTheme="minorHAnsi" w:hAnsiTheme="minorHAnsi"/>
        </w:rPr>
        <w:t>.</w:t>
      </w:r>
    </w:p>
    <w:p w14:paraId="1E66B883" w14:textId="77777777" w:rsidR="000F0475" w:rsidRPr="000A66A1" w:rsidRDefault="000F0475" w:rsidP="000A66A1">
      <w:pPr>
        <w:spacing w:line="360" w:lineRule="auto"/>
        <w:jc w:val="both"/>
        <w:rPr>
          <w:rFonts w:asciiTheme="minorHAnsi" w:hAnsiTheme="minorHAnsi"/>
        </w:rPr>
      </w:pPr>
    </w:p>
    <w:p w14:paraId="59A13537" w14:textId="3A710FF8" w:rsidR="00777DE0" w:rsidRPr="000A66A1" w:rsidRDefault="00536CAE" w:rsidP="000A66A1">
      <w:pPr>
        <w:spacing w:line="360" w:lineRule="auto"/>
        <w:jc w:val="both"/>
        <w:rPr>
          <w:rFonts w:asciiTheme="minorHAnsi" w:hAnsiTheme="minorHAnsi"/>
        </w:rPr>
      </w:pPr>
      <w:r w:rsidRPr="000A66A1">
        <w:rPr>
          <w:rFonts w:asciiTheme="minorHAnsi" w:hAnsiTheme="minorHAnsi"/>
        </w:rPr>
        <w:t>One of the issues that many academics have with the way intoxication works is due to problems that arise in relation to offences regarding property</w:t>
      </w:r>
      <w:r w:rsidR="00763F93" w:rsidRPr="000A66A1">
        <w:rPr>
          <w:rStyle w:val="FootnoteReference"/>
          <w:rFonts w:asciiTheme="minorHAnsi" w:hAnsiTheme="minorHAnsi"/>
        </w:rPr>
        <w:footnoteReference w:id="141"/>
      </w:r>
      <w:r w:rsidR="00205D38" w:rsidRPr="000A66A1">
        <w:rPr>
          <w:rFonts w:asciiTheme="minorHAnsi" w:hAnsiTheme="minorHAnsi"/>
        </w:rPr>
        <w:t>.</w:t>
      </w:r>
      <w:r w:rsidRPr="000A66A1">
        <w:rPr>
          <w:rFonts w:asciiTheme="minorHAnsi" w:hAnsiTheme="minorHAnsi"/>
        </w:rPr>
        <w:t xml:space="preserve"> </w:t>
      </w:r>
      <w:r w:rsidR="006774DB" w:rsidRPr="000A66A1">
        <w:rPr>
          <w:rFonts w:asciiTheme="minorHAnsi" w:hAnsiTheme="minorHAnsi"/>
        </w:rPr>
        <w:t>This is generally due to the fact theft requires ‘ulterior intent’ to be established</w:t>
      </w:r>
      <w:r w:rsidR="00763F93" w:rsidRPr="000A66A1">
        <w:rPr>
          <w:rStyle w:val="FootnoteReference"/>
          <w:rFonts w:asciiTheme="minorHAnsi" w:hAnsiTheme="minorHAnsi"/>
        </w:rPr>
        <w:footnoteReference w:id="142"/>
      </w:r>
      <w:r w:rsidR="00205D38" w:rsidRPr="000A66A1">
        <w:rPr>
          <w:rFonts w:asciiTheme="minorHAnsi" w:hAnsiTheme="minorHAnsi"/>
        </w:rPr>
        <w:t>.</w:t>
      </w:r>
      <w:r w:rsidR="006774DB" w:rsidRPr="000A66A1">
        <w:rPr>
          <w:rFonts w:asciiTheme="minorHAnsi" w:hAnsiTheme="minorHAnsi"/>
        </w:rPr>
        <w:t xml:space="preserve"> This </w:t>
      </w:r>
      <w:r w:rsidR="008C0798" w:rsidRPr="000A66A1">
        <w:rPr>
          <w:rFonts w:asciiTheme="minorHAnsi" w:hAnsiTheme="minorHAnsi"/>
        </w:rPr>
        <w:t>Section</w:t>
      </w:r>
      <w:r w:rsidR="006774DB" w:rsidRPr="000A66A1">
        <w:rPr>
          <w:rFonts w:asciiTheme="minorHAnsi" w:hAnsiTheme="minorHAnsi"/>
        </w:rPr>
        <w:t xml:space="preserve"> aims to use hypothetical examples in order to </w:t>
      </w:r>
      <w:r w:rsidR="00782766" w:rsidRPr="000A66A1">
        <w:rPr>
          <w:rFonts w:asciiTheme="minorHAnsi" w:hAnsiTheme="minorHAnsi"/>
        </w:rPr>
        <w:t xml:space="preserve">create a more appropriate relationship between that of property offences and the intoxication doctrine. </w:t>
      </w:r>
      <w:r w:rsidR="00BF57D7" w:rsidRPr="000A66A1">
        <w:rPr>
          <w:rFonts w:asciiTheme="minorHAnsi" w:hAnsiTheme="minorHAnsi"/>
        </w:rPr>
        <w:t xml:space="preserve">By analysing property offences thoroughly, there are potentially various ways that </w:t>
      </w:r>
      <w:r w:rsidR="00763F93" w:rsidRPr="000A66A1">
        <w:rPr>
          <w:rFonts w:asciiTheme="minorHAnsi" w:hAnsiTheme="minorHAnsi"/>
        </w:rPr>
        <w:t>allow</w:t>
      </w:r>
      <w:r w:rsidR="00BF57D7" w:rsidRPr="000A66A1">
        <w:rPr>
          <w:rFonts w:asciiTheme="minorHAnsi" w:hAnsiTheme="minorHAnsi"/>
        </w:rPr>
        <w:t xml:space="preserve"> the relationship</w:t>
      </w:r>
      <w:r w:rsidR="00763F93" w:rsidRPr="000A66A1">
        <w:rPr>
          <w:rFonts w:asciiTheme="minorHAnsi" w:hAnsiTheme="minorHAnsi"/>
        </w:rPr>
        <w:t xml:space="preserve"> </w:t>
      </w:r>
      <w:r w:rsidR="00BF57D7" w:rsidRPr="000A66A1">
        <w:rPr>
          <w:rFonts w:asciiTheme="minorHAnsi" w:hAnsiTheme="minorHAnsi"/>
        </w:rPr>
        <w:t xml:space="preserve">with intoxication </w:t>
      </w:r>
      <w:r w:rsidR="00763F93" w:rsidRPr="000A66A1">
        <w:rPr>
          <w:rFonts w:asciiTheme="minorHAnsi" w:hAnsiTheme="minorHAnsi"/>
        </w:rPr>
        <w:t>to</w:t>
      </w:r>
      <w:r w:rsidR="00BF57D7" w:rsidRPr="000A66A1">
        <w:rPr>
          <w:rFonts w:asciiTheme="minorHAnsi" w:hAnsiTheme="minorHAnsi"/>
        </w:rPr>
        <w:t xml:space="preserve"> mirror the offences in </w:t>
      </w:r>
      <w:r w:rsidR="008C0798" w:rsidRPr="000A66A1">
        <w:rPr>
          <w:rFonts w:asciiTheme="minorHAnsi" w:hAnsiTheme="minorHAnsi"/>
        </w:rPr>
        <w:t>Section</w:t>
      </w:r>
      <w:r w:rsidR="00BF57D7" w:rsidRPr="000A66A1">
        <w:rPr>
          <w:rFonts w:asciiTheme="minorHAnsi" w:hAnsiTheme="minorHAnsi"/>
        </w:rPr>
        <w:t xml:space="preserve"> </w:t>
      </w:r>
      <w:r w:rsidR="00E14B7B" w:rsidRPr="000A66A1">
        <w:rPr>
          <w:rFonts w:asciiTheme="minorHAnsi" w:hAnsiTheme="minorHAnsi"/>
        </w:rPr>
        <w:t>I</w:t>
      </w:r>
      <w:r w:rsidR="00BF57D7" w:rsidRPr="000A66A1">
        <w:rPr>
          <w:rFonts w:asciiTheme="minorHAnsi" w:hAnsiTheme="minorHAnsi"/>
        </w:rPr>
        <w:t>.</w:t>
      </w:r>
    </w:p>
    <w:p w14:paraId="6DA70ECD" w14:textId="3CEFB786" w:rsidR="00782766" w:rsidRPr="000A66A1" w:rsidRDefault="00782766" w:rsidP="000A66A1">
      <w:pPr>
        <w:spacing w:line="360" w:lineRule="auto"/>
        <w:jc w:val="both"/>
        <w:rPr>
          <w:rFonts w:asciiTheme="minorHAnsi" w:hAnsiTheme="minorHAnsi"/>
        </w:rPr>
      </w:pPr>
    </w:p>
    <w:p w14:paraId="53605CA1" w14:textId="405CC05D" w:rsidR="00782766" w:rsidRPr="000A66A1" w:rsidRDefault="0047489E" w:rsidP="000A66A1">
      <w:pPr>
        <w:spacing w:line="360" w:lineRule="auto"/>
        <w:jc w:val="both"/>
        <w:rPr>
          <w:rFonts w:asciiTheme="minorHAnsi" w:hAnsiTheme="minorHAnsi"/>
        </w:rPr>
      </w:pPr>
      <w:r w:rsidRPr="000A66A1">
        <w:rPr>
          <w:rFonts w:asciiTheme="minorHAnsi" w:hAnsiTheme="minorHAnsi"/>
        </w:rPr>
        <w:lastRenderedPageBreak/>
        <w:t xml:space="preserve">Before the defendant (D) can </w:t>
      </w:r>
      <w:r w:rsidR="00782766" w:rsidRPr="000A66A1">
        <w:rPr>
          <w:rFonts w:asciiTheme="minorHAnsi" w:hAnsiTheme="minorHAnsi"/>
        </w:rPr>
        <w:t>be found guilty of theft</w:t>
      </w:r>
      <w:r w:rsidR="0078783A" w:rsidRPr="000A66A1">
        <w:rPr>
          <w:rStyle w:val="FootnoteReference"/>
          <w:rFonts w:asciiTheme="minorHAnsi" w:hAnsiTheme="minorHAnsi"/>
        </w:rPr>
        <w:footnoteReference w:id="143"/>
      </w:r>
      <w:r w:rsidR="00782766" w:rsidRPr="000A66A1">
        <w:rPr>
          <w:rFonts w:asciiTheme="minorHAnsi" w:hAnsiTheme="minorHAnsi"/>
        </w:rPr>
        <w:t>, the prosecution must prove both the external elements and the fault elements of the offence. If D ‘dishonestly appropriates property belonging to another with the intention to permanently deprive the other of it’</w:t>
      </w:r>
      <w:r w:rsidR="00782766" w:rsidRPr="000A66A1">
        <w:rPr>
          <w:rStyle w:val="FootnoteReference"/>
          <w:rFonts w:asciiTheme="minorHAnsi" w:hAnsiTheme="minorHAnsi"/>
        </w:rPr>
        <w:footnoteReference w:id="144"/>
      </w:r>
      <w:r w:rsidR="00205D38" w:rsidRPr="000A66A1">
        <w:rPr>
          <w:rFonts w:asciiTheme="minorHAnsi" w:hAnsiTheme="minorHAnsi"/>
        </w:rPr>
        <w:t>,</w:t>
      </w:r>
      <w:r w:rsidR="00782766" w:rsidRPr="000A66A1">
        <w:rPr>
          <w:rFonts w:asciiTheme="minorHAnsi" w:hAnsiTheme="minorHAnsi"/>
        </w:rPr>
        <w:t xml:space="preserve"> they will be guilty of theft. As </w:t>
      </w:r>
      <w:r w:rsidR="00205D38" w:rsidRPr="000A66A1">
        <w:rPr>
          <w:rFonts w:asciiTheme="minorHAnsi" w:hAnsiTheme="minorHAnsi"/>
        </w:rPr>
        <w:t>introduced above</w:t>
      </w:r>
      <w:r w:rsidR="00782766" w:rsidRPr="000A66A1">
        <w:rPr>
          <w:rFonts w:asciiTheme="minorHAnsi" w:hAnsiTheme="minorHAnsi"/>
        </w:rPr>
        <w:t xml:space="preserve">, theft is a specific intent crime </w:t>
      </w:r>
      <w:r w:rsidR="00205D38" w:rsidRPr="000A66A1">
        <w:rPr>
          <w:rFonts w:asciiTheme="minorHAnsi" w:hAnsiTheme="minorHAnsi"/>
        </w:rPr>
        <w:t>as</w:t>
      </w:r>
      <w:r w:rsidR="00782766" w:rsidRPr="000A66A1">
        <w:rPr>
          <w:rFonts w:asciiTheme="minorHAnsi" w:hAnsiTheme="minorHAnsi"/>
        </w:rPr>
        <w:t xml:space="preserve"> it is an offence requiring ulterior intent</w:t>
      </w:r>
      <w:r w:rsidR="00782766" w:rsidRPr="000A66A1">
        <w:rPr>
          <w:rStyle w:val="FootnoteReference"/>
          <w:rFonts w:asciiTheme="minorHAnsi" w:hAnsiTheme="minorHAnsi"/>
        </w:rPr>
        <w:footnoteReference w:id="145"/>
      </w:r>
      <w:r w:rsidR="00205D38" w:rsidRPr="000A66A1">
        <w:rPr>
          <w:rFonts w:asciiTheme="minorHAnsi" w:hAnsiTheme="minorHAnsi"/>
        </w:rPr>
        <w:t>.</w:t>
      </w:r>
    </w:p>
    <w:p w14:paraId="059F1DE2" w14:textId="444A0D9E" w:rsidR="00782766" w:rsidRPr="000A66A1" w:rsidRDefault="00782766" w:rsidP="000A66A1">
      <w:pPr>
        <w:spacing w:line="360" w:lineRule="auto"/>
        <w:jc w:val="both"/>
        <w:rPr>
          <w:rFonts w:asciiTheme="minorHAnsi" w:hAnsiTheme="minorHAnsi"/>
        </w:rPr>
      </w:pPr>
    </w:p>
    <w:p w14:paraId="67F93ECD" w14:textId="5EF41C0F" w:rsidR="00782766" w:rsidRPr="000A66A1" w:rsidRDefault="00782766" w:rsidP="000A66A1">
      <w:pPr>
        <w:spacing w:line="360" w:lineRule="auto"/>
        <w:jc w:val="both"/>
        <w:rPr>
          <w:rFonts w:asciiTheme="minorHAnsi" w:hAnsiTheme="minorHAnsi"/>
        </w:rPr>
      </w:pPr>
      <w:r w:rsidRPr="000A66A1">
        <w:rPr>
          <w:rFonts w:asciiTheme="minorHAnsi" w:hAnsiTheme="minorHAnsi"/>
        </w:rPr>
        <w:t>Th</w:t>
      </w:r>
      <w:r w:rsidR="00763F93" w:rsidRPr="000A66A1">
        <w:rPr>
          <w:rFonts w:asciiTheme="minorHAnsi" w:hAnsiTheme="minorHAnsi"/>
        </w:rPr>
        <w:t>is</w:t>
      </w:r>
      <w:r w:rsidRPr="000A66A1">
        <w:rPr>
          <w:rFonts w:asciiTheme="minorHAnsi" w:hAnsiTheme="minorHAnsi"/>
        </w:rPr>
        <w:t xml:space="preserve"> also </w:t>
      </w:r>
      <w:r w:rsidR="00205D38" w:rsidRPr="000A66A1">
        <w:rPr>
          <w:rFonts w:asciiTheme="minorHAnsi" w:hAnsiTheme="minorHAnsi"/>
        </w:rPr>
        <w:t>relates to</w:t>
      </w:r>
      <w:r w:rsidR="00051DA1" w:rsidRPr="000A66A1">
        <w:rPr>
          <w:rFonts w:asciiTheme="minorHAnsi" w:hAnsiTheme="minorHAnsi"/>
        </w:rPr>
        <w:t xml:space="preserve"> the</w:t>
      </w:r>
      <w:r w:rsidR="00205D38" w:rsidRPr="000A66A1">
        <w:rPr>
          <w:rFonts w:asciiTheme="minorHAnsi" w:hAnsiTheme="minorHAnsi"/>
        </w:rPr>
        <w:t xml:space="preserve"> </w:t>
      </w:r>
      <w:r w:rsidR="00B315F1" w:rsidRPr="000A66A1">
        <w:rPr>
          <w:rFonts w:asciiTheme="minorHAnsi" w:hAnsiTheme="minorHAnsi"/>
        </w:rPr>
        <w:t xml:space="preserve">offences </w:t>
      </w:r>
      <w:r w:rsidR="00205D38" w:rsidRPr="000A66A1">
        <w:rPr>
          <w:rFonts w:asciiTheme="minorHAnsi" w:hAnsiTheme="minorHAnsi"/>
        </w:rPr>
        <w:t>of r</w:t>
      </w:r>
      <w:r w:rsidRPr="000A66A1">
        <w:rPr>
          <w:rFonts w:asciiTheme="minorHAnsi" w:hAnsiTheme="minorHAnsi"/>
        </w:rPr>
        <w:t xml:space="preserve">obbery and burglary. </w:t>
      </w:r>
      <w:r w:rsidR="00763F93" w:rsidRPr="000A66A1">
        <w:rPr>
          <w:rFonts w:asciiTheme="minorHAnsi" w:hAnsiTheme="minorHAnsi"/>
        </w:rPr>
        <w:t>Firstly, robbery</w:t>
      </w:r>
      <w:r w:rsidR="00ED6EAB" w:rsidRPr="000A66A1">
        <w:rPr>
          <w:rFonts w:asciiTheme="minorHAnsi" w:hAnsiTheme="minorHAnsi"/>
        </w:rPr>
        <w:t xml:space="preserve"> is an aggravated form of theft. The maximum sentence is life imprisonment</w:t>
      </w:r>
      <w:r w:rsidR="00763F93" w:rsidRPr="000A66A1">
        <w:rPr>
          <w:rStyle w:val="FootnoteReference"/>
          <w:rFonts w:asciiTheme="minorHAnsi" w:hAnsiTheme="minorHAnsi"/>
        </w:rPr>
        <w:footnoteReference w:id="146"/>
      </w:r>
      <w:r w:rsidR="00205D38" w:rsidRPr="000A66A1">
        <w:rPr>
          <w:rFonts w:asciiTheme="minorHAnsi" w:hAnsiTheme="minorHAnsi"/>
        </w:rPr>
        <w:t xml:space="preserve">, </w:t>
      </w:r>
      <w:r w:rsidR="00ED6EAB" w:rsidRPr="000A66A1">
        <w:rPr>
          <w:rFonts w:asciiTheme="minorHAnsi" w:hAnsiTheme="minorHAnsi"/>
        </w:rPr>
        <w:t>unlike theft with a maximum sentence of 7 years</w:t>
      </w:r>
      <w:r w:rsidR="00ED6EAB" w:rsidRPr="000A66A1">
        <w:rPr>
          <w:rStyle w:val="FootnoteReference"/>
          <w:rFonts w:asciiTheme="minorHAnsi" w:hAnsiTheme="minorHAnsi"/>
        </w:rPr>
        <w:footnoteReference w:id="147"/>
      </w:r>
      <w:r w:rsidR="00205D38" w:rsidRPr="000A66A1">
        <w:rPr>
          <w:rFonts w:asciiTheme="minorHAnsi" w:hAnsiTheme="minorHAnsi"/>
        </w:rPr>
        <w:t>.</w:t>
      </w:r>
      <w:r w:rsidR="00A053EE" w:rsidRPr="000A66A1">
        <w:rPr>
          <w:rFonts w:asciiTheme="minorHAnsi" w:hAnsiTheme="minorHAnsi"/>
        </w:rPr>
        <w:t xml:space="preserve"> To be found guilty of robbery, all the elements of theft must be established</w:t>
      </w:r>
      <w:r w:rsidR="00A053EE" w:rsidRPr="000A66A1">
        <w:rPr>
          <w:rStyle w:val="FootnoteReference"/>
          <w:rFonts w:asciiTheme="minorHAnsi" w:hAnsiTheme="minorHAnsi"/>
        </w:rPr>
        <w:footnoteReference w:id="148"/>
      </w:r>
      <w:r w:rsidR="00A053EE" w:rsidRPr="000A66A1">
        <w:rPr>
          <w:rFonts w:asciiTheme="minorHAnsi" w:hAnsiTheme="minorHAnsi"/>
        </w:rPr>
        <w:t xml:space="preserve"> </w:t>
      </w:r>
      <w:r w:rsidR="00205D38" w:rsidRPr="000A66A1">
        <w:rPr>
          <w:rFonts w:asciiTheme="minorHAnsi" w:hAnsiTheme="minorHAnsi"/>
        </w:rPr>
        <w:t xml:space="preserve">. However, there is an additional </w:t>
      </w:r>
      <w:r w:rsidR="00A053EE" w:rsidRPr="000A66A1">
        <w:rPr>
          <w:rFonts w:asciiTheme="minorHAnsi" w:hAnsiTheme="minorHAnsi"/>
        </w:rPr>
        <w:t>element of ‘force or the threat of force on a person’</w:t>
      </w:r>
      <w:r w:rsidR="00A053EE" w:rsidRPr="000A66A1">
        <w:rPr>
          <w:rStyle w:val="FootnoteReference"/>
          <w:rFonts w:asciiTheme="minorHAnsi" w:hAnsiTheme="minorHAnsi"/>
        </w:rPr>
        <w:footnoteReference w:id="149"/>
      </w:r>
      <w:r w:rsidR="00205D38" w:rsidRPr="000A66A1">
        <w:rPr>
          <w:rFonts w:asciiTheme="minorHAnsi" w:hAnsiTheme="minorHAnsi"/>
        </w:rPr>
        <w:t xml:space="preserve"> to occur</w:t>
      </w:r>
      <w:r w:rsidR="00A053EE" w:rsidRPr="000A66A1">
        <w:rPr>
          <w:rFonts w:asciiTheme="minorHAnsi" w:hAnsiTheme="minorHAnsi"/>
        </w:rPr>
        <w:t xml:space="preserve"> immediately before or at the time of stealing</w:t>
      </w:r>
      <w:r w:rsidR="00A053EE" w:rsidRPr="000A66A1">
        <w:rPr>
          <w:rStyle w:val="FootnoteReference"/>
          <w:rFonts w:asciiTheme="minorHAnsi" w:hAnsiTheme="minorHAnsi"/>
        </w:rPr>
        <w:footnoteReference w:id="150"/>
      </w:r>
      <w:r w:rsidR="00205D38" w:rsidRPr="000A66A1">
        <w:rPr>
          <w:rFonts w:asciiTheme="minorHAnsi" w:hAnsiTheme="minorHAnsi"/>
        </w:rPr>
        <w:t>.</w:t>
      </w:r>
      <w:r w:rsidR="00A053EE" w:rsidRPr="000A66A1">
        <w:rPr>
          <w:rFonts w:asciiTheme="minorHAnsi" w:hAnsiTheme="minorHAnsi"/>
        </w:rPr>
        <w:t xml:space="preserve"> The mens rea </w:t>
      </w:r>
      <w:r w:rsidR="00657965" w:rsidRPr="000A66A1">
        <w:rPr>
          <w:rFonts w:asciiTheme="minorHAnsi" w:hAnsiTheme="minorHAnsi"/>
        </w:rPr>
        <w:t>of</w:t>
      </w:r>
      <w:r w:rsidR="00A053EE" w:rsidRPr="000A66A1">
        <w:rPr>
          <w:rFonts w:asciiTheme="minorHAnsi" w:hAnsiTheme="minorHAnsi"/>
        </w:rPr>
        <w:t xml:space="preserve"> robbery </w:t>
      </w:r>
      <w:r w:rsidR="00B315F1" w:rsidRPr="000A66A1">
        <w:rPr>
          <w:rFonts w:asciiTheme="minorHAnsi" w:hAnsiTheme="minorHAnsi"/>
        </w:rPr>
        <w:t>requires</w:t>
      </w:r>
      <w:r w:rsidR="00A053EE" w:rsidRPr="000A66A1">
        <w:rPr>
          <w:rFonts w:asciiTheme="minorHAnsi" w:hAnsiTheme="minorHAnsi"/>
        </w:rPr>
        <w:t xml:space="preserve"> the dishonesty element, the intention to permanently deprive element and the intention to threaten force </w:t>
      </w:r>
      <w:r w:rsidR="003C1865" w:rsidRPr="000A66A1">
        <w:rPr>
          <w:rFonts w:asciiTheme="minorHAnsi" w:hAnsiTheme="minorHAnsi"/>
        </w:rPr>
        <w:t xml:space="preserve">or </w:t>
      </w:r>
      <w:r w:rsidR="001B2903" w:rsidRPr="000A66A1">
        <w:rPr>
          <w:rFonts w:asciiTheme="minorHAnsi" w:hAnsiTheme="minorHAnsi"/>
        </w:rPr>
        <w:t>use force</w:t>
      </w:r>
      <w:r w:rsidR="001B2903" w:rsidRPr="000A66A1">
        <w:rPr>
          <w:rStyle w:val="FootnoteReference"/>
          <w:rFonts w:asciiTheme="minorHAnsi" w:hAnsiTheme="minorHAnsi"/>
        </w:rPr>
        <w:footnoteReference w:id="151"/>
      </w:r>
      <w:r w:rsidR="00205D38" w:rsidRPr="000A66A1">
        <w:rPr>
          <w:rFonts w:asciiTheme="minorHAnsi" w:hAnsiTheme="minorHAnsi"/>
        </w:rPr>
        <w:t>.</w:t>
      </w:r>
      <w:r w:rsidR="001B2903" w:rsidRPr="000A66A1">
        <w:rPr>
          <w:rFonts w:asciiTheme="minorHAnsi" w:hAnsiTheme="minorHAnsi"/>
        </w:rPr>
        <w:t xml:space="preserve"> </w:t>
      </w:r>
    </w:p>
    <w:p w14:paraId="4B293EC4" w14:textId="0859D47A" w:rsidR="00CD59AC" w:rsidRPr="000A66A1" w:rsidRDefault="00CD59AC" w:rsidP="000A66A1">
      <w:pPr>
        <w:spacing w:line="360" w:lineRule="auto"/>
        <w:jc w:val="both"/>
        <w:rPr>
          <w:rFonts w:asciiTheme="minorHAnsi" w:hAnsiTheme="minorHAnsi"/>
        </w:rPr>
      </w:pPr>
    </w:p>
    <w:p w14:paraId="7938F5AD" w14:textId="5E1D5730" w:rsidR="00CD59AC" w:rsidRPr="000A66A1" w:rsidRDefault="004C1639" w:rsidP="000A66A1">
      <w:pPr>
        <w:spacing w:line="360" w:lineRule="auto"/>
        <w:jc w:val="both"/>
        <w:rPr>
          <w:rFonts w:asciiTheme="minorHAnsi" w:hAnsiTheme="minorHAnsi"/>
        </w:rPr>
      </w:pPr>
      <w:r w:rsidRPr="000A66A1">
        <w:rPr>
          <w:rFonts w:asciiTheme="minorHAnsi" w:hAnsiTheme="minorHAnsi"/>
        </w:rPr>
        <w:t xml:space="preserve">It is </w:t>
      </w:r>
      <w:r w:rsidR="00205D38" w:rsidRPr="000A66A1">
        <w:rPr>
          <w:rFonts w:asciiTheme="minorHAnsi" w:hAnsiTheme="minorHAnsi"/>
        </w:rPr>
        <w:t xml:space="preserve">further </w:t>
      </w:r>
      <w:r w:rsidRPr="000A66A1">
        <w:rPr>
          <w:rFonts w:asciiTheme="minorHAnsi" w:hAnsiTheme="minorHAnsi"/>
        </w:rPr>
        <w:t>possible to be charged with two different types of burglary</w:t>
      </w:r>
      <w:r w:rsidR="00E5067C" w:rsidRPr="000A66A1">
        <w:rPr>
          <w:rFonts w:asciiTheme="minorHAnsi" w:hAnsiTheme="minorHAnsi"/>
        </w:rPr>
        <w:t xml:space="preserve"> as well as a form of aggravated burglary</w:t>
      </w:r>
      <w:r w:rsidRPr="000A66A1">
        <w:rPr>
          <w:rFonts w:asciiTheme="minorHAnsi" w:hAnsiTheme="minorHAnsi"/>
        </w:rPr>
        <w:t xml:space="preserve">. </w:t>
      </w:r>
      <w:r w:rsidR="00E5067C" w:rsidRPr="000A66A1">
        <w:rPr>
          <w:rFonts w:asciiTheme="minorHAnsi" w:hAnsiTheme="minorHAnsi"/>
        </w:rPr>
        <w:t>The first is when D enters a building, as a trespasser, with the intent to either steel anything in the building, commit GBH on anyone within that building or to commit any unlawful damage</w:t>
      </w:r>
      <w:r w:rsidR="00E5067C" w:rsidRPr="000A66A1">
        <w:rPr>
          <w:rStyle w:val="FootnoteReference"/>
          <w:rFonts w:asciiTheme="minorHAnsi" w:hAnsiTheme="minorHAnsi"/>
        </w:rPr>
        <w:footnoteReference w:id="152"/>
      </w:r>
      <w:r w:rsidR="00205D38" w:rsidRPr="000A66A1">
        <w:rPr>
          <w:rFonts w:asciiTheme="minorHAnsi" w:hAnsiTheme="minorHAnsi"/>
        </w:rPr>
        <w:t>.</w:t>
      </w:r>
      <w:r w:rsidR="00E5067C" w:rsidRPr="000A66A1">
        <w:rPr>
          <w:rFonts w:asciiTheme="minorHAnsi" w:hAnsiTheme="minorHAnsi"/>
        </w:rPr>
        <w:t xml:space="preserve"> The mens rea of this offence is concerned with the intention upon entry into the building. There must be an intention to commit one of these three acts, and that must be done as a trespasser</w:t>
      </w:r>
      <w:r w:rsidR="00E5067C" w:rsidRPr="000A66A1">
        <w:rPr>
          <w:rStyle w:val="FootnoteReference"/>
          <w:rFonts w:asciiTheme="minorHAnsi" w:hAnsiTheme="minorHAnsi"/>
        </w:rPr>
        <w:footnoteReference w:id="153"/>
      </w:r>
      <w:r w:rsidR="00205D38" w:rsidRPr="000A66A1">
        <w:rPr>
          <w:rFonts w:asciiTheme="minorHAnsi" w:hAnsiTheme="minorHAnsi"/>
        </w:rPr>
        <w:t xml:space="preserve">. </w:t>
      </w:r>
    </w:p>
    <w:p w14:paraId="592CAAF2" w14:textId="21A6F3E9" w:rsidR="00E5067C" w:rsidRPr="000A66A1" w:rsidRDefault="00E5067C" w:rsidP="000A66A1">
      <w:pPr>
        <w:spacing w:line="360" w:lineRule="auto"/>
        <w:jc w:val="both"/>
        <w:rPr>
          <w:rFonts w:asciiTheme="minorHAnsi" w:hAnsiTheme="minorHAnsi"/>
        </w:rPr>
      </w:pPr>
    </w:p>
    <w:p w14:paraId="1CE7FE00" w14:textId="78A70BB5" w:rsidR="00E5067C" w:rsidRPr="000A66A1" w:rsidRDefault="00E5067C" w:rsidP="000A66A1">
      <w:pPr>
        <w:spacing w:line="360" w:lineRule="auto"/>
        <w:jc w:val="both"/>
        <w:rPr>
          <w:rFonts w:asciiTheme="minorHAnsi" w:hAnsiTheme="minorHAnsi"/>
        </w:rPr>
      </w:pPr>
      <w:r w:rsidRPr="000A66A1">
        <w:rPr>
          <w:rFonts w:asciiTheme="minorHAnsi" w:hAnsiTheme="minorHAnsi"/>
        </w:rPr>
        <w:t>The second type of burglary occurs when D enters a building as a trespasser and steals, attempts to steal, inflicts GBH or attempts to inflict GBH</w:t>
      </w:r>
      <w:r w:rsidR="002C6352" w:rsidRPr="000A66A1">
        <w:rPr>
          <w:rStyle w:val="FootnoteReference"/>
          <w:rFonts w:asciiTheme="minorHAnsi" w:hAnsiTheme="minorHAnsi"/>
        </w:rPr>
        <w:footnoteReference w:id="154"/>
      </w:r>
      <w:r w:rsidR="009E7C35" w:rsidRPr="000A66A1">
        <w:rPr>
          <w:rFonts w:asciiTheme="minorHAnsi" w:hAnsiTheme="minorHAnsi"/>
        </w:rPr>
        <w:t>.</w:t>
      </w:r>
      <w:r w:rsidR="002C6352" w:rsidRPr="000A66A1">
        <w:rPr>
          <w:rFonts w:asciiTheme="minorHAnsi" w:hAnsiTheme="minorHAnsi"/>
        </w:rPr>
        <w:t xml:space="preserve"> Although the </w:t>
      </w:r>
      <w:r w:rsidR="002C6352" w:rsidRPr="000A66A1">
        <w:rPr>
          <w:rFonts w:asciiTheme="minorHAnsi" w:hAnsiTheme="minorHAnsi"/>
        </w:rPr>
        <w:lastRenderedPageBreak/>
        <w:t>mens rea of the trespassing element can be one of recklessness, there must also be the required mens rea for one of the other offences</w:t>
      </w:r>
      <w:r w:rsidR="00731F30" w:rsidRPr="000A66A1">
        <w:rPr>
          <w:rStyle w:val="FootnoteReference"/>
          <w:rFonts w:asciiTheme="minorHAnsi" w:hAnsiTheme="minorHAnsi"/>
        </w:rPr>
        <w:footnoteReference w:id="155"/>
      </w:r>
      <w:r w:rsidR="00205D38" w:rsidRPr="000A66A1">
        <w:rPr>
          <w:rFonts w:asciiTheme="minorHAnsi" w:hAnsiTheme="minorHAnsi"/>
        </w:rPr>
        <w:t>.</w:t>
      </w:r>
      <w:r w:rsidR="002C6352" w:rsidRPr="000A66A1">
        <w:rPr>
          <w:rFonts w:asciiTheme="minorHAnsi" w:hAnsiTheme="minorHAnsi"/>
        </w:rPr>
        <w:t xml:space="preserve"> </w:t>
      </w:r>
      <w:r w:rsidR="00731F30" w:rsidRPr="000A66A1">
        <w:rPr>
          <w:rFonts w:asciiTheme="minorHAnsi" w:hAnsiTheme="minorHAnsi"/>
        </w:rPr>
        <w:t xml:space="preserve">For both types of burglary, the maximum sentence is 14 years </w:t>
      </w:r>
      <w:r w:rsidR="0047489E" w:rsidRPr="000A66A1">
        <w:rPr>
          <w:rFonts w:asciiTheme="minorHAnsi" w:hAnsiTheme="minorHAnsi"/>
        </w:rPr>
        <w:t xml:space="preserve">for an offence </w:t>
      </w:r>
      <w:r w:rsidR="00731F30" w:rsidRPr="000A66A1">
        <w:rPr>
          <w:rFonts w:asciiTheme="minorHAnsi" w:hAnsiTheme="minorHAnsi"/>
        </w:rPr>
        <w:t>in a dwelling and 10 years for other buildings</w:t>
      </w:r>
      <w:r w:rsidR="00731F30" w:rsidRPr="000A66A1">
        <w:rPr>
          <w:rStyle w:val="FootnoteReference"/>
          <w:rFonts w:asciiTheme="minorHAnsi" w:hAnsiTheme="minorHAnsi"/>
        </w:rPr>
        <w:footnoteReference w:id="156"/>
      </w:r>
      <w:r w:rsidR="00205D38" w:rsidRPr="000A66A1">
        <w:rPr>
          <w:rFonts w:asciiTheme="minorHAnsi" w:hAnsiTheme="minorHAnsi"/>
        </w:rPr>
        <w:t>.</w:t>
      </w:r>
    </w:p>
    <w:p w14:paraId="335938C4" w14:textId="00E385BB" w:rsidR="00731F30" w:rsidRPr="000A66A1" w:rsidRDefault="00731F30" w:rsidP="000A66A1">
      <w:pPr>
        <w:spacing w:line="360" w:lineRule="auto"/>
        <w:jc w:val="both"/>
        <w:rPr>
          <w:rFonts w:asciiTheme="minorHAnsi" w:hAnsiTheme="minorHAnsi"/>
        </w:rPr>
      </w:pPr>
    </w:p>
    <w:p w14:paraId="338E1832" w14:textId="414C7817" w:rsidR="00731F30" w:rsidRPr="000A66A1" w:rsidRDefault="00731F30" w:rsidP="000A66A1">
      <w:pPr>
        <w:spacing w:line="360" w:lineRule="auto"/>
        <w:jc w:val="both"/>
        <w:rPr>
          <w:rFonts w:asciiTheme="minorHAnsi" w:hAnsiTheme="minorHAnsi"/>
        </w:rPr>
      </w:pPr>
      <w:r w:rsidRPr="000A66A1">
        <w:rPr>
          <w:rFonts w:asciiTheme="minorHAnsi" w:hAnsiTheme="minorHAnsi"/>
        </w:rPr>
        <w:t>To be convicted of aggravated burglary, D must have with him a firearm, imitation firearm, any weapon of offence, or any explosive</w:t>
      </w:r>
      <w:r w:rsidRPr="000A66A1">
        <w:rPr>
          <w:rStyle w:val="FootnoteReference"/>
          <w:rFonts w:asciiTheme="minorHAnsi" w:hAnsiTheme="minorHAnsi"/>
        </w:rPr>
        <w:footnoteReference w:id="157"/>
      </w:r>
      <w:r w:rsidRPr="000A66A1">
        <w:rPr>
          <w:rFonts w:asciiTheme="minorHAnsi" w:hAnsiTheme="minorHAnsi"/>
        </w:rPr>
        <w:t xml:space="preserve"> whilst entering a building (relevant to s.9(1)(a))</w:t>
      </w:r>
      <w:r w:rsidRPr="000A66A1">
        <w:rPr>
          <w:rStyle w:val="FootnoteReference"/>
          <w:rFonts w:asciiTheme="minorHAnsi" w:hAnsiTheme="minorHAnsi"/>
        </w:rPr>
        <w:footnoteReference w:id="158"/>
      </w:r>
      <w:r w:rsidRPr="000A66A1">
        <w:rPr>
          <w:rFonts w:asciiTheme="minorHAnsi" w:hAnsiTheme="minorHAnsi"/>
        </w:rPr>
        <w:t>, or at the time the offence is committed (relevant to s.9(1)(b))</w:t>
      </w:r>
      <w:r w:rsidRPr="000A66A1">
        <w:rPr>
          <w:rStyle w:val="FootnoteReference"/>
          <w:rFonts w:asciiTheme="minorHAnsi" w:hAnsiTheme="minorHAnsi"/>
        </w:rPr>
        <w:footnoteReference w:id="159"/>
      </w:r>
      <w:r w:rsidR="00205D38" w:rsidRPr="000A66A1">
        <w:rPr>
          <w:rFonts w:asciiTheme="minorHAnsi" w:hAnsiTheme="minorHAnsi"/>
        </w:rPr>
        <w:t>.</w:t>
      </w:r>
      <w:r w:rsidRPr="000A66A1">
        <w:rPr>
          <w:rFonts w:asciiTheme="minorHAnsi" w:hAnsiTheme="minorHAnsi"/>
        </w:rPr>
        <w:t xml:space="preserve"> There is no need to establish that D intended using the weapon</w:t>
      </w:r>
      <w:r w:rsidRPr="000A66A1">
        <w:rPr>
          <w:rStyle w:val="FootnoteReference"/>
          <w:rFonts w:asciiTheme="minorHAnsi" w:hAnsiTheme="minorHAnsi"/>
        </w:rPr>
        <w:footnoteReference w:id="160"/>
      </w:r>
      <w:r w:rsidR="007223C0" w:rsidRPr="000A66A1">
        <w:rPr>
          <w:rFonts w:asciiTheme="minorHAnsi" w:hAnsiTheme="minorHAnsi"/>
        </w:rPr>
        <w:t>, only the mens rea of one type of burglary as well as the intention to carry one of the items mentioned above</w:t>
      </w:r>
      <w:r w:rsidR="007223C0" w:rsidRPr="000A66A1">
        <w:rPr>
          <w:rStyle w:val="FootnoteReference"/>
          <w:rFonts w:asciiTheme="minorHAnsi" w:hAnsiTheme="minorHAnsi"/>
        </w:rPr>
        <w:footnoteReference w:id="161"/>
      </w:r>
      <w:r w:rsidR="00205D38" w:rsidRPr="000A66A1">
        <w:rPr>
          <w:rFonts w:asciiTheme="minorHAnsi" w:hAnsiTheme="minorHAnsi"/>
        </w:rPr>
        <w:t>.</w:t>
      </w:r>
      <w:r w:rsidR="007223C0" w:rsidRPr="000A66A1">
        <w:rPr>
          <w:rFonts w:asciiTheme="minorHAnsi" w:hAnsiTheme="minorHAnsi"/>
        </w:rPr>
        <w:t xml:space="preserve"> For aggravated burglary, the maximum sentence is</w:t>
      </w:r>
      <w:r w:rsidR="00B315F1" w:rsidRPr="000A66A1">
        <w:rPr>
          <w:rFonts w:asciiTheme="minorHAnsi" w:hAnsiTheme="minorHAnsi"/>
        </w:rPr>
        <w:t xml:space="preserve"> also</w:t>
      </w:r>
      <w:r w:rsidR="007223C0" w:rsidRPr="000A66A1">
        <w:rPr>
          <w:rFonts w:asciiTheme="minorHAnsi" w:hAnsiTheme="minorHAnsi"/>
        </w:rPr>
        <w:t xml:space="preserve"> life imprisonment</w:t>
      </w:r>
      <w:r w:rsidR="00763F93" w:rsidRPr="000A66A1">
        <w:rPr>
          <w:rStyle w:val="FootnoteReference"/>
          <w:rFonts w:asciiTheme="minorHAnsi" w:hAnsiTheme="minorHAnsi"/>
        </w:rPr>
        <w:footnoteReference w:id="162"/>
      </w:r>
      <w:r w:rsidR="00205D38" w:rsidRPr="000A66A1">
        <w:rPr>
          <w:rFonts w:asciiTheme="minorHAnsi" w:hAnsiTheme="minorHAnsi"/>
        </w:rPr>
        <w:t>.</w:t>
      </w:r>
    </w:p>
    <w:p w14:paraId="4935DC57" w14:textId="3252BFDC" w:rsidR="007223C0" w:rsidRPr="000A66A1" w:rsidRDefault="007223C0" w:rsidP="000A66A1">
      <w:pPr>
        <w:spacing w:line="360" w:lineRule="auto"/>
        <w:jc w:val="both"/>
        <w:rPr>
          <w:rFonts w:asciiTheme="minorHAnsi" w:hAnsiTheme="minorHAnsi"/>
        </w:rPr>
      </w:pPr>
    </w:p>
    <w:p w14:paraId="2B9734FD" w14:textId="2DD62D0B" w:rsidR="007223C0" w:rsidRPr="000A66A1" w:rsidRDefault="007223C0" w:rsidP="000A66A1">
      <w:pPr>
        <w:spacing w:line="360" w:lineRule="auto"/>
        <w:jc w:val="both"/>
        <w:rPr>
          <w:rFonts w:asciiTheme="minorHAnsi" w:hAnsiTheme="minorHAnsi"/>
        </w:rPr>
      </w:pPr>
      <w:r w:rsidRPr="000A66A1">
        <w:rPr>
          <w:rFonts w:asciiTheme="minorHAnsi" w:hAnsiTheme="minorHAnsi"/>
        </w:rPr>
        <w:t xml:space="preserve">On the face of it, these property offences seem similar </w:t>
      </w:r>
      <w:r w:rsidR="0047489E" w:rsidRPr="000A66A1">
        <w:rPr>
          <w:rFonts w:asciiTheme="minorHAnsi" w:hAnsiTheme="minorHAnsi"/>
        </w:rPr>
        <w:t>in str</w:t>
      </w:r>
      <w:r w:rsidR="00ED0E32" w:rsidRPr="000A66A1">
        <w:rPr>
          <w:rFonts w:asciiTheme="minorHAnsi" w:hAnsiTheme="minorHAnsi"/>
        </w:rPr>
        <w:t>u</w:t>
      </w:r>
      <w:r w:rsidR="0047489E" w:rsidRPr="000A66A1">
        <w:rPr>
          <w:rFonts w:asciiTheme="minorHAnsi" w:hAnsiTheme="minorHAnsi"/>
        </w:rPr>
        <w:t xml:space="preserve">cture </w:t>
      </w:r>
      <w:r w:rsidRPr="000A66A1">
        <w:rPr>
          <w:rFonts w:asciiTheme="minorHAnsi" w:hAnsiTheme="minorHAnsi"/>
        </w:rPr>
        <w:t xml:space="preserve">to offences set out in </w:t>
      </w:r>
      <w:r w:rsidR="008C0798" w:rsidRPr="000A66A1">
        <w:rPr>
          <w:rFonts w:asciiTheme="minorHAnsi" w:hAnsiTheme="minorHAnsi"/>
        </w:rPr>
        <w:t>Section</w:t>
      </w:r>
      <w:r w:rsidRPr="000A66A1">
        <w:rPr>
          <w:rFonts w:asciiTheme="minorHAnsi" w:hAnsiTheme="minorHAnsi"/>
        </w:rPr>
        <w:t xml:space="preserve"> </w:t>
      </w:r>
      <w:r w:rsidR="00E14B7B" w:rsidRPr="000A66A1">
        <w:rPr>
          <w:rFonts w:asciiTheme="minorHAnsi" w:hAnsiTheme="minorHAnsi"/>
        </w:rPr>
        <w:t>I</w:t>
      </w:r>
      <w:r w:rsidRPr="000A66A1">
        <w:rPr>
          <w:rFonts w:asciiTheme="minorHAnsi" w:hAnsiTheme="minorHAnsi"/>
        </w:rPr>
        <w:t xml:space="preserve">. </w:t>
      </w:r>
      <w:r w:rsidR="009213F7" w:rsidRPr="000A66A1">
        <w:rPr>
          <w:rFonts w:asciiTheme="minorHAnsi" w:hAnsiTheme="minorHAnsi"/>
        </w:rPr>
        <w:t>With theft and burglary in particular with a lower sentence than robbery and aggravated burglary, they appear to be offences with lower culpability and sentences. T</w:t>
      </w:r>
      <w:r w:rsidR="00205D38" w:rsidRPr="000A66A1">
        <w:rPr>
          <w:rFonts w:asciiTheme="minorHAnsi" w:hAnsiTheme="minorHAnsi"/>
        </w:rPr>
        <w:t>his said, t</w:t>
      </w:r>
      <w:r w:rsidR="009213F7" w:rsidRPr="000A66A1">
        <w:rPr>
          <w:rFonts w:asciiTheme="minorHAnsi" w:hAnsiTheme="minorHAnsi"/>
        </w:rPr>
        <w:t xml:space="preserve">here is a </w:t>
      </w:r>
      <w:r w:rsidR="00205D38" w:rsidRPr="000A66A1">
        <w:rPr>
          <w:rFonts w:asciiTheme="minorHAnsi" w:hAnsiTheme="minorHAnsi"/>
        </w:rPr>
        <w:t xml:space="preserve">significant </w:t>
      </w:r>
      <w:r w:rsidR="009213F7" w:rsidRPr="000A66A1">
        <w:rPr>
          <w:rFonts w:asciiTheme="minorHAnsi" w:hAnsiTheme="minorHAnsi"/>
        </w:rPr>
        <w:t>difference between the offences set out here</w:t>
      </w:r>
      <w:r w:rsidR="00620215" w:rsidRPr="000A66A1">
        <w:rPr>
          <w:rFonts w:asciiTheme="minorHAnsi" w:hAnsiTheme="minorHAnsi"/>
        </w:rPr>
        <w:t>,</w:t>
      </w:r>
      <w:r w:rsidR="009213F7" w:rsidRPr="000A66A1">
        <w:rPr>
          <w:rFonts w:asciiTheme="minorHAnsi" w:hAnsiTheme="minorHAnsi"/>
        </w:rPr>
        <w:t xml:space="preserve"> and the offences set out in </w:t>
      </w:r>
      <w:r w:rsidR="00ED0E32" w:rsidRPr="000A66A1">
        <w:rPr>
          <w:rFonts w:asciiTheme="minorHAnsi" w:hAnsiTheme="minorHAnsi"/>
        </w:rPr>
        <w:t>Section I</w:t>
      </w:r>
      <w:r w:rsidR="00205D38" w:rsidRPr="000A66A1">
        <w:rPr>
          <w:rFonts w:asciiTheme="minorHAnsi" w:hAnsiTheme="minorHAnsi"/>
        </w:rPr>
        <w:t xml:space="preserve"> that must be considered as it has</w:t>
      </w:r>
      <w:r w:rsidR="009213F7" w:rsidRPr="000A66A1">
        <w:rPr>
          <w:rFonts w:asciiTheme="minorHAnsi" w:hAnsiTheme="minorHAnsi"/>
        </w:rPr>
        <w:t xml:space="preserve"> a </w:t>
      </w:r>
      <w:r w:rsidR="00657965" w:rsidRPr="000A66A1">
        <w:rPr>
          <w:rFonts w:asciiTheme="minorHAnsi" w:hAnsiTheme="minorHAnsi"/>
        </w:rPr>
        <w:t>strong</w:t>
      </w:r>
      <w:r w:rsidR="009213F7" w:rsidRPr="000A66A1">
        <w:rPr>
          <w:rFonts w:asciiTheme="minorHAnsi" w:hAnsiTheme="minorHAnsi"/>
        </w:rPr>
        <w:t xml:space="preserve"> </w:t>
      </w:r>
      <w:r w:rsidR="00A6523B" w:rsidRPr="000A66A1">
        <w:rPr>
          <w:rFonts w:asciiTheme="minorHAnsi" w:hAnsiTheme="minorHAnsi"/>
        </w:rPr>
        <w:t xml:space="preserve">impact </w:t>
      </w:r>
      <w:r w:rsidR="009213F7" w:rsidRPr="000A66A1">
        <w:rPr>
          <w:rFonts w:asciiTheme="minorHAnsi" w:hAnsiTheme="minorHAnsi"/>
        </w:rPr>
        <w:t xml:space="preserve">on the </w:t>
      </w:r>
      <w:r w:rsidR="00A6523B" w:rsidRPr="000A66A1">
        <w:rPr>
          <w:rFonts w:asciiTheme="minorHAnsi" w:hAnsiTheme="minorHAnsi"/>
        </w:rPr>
        <w:t xml:space="preserve">effectiveness of the intoxication doctrine. Due to all </w:t>
      </w:r>
      <w:r w:rsidR="00205D38" w:rsidRPr="000A66A1">
        <w:rPr>
          <w:rFonts w:asciiTheme="minorHAnsi" w:hAnsiTheme="minorHAnsi"/>
        </w:rPr>
        <w:t xml:space="preserve">the </w:t>
      </w:r>
      <w:r w:rsidR="00A6523B" w:rsidRPr="000A66A1">
        <w:rPr>
          <w:rFonts w:asciiTheme="minorHAnsi" w:hAnsiTheme="minorHAnsi"/>
        </w:rPr>
        <w:t xml:space="preserve">offences above </w:t>
      </w:r>
      <w:r w:rsidR="00B315F1" w:rsidRPr="000A66A1">
        <w:rPr>
          <w:rFonts w:asciiTheme="minorHAnsi" w:hAnsiTheme="minorHAnsi"/>
        </w:rPr>
        <w:t xml:space="preserve">being </w:t>
      </w:r>
      <w:r w:rsidR="00205D38" w:rsidRPr="000A66A1">
        <w:rPr>
          <w:rFonts w:asciiTheme="minorHAnsi" w:hAnsiTheme="minorHAnsi"/>
        </w:rPr>
        <w:t xml:space="preserve">that </w:t>
      </w:r>
      <w:r w:rsidR="00A6523B" w:rsidRPr="000A66A1">
        <w:rPr>
          <w:rFonts w:asciiTheme="minorHAnsi" w:hAnsiTheme="minorHAnsi"/>
        </w:rPr>
        <w:t xml:space="preserve">of ulterior intent, this </w:t>
      </w:r>
      <w:r w:rsidR="00205D38" w:rsidRPr="000A66A1">
        <w:rPr>
          <w:rFonts w:asciiTheme="minorHAnsi" w:hAnsiTheme="minorHAnsi"/>
        </w:rPr>
        <w:t>indicates</w:t>
      </w:r>
      <w:r w:rsidR="00A6523B" w:rsidRPr="000A66A1">
        <w:rPr>
          <w:rFonts w:asciiTheme="minorHAnsi" w:hAnsiTheme="minorHAnsi"/>
        </w:rPr>
        <w:t xml:space="preserve"> they</w:t>
      </w:r>
      <w:r w:rsidR="00B315F1" w:rsidRPr="000A66A1">
        <w:rPr>
          <w:rFonts w:asciiTheme="minorHAnsi" w:hAnsiTheme="minorHAnsi"/>
        </w:rPr>
        <w:t xml:space="preserve"> will also be</w:t>
      </w:r>
      <w:r w:rsidR="00205D38" w:rsidRPr="000A66A1">
        <w:rPr>
          <w:rFonts w:asciiTheme="minorHAnsi" w:hAnsiTheme="minorHAnsi"/>
        </w:rPr>
        <w:t xml:space="preserve"> </w:t>
      </w:r>
      <w:r w:rsidR="00A6523B" w:rsidRPr="000A66A1">
        <w:rPr>
          <w:rFonts w:asciiTheme="minorHAnsi" w:hAnsiTheme="minorHAnsi"/>
        </w:rPr>
        <w:t>specific intent offences. If any of the offences are committed whilst intoxicated, the jury or magistrate will be directed to acquit if that intoxication makes it so the fault element cannot be established.</w:t>
      </w:r>
    </w:p>
    <w:p w14:paraId="1D5F01BC" w14:textId="60D24769" w:rsidR="00A6523B" w:rsidRPr="000A66A1" w:rsidRDefault="00A6523B" w:rsidP="000A66A1">
      <w:pPr>
        <w:spacing w:line="360" w:lineRule="auto"/>
        <w:jc w:val="both"/>
        <w:rPr>
          <w:rFonts w:asciiTheme="minorHAnsi" w:hAnsiTheme="minorHAnsi"/>
        </w:rPr>
      </w:pPr>
    </w:p>
    <w:p w14:paraId="7E0A773C" w14:textId="54701F58" w:rsidR="00A6523B" w:rsidRPr="000A66A1" w:rsidRDefault="00A6523B" w:rsidP="000A66A1">
      <w:pPr>
        <w:spacing w:line="360" w:lineRule="auto"/>
        <w:jc w:val="both"/>
        <w:rPr>
          <w:rFonts w:asciiTheme="minorHAnsi" w:hAnsiTheme="minorHAnsi"/>
        </w:rPr>
      </w:pPr>
      <w:r w:rsidRPr="000A66A1">
        <w:rPr>
          <w:rFonts w:asciiTheme="minorHAnsi" w:hAnsiTheme="minorHAnsi"/>
        </w:rPr>
        <w:t xml:space="preserve">The use of intoxication in relation to offences in </w:t>
      </w:r>
      <w:r w:rsidR="00ED0E32" w:rsidRPr="000A66A1">
        <w:rPr>
          <w:rFonts w:asciiTheme="minorHAnsi" w:hAnsiTheme="minorHAnsi"/>
        </w:rPr>
        <w:t>S</w:t>
      </w:r>
      <w:r w:rsidR="0047489E" w:rsidRPr="000A66A1">
        <w:rPr>
          <w:rFonts w:asciiTheme="minorHAnsi" w:hAnsiTheme="minorHAnsi"/>
        </w:rPr>
        <w:t>ection I</w:t>
      </w:r>
      <w:r w:rsidR="00480DCF" w:rsidRPr="000A66A1">
        <w:rPr>
          <w:rFonts w:asciiTheme="minorHAnsi" w:hAnsiTheme="minorHAnsi"/>
        </w:rPr>
        <w:t xml:space="preserve"> can</w:t>
      </w:r>
      <w:r w:rsidR="00B0386B" w:rsidRPr="000A66A1">
        <w:rPr>
          <w:rFonts w:asciiTheme="minorHAnsi" w:hAnsiTheme="minorHAnsi"/>
        </w:rPr>
        <w:t xml:space="preserve"> be effective </w:t>
      </w:r>
      <w:r w:rsidRPr="000A66A1">
        <w:rPr>
          <w:rFonts w:asciiTheme="minorHAnsi" w:hAnsiTheme="minorHAnsi"/>
        </w:rPr>
        <w:t>in practice due to the</w:t>
      </w:r>
      <w:r w:rsidR="00B0386B" w:rsidRPr="000A66A1">
        <w:rPr>
          <w:rFonts w:asciiTheme="minorHAnsi" w:hAnsiTheme="minorHAnsi"/>
        </w:rPr>
        <w:t xml:space="preserve"> existence of multiple offences with the same actus reus</w:t>
      </w:r>
      <w:r w:rsidRPr="000A66A1">
        <w:rPr>
          <w:rFonts w:asciiTheme="minorHAnsi" w:hAnsiTheme="minorHAnsi"/>
        </w:rPr>
        <w:t xml:space="preserve">. As </w:t>
      </w:r>
      <w:r w:rsidRPr="000A66A1">
        <w:rPr>
          <w:rFonts w:asciiTheme="minorHAnsi" w:hAnsiTheme="minorHAnsi"/>
        </w:rPr>
        <w:lastRenderedPageBreak/>
        <w:t xml:space="preserve">there </w:t>
      </w:r>
      <w:r w:rsidR="00C673F5" w:rsidRPr="000A66A1">
        <w:rPr>
          <w:rFonts w:asciiTheme="minorHAnsi" w:hAnsiTheme="minorHAnsi"/>
        </w:rPr>
        <w:t>are no</w:t>
      </w:r>
      <w:r w:rsidRPr="000A66A1">
        <w:rPr>
          <w:rFonts w:asciiTheme="minorHAnsi" w:hAnsiTheme="minorHAnsi"/>
        </w:rPr>
        <w:t xml:space="preserve"> </w:t>
      </w:r>
      <w:r w:rsidR="00B0386B" w:rsidRPr="000A66A1">
        <w:rPr>
          <w:rFonts w:asciiTheme="minorHAnsi" w:hAnsiTheme="minorHAnsi"/>
        </w:rPr>
        <w:t xml:space="preserve">offences that exist that have the same actus reus as </w:t>
      </w:r>
      <w:r w:rsidRPr="000A66A1">
        <w:rPr>
          <w:rFonts w:asciiTheme="minorHAnsi" w:hAnsiTheme="minorHAnsi"/>
        </w:rPr>
        <w:t xml:space="preserve">theft </w:t>
      </w:r>
      <w:r w:rsidR="00B0386B" w:rsidRPr="000A66A1">
        <w:rPr>
          <w:rFonts w:asciiTheme="minorHAnsi" w:hAnsiTheme="minorHAnsi"/>
        </w:rPr>
        <w:t>and</w:t>
      </w:r>
      <w:r w:rsidRPr="000A66A1">
        <w:rPr>
          <w:rFonts w:asciiTheme="minorHAnsi" w:hAnsiTheme="minorHAnsi"/>
        </w:rPr>
        <w:t xml:space="preserve"> burglary</w:t>
      </w:r>
      <w:r w:rsidR="00C673F5" w:rsidRPr="000A66A1">
        <w:rPr>
          <w:rFonts w:asciiTheme="minorHAnsi" w:hAnsiTheme="minorHAnsi"/>
        </w:rPr>
        <w:t xml:space="preserve">, offenders will </w:t>
      </w:r>
      <w:r w:rsidR="00480DCF" w:rsidRPr="000A66A1">
        <w:rPr>
          <w:rFonts w:asciiTheme="minorHAnsi" w:hAnsiTheme="minorHAnsi"/>
        </w:rPr>
        <w:t xml:space="preserve">potentially </w:t>
      </w:r>
      <w:r w:rsidR="00C673F5" w:rsidRPr="000A66A1">
        <w:rPr>
          <w:rFonts w:asciiTheme="minorHAnsi" w:hAnsiTheme="minorHAnsi"/>
        </w:rPr>
        <w:t xml:space="preserve">be acquitted. Rather than </w:t>
      </w:r>
      <w:r w:rsidR="00480DCF" w:rsidRPr="000A66A1">
        <w:rPr>
          <w:rFonts w:asciiTheme="minorHAnsi" w:hAnsiTheme="minorHAnsi"/>
        </w:rPr>
        <w:t>acting as the deterrent that it should</w:t>
      </w:r>
      <w:r w:rsidR="00C673F5" w:rsidRPr="000A66A1">
        <w:rPr>
          <w:rFonts w:asciiTheme="minorHAnsi" w:hAnsiTheme="minorHAnsi"/>
        </w:rPr>
        <w:t xml:space="preserve">, the basic and specific intent distinction in relation to property offences </w:t>
      </w:r>
      <w:r w:rsidR="005F7FA6" w:rsidRPr="000A66A1">
        <w:rPr>
          <w:rFonts w:asciiTheme="minorHAnsi" w:hAnsiTheme="minorHAnsi"/>
        </w:rPr>
        <w:t xml:space="preserve">may </w:t>
      </w:r>
      <w:r w:rsidR="00C673F5" w:rsidRPr="000A66A1">
        <w:rPr>
          <w:rFonts w:asciiTheme="minorHAnsi" w:hAnsiTheme="minorHAnsi"/>
        </w:rPr>
        <w:t>encourage intoxication amongst offenders.</w:t>
      </w:r>
    </w:p>
    <w:p w14:paraId="30A66BF9" w14:textId="7B88ECBF" w:rsidR="00C673F5" w:rsidRPr="000A66A1" w:rsidRDefault="00C673F5" w:rsidP="000A66A1">
      <w:pPr>
        <w:spacing w:line="360" w:lineRule="auto"/>
        <w:jc w:val="both"/>
        <w:rPr>
          <w:rFonts w:asciiTheme="minorHAnsi" w:hAnsiTheme="minorHAnsi"/>
        </w:rPr>
      </w:pPr>
    </w:p>
    <w:p w14:paraId="491E3EA4" w14:textId="71D4B76A" w:rsidR="00EE4D7D" w:rsidRPr="000A66A1" w:rsidRDefault="00C673F5" w:rsidP="000A66A1">
      <w:pPr>
        <w:spacing w:line="360" w:lineRule="auto"/>
        <w:jc w:val="both"/>
        <w:rPr>
          <w:rFonts w:asciiTheme="minorHAnsi" w:hAnsiTheme="minorHAnsi"/>
        </w:rPr>
      </w:pPr>
      <w:r w:rsidRPr="000A66A1">
        <w:rPr>
          <w:rFonts w:asciiTheme="minorHAnsi" w:hAnsiTheme="minorHAnsi"/>
        </w:rPr>
        <w:t>Clearly</w:t>
      </w:r>
      <w:r w:rsidR="00620215" w:rsidRPr="000A66A1">
        <w:rPr>
          <w:rFonts w:asciiTheme="minorHAnsi" w:hAnsiTheme="minorHAnsi"/>
        </w:rPr>
        <w:t>,</w:t>
      </w:r>
      <w:r w:rsidRPr="000A66A1">
        <w:rPr>
          <w:rFonts w:asciiTheme="minorHAnsi" w:hAnsiTheme="minorHAnsi"/>
        </w:rPr>
        <w:t xml:space="preserve"> this en</w:t>
      </w:r>
      <w:r w:rsidR="00480DCF" w:rsidRPr="000A66A1">
        <w:rPr>
          <w:rFonts w:asciiTheme="minorHAnsi" w:hAnsiTheme="minorHAnsi"/>
        </w:rPr>
        <w:t>gages</w:t>
      </w:r>
      <w:r w:rsidRPr="000A66A1">
        <w:rPr>
          <w:rFonts w:asciiTheme="minorHAnsi" w:hAnsiTheme="minorHAnsi"/>
        </w:rPr>
        <w:t xml:space="preserve"> some public policy concern</w:t>
      </w:r>
      <w:r w:rsidR="00480DCF" w:rsidRPr="000A66A1">
        <w:rPr>
          <w:rFonts w:asciiTheme="minorHAnsi" w:hAnsiTheme="minorHAnsi"/>
        </w:rPr>
        <w:t>s</w:t>
      </w:r>
      <w:r w:rsidRPr="000A66A1">
        <w:rPr>
          <w:rFonts w:asciiTheme="minorHAnsi" w:hAnsiTheme="minorHAnsi"/>
        </w:rPr>
        <w:t xml:space="preserve">. It creates the sense that the priority is creating a fair judgement for </w:t>
      </w:r>
      <w:r w:rsidR="005C3DD2" w:rsidRPr="000A66A1">
        <w:rPr>
          <w:rFonts w:asciiTheme="minorHAnsi" w:hAnsiTheme="minorHAnsi"/>
        </w:rPr>
        <w:t>the offenders</w:t>
      </w:r>
      <w:r w:rsidRPr="000A66A1">
        <w:rPr>
          <w:rFonts w:asciiTheme="minorHAnsi" w:hAnsiTheme="minorHAnsi"/>
        </w:rPr>
        <w:t>, rather than</w:t>
      </w:r>
      <w:r w:rsidR="00EE4D7D" w:rsidRPr="000A66A1">
        <w:rPr>
          <w:rFonts w:asciiTheme="minorHAnsi" w:hAnsiTheme="minorHAnsi"/>
        </w:rPr>
        <w:t xml:space="preserve"> the promotion of safety for others. If the proposed theory behind the offences in </w:t>
      </w:r>
      <w:r w:rsidR="00ED0E32" w:rsidRPr="000A66A1">
        <w:rPr>
          <w:rFonts w:asciiTheme="minorHAnsi" w:hAnsiTheme="minorHAnsi"/>
        </w:rPr>
        <w:t>S</w:t>
      </w:r>
      <w:r w:rsidR="0047489E" w:rsidRPr="000A66A1">
        <w:rPr>
          <w:rFonts w:asciiTheme="minorHAnsi" w:hAnsiTheme="minorHAnsi"/>
        </w:rPr>
        <w:t>ection I</w:t>
      </w:r>
      <w:r w:rsidR="00EE4D7D" w:rsidRPr="000A66A1">
        <w:rPr>
          <w:rFonts w:asciiTheme="minorHAnsi" w:hAnsiTheme="minorHAnsi"/>
        </w:rPr>
        <w:t xml:space="preserve"> is that the fault needed for all basic intent offences is equivalent to the fault of becoming intoxicated</w:t>
      </w:r>
      <w:r w:rsidR="00B0386B" w:rsidRPr="000A66A1">
        <w:rPr>
          <w:rFonts w:asciiTheme="minorHAnsi" w:hAnsiTheme="minorHAnsi"/>
        </w:rPr>
        <w:t>, this could also be argued for theft and burglary. The custodial sentence of which is less than the sentence for manslaughter.</w:t>
      </w:r>
    </w:p>
    <w:p w14:paraId="06C98621" w14:textId="77777777" w:rsidR="00EE4D7D" w:rsidRPr="000A66A1" w:rsidRDefault="00EE4D7D" w:rsidP="000A66A1">
      <w:pPr>
        <w:spacing w:line="360" w:lineRule="auto"/>
        <w:jc w:val="both"/>
        <w:rPr>
          <w:rFonts w:asciiTheme="minorHAnsi" w:hAnsiTheme="minorHAnsi"/>
        </w:rPr>
      </w:pPr>
    </w:p>
    <w:p w14:paraId="4EEF4B8E" w14:textId="33DCA1A3" w:rsidR="00C673F5" w:rsidRPr="000A66A1" w:rsidRDefault="00EE4D7D" w:rsidP="000A66A1">
      <w:pPr>
        <w:spacing w:line="360" w:lineRule="auto"/>
        <w:jc w:val="both"/>
        <w:rPr>
          <w:rFonts w:asciiTheme="minorHAnsi" w:hAnsiTheme="minorHAnsi"/>
        </w:rPr>
      </w:pPr>
      <w:r w:rsidRPr="000A66A1">
        <w:rPr>
          <w:rFonts w:asciiTheme="minorHAnsi" w:hAnsiTheme="minorHAnsi"/>
        </w:rPr>
        <w:t>I</w:t>
      </w:r>
      <w:r w:rsidR="00F31DD6" w:rsidRPr="000A66A1">
        <w:rPr>
          <w:rFonts w:asciiTheme="minorHAnsi" w:hAnsiTheme="minorHAnsi"/>
        </w:rPr>
        <w:t>t</w:t>
      </w:r>
      <w:r w:rsidRPr="000A66A1">
        <w:rPr>
          <w:rFonts w:asciiTheme="minorHAnsi" w:hAnsiTheme="minorHAnsi"/>
        </w:rPr>
        <w:t xml:space="preserve"> can be argued that by recklessly becoming intoxicated, there is a heightened risk of recklessness</w:t>
      </w:r>
      <w:r w:rsidR="00F31DD6" w:rsidRPr="000A66A1">
        <w:rPr>
          <w:rFonts w:asciiTheme="minorHAnsi" w:hAnsiTheme="minorHAnsi"/>
        </w:rPr>
        <w:t xml:space="preserve"> as well as other morally corrupt behaviour</w:t>
      </w:r>
      <w:r w:rsidR="005F7FA6" w:rsidRPr="000A66A1">
        <w:rPr>
          <w:rFonts w:asciiTheme="minorHAnsi" w:hAnsiTheme="minorHAnsi"/>
        </w:rPr>
        <w:t xml:space="preserve">. This </w:t>
      </w:r>
      <w:r w:rsidRPr="000A66A1">
        <w:rPr>
          <w:rFonts w:asciiTheme="minorHAnsi" w:hAnsiTheme="minorHAnsi"/>
        </w:rPr>
        <w:t xml:space="preserve">could lead to theft from another person or </w:t>
      </w:r>
      <w:r w:rsidR="00BF57D7" w:rsidRPr="000A66A1">
        <w:rPr>
          <w:rFonts w:asciiTheme="minorHAnsi" w:hAnsiTheme="minorHAnsi"/>
        </w:rPr>
        <w:t xml:space="preserve">from </w:t>
      </w:r>
      <w:r w:rsidRPr="000A66A1">
        <w:rPr>
          <w:rFonts w:asciiTheme="minorHAnsi" w:hAnsiTheme="minorHAnsi"/>
        </w:rPr>
        <w:t>another person’s property. The culpability of becoming intoxicated and</w:t>
      </w:r>
      <w:r w:rsidR="00F31DD6" w:rsidRPr="000A66A1">
        <w:rPr>
          <w:rFonts w:asciiTheme="minorHAnsi" w:hAnsiTheme="minorHAnsi"/>
        </w:rPr>
        <w:t xml:space="preserve"> then</w:t>
      </w:r>
      <w:r w:rsidRPr="000A66A1">
        <w:rPr>
          <w:rFonts w:asciiTheme="minorHAnsi" w:hAnsiTheme="minorHAnsi"/>
        </w:rPr>
        <w:t xml:space="preserve"> committing theft or burglary should not warrant an acquittal. This would place an intoxicated thief in a better position than a </w:t>
      </w:r>
      <w:r w:rsidR="00B41461" w:rsidRPr="000A66A1">
        <w:rPr>
          <w:rFonts w:asciiTheme="minorHAnsi" w:hAnsiTheme="minorHAnsi"/>
        </w:rPr>
        <w:t>sober thief, which only encourages wrongdoing rather than acting as a deterrent as it should.</w:t>
      </w:r>
    </w:p>
    <w:p w14:paraId="5234DC57" w14:textId="77777777" w:rsidR="00391177" w:rsidRPr="000A66A1" w:rsidRDefault="00391177" w:rsidP="000A66A1">
      <w:pPr>
        <w:spacing w:line="360" w:lineRule="auto"/>
        <w:jc w:val="both"/>
        <w:rPr>
          <w:rFonts w:asciiTheme="minorHAnsi" w:hAnsiTheme="minorHAnsi"/>
          <w:u w:val="single"/>
        </w:rPr>
      </w:pPr>
    </w:p>
    <w:p w14:paraId="7D5F6DA8" w14:textId="7FE368B5" w:rsidR="00B41461" w:rsidRPr="000A66A1" w:rsidRDefault="00B41461" w:rsidP="000A66A1">
      <w:pPr>
        <w:spacing w:line="360" w:lineRule="auto"/>
        <w:jc w:val="both"/>
        <w:rPr>
          <w:rFonts w:asciiTheme="minorHAnsi" w:hAnsiTheme="minorHAnsi"/>
          <w:u w:val="single"/>
        </w:rPr>
      </w:pPr>
      <w:r w:rsidRPr="000A66A1">
        <w:rPr>
          <w:rFonts w:asciiTheme="minorHAnsi" w:hAnsiTheme="minorHAnsi"/>
          <w:u w:val="single"/>
        </w:rPr>
        <w:t>Dishonesty</w:t>
      </w:r>
    </w:p>
    <w:p w14:paraId="36E1CAF0" w14:textId="0F3336ED" w:rsidR="00B41461" w:rsidRPr="000A66A1" w:rsidRDefault="00B41461" w:rsidP="000A66A1">
      <w:pPr>
        <w:spacing w:line="360" w:lineRule="auto"/>
        <w:jc w:val="both"/>
        <w:rPr>
          <w:rFonts w:asciiTheme="minorHAnsi" w:hAnsiTheme="minorHAnsi"/>
        </w:rPr>
      </w:pPr>
    </w:p>
    <w:p w14:paraId="3ACEDE7E" w14:textId="687623EF" w:rsidR="00B41461" w:rsidRPr="000A66A1" w:rsidRDefault="00B41461" w:rsidP="000A66A1">
      <w:pPr>
        <w:spacing w:line="360" w:lineRule="auto"/>
        <w:jc w:val="both"/>
        <w:rPr>
          <w:rFonts w:asciiTheme="minorHAnsi" w:hAnsiTheme="minorHAnsi"/>
        </w:rPr>
      </w:pPr>
      <w:r w:rsidRPr="000A66A1">
        <w:rPr>
          <w:rFonts w:asciiTheme="minorHAnsi" w:hAnsiTheme="minorHAnsi"/>
        </w:rPr>
        <w:t xml:space="preserve">Theft has always been considered to be a specific intent offence due to the ulterior intent that has to be established. It is interesting to analyse the reasoning for this using the new test for dishonesty. </w:t>
      </w:r>
    </w:p>
    <w:p w14:paraId="620AC234" w14:textId="51C93788" w:rsidR="00FD49F2" w:rsidRPr="000A66A1" w:rsidRDefault="00FD49F2" w:rsidP="000A66A1">
      <w:pPr>
        <w:spacing w:line="360" w:lineRule="auto"/>
        <w:jc w:val="both"/>
        <w:rPr>
          <w:rFonts w:asciiTheme="minorHAnsi" w:hAnsiTheme="minorHAnsi"/>
        </w:rPr>
      </w:pPr>
    </w:p>
    <w:p w14:paraId="216342FB" w14:textId="7FAD9B07" w:rsidR="008D702F" w:rsidRPr="000A66A1" w:rsidRDefault="00FD49F2" w:rsidP="000A66A1">
      <w:pPr>
        <w:spacing w:line="360" w:lineRule="auto"/>
        <w:jc w:val="both"/>
        <w:rPr>
          <w:rFonts w:asciiTheme="minorHAnsi" w:hAnsiTheme="minorHAnsi"/>
        </w:rPr>
      </w:pPr>
      <w:r w:rsidRPr="000A66A1">
        <w:rPr>
          <w:rFonts w:asciiTheme="minorHAnsi" w:hAnsiTheme="minorHAnsi"/>
        </w:rPr>
        <w:t>The original test for dishonesty was a two-part test</w:t>
      </w:r>
      <w:r w:rsidRPr="000A66A1">
        <w:rPr>
          <w:rStyle w:val="FootnoteReference"/>
          <w:rFonts w:asciiTheme="minorHAnsi" w:hAnsiTheme="minorHAnsi"/>
        </w:rPr>
        <w:footnoteReference w:id="163"/>
      </w:r>
      <w:r w:rsidR="005F7FA6" w:rsidRPr="000A66A1">
        <w:rPr>
          <w:rFonts w:asciiTheme="minorHAnsi" w:hAnsiTheme="minorHAnsi"/>
        </w:rPr>
        <w:t>,</w:t>
      </w:r>
      <w:r w:rsidRPr="000A66A1">
        <w:rPr>
          <w:rFonts w:asciiTheme="minorHAnsi" w:hAnsiTheme="minorHAnsi"/>
        </w:rPr>
        <w:t xml:space="preserve"> where jurors </w:t>
      </w:r>
      <w:r w:rsidR="005F7FA6" w:rsidRPr="000A66A1">
        <w:rPr>
          <w:rFonts w:asciiTheme="minorHAnsi" w:hAnsiTheme="minorHAnsi"/>
        </w:rPr>
        <w:t xml:space="preserve">and </w:t>
      </w:r>
      <w:r w:rsidRPr="000A66A1">
        <w:rPr>
          <w:rFonts w:asciiTheme="minorHAnsi" w:hAnsiTheme="minorHAnsi"/>
        </w:rPr>
        <w:t xml:space="preserve">magistrates were asked to consider two questions. The first question was whether the conduct complained of was dishonest by the objective standards of reasonable and honest people. If the </w:t>
      </w:r>
      <w:r w:rsidR="00A076C2" w:rsidRPr="000A66A1">
        <w:rPr>
          <w:rFonts w:asciiTheme="minorHAnsi" w:hAnsiTheme="minorHAnsi"/>
        </w:rPr>
        <w:t xml:space="preserve">conduct complained of was dishonest in comparison to this standard, the second question considered would be whether the defendant </w:t>
      </w:r>
      <w:r w:rsidR="00A076C2" w:rsidRPr="000A66A1">
        <w:rPr>
          <w:rFonts w:asciiTheme="minorHAnsi" w:hAnsiTheme="minorHAnsi"/>
        </w:rPr>
        <w:lastRenderedPageBreak/>
        <w:t>would have realised that a reasonable and honest person would regard his conduct as dishonest</w:t>
      </w:r>
      <w:r w:rsidR="00F31DD6" w:rsidRPr="000A66A1">
        <w:rPr>
          <w:rStyle w:val="FootnoteReference"/>
          <w:rFonts w:asciiTheme="minorHAnsi" w:hAnsiTheme="minorHAnsi"/>
        </w:rPr>
        <w:footnoteReference w:id="164"/>
      </w:r>
      <w:r w:rsidR="009E7C35" w:rsidRPr="000A66A1">
        <w:rPr>
          <w:rFonts w:asciiTheme="minorHAnsi" w:hAnsiTheme="minorHAnsi"/>
        </w:rPr>
        <w:t>.</w:t>
      </w:r>
      <w:r w:rsidR="00A076C2" w:rsidRPr="000A66A1">
        <w:rPr>
          <w:rFonts w:asciiTheme="minorHAnsi" w:hAnsiTheme="minorHAnsi"/>
        </w:rPr>
        <w:t xml:space="preserve"> This test allowed an element of subjectivity. </w:t>
      </w:r>
      <w:r w:rsidR="005F7FA6" w:rsidRPr="000A66A1">
        <w:rPr>
          <w:rFonts w:asciiTheme="minorHAnsi" w:hAnsiTheme="minorHAnsi"/>
        </w:rPr>
        <w:t xml:space="preserve">The answers to both of which had to be yes for the dishonesty element to be established. </w:t>
      </w:r>
      <w:r w:rsidR="009F1794" w:rsidRPr="000A66A1">
        <w:rPr>
          <w:rFonts w:asciiTheme="minorHAnsi" w:hAnsiTheme="minorHAnsi"/>
        </w:rPr>
        <w:t>This test ha</w:t>
      </w:r>
      <w:r w:rsidR="004A0775" w:rsidRPr="000A66A1">
        <w:rPr>
          <w:rFonts w:asciiTheme="minorHAnsi" w:hAnsiTheme="minorHAnsi"/>
        </w:rPr>
        <w:t>d</w:t>
      </w:r>
      <w:r w:rsidR="009F1794" w:rsidRPr="000A66A1">
        <w:rPr>
          <w:rFonts w:asciiTheme="minorHAnsi" w:hAnsiTheme="minorHAnsi"/>
        </w:rPr>
        <w:t xml:space="preserve"> been criticised for its ambiguity</w:t>
      </w:r>
      <w:r w:rsidR="009F1794" w:rsidRPr="000A66A1">
        <w:rPr>
          <w:rStyle w:val="FootnoteReference"/>
          <w:rFonts w:asciiTheme="minorHAnsi" w:hAnsiTheme="minorHAnsi"/>
        </w:rPr>
        <w:footnoteReference w:id="165"/>
      </w:r>
      <w:r w:rsidR="009E7C35" w:rsidRPr="000A66A1">
        <w:rPr>
          <w:rFonts w:asciiTheme="minorHAnsi" w:hAnsiTheme="minorHAnsi"/>
        </w:rPr>
        <w:t>.</w:t>
      </w:r>
    </w:p>
    <w:p w14:paraId="705BE28C" w14:textId="77777777" w:rsidR="008D702F" w:rsidRPr="000A66A1" w:rsidRDefault="008D702F" w:rsidP="000A66A1">
      <w:pPr>
        <w:spacing w:line="360" w:lineRule="auto"/>
        <w:jc w:val="both"/>
        <w:rPr>
          <w:rFonts w:asciiTheme="minorHAnsi" w:hAnsiTheme="minorHAnsi"/>
        </w:rPr>
      </w:pPr>
    </w:p>
    <w:p w14:paraId="2F6432CD" w14:textId="376A8D9B" w:rsidR="00FD49F2" w:rsidRPr="000A66A1" w:rsidRDefault="00A076C2" w:rsidP="000A66A1">
      <w:pPr>
        <w:spacing w:line="360" w:lineRule="auto"/>
        <w:jc w:val="both"/>
        <w:rPr>
          <w:rFonts w:asciiTheme="minorHAnsi" w:hAnsiTheme="minorHAnsi"/>
        </w:rPr>
      </w:pPr>
      <w:r w:rsidRPr="000A66A1">
        <w:rPr>
          <w:rFonts w:asciiTheme="minorHAnsi" w:hAnsiTheme="minorHAnsi"/>
        </w:rPr>
        <w:t xml:space="preserve">Jurors and magistrates </w:t>
      </w:r>
      <w:r w:rsidR="008D702F" w:rsidRPr="000A66A1">
        <w:rPr>
          <w:rFonts w:asciiTheme="minorHAnsi" w:hAnsiTheme="minorHAnsi"/>
        </w:rPr>
        <w:t xml:space="preserve">are </w:t>
      </w:r>
      <w:r w:rsidRPr="000A66A1">
        <w:rPr>
          <w:rFonts w:asciiTheme="minorHAnsi" w:hAnsiTheme="minorHAnsi"/>
        </w:rPr>
        <w:t xml:space="preserve">asked to take into </w:t>
      </w:r>
      <w:r w:rsidR="00AB33AF" w:rsidRPr="000A66A1">
        <w:rPr>
          <w:rFonts w:asciiTheme="minorHAnsi" w:hAnsiTheme="minorHAnsi"/>
        </w:rPr>
        <w:t xml:space="preserve">account </w:t>
      </w:r>
      <w:r w:rsidRPr="000A66A1">
        <w:rPr>
          <w:rFonts w:asciiTheme="minorHAnsi" w:hAnsiTheme="minorHAnsi"/>
        </w:rPr>
        <w:t>what D actually believed at the time of the offence</w:t>
      </w:r>
      <w:r w:rsidR="00F31DD6" w:rsidRPr="000A66A1">
        <w:rPr>
          <w:rFonts w:asciiTheme="minorHAnsi" w:hAnsiTheme="minorHAnsi"/>
        </w:rPr>
        <w:t>, compared to the standards of a reasonable person</w:t>
      </w:r>
      <w:r w:rsidRPr="000A66A1">
        <w:rPr>
          <w:rFonts w:asciiTheme="minorHAnsi" w:hAnsiTheme="minorHAnsi"/>
        </w:rPr>
        <w:t xml:space="preserve">. </w:t>
      </w:r>
      <w:r w:rsidR="008D702F" w:rsidRPr="000A66A1">
        <w:rPr>
          <w:rFonts w:asciiTheme="minorHAnsi" w:hAnsiTheme="minorHAnsi"/>
        </w:rPr>
        <w:t xml:space="preserve">This </w:t>
      </w:r>
      <w:r w:rsidRPr="000A66A1">
        <w:rPr>
          <w:rFonts w:asciiTheme="minorHAnsi" w:hAnsiTheme="minorHAnsi"/>
        </w:rPr>
        <w:t xml:space="preserve">has now been replaced by the decision in </w:t>
      </w:r>
      <w:r w:rsidRPr="000A66A1">
        <w:rPr>
          <w:rFonts w:asciiTheme="minorHAnsi" w:hAnsiTheme="minorHAnsi"/>
          <w:i/>
        </w:rPr>
        <w:t>Ivey v Genting Casinos</w:t>
      </w:r>
      <w:r w:rsidR="00F31DD6" w:rsidRPr="000A66A1">
        <w:rPr>
          <w:rStyle w:val="FootnoteReference"/>
          <w:rFonts w:asciiTheme="minorHAnsi" w:hAnsiTheme="minorHAnsi"/>
        </w:rPr>
        <w:footnoteReference w:id="166"/>
      </w:r>
      <w:r w:rsidR="008D702F" w:rsidRPr="000A66A1">
        <w:rPr>
          <w:rFonts w:asciiTheme="minorHAnsi" w:hAnsiTheme="minorHAnsi"/>
        </w:rPr>
        <w:t xml:space="preserve">. </w:t>
      </w:r>
      <w:r w:rsidR="001E1C55" w:rsidRPr="000A66A1">
        <w:rPr>
          <w:rFonts w:asciiTheme="minorHAnsi" w:hAnsiTheme="minorHAnsi"/>
        </w:rPr>
        <w:t xml:space="preserve">In </w:t>
      </w:r>
      <w:r w:rsidR="001E1C55" w:rsidRPr="000A66A1">
        <w:rPr>
          <w:rFonts w:asciiTheme="minorHAnsi" w:hAnsiTheme="minorHAnsi"/>
          <w:i/>
        </w:rPr>
        <w:t>Ivey v Genting Casinos</w:t>
      </w:r>
      <w:r w:rsidR="008D702F" w:rsidRPr="000A66A1">
        <w:rPr>
          <w:rStyle w:val="FootnoteReference"/>
          <w:rFonts w:asciiTheme="minorHAnsi" w:hAnsiTheme="minorHAnsi"/>
          <w:i/>
        </w:rPr>
        <w:footnoteReference w:id="167"/>
      </w:r>
      <w:r w:rsidR="001E1C55" w:rsidRPr="000A66A1">
        <w:rPr>
          <w:rFonts w:asciiTheme="minorHAnsi" w:hAnsiTheme="minorHAnsi"/>
        </w:rPr>
        <w:t>, t</w:t>
      </w:r>
      <w:r w:rsidRPr="000A66A1">
        <w:rPr>
          <w:rFonts w:asciiTheme="minorHAnsi" w:hAnsiTheme="minorHAnsi"/>
        </w:rPr>
        <w:t xml:space="preserve">he Supreme Court held that the second question in the </w:t>
      </w:r>
      <w:r w:rsidRPr="000A66A1">
        <w:rPr>
          <w:rFonts w:asciiTheme="minorHAnsi" w:hAnsiTheme="minorHAnsi"/>
          <w:i/>
        </w:rPr>
        <w:t>Ghosh</w:t>
      </w:r>
      <w:r w:rsidR="008D702F" w:rsidRPr="000A66A1">
        <w:rPr>
          <w:rStyle w:val="FootnoteReference"/>
          <w:rFonts w:asciiTheme="minorHAnsi" w:hAnsiTheme="minorHAnsi"/>
          <w:i/>
        </w:rPr>
        <w:footnoteReference w:id="168"/>
      </w:r>
      <w:r w:rsidRPr="000A66A1">
        <w:rPr>
          <w:rFonts w:asciiTheme="minorHAnsi" w:hAnsiTheme="minorHAnsi"/>
        </w:rPr>
        <w:t xml:space="preserve"> test ‘did not correctly represent the law and that directions based upon it ought no longer to be given by judges to juries’</w:t>
      </w:r>
      <w:r w:rsidRPr="000A66A1">
        <w:rPr>
          <w:rStyle w:val="FootnoteReference"/>
          <w:rFonts w:asciiTheme="minorHAnsi" w:hAnsiTheme="minorHAnsi"/>
        </w:rPr>
        <w:footnoteReference w:id="169"/>
      </w:r>
      <w:r w:rsidR="008D702F" w:rsidRPr="000A66A1">
        <w:rPr>
          <w:rFonts w:asciiTheme="minorHAnsi" w:hAnsiTheme="minorHAnsi"/>
        </w:rPr>
        <w:t>.</w:t>
      </w:r>
      <w:r w:rsidRPr="000A66A1">
        <w:rPr>
          <w:rFonts w:asciiTheme="minorHAnsi" w:hAnsiTheme="minorHAnsi"/>
        </w:rPr>
        <w:t xml:space="preserve"> The main issue that the Supreme Court had with this second element of the test </w:t>
      </w:r>
      <w:r w:rsidR="00F31DD6" w:rsidRPr="000A66A1">
        <w:rPr>
          <w:rFonts w:asciiTheme="minorHAnsi" w:hAnsiTheme="minorHAnsi"/>
        </w:rPr>
        <w:t>was</w:t>
      </w:r>
      <w:r w:rsidRPr="000A66A1">
        <w:rPr>
          <w:rFonts w:asciiTheme="minorHAnsi" w:hAnsiTheme="minorHAnsi"/>
        </w:rPr>
        <w:t xml:space="preserve"> that </w:t>
      </w:r>
      <w:r w:rsidR="007B6F60" w:rsidRPr="000A66A1">
        <w:rPr>
          <w:rFonts w:asciiTheme="minorHAnsi" w:hAnsiTheme="minorHAnsi"/>
        </w:rPr>
        <w:t>‘</w:t>
      </w:r>
      <w:r w:rsidRPr="000A66A1">
        <w:rPr>
          <w:rFonts w:asciiTheme="minorHAnsi" w:hAnsiTheme="minorHAnsi"/>
        </w:rPr>
        <w:t>the less a defendant’s standards conform to society’s expectations, the less likely they are to be held criminally responsible for their behaviour</w:t>
      </w:r>
      <w:r w:rsidR="007B6F60" w:rsidRPr="000A66A1">
        <w:rPr>
          <w:rFonts w:asciiTheme="minorHAnsi" w:hAnsiTheme="minorHAnsi"/>
        </w:rPr>
        <w:t>’</w:t>
      </w:r>
      <w:r w:rsidRPr="000A66A1">
        <w:rPr>
          <w:rFonts w:asciiTheme="minorHAnsi" w:hAnsiTheme="minorHAnsi"/>
        </w:rPr>
        <w:t>.</w:t>
      </w:r>
      <w:r w:rsidR="007B6F60" w:rsidRPr="000A66A1">
        <w:rPr>
          <w:rFonts w:asciiTheme="minorHAnsi" w:hAnsiTheme="minorHAnsi"/>
        </w:rPr>
        <w:t xml:space="preserve"> </w:t>
      </w:r>
      <w:r w:rsidR="009A767D" w:rsidRPr="000A66A1">
        <w:rPr>
          <w:rFonts w:asciiTheme="minorHAnsi" w:hAnsiTheme="minorHAnsi"/>
        </w:rPr>
        <w:t xml:space="preserve">This </w:t>
      </w:r>
      <w:r w:rsidR="007B6F60" w:rsidRPr="000A66A1">
        <w:rPr>
          <w:rFonts w:asciiTheme="minorHAnsi" w:hAnsiTheme="minorHAnsi"/>
        </w:rPr>
        <w:t>element</w:t>
      </w:r>
      <w:r w:rsidR="00620215" w:rsidRPr="000A66A1">
        <w:rPr>
          <w:rFonts w:asciiTheme="minorHAnsi" w:hAnsiTheme="minorHAnsi"/>
        </w:rPr>
        <w:t>,</w:t>
      </w:r>
      <w:r w:rsidR="007B6F60" w:rsidRPr="000A66A1">
        <w:rPr>
          <w:rFonts w:asciiTheme="minorHAnsi" w:hAnsiTheme="minorHAnsi"/>
        </w:rPr>
        <w:t xml:space="preserve"> therefore</w:t>
      </w:r>
      <w:r w:rsidR="00620215" w:rsidRPr="000A66A1">
        <w:rPr>
          <w:rFonts w:asciiTheme="minorHAnsi" w:hAnsiTheme="minorHAnsi"/>
        </w:rPr>
        <w:t>,</w:t>
      </w:r>
      <w:r w:rsidR="007B6F60" w:rsidRPr="000A66A1">
        <w:rPr>
          <w:rFonts w:asciiTheme="minorHAnsi" w:hAnsiTheme="minorHAnsi"/>
        </w:rPr>
        <w:t xml:space="preserve"> </w:t>
      </w:r>
      <w:r w:rsidR="009A767D" w:rsidRPr="000A66A1">
        <w:rPr>
          <w:rFonts w:asciiTheme="minorHAnsi" w:hAnsiTheme="minorHAnsi"/>
        </w:rPr>
        <w:t>would simply allow D to evade liability</w:t>
      </w:r>
      <w:r w:rsidR="00F31DD6" w:rsidRPr="000A66A1">
        <w:rPr>
          <w:rFonts w:asciiTheme="minorHAnsi" w:hAnsiTheme="minorHAnsi"/>
        </w:rPr>
        <w:t xml:space="preserve"> using the </w:t>
      </w:r>
      <w:r w:rsidR="009A767D" w:rsidRPr="000A66A1">
        <w:rPr>
          <w:rFonts w:asciiTheme="minorHAnsi" w:hAnsiTheme="minorHAnsi"/>
        </w:rPr>
        <w:t>defence that their own standard of dishonesty was less than that of an honest and reasonable person</w:t>
      </w:r>
      <w:r w:rsidR="009F1794" w:rsidRPr="000A66A1">
        <w:rPr>
          <w:rStyle w:val="FootnoteReference"/>
          <w:rFonts w:asciiTheme="minorHAnsi" w:hAnsiTheme="minorHAnsi"/>
        </w:rPr>
        <w:footnoteReference w:id="170"/>
      </w:r>
      <w:r w:rsidR="00AB33AF" w:rsidRPr="000A66A1">
        <w:rPr>
          <w:rFonts w:asciiTheme="minorHAnsi" w:hAnsiTheme="minorHAnsi"/>
        </w:rPr>
        <w:t>.</w:t>
      </w:r>
      <w:r w:rsidR="009A767D" w:rsidRPr="000A66A1">
        <w:rPr>
          <w:rFonts w:asciiTheme="minorHAnsi" w:hAnsiTheme="minorHAnsi"/>
        </w:rPr>
        <w:t xml:space="preserve"> The Supreme Court</w:t>
      </w:r>
      <w:r w:rsidR="00620215" w:rsidRPr="000A66A1">
        <w:rPr>
          <w:rFonts w:asciiTheme="minorHAnsi" w:hAnsiTheme="minorHAnsi"/>
        </w:rPr>
        <w:t>,</w:t>
      </w:r>
      <w:r w:rsidR="009A767D" w:rsidRPr="000A66A1">
        <w:rPr>
          <w:rFonts w:asciiTheme="minorHAnsi" w:hAnsiTheme="minorHAnsi"/>
        </w:rPr>
        <w:t xml:space="preserve"> in this case</w:t>
      </w:r>
      <w:r w:rsidR="00620215" w:rsidRPr="000A66A1">
        <w:rPr>
          <w:rFonts w:asciiTheme="minorHAnsi" w:hAnsiTheme="minorHAnsi"/>
        </w:rPr>
        <w:t>,</w:t>
      </w:r>
      <w:r w:rsidR="009A767D" w:rsidRPr="000A66A1">
        <w:rPr>
          <w:rFonts w:asciiTheme="minorHAnsi" w:hAnsiTheme="minorHAnsi"/>
        </w:rPr>
        <w:t xml:space="preserve"> decided to set that standard for others to follow, rather than allowing potential defendants to set their own</w:t>
      </w:r>
      <w:r w:rsidR="00804AA6" w:rsidRPr="000A66A1">
        <w:rPr>
          <w:rStyle w:val="FootnoteReference"/>
          <w:rFonts w:asciiTheme="minorHAnsi" w:hAnsiTheme="minorHAnsi"/>
        </w:rPr>
        <w:footnoteReference w:id="171"/>
      </w:r>
      <w:r w:rsidR="007B6F60" w:rsidRPr="000A66A1">
        <w:rPr>
          <w:rFonts w:asciiTheme="minorHAnsi" w:hAnsiTheme="minorHAnsi"/>
        </w:rPr>
        <w:t>.</w:t>
      </w:r>
    </w:p>
    <w:p w14:paraId="1B308D8F" w14:textId="30B3782C" w:rsidR="00D7185D" w:rsidRPr="000A66A1" w:rsidRDefault="00D7185D" w:rsidP="000A66A1">
      <w:pPr>
        <w:spacing w:line="360" w:lineRule="auto"/>
        <w:jc w:val="both"/>
        <w:rPr>
          <w:rFonts w:asciiTheme="minorHAnsi" w:hAnsiTheme="minorHAnsi"/>
        </w:rPr>
      </w:pPr>
    </w:p>
    <w:p w14:paraId="14B20D49" w14:textId="16E8C79E" w:rsidR="00E52328" w:rsidRPr="000A66A1" w:rsidRDefault="00D7185D" w:rsidP="000A66A1">
      <w:pPr>
        <w:spacing w:line="360" w:lineRule="auto"/>
        <w:jc w:val="both"/>
        <w:rPr>
          <w:rFonts w:asciiTheme="minorHAnsi" w:hAnsiTheme="minorHAnsi"/>
        </w:rPr>
      </w:pPr>
      <w:r w:rsidRPr="000A66A1">
        <w:rPr>
          <w:rFonts w:asciiTheme="minorHAnsi" w:hAnsiTheme="minorHAnsi"/>
        </w:rPr>
        <w:t xml:space="preserve">The judges in </w:t>
      </w:r>
      <w:r w:rsidRPr="000A66A1">
        <w:rPr>
          <w:rFonts w:asciiTheme="minorHAnsi" w:hAnsiTheme="minorHAnsi"/>
          <w:i/>
        </w:rPr>
        <w:t>Ivey v Genting Casinos</w:t>
      </w:r>
      <w:r w:rsidR="007B6F60" w:rsidRPr="000A66A1">
        <w:rPr>
          <w:rStyle w:val="FootnoteReference"/>
          <w:rFonts w:asciiTheme="minorHAnsi" w:hAnsiTheme="minorHAnsi"/>
          <w:i/>
        </w:rPr>
        <w:footnoteReference w:id="172"/>
      </w:r>
      <w:r w:rsidRPr="000A66A1">
        <w:rPr>
          <w:rFonts w:asciiTheme="minorHAnsi" w:hAnsiTheme="minorHAnsi"/>
          <w:i/>
        </w:rPr>
        <w:t xml:space="preserve"> </w:t>
      </w:r>
      <w:r w:rsidRPr="000A66A1">
        <w:rPr>
          <w:rFonts w:asciiTheme="minorHAnsi" w:hAnsiTheme="minorHAnsi"/>
        </w:rPr>
        <w:t xml:space="preserve">argued that the Ghosh test had the effect that </w:t>
      </w:r>
      <w:r w:rsidR="007B6F60" w:rsidRPr="000A66A1">
        <w:rPr>
          <w:rFonts w:asciiTheme="minorHAnsi" w:hAnsiTheme="minorHAnsi"/>
        </w:rPr>
        <w:t>‘</w:t>
      </w:r>
      <w:r w:rsidRPr="000A66A1">
        <w:rPr>
          <w:rFonts w:asciiTheme="minorHAnsi" w:hAnsiTheme="minorHAnsi"/>
        </w:rPr>
        <w:t>the more warped the defendant’s standards of honesty are, the less likely it is that he will be convicted of dishonest behaviour</w:t>
      </w:r>
      <w:r w:rsidR="007B6F60" w:rsidRPr="000A66A1">
        <w:rPr>
          <w:rFonts w:asciiTheme="minorHAnsi" w:hAnsiTheme="minorHAnsi"/>
        </w:rPr>
        <w:t>’</w:t>
      </w:r>
      <w:r w:rsidRPr="000A66A1">
        <w:rPr>
          <w:rStyle w:val="FootnoteReference"/>
          <w:rFonts w:asciiTheme="minorHAnsi" w:hAnsiTheme="minorHAnsi"/>
        </w:rPr>
        <w:footnoteReference w:id="173"/>
      </w:r>
      <w:r w:rsidR="007B6F60" w:rsidRPr="000A66A1">
        <w:rPr>
          <w:rFonts w:asciiTheme="minorHAnsi" w:hAnsiTheme="minorHAnsi"/>
        </w:rPr>
        <w:t>.</w:t>
      </w:r>
      <w:r w:rsidR="00E52328" w:rsidRPr="000A66A1">
        <w:rPr>
          <w:rFonts w:asciiTheme="minorHAnsi" w:hAnsiTheme="minorHAnsi"/>
        </w:rPr>
        <w:t xml:space="preserve"> In fact, the second limb of the Ghosh test practically eradicate</w:t>
      </w:r>
      <w:r w:rsidR="00FB1ADB" w:rsidRPr="000A66A1">
        <w:rPr>
          <w:rFonts w:asciiTheme="minorHAnsi" w:hAnsiTheme="minorHAnsi"/>
        </w:rPr>
        <w:t>d</w:t>
      </w:r>
      <w:r w:rsidR="00E52328" w:rsidRPr="000A66A1">
        <w:rPr>
          <w:rFonts w:asciiTheme="minorHAnsi" w:hAnsiTheme="minorHAnsi"/>
        </w:rPr>
        <w:t xml:space="preserve"> the need for the first</w:t>
      </w:r>
      <w:r w:rsidR="0023356F" w:rsidRPr="000A66A1">
        <w:rPr>
          <w:rStyle w:val="FootnoteReference"/>
          <w:rFonts w:asciiTheme="minorHAnsi" w:hAnsiTheme="minorHAnsi"/>
        </w:rPr>
        <w:footnoteReference w:id="174"/>
      </w:r>
      <w:r w:rsidR="009E7C35" w:rsidRPr="000A66A1">
        <w:rPr>
          <w:rFonts w:asciiTheme="minorHAnsi" w:hAnsiTheme="minorHAnsi"/>
        </w:rPr>
        <w:t>.</w:t>
      </w:r>
      <w:r w:rsidR="00E52328" w:rsidRPr="000A66A1">
        <w:rPr>
          <w:rFonts w:asciiTheme="minorHAnsi" w:hAnsiTheme="minorHAnsi"/>
        </w:rPr>
        <w:t xml:space="preserve"> It was argued that </w:t>
      </w:r>
      <w:r w:rsidR="007B6F60" w:rsidRPr="000A66A1">
        <w:rPr>
          <w:rFonts w:asciiTheme="minorHAnsi" w:hAnsiTheme="minorHAnsi"/>
        </w:rPr>
        <w:lastRenderedPageBreak/>
        <w:t>‘</w:t>
      </w:r>
      <w:r w:rsidR="00E52328" w:rsidRPr="000A66A1">
        <w:rPr>
          <w:rFonts w:asciiTheme="minorHAnsi" w:hAnsiTheme="minorHAnsi"/>
        </w:rPr>
        <w:t>to adopt a subjective test is to abandon all standards but that of the accused himself, and to bring about a state of affairs in which Robin Hood would be no robber</w:t>
      </w:r>
      <w:r w:rsidR="007B6F60" w:rsidRPr="000A66A1">
        <w:rPr>
          <w:rFonts w:asciiTheme="minorHAnsi" w:hAnsiTheme="minorHAnsi"/>
        </w:rPr>
        <w:t>’</w:t>
      </w:r>
      <w:r w:rsidR="00E52328" w:rsidRPr="000A66A1">
        <w:rPr>
          <w:rStyle w:val="FootnoteReference"/>
          <w:rFonts w:asciiTheme="minorHAnsi" w:hAnsiTheme="minorHAnsi"/>
        </w:rPr>
        <w:footnoteReference w:id="175"/>
      </w:r>
      <w:r w:rsidR="007B6F60" w:rsidRPr="000A66A1">
        <w:rPr>
          <w:rFonts w:asciiTheme="minorHAnsi" w:hAnsiTheme="minorHAnsi"/>
        </w:rPr>
        <w:t xml:space="preserve">. </w:t>
      </w:r>
      <w:r w:rsidR="00156E44" w:rsidRPr="000A66A1">
        <w:rPr>
          <w:rFonts w:asciiTheme="minorHAnsi" w:hAnsiTheme="minorHAnsi"/>
        </w:rPr>
        <w:t>Originally, proving dishonesty when there was also the component of intoxication was extremely difficult</w:t>
      </w:r>
      <w:r w:rsidR="0039364A" w:rsidRPr="000A66A1">
        <w:rPr>
          <w:rFonts w:asciiTheme="minorHAnsi" w:hAnsiTheme="minorHAnsi"/>
        </w:rPr>
        <w:t xml:space="preserve"> due to this subjective consideration</w:t>
      </w:r>
      <w:r w:rsidR="0023308F" w:rsidRPr="000A66A1">
        <w:rPr>
          <w:rFonts w:asciiTheme="minorHAnsi" w:hAnsiTheme="minorHAnsi"/>
        </w:rPr>
        <w:t>.</w:t>
      </w:r>
      <w:r w:rsidR="00B56F0D" w:rsidRPr="000A66A1">
        <w:rPr>
          <w:rFonts w:asciiTheme="minorHAnsi" w:hAnsiTheme="minorHAnsi"/>
        </w:rPr>
        <w:t xml:space="preserve"> The presence of which helped to define theft and other property offences as offences of ulterior intent. </w:t>
      </w:r>
    </w:p>
    <w:p w14:paraId="5BF8CD74" w14:textId="77777777" w:rsidR="00E52328" w:rsidRPr="000A66A1" w:rsidRDefault="00E52328" w:rsidP="000A66A1">
      <w:pPr>
        <w:spacing w:line="360" w:lineRule="auto"/>
        <w:jc w:val="both"/>
        <w:rPr>
          <w:rFonts w:asciiTheme="minorHAnsi" w:hAnsiTheme="minorHAnsi"/>
        </w:rPr>
      </w:pPr>
    </w:p>
    <w:p w14:paraId="4C53DF54" w14:textId="21781026" w:rsidR="00E52328" w:rsidRPr="000A66A1" w:rsidRDefault="00E52328" w:rsidP="000A66A1">
      <w:pPr>
        <w:spacing w:line="360" w:lineRule="auto"/>
        <w:ind w:firstLine="720"/>
        <w:jc w:val="both"/>
        <w:rPr>
          <w:rFonts w:asciiTheme="minorHAnsi" w:hAnsiTheme="minorHAnsi"/>
        </w:rPr>
      </w:pPr>
      <w:r w:rsidRPr="000A66A1">
        <w:rPr>
          <w:rFonts w:asciiTheme="minorHAnsi" w:hAnsiTheme="minorHAnsi"/>
          <w:b/>
        </w:rPr>
        <w:t xml:space="preserve">Example </w:t>
      </w:r>
      <w:r w:rsidR="002D5F7D" w:rsidRPr="000A66A1">
        <w:rPr>
          <w:rFonts w:asciiTheme="minorHAnsi" w:hAnsiTheme="minorHAnsi"/>
          <w:b/>
        </w:rPr>
        <w:t>3A</w:t>
      </w:r>
      <w:r w:rsidRPr="000A66A1">
        <w:rPr>
          <w:rFonts w:asciiTheme="minorHAnsi" w:hAnsiTheme="minorHAnsi"/>
        </w:rPr>
        <w:t xml:space="preserve"> – D decides to take a purse from a table in a bar whilst intoxicated and decides to take it home with </w:t>
      </w:r>
      <w:r w:rsidR="00A42B38" w:rsidRPr="000A66A1">
        <w:rPr>
          <w:rFonts w:asciiTheme="minorHAnsi" w:hAnsiTheme="minorHAnsi"/>
        </w:rPr>
        <w:t>him</w:t>
      </w:r>
      <w:r w:rsidR="00620215" w:rsidRPr="000A66A1">
        <w:rPr>
          <w:rFonts w:asciiTheme="minorHAnsi" w:hAnsiTheme="minorHAnsi"/>
        </w:rPr>
        <w:t>;</w:t>
      </w:r>
      <w:r w:rsidR="0039364A" w:rsidRPr="000A66A1">
        <w:rPr>
          <w:rFonts w:asciiTheme="minorHAnsi" w:hAnsiTheme="minorHAnsi"/>
        </w:rPr>
        <w:t xml:space="preserve"> he does not return the purse</w:t>
      </w:r>
      <w:r w:rsidRPr="000A66A1">
        <w:rPr>
          <w:rFonts w:asciiTheme="minorHAnsi" w:hAnsiTheme="minorHAnsi"/>
        </w:rPr>
        <w:t xml:space="preserve">. </w:t>
      </w:r>
    </w:p>
    <w:p w14:paraId="73220AFD" w14:textId="77777777" w:rsidR="00E52328" w:rsidRPr="000A66A1" w:rsidRDefault="00E52328" w:rsidP="000A66A1">
      <w:pPr>
        <w:spacing w:line="360" w:lineRule="auto"/>
        <w:jc w:val="both"/>
        <w:rPr>
          <w:rFonts w:asciiTheme="minorHAnsi" w:hAnsiTheme="minorHAnsi"/>
        </w:rPr>
      </w:pPr>
    </w:p>
    <w:p w14:paraId="67C99F10" w14:textId="489F4AC9" w:rsidR="00232D58" w:rsidRPr="000A66A1" w:rsidRDefault="00156E44" w:rsidP="000A66A1">
      <w:pPr>
        <w:spacing w:line="360" w:lineRule="auto"/>
        <w:jc w:val="both"/>
        <w:rPr>
          <w:rFonts w:asciiTheme="minorHAnsi" w:hAnsiTheme="minorHAnsi"/>
        </w:rPr>
      </w:pPr>
      <w:r w:rsidRPr="000A66A1">
        <w:rPr>
          <w:rFonts w:asciiTheme="minorHAnsi" w:hAnsiTheme="minorHAnsi"/>
        </w:rPr>
        <w:t xml:space="preserve">Clearly, any reasonable and honest person would determine </w:t>
      </w:r>
      <w:r w:rsidR="00232D58" w:rsidRPr="000A66A1">
        <w:rPr>
          <w:rFonts w:asciiTheme="minorHAnsi" w:hAnsiTheme="minorHAnsi"/>
        </w:rPr>
        <w:t xml:space="preserve">the conduct in </w:t>
      </w:r>
      <w:r w:rsidR="00232D58" w:rsidRPr="000A66A1">
        <w:rPr>
          <w:rFonts w:asciiTheme="minorHAnsi" w:hAnsiTheme="minorHAnsi"/>
          <w:b/>
        </w:rPr>
        <w:t>Example</w:t>
      </w:r>
      <w:r w:rsidRPr="000A66A1">
        <w:rPr>
          <w:rFonts w:asciiTheme="minorHAnsi" w:hAnsiTheme="minorHAnsi"/>
          <w:b/>
        </w:rPr>
        <w:t xml:space="preserve"> </w:t>
      </w:r>
      <w:r w:rsidR="002D5F7D" w:rsidRPr="000A66A1">
        <w:rPr>
          <w:rFonts w:asciiTheme="minorHAnsi" w:hAnsiTheme="minorHAnsi"/>
          <w:b/>
        </w:rPr>
        <w:t>3A</w:t>
      </w:r>
      <w:r w:rsidR="00232D58" w:rsidRPr="000A66A1">
        <w:rPr>
          <w:rFonts w:asciiTheme="minorHAnsi" w:hAnsiTheme="minorHAnsi"/>
        </w:rPr>
        <w:t xml:space="preserve"> </w:t>
      </w:r>
      <w:r w:rsidRPr="000A66A1">
        <w:rPr>
          <w:rFonts w:asciiTheme="minorHAnsi" w:hAnsiTheme="minorHAnsi"/>
        </w:rPr>
        <w:t xml:space="preserve">to be dishonest. </w:t>
      </w:r>
      <w:r w:rsidR="003600A2" w:rsidRPr="000A66A1">
        <w:rPr>
          <w:rFonts w:asciiTheme="minorHAnsi" w:hAnsiTheme="minorHAnsi"/>
        </w:rPr>
        <w:t>The second limb of the test</w:t>
      </w:r>
      <w:r w:rsidR="00620215" w:rsidRPr="000A66A1">
        <w:rPr>
          <w:rFonts w:asciiTheme="minorHAnsi" w:hAnsiTheme="minorHAnsi"/>
        </w:rPr>
        <w:t>,</w:t>
      </w:r>
      <w:r w:rsidR="003600A2" w:rsidRPr="000A66A1">
        <w:rPr>
          <w:rFonts w:asciiTheme="minorHAnsi" w:hAnsiTheme="minorHAnsi"/>
        </w:rPr>
        <w:t xml:space="preserve"> however</w:t>
      </w:r>
      <w:r w:rsidR="00620215" w:rsidRPr="000A66A1">
        <w:rPr>
          <w:rFonts w:asciiTheme="minorHAnsi" w:hAnsiTheme="minorHAnsi"/>
        </w:rPr>
        <w:t>,</w:t>
      </w:r>
      <w:r w:rsidR="003600A2" w:rsidRPr="000A66A1">
        <w:rPr>
          <w:rFonts w:asciiTheme="minorHAnsi" w:hAnsiTheme="minorHAnsi"/>
        </w:rPr>
        <w:t xml:space="preserve"> would allow D to say that he believed his conduct was not dishonest compared to that objective standard. As the judges explain in the </w:t>
      </w:r>
      <w:r w:rsidR="003600A2" w:rsidRPr="000A66A1">
        <w:rPr>
          <w:rFonts w:asciiTheme="minorHAnsi" w:hAnsiTheme="minorHAnsi"/>
          <w:i/>
        </w:rPr>
        <w:t>Ivey</w:t>
      </w:r>
      <w:r w:rsidR="007B6F60" w:rsidRPr="000A66A1">
        <w:rPr>
          <w:rStyle w:val="FootnoteReference"/>
          <w:rFonts w:asciiTheme="minorHAnsi" w:hAnsiTheme="minorHAnsi"/>
          <w:i/>
        </w:rPr>
        <w:footnoteReference w:id="176"/>
      </w:r>
      <w:r w:rsidR="003600A2" w:rsidRPr="000A66A1">
        <w:rPr>
          <w:rFonts w:asciiTheme="minorHAnsi" w:hAnsiTheme="minorHAnsi"/>
          <w:i/>
        </w:rPr>
        <w:t xml:space="preserve"> </w:t>
      </w:r>
      <w:r w:rsidR="003600A2" w:rsidRPr="000A66A1">
        <w:rPr>
          <w:rFonts w:asciiTheme="minorHAnsi" w:hAnsiTheme="minorHAnsi"/>
        </w:rPr>
        <w:t>case, this second limb makes it so D can excuse his behaviour with ‘his own warped standards’</w:t>
      </w:r>
      <w:r w:rsidR="003600A2" w:rsidRPr="000A66A1">
        <w:rPr>
          <w:rStyle w:val="FootnoteReference"/>
          <w:rFonts w:asciiTheme="minorHAnsi" w:hAnsiTheme="minorHAnsi"/>
        </w:rPr>
        <w:footnoteReference w:id="177"/>
      </w:r>
      <w:r w:rsidR="0039364A" w:rsidRPr="000A66A1">
        <w:rPr>
          <w:rFonts w:asciiTheme="minorHAnsi" w:hAnsiTheme="minorHAnsi"/>
        </w:rPr>
        <w:t>, potentially arguing he believe</w:t>
      </w:r>
      <w:r w:rsidR="00AB33AF" w:rsidRPr="000A66A1">
        <w:rPr>
          <w:rFonts w:asciiTheme="minorHAnsi" w:hAnsiTheme="minorHAnsi"/>
        </w:rPr>
        <w:t>d</w:t>
      </w:r>
      <w:r w:rsidR="0039364A" w:rsidRPr="000A66A1">
        <w:rPr>
          <w:rFonts w:asciiTheme="minorHAnsi" w:hAnsiTheme="minorHAnsi"/>
        </w:rPr>
        <w:t xml:space="preserve"> the purse was discarded</w:t>
      </w:r>
      <w:r w:rsidR="00B56F0D" w:rsidRPr="000A66A1">
        <w:rPr>
          <w:rFonts w:asciiTheme="minorHAnsi" w:hAnsiTheme="minorHAnsi"/>
        </w:rPr>
        <w:t xml:space="preserve"> by the owner even if this was not his true belief</w:t>
      </w:r>
      <w:r w:rsidR="007B6F60" w:rsidRPr="000A66A1">
        <w:rPr>
          <w:rFonts w:asciiTheme="minorHAnsi" w:hAnsiTheme="minorHAnsi"/>
        </w:rPr>
        <w:t>.</w:t>
      </w:r>
    </w:p>
    <w:p w14:paraId="2DC2DAEF" w14:textId="77777777" w:rsidR="00232D58" w:rsidRPr="000A66A1" w:rsidRDefault="00232D58" w:rsidP="000A66A1">
      <w:pPr>
        <w:spacing w:line="360" w:lineRule="auto"/>
        <w:jc w:val="both"/>
        <w:rPr>
          <w:rFonts w:asciiTheme="minorHAnsi" w:hAnsiTheme="minorHAnsi"/>
        </w:rPr>
      </w:pPr>
    </w:p>
    <w:p w14:paraId="78BA362F" w14:textId="059A2E51" w:rsidR="00F118B1" w:rsidRPr="000A66A1" w:rsidRDefault="00156E44" w:rsidP="000A66A1">
      <w:pPr>
        <w:spacing w:line="360" w:lineRule="auto"/>
        <w:jc w:val="both"/>
        <w:rPr>
          <w:rFonts w:asciiTheme="minorHAnsi" w:hAnsiTheme="minorHAnsi"/>
        </w:rPr>
      </w:pPr>
      <w:r w:rsidRPr="000A66A1">
        <w:rPr>
          <w:rFonts w:asciiTheme="minorHAnsi" w:hAnsiTheme="minorHAnsi"/>
        </w:rPr>
        <w:t>Using the new test, the second element would not need to be proved at all</w:t>
      </w:r>
      <w:r w:rsidR="007B6F60" w:rsidRPr="000A66A1">
        <w:rPr>
          <w:rFonts w:asciiTheme="minorHAnsi" w:hAnsiTheme="minorHAnsi"/>
        </w:rPr>
        <w:t>.</w:t>
      </w:r>
      <w:r w:rsidRPr="000A66A1">
        <w:rPr>
          <w:rFonts w:asciiTheme="minorHAnsi" w:hAnsiTheme="minorHAnsi"/>
        </w:rPr>
        <w:t xml:space="preserve"> </w:t>
      </w:r>
      <w:r w:rsidR="007B6F60" w:rsidRPr="000A66A1">
        <w:rPr>
          <w:rFonts w:asciiTheme="minorHAnsi" w:hAnsiTheme="minorHAnsi"/>
        </w:rPr>
        <w:t>T</w:t>
      </w:r>
      <w:r w:rsidRPr="000A66A1">
        <w:rPr>
          <w:rFonts w:asciiTheme="minorHAnsi" w:hAnsiTheme="minorHAnsi"/>
        </w:rPr>
        <w:t>herefore</w:t>
      </w:r>
      <w:r w:rsidR="007B6F60" w:rsidRPr="000A66A1">
        <w:rPr>
          <w:rFonts w:asciiTheme="minorHAnsi" w:hAnsiTheme="minorHAnsi"/>
        </w:rPr>
        <w:t>,</w:t>
      </w:r>
      <w:r w:rsidRPr="000A66A1">
        <w:rPr>
          <w:rFonts w:asciiTheme="minorHAnsi" w:hAnsiTheme="minorHAnsi"/>
        </w:rPr>
        <w:t xml:space="preserve"> making it possible to establish dishonesty in cases of theft when intoxication is present.</w:t>
      </w:r>
      <w:r w:rsidR="002D5F7D" w:rsidRPr="000A66A1">
        <w:rPr>
          <w:rFonts w:asciiTheme="minorHAnsi" w:hAnsiTheme="minorHAnsi"/>
        </w:rPr>
        <w:t xml:space="preserve"> In the case of </w:t>
      </w:r>
      <w:r w:rsidR="002D5F7D" w:rsidRPr="000A66A1">
        <w:rPr>
          <w:rFonts w:asciiTheme="minorHAnsi" w:hAnsiTheme="minorHAnsi"/>
          <w:b/>
        </w:rPr>
        <w:t xml:space="preserve">Example 3A, </w:t>
      </w:r>
      <w:r w:rsidR="002D5F7D" w:rsidRPr="000A66A1">
        <w:rPr>
          <w:rFonts w:asciiTheme="minorHAnsi" w:hAnsiTheme="minorHAnsi"/>
        </w:rPr>
        <w:t xml:space="preserve">D would not be able </w:t>
      </w:r>
      <w:r w:rsidR="00620215" w:rsidRPr="000A66A1">
        <w:rPr>
          <w:rFonts w:asciiTheme="minorHAnsi" w:hAnsiTheme="minorHAnsi"/>
        </w:rPr>
        <w:t xml:space="preserve">to </w:t>
      </w:r>
      <w:r w:rsidR="002D5F7D" w:rsidRPr="000A66A1">
        <w:rPr>
          <w:rFonts w:asciiTheme="minorHAnsi" w:hAnsiTheme="minorHAnsi"/>
        </w:rPr>
        <w:t xml:space="preserve">use the excuse that his own standard of dishonesty was different </w:t>
      </w:r>
      <w:r w:rsidR="00620215" w:rsidRPr="000A66A1">
        <w:rPr>
          <w:rFonts w:asciiTheme="minorHAnsi" w:hAnsiTheme="minorHAnsi"/>
        </w:rPr>
        <w:t>from</w:t>
      </w:r>
      <w:r w:rsidR="002D5F7D" w:rsidRPr="000A66A1">
        <w:rPr>
          <w:rFonts w:asciiTheme="minorHAnsi" w:hAnsiTheme="minorHAnsi"/>
        </w:rPr>
        <w:t xml:space="preserve"> that of a reasonable and objective person. </w:t>
      </w:r>
      <w:r w:rsidR="0023308F" w:rsidRPr="000A66A1">
        <w:rPr>
          <w:rFonts w:asciiTheme="minorHAnsi" w:hAnsiTheme="minorHAnsi"/>
        </w:rPr>
        <w:t xml:space="preserve">Using the new test, if all other elements of theft were established, D </w:t>
      </w:r>
      <w:r w:rsidR="002D5F7D" w:rsidRPr="000A66A1">
        <w:rPr>
          <w:rFonts w:asciiTheme="minorHAnsi" w:hAnsiTheme="minorHAnsi"/>
        </w:rPr>
        <w:t>would</w:t>
      </w:r>
      <w:r w:rsidR="00813965" w:rsidRPr="000A66A1">
        <w:rPr>
          <w:rFonts w:asciiTheme="minorHAnsi" w:hAnsiTheme="minorHAnsi"/>
        </w:rPr>
        <w:t xml:space="preserve"> potentially</w:t>
      </w:r>
      <w:r w:rsidR="002D5F7D" w:rsidRPr="000A66A1">
        <w:rPr>
          <w:rFonts w:asciiTheme="minorHAnsi" w:hAnsiTheme="minorHAnsi"/>
        </w:rPr>
        <w:t xml:space="preserve"> be convicted. The new</w:t>
      </w:r>
      <w:r w:rsidR="0039364A" w:rsidRPr="000A66A1">
        <w:rPr>
          <w:rFonts w:asciiTheme="minorHAnsi" w:hAnsiTheme="minorHAnsi"/>
        </w:rPr>
        <w:t xml:space="preserve"> </w:t>
      </w:r>
      <w:r w:rsidR="002D5F7D" w:rsidRPr="000A66A1">
        <w:rPr>
          <w:rFonts w:asciiTheme="minorHAnsi" w:hAnsiTheme="minorHAnsi"/>
        </w:rPr>
        <w:t>standard of dishonesty would only take into account the objective standard, which i</w:t>
      </w:r>
      <w:r w:rsidR="00813965" w:rsidRPr="000A66A1">
        <w:rPr>
          <w:rFonts w:asciiTheme="minorHAnsi" w:hAnsiTheme="minorHAnsi"/>
        </w:rPr>
        <w:t>n</w:t>
      </w:r>
      <w:r w:rsidR="002D5F7D" w:rsidRPr="000A66A1">
        <w:rPr>
          <w:rFonts w:asciiTheme="minorHAnsi" w:hAnsiTheme="minorHAnsi"/>
        </w:rPr>
        <w:t xml:space="preserve"> this case would likely determine the conduct of D to be dishonest.</w:t>
      </w:r>
    </w:p>
    <w:p w14:paraId="774DAEF8" w14:textId="77777777" w:rsidR="00F118B1" w:rsidRPr="000A66A1" w:rsidRDefault="00F118B1" w:rsidP="000A66A1">
      <w:pPr>
        <w:spacing w:line="360" w:lineRule="auto"/>
        <w:jc w:val="both"/>
        <w:rPr>
          <w:rFonts w:asciiTheme="minorHAnsi" w:hAnsiTheme="minorHAnsi"/>
        </w:rPr>
      </w:pPr>
    </w:p>
    <w:p w14:paraId="4C922477" w14:textId="6C075BA7" w:rsidR="00F118B1" w:rsidRPr="000A66A1" w:rsidRDefault="00F118B1" w:rsidP="000A66A1">
      <w:pPr>
        <w:spacing w:line="360" w:lineRule="auto"/>
        <w:jc w:val="both"/>
        <w:rPr>
          <w:rFonts w:asciiTheme="minorHAnsi" w:hAnsiTheme="minorHAnsi"/>
        </w:rPr>
      </w:pPr>
      <w:r w:rsidRPr="000A66A1">
        <w:rPr>
          <w:rFonts w:asciiTheme="minorHAnsi" w:hAnsiTheme="minorHAnsi"/>
        </w:rPr>
        <w:t>This new test would potentially allow the relationship between theft and the intoxication doctrine to be like the offences</w:t>
      </w:r>
      <w:r w:rsidR="007B6F60" w:rsidRPr="000A66A1">
        <w:rPr>
          <w:rFonts w:asciiTheme="minorHAnsi" w:hAnsiTheme="minorHAnsi"/>
        </w:rPr>
        <w:t xml:space="preserve"> described</w:t>
      </w:r>
      <w:r w:rsidRPr="000A66A1">
        <w:rPr>
          <w:rFonts w:asciiTheme="minorHAnsi" w:hAnsiTheme="minorHAnsi"/>
        </w:rPr>
        <w:t xml:space="preserve"> in </w:t>
      </w:r>
      <w:r w:rsidR="008C0798" w:rsidRPr="000A66A1">
        <w:rPr>
          <w:rFonts w:asciiTheme="minorHAnsi" w:hAnsiTheme="minorHAnsi"/>
        </w:rPr>
        <w:t>Section</w:t>
      </w:r>
      <w:r w:rsidRPr="000A66A1">
        <w:rPr>
          <w:rFonts w:asciiTheme="minorHAnsi" w:hAnsiTheme="minorHAnsi"/>
        </w:rPr>
        <w:t xml:space="preserve"> </w:t>
      </w:r>
      <w:r w:rsidR="00E14B7B" w:rsidRPr="000A66A1">
        <w:rPr>
          <w:rFonts w:asciiTheme="minorHAnsi" w:hAnsiTheme="minorHAnsi"/>
        </w:rPr>
        <w:t>I</w:t>
      </w:r>
      <w:r w:rsidRPr="000A66A1">
        <w:rPr>
          <w:rFonts w:asciiTheme="minorHAnsi" w:hAnsiTheme="minorHAnsi"/>
        </w:rPr>
        <w:t xml:space="preserve">. </w:t>
      </w:r>
      <w:r w:rsidR="00841485" w:rsidRPr="000A66A1">
        <w:rPr>
          <w:rFonts w:asciiTheme="minorHAnsi" w:hAnsiTheme="minorHAnsi"/>
        </w:rPr>
        <w:t xml:space="preserve">It may prevent offenders from using their own subjective standard skewed by their intoxicated </w:t>
      </w:r>
      <w:r w:rsidR="00841485" w:rsidRPr="000A66A1">
        <w:rPr>
          <w:rFonts w:asciiTheme="minorHAnsi" w:hAnsiTheme="minorHAnsi"/>
        </w:rPr>
        <w:lastRenderedPageBreak/>
        <w:t>mind as a reason for fault not to be established.</w:t>
      </w:r>
      <w:r w:rsidR="00813965" w:rsidRPr="000A66A1">
        <w:rPr>
          <w:rFonts w:asciiTheme="minorHAnsi" w:hAnsiTheme="minorHAnsi"/>
        </w:rPr>
        <w:t xml:space="preserve"> Although if D returned the purse the next</w:t>
      </w:r>
      <w:r w:rsidR="008D0F77" w:rsidRPr="000A66A1">
        <w:rPr>
          <w:rFonts w:asciiTheme="minorHAnsi" w:hAnsiTheme="minorHAnsi"/>
        </w:rPr>
        <w:t xml:space="preserve"> day</w:t>
      </w:r>
      <w:r w:rsidR="00813965" w:rsidRPr="000A66A1">
        <w:rPr>
          <w:rFonts w:asciiTheme="minorHAnsi" w:hAnsiTheme="minorHAnsi"/>
        </w:rPr>
        <w:t>, theft m</w:t>
      </w:r>
      <w:r w:rsidR="00620215" w:rsidRPr="000A66A1">
        <w:rPr>
          <w:rFonts w:asciiTheme="minorHAnsi" w:hAnsiTheme="minorHAnsi"/>
        </w:rPr>
        <w:t>ight</w:t>
      </w:r>
      <w:r w:rsidR="00813965" w:rsidRPr="000A66A1">
        <w:rPr>
          <w:rFonts w:asciiTheme="minorHAnsi" w:hAnsiTheme="minorHAnsi"/>
        </w:rPr>
        <w:t xml:space="preserve"> be impossible to establish</w:t>
      </w:r>
      <w:r w:rsidR="0039364A" w:rsidRPr="000A66A1">
        <w:rPr>
          <w:rFonts w:asciiTheme="minorHAnsi" w:hAnsiTheme="minorHAnsi"/>
        </w:rPr>
        <w:t xml:space="preserve"> due to the other mens rea element</w:t>
      </w:r>
      <w:r w:rsidR="00813965" w:rsidRPr="000A66A1">
        <w:rPr>
          <w:rFonts w:asciiTheme="minorHAnsi" w:hAnsiTheme="minorHAnsi"/>
        </w:rPr>
        <w:t xml:space="preserve">. </w:t>
      </w:r>
      <w:r w:rsidR="00E32713" w:rsidRPr="000A66A1">
        <w:rPr>
          <w:rFonts w:asciiTheme="minorHAnsi" w:hAnsiTheme="minorHAnsi"/>
        </w:rPr>
        <w:t xml:space="preserve">This would still be consistent with the reflection of culpability. </w:t>
      </w:r>
    </w:p>
    <w:p w14:paraId="0DF2C36F" w14:textId="77777777" w:rsidR="002D5F7D" w:rsidRPr="000A66A1" w:rsidRDefault="002D5F7D" w:rsidP="000A66A1">
      <w:pPr>
        <w:spacing w:line="360" w:lineRule="auto"/>
        <w:jc w:val="both"/>
        <w:rPr>
          <w:rFonts w:asciiTheme="minorHAnsi" w:hAnsiTheme="minorHAnsi"/>
        </w:rPr>
      </w:pPr>
    </w:p>
    <w:p w14:paraId="612F1813" w14:textId="34966B06" w:rsidR="00D13597" w:rsidRPr="000A66A1" w:rsidRDefault="00D13597" w:rsidP="000A66A1">
      <w:pPr>
        <w:spacing w:line="360" w:lineRule="auto"/>
        <w:jc w:val="both"/>
        <w:rPr>
          <w:rFonts w:asciiTheme="minorHAnsi" w:hAnsiTheme="minorHAnsi"/>
          <w:u w:val="single"/>
        </w:rPr>
      </w:pPr>
      <w:r w:rsidRPr="000A66A1">
        <w:rPr>
          <w:rFonts w:asciiTheme="minorHAnsi" w:hAnsiTheme="minorHAnsi"/>
          <w:u w:val="single"/>
        </w:rPr>
        <w:t>Intention to Permanently Deprive</w:t>
      </w:r>
    </w:p>
    <w:p w14:paraId="303ED516" w14:textId="7581796B" w:rsidR="00753CF4" w:rsidRPr="000A66A1" w:rsidRDefault="00753CF4" w:rsidP="000A66A1">
      <w:pPr>
        <w:spacing w:line="360" w:lineRule="auto"/>
        <w:jc w:val="both"/>
        <w:rPr>
          <w:rFonts w:asciiTheme="minorHAnsi" w:hAnsiTheme="minorHAnsi"/>
        </w:rPr>
      </w:pPr>
    </w:p>
    <w:p w14:paraId="031BE234" w14:textId="367F0BDE" w:rsidR="00753CF4" w:rsidRPr="000A66A1" w:rsidRDefault="00753CF4" w:rsidP="000A66A1">
      <w:pPr>
        <w:spacing w:line="360" w:lineRule="auto"/>
        <w:jc w:val="both"/>
        <w:rPr>
          <w:rFonts w:asciiTheme="minorHAnsi" w:hAnsiTheme="minorHAnsi"/>
        </w:rPr>
      </w:pPr>
      <w:r w:rsidRPr="000A66A1">
        <w:rPr>
          <w:rFonts w:asciiTheme="minorHAnsi" w:hAnsiTheme="minorHAnsi"/>
        </w:rPr>
        <w:t xml:space="preserve">The issue then becomes the requirement for D to intend on permanently depriving the owner of their property. </w:t>
      </w:r>
      <w:r w:rsidR="00D13597" w:rsidRPr="000A66A1">
        <w:rPr>
          <w:rFonts w:asciiTheme="minorHAnsi" w:hAnsiTheme="minorHAnsi"/>
        </w:rPr>
        <w:t>Even though the change to the dishonesty test could ensure more convictions for intoxicated thefts, it may be difficult for the prosecution to establish the element of the intention to permanently deprive.</w:t>
      </w:r>
    </w:p>
    <w:p w14:paraId="0D420DDD" w14:textId="3A1A8897" w:rsidR="009A767D" w:rsidRPr="000A66A1" w:rsidRDefault="009A767D" w:rsidP="000A66A1">
      <w:pPr>
        <w:spacing w:line="360" w:lineRule="auto"/>
        <w:jc w:val="both"/>
        <w:rPr>
          <w:rFonts w:asciiTheme="minorHAnsi" w:hAnsiTheme="minorHAnsi"/>
        </w:rPr>
      </w:pPr>
    </w:p>
    <w:p w14:paraId="14031AE7" w14:textId="7AF2237D" w:rsidR="00782766" w:rsidRPr="000A66A1" w:rsidRDefault="00841485" w:rsidP="000A66A1">
      <w:pPr>
        <w:spacing w:line="360" w:lineRule="auto"/>
        <w:jc w:val="both"/>
        <w:rPr>
          <w:rFonts w:asciiTheme="minorHAnsi" w:hAnsiTheme="minorHAnsi"/>
        </w:rPr>
      </w:pPr>
      <w:r w:rsidRPr="000A66A1">
        <w:rPr>
          <w:rFonts w:asciiTheme="minorHAnsi" w:hAnsiTheme="minorHAnsi"/>
        </w:rPr>
        <w:t xml:space="preserve">If the dishonesty element can be established, it must be accompanied by the intention to permanently deprive the owner of the property. Confusingly, this does not necessarily require the intention of permanently depriving the </w:t>
      </w:r>
      <w:r w:rsidR="00663F32" w:rsidRPr="000A66A1">
        <w:rPr>
          <w:rFonts w:asciiTheme="minorHAnsi" w:hAnsiTheme="minorHAnsi"/>
        </w:rPr>
        <w:t>owner</w:t>
      </w:r>
      <w:r w:rsidRPr="000A66A1">
        <w:rPr>
          <w:rFonts w:asciiTheme="minorHAnsi" w:hAnsiTheme="minorHAnsi"/>
        </w:rPr>
        <w:t xml:space="preserve"> of </w:t>
      </w:r>
      <w:r w:rsidR="00663F32" w:rsidRPr="000A66A1">
        <w:rPr>
          <w:rFonts w:asciiTheme="minorHAnsi" w:hAnsiTheme="minorHAnsi"/>
        </w:rPr>
        <w:t>their property</w:t>
      </w:r>
      <w:r w:rsidR="0045358C" w:rsidRPr="000A66A1">
        <w:rPr>
          <w:rFonts w:asciiTheme="minorHAnsi" w:hAnsiTheme="minorHAnsi"/>
        </w:rPr>
        <w:t>. T</w:t>
      </w:r>
      <w:r w:rsidR="00663F32" w:rsidRPr="000A66A1">
        <w:rPr>
          <w:rFonts w:asciiTheme="minorHAnsi" w:hAnsiTheme="minorHAnsi"/>
        </w:rPr>
        <w:t xml:space="preserve">his element will be established if </w:t>
      </w:r>
      <w:r w:rsidR="0045358C" w:rsidRPr="000A66A1">
        <w:rPr>
          <w:rFonts w:asciiTheme="minorHAnsi" w:hAnsiTheme="minorHAnsi"/>
        </w:rPr>
        <w:t xml:space="preserve">there </w:t>
      </w:r>
      <w:r w:rsidR="00663F32" w:rsidRPr="000A66A1">
        <w:rPr>
          <w:rFonts w:asciiTheme="minorHAnsi" w:hAnsiTheme="minorHAnsi"/>
        </w:rPr>
        <w:t>is the intention to treat the property as their ow</w:t>
      </w:r>
      <w:r w:rsidR="00206273" w:rsidRPr="000A66A1">
        <w:rPr>
          <w:rFonts w:asciiTheme="minorHAnsi" w:hAnsiTheme="minorHAnsi"/>
        </w:rPr>
        <w:t>n</w:t>
      </w:r>
      <w:r w:rsidR="00663F32" w:rsidRPr="000A66A1">
        <w:rPr>
          <w:rFonts w:asciiTheme="minorHAnsi" w:hAnsiTheme="minorHAnsi"/>
        </w:rPr>
        <w:t xml:space="preserve"> to dispose of regardless of the rights of the o</w:t>
      </w:r>
      <w:r w:rsidR="00206273" w:rsidRPr="000A66A1">
        <w:rPr>
          <w:rFonts w:asciiTheme="minorHAnsi" w:hAnsiTheme="minorHAnsi"/>
        </w:rPr>
        <w:t>wne</w:t>
      </w:r>
      <w:r w:rsidR="00663F32" w:rsidRPr="000A66A1">
        <w:rPr>
          <w:rFonts w:asciiTheme="minorHAnsi" w:hAnsiTheme="minorHAnsi"/>
        </w:rPr>
        <w:t>r. Even borrowing or lending property may still allow this element to be established if the circumstances make it equivalent to an outright taking or disposal</w:t>
      </w:r>
      <w:r w:rsidR="003473F7" w:rsidRPr="000A66A1">
        <w:rPr>
          <w:rStyle w:val="FootnoteReference"/>
          <w:rFonts w:asciiTheme="minorHAnsi" w:hAnsiTheme="minorHAnsi"/>
        </w:rPr>
        <w:footnoteReference w:id="178"/>
      </w:r>
      <w:r w:rsidR="0045358C" w:rsidRPr="000A66A1">
        <w:rPr>
          <w:rFonts w:asciiTheme="minorHAnsi" w:hAnsiTheme="minorHAnsi"/>
        </w:rPr>
        <w:t>.</w:t>
      </w:r>
      <w:r w:rsidR="00A94161" w:rsidRPr="000A66A1">
        <w:rPr>
          <w:rFonts w:asciiTheme="minorHAnsi" w:hAnsiTheme="minorHAnsi"/>
        </w:rPr>
        <w:t xml:space="preserve"> This shows that the term ‘intention to permanently deprive</w:t>
      </w:r>
      <w:r w:rsidR="0045358C" w:rsidRPr="000A66A1">
        <w:rPr>
          <w:rFonts w:asciiTheme="minorHAnsi" w:hAnsiTheme="minorHAnsi"/>
        </w:rPr>
        <w:t>’</w:t>
      </w:r>
      <w:r w:rsidR="00A94161" w:rsidRPr="000A66A1">
        <w:rPr>
          <w:rFonts w:asciiTheme="minorHAnsi" w:hAnsiTheme="minorHAnsi"/>
        </w:rPr>
        <w:t xml:space="preserve"> is not an exhaustive definition</w:t>
      </w:r>
      <w:r w:rsidR="00CF57E7" w:rsidRPr="000A66A1">
        <w:rPr>
          <w:rFonts w:asciiTheme="minorHAnsi" w:hAnsiTheme="minorHAnsi"/>
        </w:rPr>
        <w:t>;</w:t>
      </w:r>
      <w:r w:rsidR="0023308F" w:rsidRPr="000A66A1">
        <w:rPr>
          <w:rFonts w:asciiTheme="minorHAnsi" w:hAnsiTheme="minorHAnsi"/>
        </w:rPr>
        <w:t xml:space="preserve"> it can be interpreted quite broadly.</w:t>
      </w:r>
    </w:p>
    <w:p w14:paraId="71E2E0DA" w14:textId="27D908ED" w:rsidR="00A94161" w:rsidRPr="000A66A1" w:rsidRDefault="00A94161" w:rsidP="000A66A1">
      <w:pPr>
        <w:spacing w:line="360" w:lineRule="auto"/>
        <w:jc w:val="both"/>
        <w:rPr>
          <w:rFonts w:asciiTheme="minorHAnsi" w:hAnsiTheme="minorHAnsi"/>
        </w:rPr>
      </w:pPr>
    </w:p>
    <w:p w14:paraId="4C383E25" w14:textId="36833D1D" w:rsidR="00A94161" w:rsidRPr="000A66A1" w:rsidRDefault="00A94161" w:rsidP="000A66A1">
      <w:pPr>
        <w:spacing w:line="360" w:lineRule="auto"/>
        <w:jc w:val="both"/>
        <w:rPr>
          <w:rFonts w:asciiTheme="minorHAnsi" w:hAnsiTheme="minorHAnsi"/>
        </w:rPr>
      </w:pPr>
      <w:r w:rsidRPr="000A66A1">
        <w:rPr>
          <w:rFonts w:asciiTheme="minorHAnsi" w:hAnsiTheme="minorHAnsi"/>
        </w:rPr>
        <w:t>A mere borrowing is not enough to establish this element</w:t>
      </w:r>
      <w:r w:rsidR="0045358C" w:rsidRPr="000A66A1">
        <w:rPr>
          <w:rFonts w:asciiTheme="minorHAnsi" w:hAnsiTheme="minorHAnsi"/>
        </w:rPr>
        <w:t>.</w:t>
      </w:r>
      <w:r w:rsidRPr="000A66A1">
        <w:rPr>
          <w:rFonts w:asciiTheme="minorHAnsi" w:hAnsiTheme="minorHAnsi"/>
        </w:rPr>
        <w:t xml:space="preserve"> </w:t>
      </w:r>
      <w:r w:rsidR="0045358C" w:rsidRPr="000A66A1">
        <w:rPr>
          <w:rFonts w:asciiTheme="minorHAnsi" w:hAnsiTheme="minorHAnsi"/>
        </w:rPr>
        <w:t>H</w:t>
      </w:r>
      <w:r w:rsidRPr="000A66A1">
        <w:rPr>
          <w:rFonts w:asciiTheme="minorHAnsi" w:hAnsiTheme="minorHAnsi"/>
        </w:rPr>
        <w:t>owever</w:t>
      </w:r>
      <w:r w:rsidR="0045358C" w:rsidRPr="000A66A1">
        <w:rPr>
          <w:rFonts w:asciiTheme="minorHAnsi" w:hAnsiTheme="minorHAnsi"/>
        </w:rPr>
        <w:t>,</w:t>
      </w:r>
      <w:r w:rsidRPr="000A66A1">
        <w:rPr>
          <w:rFonts w:asciiTheme="minorHAnsi" w:hAnsiTheme="minorHAnsi"/>
        </w:rPr>
        <w:t xml:space="preserve"> if when the property is returned to the owner, it has ‘changed state’</w:t>
      </w:r>
      <w:r w:rsidR="0045358C" w:rsidRPr="000A66A1">
        <w:rPr>
          <w:rStyle w:val="FootnoteReference"/>
          <w:rFonts w:asciiTheme="minorHAnsi" w:hAnsiTheme="minorHAnsi"/>
        </w:rPr>
        <w:footnoteReference w:id="179"/>
      </w:r>
      <w:r w:rsidRPr="000A66A1">
        <w:rPr>
          <w:rFonts w:asciiTheme="minorHAnsi" w:hAnsiTheme="minorHAnsi"/>
        </w:rPr>
        <w:t xml:space="preserve"> in such a way that </w:t>
      </w:r>
      <w:r w:rsidR="0045358C" w:rsidRPr="000A66A1">
        <w:rPr>
          <w:rFonts w:asciiTheme="minorHAnsi" w:hAnsiTheme="minorHAnsi"/>
        </w:rPr>
        <w:t>‘</w:t>
      </w:r>
      <w:r w:rsidRPr="000A66A1">
        <w:rPr>
          <w:rFonts w:asciiTheme="minorHAnsi" w:hAnsiTheme="minorHAnsi"/>
        </w:rPr>
        <w:t>all its goodness or virtue has gone</w:t>
      </w:r>
      <w:r w:rsidR="0045358C" w:rsidRPr="000A66A1">
        <w:rPr>
          <w:rFonts w:asciiTheme="minorHAnsi" w:hAnsiTheme="minorHAnsi"/>
        </w:rPr>
        <w:t>’</w:t>
      </w:r>
      <w:r w:rsidR="0045358C" w:rsidRPr="000A66A1">
        <w:rPr>
          <w:rStyle w:val="FootnoteReference"/>
          <w:rFonts w:asciiTheme="minorHAnsi" w:hAnsiTheme="minorHAnsi"/>
        </w:rPr>
        <w:footnoteReference w:id="180"/>
      </w:r>
      <w:r w:rsidRPr="000A66A1">
        <w:rPr>
          <w:rFonts w:asciiTheme="minorHAnsi" w:hAnsiTheme="minorHAnsi"/>
        </w:rPr>
        <w:t xml:space="preserve"> then this can be enough.</w:t>
      </w:r>
      <w:r w:rsidRPr="000A66A1">
        <w:rPr>
          <w:rStyle w:val="FootnoteReference"/>
          <w:rFonts w:asciiTheme="minorHAnsi" w:hAnsiTheme="minorHAnsi"/>
        </w:rPr>
        <w:footnoteReference w:id="181"/>
      </w:r>
    </w:p>
    <w:p w14:paraId="7AAADB48" w14:textId="07AB5E4F" w:rsidR="008D1D2E" w:rsidRPr="000A66A1" w:rsidRDefault="008D1D2E" w:rsidP="000A66A1">
      <w:pPr>
        <w:spacing w:line="360" w:lineRule="auto"/>
        <w:jc w:val="both"/>
        <w:rPr>
          <w:rFonts w:asciiTheme="minorHAnsi" w:hAnsiTheme="minorHAnsi"/>
        </w:rPr>
      </w:pPr>
    </w:p>
    <w:p w14:paraId="544DA7A2" w14:textId="72BA7AF9" w:rsidR="008D1D2E" w:rsidRPr="000A66A1" w:rsidRDefault="008D1D2E" w:rsidP="000A66A1">
      <w:pPr>
        <w:spacing w:line="360" w:lineRule="auto"/>
        <w:ind w:firstLine="720"/>
        <w:jc w:val="both"/>
        <w:rPr>
          <w:rFonts w:asciiTheme="minorHAnsi" w:hAnsiTheme="minorHAnsi"/>
        </w:rPr>
      </w:pPr>
      <w:r w:rsidRPr="000A66A1">
        <w:rPr>
          <w:rFonts w:asciiTheme="minorHAnsi" w:hAnsiTheme="minorHAnsi"/>
          <w:b/>
        </w:rPr>
        <w:t>Example 4A</w:t>
      </w:r>
      <w:r w:rsidRPr="000A66A1">
        <w:rPr>
          <w:rFonts w:asciiTheme="minorHAnsi" w:hAnsiTheme="minorHAnsi"/>
        </w:rPr>
        <w:t xml:space="preserve"> – D becomes intoxicated, then on the way home decides to take a traffic cone from the street. </w:t>
      </w:r>
      <w:r w:rsidR="00342D9F" w:rsidRPr="000A66A1">
        <w:rPr>
          <w:rFonts w:asciiTheme="minorHAnsi" w:hAnsiTheme="minorHAnsi"/>
        </w:rPr>
        <w:t>T</w:t>
      </w:r>
      <w:r w:rsidRPr="000A66A1">
        <w:rPr>
          <w:rFonts w:asciiTheme="minorHAnsi" w:hAnsiTheme="minorHAnsi"/>
        </w:rPr>
        <w:t>he next day</w:t>
      </w:r>
      <w:r w:rsidR="00CF57E7" w:rsidRPr="000A66A1">
        <w:rPr>
          <w:rFonts w:asciiTheme="minorHAnsi" w:hAnsiTheme="minorHAnsi"/>
        </w:rPr>
        <w:t>,</w:t>
      </w:r>
      <w:r w:rsidRPr="000A66A1">
        <w:rPr>
          <w:rFonts w:asciiTheme="minorHAnsi" w:hAnsiTheme="minorHAnsi"/>
        </w:rPr>
        <w:t xml:space="preserve"> he sees the traffic cone in his living room and leaves it there.</w:t>
      </w:r>
    </w:p>
    <w:p w14:paraId="461CFA42" w14:textId="77777777" w:rsidR="00E94C4E" w:rsidRPr="000A66A1" w:rsidRDefault="00E94C4E" w:rsidP="000A66A1">
      <w:pPr>
        <w:spacing w:line="360" w:lineRule="auto"/>
        <w:jc w:val="both"/>
        <w:rPr>
          <w:rFonts w:asciiTheme="minorHAnsi" w:hAnsiTheme="minorHAnsi"/>
        </w:rPr>
      </w:pPr>
    </w:p>
    <w:p w14:paraId="0D9495BB" w14:textId="2B154599" w:rsidR="00DA567C" w:rsidRPr="000A66A1" w:rsidRDefault="008D1D2E" w:rsidP="000A66A1">
      <w:pPr>
        <w:spacing w:line="360" w:lineRule="auto"/>
        <w:jc w:val="both"/>
        <w:rPr>
          <w:rFonts w:asciiTheme="minorHAnsi" w:hAnsiTheme="minorHAnsi"/>
        </w:rPr>
      </w:pPr>
      <w:r w:rsidRPr="000A66A1">
        <w:rPr>
          <w:rFonts w:asciiTheme="minorHAnsi" w:hAnsiTheme="minorHAnsi"/>
        </w:rPr>
        <w:lastRenderedPageBreak/>
        <w:t>This is a useful scenario to consider</w:t>
      </w:r>
      <w:r w:rsidR="0045358C" w:rsidRPr="000A66A1">
        <w:rPr>
          <w:rFonts w:asciiTheme="minorHAnsi" w:hAnsiTheme="minorHAnsi"/>
        </w:rPr>
        <w:t>. In</w:t>
      </w:r>
      <w:r w:rsidRPr="000A66A1">
        <w:rPr>
          <w:rFonts w:asciiTheme="minorHAnsi" w:hAnsiTheme="minorHAnsi"/>
        </w:rPr>
        <w:t xml:space="preserve"> particular</w:t>
      </w:r>
      <w:r w:rsidR="0045358C" w:rsidRPr="000A66A1">
        <w:rPr>
          <w:rFonts w:asciiTheme="minorHAnsi" w:hAnsiTheme="minorHAnsi"/>
        </w:rPr>
        <w:t>,</w:t>
      </w:r>
      <w:r w:rsidRPr="000A66A1">
        <w:rPr>
          <w:rFonts w:asciiTheme="minorHAnsi" w:hAnsiTheme="minorHAnsi"/>
        </w:rPr>
        <w:t xml:space="preserve"> as </w:t>
      </w:r>
      <w:r w:rsidR="00DA567C" w:rsidRPr="000A66A1">
        <w:rPr>
          <w:rFonts w:asciiTheme="minorHAnsi" w:hAnsiTheme="minorHAnsi"/>
        </w:rPr>
        <w:t>stealing</w:t>
      </w:r>
      <w:r w:rsidRPr="000A66A1">
        <w:rPr>
          <w:rFonts w:asciiTheme="minorHAnsi" w:hAnsiTheme="minorHAnsi"/>
        </w:rPr>
        <w:t xml:space="preserve"> traffic cones and other traffic signs when intoxicated is </w:t>
      </w:r>
      <w:r w:rsidR="00DA567C" w:rsidRPr="000A66A1">
        <w:rPr>
          <w:rFonts w:asciiTheme="minorHAnsi" w:hAnsiTheme="minorHAnsi"/>
        </w:rPr>
        <w:t>a very prevalent thing with student culture.</w:t>
      </w:r>
      <w:r w:rsidR="0045358C" w:rsidRPr="000A66A1">
        <w:rPr>
          <w:rFonts w:asciiTheme="minorHAnsi" w:hAnsiTheme="minorHAnsi"/>
        </w:rPr>
        <w:t xml:space="preserve"> </w:t>
      </w:r>
      <w:r w:rsidR="00DA567C" w:rsidRPr="000A66A1">
        <w:rPr>
          <w:rFonts w:asciiTheme="minorHAnsi" w:hAnsiTheme="minorHAnsi"/>
        </w:rPr>
        <w:t>Understanding the position that a lot of student offenders could be in is important</w:t>
      </w:r>
      <w:r w:rsidR="0045358C" w:rsidRPr="000A66A1">
        <w:rPr>
          <w:rFonts w:asciiTheme="minorHAnsi" w:hAnsiTheme="minorHAnsi"/>
        </w:rPr>
        <w:t xml:space="preserve"> since</w:t>
      </w:r>
      <w:r w:rsidR="00DA567C" w:rsidRPr="000A66A1">
        <w:rPr>
          <w:rFonts w:asciiTheme="minorHAnsi" w:hAnsiTheme="minorHAnsi"/>
        </w:rPr>
        <w:t xml:space="preserve"> the new objective dishonesty rules. It is likely that an honest, reasonable and objective person would consider the conduct in this example to be dishonest. With the new standard, it would not matter whether D believed his conduct to be dishonest compared to those standards. Using the </w:t>
      </w:r>
      <w:r w:rsidR="00DA567C" w:rsidRPr="000A66A1">
        <w:rPr>
          <w:rFonts w:asciiTheme="minorHAnsi" w:hAnsiTheme="minorHAnsi"/>
          <w:i/>
          <w:iCs/>
        </w:rPr>
        <w:t>Ghosh</w:t>
      </w:r>
      <w:r w:rsidR="00DA567C" w:rsidRPr="000A66A1">
        <w:rPr>
          <w:rFonts w:asciiTheme="minorHAnsi" w:hAnsiTheme="minorHAnsi"/>
        </w:rPr>
        <w:t xml:space="preserve"> test, it is likely that D would</w:t>
      </w:r>
      <w:r w:rsidR="0023308F" w:rsidRPr="000A66A1">
        <w:rPr>
          <w:rFonts w:asciiTheme="minorHAnsi" w:hAnsiTheme="minorHAnsi"/>
        </w:rPr>
        <w:t xml:space="preserve"> have</w:t>
      </w:r>
      <w:r w:rsidR="00DA567C" w:rsidRPr="000A66A1">
        <w:rPr>
          <w:rFonts w:asciiTheme="minorHAnsi" w:hAnsiTheme="minorHAnsi"/>
        </w:rPr>
        <w:t xml:space="preserve"> b</w:t>
      </w:r>
      <w:r w:rsidR="0023308F" w:rsidRPr="000A66A1">
        <w:rPr>
          <w:rFonts w:asciiTheme="minorHAnsi" w:hAnsiTheme="minorHAnsi"/>
        </w:rPr>
        <w:t>e</w:t>
      </w:r>
      <w:r w:rsidR="00DA567C" w:rsidRPr="000A66A1">
        <w:rPr>
          <w:rFonts w:asciiTheme="minorHAnsi" w:hAnsiTheme="minorHAnsi"/>
        </w:rPr>
        <w:t>e</w:t>
      </w:r>
      <w:r w:rsidR="0023308F" w:rsidRPr="000A66A1">
        <w:rPr>
          <w:rFonts w:asciiTheme="minorHAnsi" w:hAnsiTheme="minorHAnsi"/>
        </w:rPr>
        <w:t>n</w:t>
      </w:r>
      <w:r w:rsidR="00DA567C" w:rsidRPr="000A66A1">
        <w:rPr>
          <w:rFonts w:asciiTheme="minorHAnsi" w:hAnsiTheme="minorHAnsi"/>
        </w:rPr>
        <w:t xml:space="preserve"> able to evade liability</w:t>
      </w:r>
      <w:r w:rsidR="0023308F" w:rsidRPr="000A66A1">
        <w:rPr>
          <w:rFonts w:asciiTheme="minorHAnsi" w:hAnsiTheme="minorHAnsi"/>
        </w:rPr>
        <w:t xml:space="preserve"> by using </w:t>
      </w:r>
      <w:r w:rsidR="00342D9F" w:rsidRPr="000A66A1">
        <w:rPr>
          <w:rFonts w:asciiTheme="minorHAnsi" w:hAnsiTheme="minorHAnsi"/>
        </w:rPr>
        <w:t>his</w:t>
      </w:r>
      <w:r w:rsidR="0023308F" w:rsidRPr="000A66A1">
        <w:rPr>
          <w:rFonts w:asciiTheme="minorHAnsi" w:hAnsiTheme="minorHAnsi"/>
        </w:rPr>
        <w:t xml:space="preserve"> own subjective</w:t>
      </w:r>
      <w:r w:rsidR="00342D9F" w:rsidRPr="000A66A1">
        <w:rPr>
          <w:rFonts w:asciiTheme="minorHAnsi" w:hAnsiTheme="minorHAnsi"/>
        </w:rPr>
        <w:t xml:space="preserve"> and intoxicated reasoning</w:t>
      </w:r>
      <w:r w:rsidR="0045358C" w:rsidRPr="000A66A1">
        <w:rPr>
          <w:rFonts w:asciiTheme="minorHAnsi" w:hAnsiTheme="minorHAnsi"/>
        </w:rPr>
        <w:t>.</w:t>
      </w:r>
      <w:r w:rsidR="00342D9F" w:rsidRPr="000A66A1">
        <w:rPr>
          <w:rFonts w:asciiTheme="minorHAnsi" w:hAnsiTheme="minorHAnsi"/>
        </w:rPr>
        <w:t xml:space="preserve"> This example highlights how important the </w:t>
      </w:r>
      <w:r w:rsidR="00342D9F" w:rsidRPr="000A66A1">
        <w:rPr>
          <w:rFonts w:asciiTheme="minorHAnsi" w:hAnsiTheme="minorHAnsi"/>
          <w:i/>
          <w:iCs/>
        </w:rPr>
        <w:t xml:space="preserve">Ivey </w:t>
      </w:r>
      <w:r w:rsidR="00342D9F" w:rsidRPr="000A66A1">
        <w:rPr>
          <w:rFonts w:asciiTheme="minorHAnsi" w:hAnsiTheme="minorHAnsi"/>
        </w:rPr>
        <w:t>decision could become in relation to intoxicated offenders.</w:t>
      </w:r>
    </w:p>
    <w:p w14:paraId="0A1C0A6D" w14:textId="77777777" w:rsidR="00DA567C" w:rsidRPr="000A66A1" w:rsidRDefault="00DA567C" w:rsidP="000A66A1">
      <w:pPr>
        <w:spacing w:line="360" w:lineRule="auto"/>
        <w:jc w:val="both"/>
        <w:rPr>
          <w:rFonts w:asciiTheme="minorHAnsi" w:hAnsiTheme="minorHAnsi"/>
        </w:rPr>
      </w:pPr>
    </w:p>
    <w:p w14:paraId="75E57728" w14:textId="0957AF0A" w:rsidR="008D1D2E" w:rsidRPr="000A66A1" w:rsidRDefault="00DA567C" w:rsidP="000A66A1">
      <w:pPr>
        <w:spacing w:line="360" w:lineRule="auto"/>
        <w:jc w:val="both"/>
        <w:rPr>
          <w:rFonts w:asciiTheme="minorHAnsi" w:hAnsiTheme="minorHAnsi"/>
        </w:rPr>
      </w:pPr>
      <w:r w:rsidRPr="000A66A1">
        <w:rPr>
          <w:rFonts w:asciiTheme="minorHAnsi" w:hAnsiTheme="minorHAnsi"/>
        </w:rPr>
        <w:t xml:space="preserve">If </w:t>
      </w:r>
      <w:r w:rsidR="00F457E9" w:rsidRPr="000A66A1">
        <w:rPr>
          <w:rFonts w:asciiTheme="minorHAnsi" w:hAnsiTheme="minorHAnsi"/>
        </w:rPr>
        <w:t>the first four</w:t>
      </w:r>
      <w:r w:rsidRPr="000A66A1">
        <w:rPr>
          <w:rFonts w:asciiTheme="minorHAnsi" w:hAnsiTheme="minorHAnsi"/>
        </w:rPr>
        <w:t xml:space="preserve"> elements of theft are established </w:t>
      </w:r>
      <w:r w:rsidR="00F457E9" w:rsidRPr="000A66A1">
        <w:rPr>
          <w:rFonts w:asciiTheme="minorHAnsi" w:hAnsiTheme="minorHAnsi"/>
        </w:rPr>
        <w:t xml:space="preserve">in a case similar to </w:t>
      </w:r>
      <w:r w:rsidRPr="000A66A1">
        <w:rPr>
          <w:rFonts w:asciiTheme="minorHAnsi" w:hAnsiTheme="minorHAnsi"/>
          <w:b/>
        </w:rPr>
        <w:t>Example 4A</w:t>
      </w:r>
      <w:r w:rsidRPr="000A66A1">
        <w:rPr>
          <w:rFonts w:asciiTheme="minorHAnsi" w:hAnsiTheme="minorHAnsi"/>
        </w:rPr>
        <w:t>, it would also have to be proven that there was an intention to permanently deprive. As D in this example decided not to return the traffic cone the next day, it is possible that D could be convicted of thef</w:t>
      </w:r>
      <w:r w:rsidR="0023308F" w:rsidRPr="000A66A1">
        <w:rPr>
          <w:rFonts w:asciiTheme="minorHAnsi" w:hAnsiTheme="minorHAnsi"/>
        </w:rPr>
        <w:t>t</w:t>
      </w:r>
      <w:r w:rsidR="0023308F" w:rsidRPr="000A66A1">
        <w:rPr>
          <w:rStyle w:val="FootnoteReference"/>
          <w:rFonts w:asciiTheme="minorHAnsi" w:hAnsiTheme="minorHAnsi"/>
        </w:rPr>
        <w:footnoteReference w:id="182"/>
      </w:r>
      <w:r w:rsidR="0023308F" w:rsidRPr="000A66A1">
        <w:rPr>
          <w:rFonts w:asciiTheme="minorHAnsi" w:hAnsiTheme="minorHAnsi"/>
        </w:rPr>
        <w:t>.</w:t>
      </w:r>
      <w:r w:rsidRPr="000A66A1">
        <w:rPr>
          <w:rFonts w:asciiTheme="minorHAnsi" w:hAnsiTheme="minorHAnsi"/>
        </w:rPr>
        <w:t xml:space="preserve"> It could be argued that due to his intoxicated mind, D did not have the intention to permanently deprive at the time the appropriation of the traffic cone occurred. However</w:t>
      </w:r>
      <w:r w:rsidR="00282565" w:rsidRPr="000A66A1">
        <w:rPr>
          <w:rFonts w:asciiTheme="minorHAnsi" w:hAnsiTheme="minorHAnsi"/>
        </w:rPr>
        <w:t>,</w:t>
      </w:r>
      <w:r w:rsidRPr="000A66A1">
        <w:rPr>
          <w:rFonts w:asciiTheme="minorHAnsi" w:hAnsiTheme="minorHAnsi"/>
        </w:rPr>
        <w:t xml:space="preserve"> it is possible for the intention to occur after the actual appropriation. By keeping the traffic cone at his own home, </w:t>
      </w:r>
      <w:r w:rsidR="00282565" w:rsidRPr="000A66A1">
        <w:rPr>
          <w:rFonts w:asciiTheme="minorHAnsi" w:hAnsiTheme="minorHAnsi"/>
        </w:rPr>
        <w:t>D has shown that he is treating the property as if it were his own regardless of the owners’ rights</w:t>
      </w:r>
      <w:r w:rsidR="00282565" w:rsidRPr="000A66A1">
        <w:rPr>
          <w:rStyle w:val="FootnoteReference"/>
          <w:rFonts w:asciiTheme="minorHAnsi" w:hAnsiTheme="minorHAnsi"/>
        </w:rPr>
        <w:footnoteReference w:id="183"/>
      </w:r>
      <w:r w:rsidR="0045358C" w:rsidRPr="000A66A1">
        <w:rPr>
          <w:rFonts w:asciiTheme="minorHAnsi" w:hAnsiTheme="minorHAnsi"/>
        </w:rPr>
        <w:t>.</w:t>
      </w:r>
    </w:p>
    <w:p w14:paraId="2C23ACAD" w14:textId="6FA4453B" w:rsidR="00282565" w:rsidRPr="000A66A1" w:rsidRDefault="00282565" w:rsidP="000A66A1">
      <w:pPr>
        <w:spacing w:line="360" w:lineRule="auto"/>
        <w:jc w:val="both"/>
        <w:rPr>
          <w:rFonts w:asciiTheme="minorHAnsi" w:hAnsiTheme="minorHAnsi"/>
        </w:rPr>
      </w:pPr>
    </w:p>
    <w:p w14:paraId="0C00E737" w14:textId="2F4CA108" w:rsidR="00282565" w:rsidRPr="000A66A1" w:rsidRDefault="00282565" w:rsidP="000A66A1">
      <w:pPr>
        <w:spacing w:line="360" w:lineRule="auto"/>
        <w:jc w:val="both"/>
        <w:rPr>
          <w:rFonts w:asciiTheme="minorHAnsi" w:hAnsiTheme="minorHAnsi"/>
        </w:rPr>
      </w:pPr>
      <w:r w:rsidRPr="000A66A1">
        <w:rPr>
          <w:rFonts w:asciiTheme="minorHAnsi" w:hAnsiTheme="minorHAnsi"/>
        </w:rPr>
        <w:t>I</w:t>
      </w:r>
      <w:r w:rsidR="00F457E9" w:rsidRPr="000A66A1">
        <w:rPr>
          <w:rFonts w:asciiTheme="minorHAnsi" w:hAnsiTheme="minorHAnsi"/>
        </w:rPr>
        <w:t>f</w:t>
      </w:r>
      <w:r w:rsidR="00206273" w:rsidRPr="000A66A1">
        <w:rPr>
          <w:rFonts w:asciiTheme="minorHAnsi" w:hAnsiTheme="minorHAnsi"/>
        </w:rPr>
        <w:t xml:space="preserve"> D had returned the traffic cone the next day</w:t>
      </w:r>
      <w:r w:rsidR="00CF57E7" w:rsidRPr="000A66A1">
        <w:rPr>
          <w:rFonts w:asciiTheme="minorHAnsi" w:hAnsiTheme="minorHAnsi"/>
        </w:rPr>
        <w:t xml:space="preserve">; </w:t>
      </w:r>
      <w:r w:rsidR="00206273" w:rsidRPr="000A66A1">
        <w:rPr>
          <w:rFonts w:asciiTheme="minorHAnsi" w:hAnsiTheme="minorHAnsi"/>
        </w:rPr>
        <w:t>he</w:t>
      </w:r>
      <w:r w:rsidRPr="000A66A1">
        <w:rPr>
          <w:rFonts w:asciiTheme="minorHAnsi" w:hAnsiTheme="minorHAnsi"/>
        </w:rPr>
        <w:t xml:space="preserve"> would </w:t>
      </w:r>
      <w:r w:rsidR="00206273" w:rsidRPr="000A66A1">
        <w:rPr>
          <w:rFonts w:asciiTheme="minorHAnsi" w:hAnsiTheme="minorHAnsi"/>
        </w:rPr>
        <w:t xml:space="preserve">most likely </w:t>
      </w:r>
      <w:r w:rsidRPr="000A66A1">
        <w:rPr>
          <w:rFonts w:asciiTheme="minorHAnsi" w:hAnsiTheme="minorHAnsi"/>
        </w:rPr>
        <w:t>not be convicted of theft.</w:t>
      </w:r>
      <w:r w:rsidR="00EF0CBA" w:rsidRPr="000A66A1">
        <w:rPr>
          <w:rFonts w:asciiTheme="minorHAnsi" w:hAnsiTheme="minorHAnsi"/>
        </w:rPr>
        <w:t xml:space="preserve"> </w:t>
      </w:r>
      <w:r w:rsidR="00206273" w:rsidRPr="000A66A1">
        <w:rPr>
          <w:rFonts w:asciiTheme="minorHAnsi" w:hAnsiTheme="minorHAnsi"/>
        </w:rPr>
        <w:t>I</w:t>
      </w:r>
      <w:r w:rsidRPr="000A66A1">
        <w:rPr>
          <w:rFonts w:asciiTheme="minorHAnsi" w:hAnsiTheme="minorHAnsi"/>
        </w:rPr>
        <w:t>t is very unlikely that the second element of the mens rea could or would be proven</w:t>
      </w:r>
      <w:r w:rsidR="00206273" w:rsidRPr="000A66A1">
        <w:rPr>
          <w:rFonts w:asciiTheme="minorHAnsi" w:hAnsiTheme="minorHAnsi"/>
        </w:rPr>
        <w:t xml:space="preserve"> if the property were to be returned</w:t>
      </w:r>
      <w:r w:rsidRPr="000A66A1">
        <w:rPr>
          <w:rFonts w:asciiTheme="minorHAnsi" w:hAnsiTheme="minorHAnsi"/>
        </w:rPr>
        <w:t xml:space="preserve">. </w:t>
      </w:r>
      <w:r w:rsidR="00206273" w:rsidRPr="000A66A1">
        <w:rPr>
          <w:rFonts w:asciiTheme="minorHAnsi" w:hAnsiTheme="minorHAnsi"/>
        </w:rPr>
        <w:t>I</w:t>
      </w:r>
      <w:r w:rsidRPr="000A66A1">
        <w:rPr>
          <w:rFonts w:asciiTheme="minorHAnsi" w:hAnsiTheme="minorHAnsi"/>
        </w:rPr>
        <w:t>t is very unlikely that this would amount to an intention to permanently deprive.</w:t>
      </w:r>
    </w:p>
    <w:p w14:paraId="180DB17A" w14:textId="605E56E2" w:rsidR="00282565" w:rsidRPr="000A66A1" w:rsidRDefault="00282565" w:rsidP="000A66A1">
      <w:pPr>
        <w:spacing w:line="360" w:lineRule="auto"/>
        <w:jc w:val="both"/>
        <w:rPr>
          <w:rFonts w:asciiTheme="minorHAnsi" w:hAnsiTheme="minorHAnsi"/>
        </w:rPr>
      </w:pPr>
    </w:p>
    <w:p w14:paraId="1E37F378" w14:textId="2018B2BC" w:rsidR="00282565" w:rsidRPr="000A66A1" w:rsidRDefault="002459C5" w:rsidP="000A66A1">
      <w:pPr>
        <w:spacing w:line="360" w:lineRule="auto"/>
        <w:jc w:val="both"/>
        <w:rPr>
          <w:rFonts w:asciiTheme="minorHAnsi" w:hAnsiTheme="minorHAnsi"/>
        </w:rPr>
      </w:pPr>
      <w:r w:rsidRPr="000A66A1">
        <w:rPr>
          <w:rFonts w:asciiTheme="minorHAnsi" w:hAnsiTheme="minorHAnsi"/>
        </w:rPr>
        <w:t>As the law aims to act as a deterrent, the risk of being prosecuted for theft may encourage offender</w:t>
      </w:r>
      <w:r w:rsidR="00206273" w:rsidRPr="000A66A1">
        <w:rPr>
          <w:rFonts w:asciiTheme="minorHAnsi" w:hAnsiTheme="minorHAnsi"/>
        </w:rPr>
        <w:t>s</w:t>
      </w:r>
      <w:r w:rsidRPr="000A66A1">
        <w:rPr>
          <w:rFonts w:asciiTheme="minorHAnsi" w:hAnsiTheme="minorHAnsi"/>
        </w:rPr>
        <w:t xml:space="preserve"> to return any property that they may </w:t>
      </w:r>
      <w:r w:rsidR="009E7C35" w:rsidRPr="000A66A1">
        <w:rPr>
          <w:rFonts w:asciiTheme="minorHAnsi" w:hAnsiTheme="minorHAnsi"/>
        </w:rPr>
        <w:t>have a</w:t>
      </w:r>
      <w:r w:rsidRPr="000A66A1">
        <w:rPr>
          <w:rFonts w:asciiTheme="minorHAnsi" w:hAnsiTheme="minorHAnsi"/>
        </w:rPr>
        <w:t>ppropriate</w:t>
      </w:r>
      <w:r w:rsidR="009E7C35" w:rsidRPr="000A66A1">
        <w:rPr>
          <w:rFonts w:asciiTheme="minorHAnsi" w:hAnsiTheme="minorHAnsi"/>
        </w:rPr>
        <w:t>d</w:t>
      </w:r>
      <w:r w:rsidRPr="000A66A1">
        <w:rPr>
          <w:rFonts w:asciiTheme="minorHAnsi" w:hAnsiTheme="minorHAnsi"/>
        </w:rPr>
        <w:t xml:space="preserve"> due to an intoxicated mistake.</w:t>
      </w:r>
      <w:r w:rsidR="00F457E9" w:rsidRPr="000A66A1">
        <w:rPr>
          <w:rFonts w:asciiTheme="minorHAnsi" w:hAnsiTheme="minorHAnsi"/>
        </w:rPr>
        <w:t xml:space="preserve"> This continues to accurately reflect the correct standard of culpability. </w:t>
      </w:r>
    </w:p>
    <w:p w14:paraId="02F708B6" w14:textId="5A15EFFA" w:rsidR="00D11E46" w:rsidRPr="000A66A1" w:rsidRDefault="00D11E46" w:rsidP="000A66A1">
      <w:pPr>
        <w:spacing w:line="360" w:lineRule="auto"/>
        <w:jc w:val="both"/>
        <w:rPr>
          <w:rFonts w:asciiTheme="minorHAnsi" w:hAnsiTheme="minorHAnsi"/>
          <w:u w:val="single"/>
        </w:rPr>
      </w:pPr>
    </w:p>
    <w:p w14:paraId="3596058E" w14:textId="00E073B3" w:rsidR="008B0BF6" w:rsidRPr="000A66A1" w:rsidRDefault="00D11E46" w:rsidP="000A66A1">
      <w:pPr>
        <w:spacing w:line="360" w:lineRule="auto"/>
        <w:jc w:val="both"/>
        <w:rPr>
          <w:rFonts w:asciiTheme="minorHAnsi" w:hAnsiTheme="minorHAnsi"/>
        </w:rPr>
      </w:pPr>
      <w:r w:rsidRPr="000A66A1">
        <w:rPr>
          <w:rFonts w:asciiTheme="minorHAnsi" w:hAnsiTheme="minorHAnsi"/>
        </w:rPr>
        <w:lastRenderedPageBreak/>
        <w:t xml:space="preserve">This analysis shows that intoxicated offenders may still be prosecuted for theft even though it is considered to be a specific intent crime. With violent specific intent offences, the jury </w:t>
      </w:r>
      <w:r w:rsidR="00CF57E7" w:rsidRPr="000A66A1">
        <w:rPr>
          <w:rFonts w:asciiTheme="minorHAnsi" w:hAnsiTheme="minorHAnsi"/>
        </w:rPr>
        <w:t>is</w:t>
      </w:r>
      <w:r w:rsidRPr="000A66A1">
        <w:rPr>
          <w:rFonts w:asciiTheme="minorHAnsi" w:hAnsiTheme="minorHAnsi"/>
        </w:rPr>
        <w:t xml:space="preserve"> asked to consider whether the requisite mens rea can be established based on the offender’s conduct. This should in turn work the same way for property offences. This is another argument as to why intoxication is not considered to be a defence. The presence of intoxication will not automatically prevent someone from being convicted of a crime</w:t>
      </w:r>
      <w:r w:rsidR="00CF57E7" w:rsidRPr="000A66A1">
        <w:rPr>
          <w:rFonts w:asciiTheme="minorHAnsi" w:hAnsiTheme="minorHAnsi"/>
        </w:rPr>
        <w:t>;</w:t>
      </w:r>
      <w:r w:rsidRPr="000A66A1">
        <w:rPr>
          <w:rFonts w:asciiTheme="minorHAnsi" w:hAnsiTheme="minorHAnsi"/>
        </w:rPr>
        <w:t xml:space="preserve"> it just acts as an obstacle to proving the requisite fault element in some cases. With theft, it is understandable as to why in the past, intoxication would prevent the mens rea from being established. With the </w:t>
      </w:r>
      <w:r w:rsidR="008931C4" w:rsidRPr="000A66A1">
        <w:rPr>
          <w:rFonts w:asciiTheme="minorHAnsi" w:hAnsiTheme="minorHAnsi"/>
        </w:rPr>
        <w:t xml:space="preserve">new </w:t>
      </w:r>
      <w:r w:rsidRPr="000A66A1">
        <w:rPr>
          <w:rFonts w:asciiTheme="minorHAnsi" w:hAnsiTheme="minorHAnsi"/>
        </w:rPr>
        <w:t>objective dishonesty test</w:t>
      </w:r>
      <w:r w:rsidR="0045358C" w:rsidRPr="000A66A1">
        <w:rPr>
          <w:rFonts w:asciiTheme="minorHAnsi" w:hAnsiTheme="minorHAnsi"/>
        </w:rPr>
        <w:t xml:space="preserve"> </w:t>
      </w:r>
      <w:r w:rsidR="00206273" w:rsidRPr="000A66A1">
        <w:rPr>
          <w:rFonts w:asciiTheme="minorHAnsi" w:hAnsiTheme="minorHAnsi"/>
        </w:rPr>
        <w:t>- dishonesty</w:t>
      </w:r>
      <w:r w:rsidRPr="000A66A1">
        <w:rPr>
          <w:rFonts w:asciiTheme="minorHAnsi" w:hAnsiTheme="minorHAnsi"/>
        </w:rPr>
        <w:t xml:space="preserve"> is far more likely to be </w:t>
      </w:r>
      <w:r w:rsidR="008931C4" w:rsidRPr="000A66A1">
        <w:rPr>
          <w:rFonts w:asciiTheme="minorHAnsi" w:hAnsiTheme="minorHAnsi"/>
        </w:rPr>
        <w:t>established</w:t>
      </w:r>
      <w:r w:rsidRPr="000A66A1">
        <w:rPr>
          <w:rFonts w:asciiTheme="minorHAnsi" w:hAnsiTheme="minorHAnsi"/>
        </w:rPr>
        <w:t xml:space="preserve"> in cases involving intoxication. The only mens rea element that then has to be established is the intention to permanently deprive. This should now allow the relationship between theft and the intoxication doctrine to act as even more of a deterrent for offenders. If </w:t>
      </w:r>
      <w:r w:rsidR="003C2BF6" w:rsidRPr="000A66A1">
        <w:rPr>
          <w:rFonts w:asciiTheme="minorHAnsi" w:hAnsiTheme="minorHAnsi"/>
        </w:rPr>
        <w:t xml:space="preserve">an </w:t>
      </w:r>
      <w:r w:rsidRPr="000A66A1">
        <w:rPr>
          <w:rFonts w:asciiTheme="minorHAnsi" w:hAnsiTheme="minorHAnsi"/>
        </w:rPr>
        <w:t>offender appropriate</w:t>
      </w:r>
      <w:r w:rsidR="00C20853" w:rsidRPr="000A66A1">
        <w:rPr>
          <w:rFonts w:asciiTheme="minorHAnsi" w:hAnsiTheme="minorHAnsi"/>
        </w:rPr>
        <w:t>s</w:t>
      </w:r>
      <w:r w:rsidRPr="000A66A1">
        <w:rPr>
          <w:rFonts w:asciiTheme="minorHAnsi" w:hAnsiTheme="minorHAnsi"/>
        </w:rPr>
        <w:t xml:space="preserve"> property dishonestly according to a reasonable person’s standards, they could be prosecuted if they do not return said property. This encourages better behaviour when that offender becomes sober. </w:t>
      </w:r>
      <w:r w:rsidR="0045358C" w:rsidRPr="000A66A1">
        <w:rPr>
          <w:rFonts w:asciiTheme="minorHAnsi" w:hAnsiTheme="minorHAnsi"/>
        </w:rPr>
        <w:t>However, this</w:t>
      </w:r>
      <w:r w:rsidRPr="000A66A1">
        <w:rPr>
          <w:rFonts w:asciiTheme="minorHAnsi" w:hAnsiTheme="minorHAnsi"/>
        </w:rPr>
        <w:t xml:space="preserve"> </w:t>
      </w:r>
      <w:r w:rsidR="008931C4" w:rsidRPr="000A66A1">
        <w:rPr>
          <w:rFonts w:asciiTheme="minorHAnsi" w:hAnsiTheme="minorHAnsi"/>
        </w:rPr>
        <w:t>is still only a proposed theory</w:t>
      </w:r>
      <w:r w:rsidRPr="000A66A1">
        <w:rPr>
          <w:rFonts w:asciiTheme="minorHAnsi" w:hAnsiTheme="minorHAnsi"/>
        </w:rPr>
        <w:t xml:space="preserve">, </w:t>
      </w:r>
      <w:r w:rsidR="008B0BF6" w:rsidRPr="000A66A1">
        <w:rPr>
          <w:rFonts w:asciiTheme="minorHAnsi" w:hAnsiTheme="minorHAnsi"/>
        </w:rPr>
        <w:t xml:space="preserve">convictions </w:t>
      </w:r>
      <w:r w:rsidR="00095869" w:rsidRPr="000A66A1">
        <w:rPr>
          <w:rFonts w:asciiTheme="minorHAnsi" w:hAnsiTheme="minorHAnsi"/>
        </w:rPr>
        <w:t xml:space="preserve">may </w:t>
      </w:r>
      <w:r w:rsidR="008B0BF6" w:rsidRPr="000A66A1">
        <w:rPr>
          <w:rFonts w:asciiTheme="minorHAnsi" w:hAnsiTheme="minorHAnsi"/>
        </w:rPr>
        <w:t>have to rise in order to deter potential offenders.</w:t>
      </w:r>
    </w:p>
    <w:p w14:paraId="04C77030" w14:textId="77777777" w:rsidR="00391177" w:rsidRPr="000A66A1" w:rsidRDefault="00391177" w:rsidP="000A66A1">
      <w:pPr>
        <w:spacing w:line="360" w:lineRule="auto"/>
        <w:jc w:val="both"/>
        <w:rPr>
          <w:rFonts w:asciiTheme="minorHAnsi" w:hAnsiTheme="minorHAnsi"/>
        </w:rPr>
      </w:pPr>
    </w:p>
    <w:p w14:paraId="25D04B26" w14:textId="49A6D868" w:rsidR="008B0BF6" w:rsidRPr="000A66A1" w:rsidRDefault="008B0BF6" w:rsidP="000A66A1">
      <w:pPr>
        <w:spacing w:line="360" w:lineRule="auto"/>
        <w:jc w:val="both"/>
        <w:rPr>
          <w:rFonts w:asciiTheme="minorHAnsi" w:hAnsiTheme="minorHAnsi"/>
          <w:u w:val="single"/>
        </w:rPr>
      </w:pPr>
      <w:r w:rsidRPr="000A66A1">
        <w:rPr>
          <w:rFonts w:asciiTheme="minorHAnsi" w:hAnsiTheme="minorHAnsi"/>
          <w:u w:val="single"/>
        </w:rPr>
        <w:t>Burglary</w:t>
      </w:r>
    </w:p>
    <w:p w14:paraId="20C8FA81" w14:textId="77777777" w:rsidR="00E94C4E" w:rsidRPr="000A66A1" w:rsidRDefault="00E94C4E" w:rsidP="000A66A1">
      <w:pPr>
        <w:spacing w:line="360" w:lineRule="auto"/>
        <w:jc w:val="both"/>
        <w:rPr>
          <w:rFonts w:asciiTheme="minorHAnsi" w:hAnsiTheme="minorHAnsi"/>
          <w:u w:val="single"/>
        </w:rPr>
      </w:pPr>
    </w:p>
    <w:p w14:paraId="1BE44AD8" w14:textId="4429EA63" w:rsidR="008B0BF6" w:rsidRPr="000A66A1" w:rsidRDefault="008B0BF6" w:rsidP="000A66A1">
      <w:pPr>
        <w:spacing w:line="360" w:lineRule="auto"/>
        <w:jc w:val="both"/>
        <w:rPr>
          <w:rFonts w:asciiTheme="minorHAnsi" w:hAnsiTheme="minorHAnsi"/>
        </w:rPr>
      </w:pPr>
      <w:r w:rsidRPr="000A66A1">
        <w:rPr>
          <w:rFonts w:asciiTheme="minorHAnsi" w:hAnsiTheme="minorHAnsi"/>
        </w:rPr>
        <w:t xml:space="preserve">It is possible for burglary to work in a similar way to theft. Even if it cannot be classed as a basic intent offence, the mens rea can be broken down in a way that allows the fault element to be </w:t>
      </w:r>
      <w:r w:rsidR="00C20853" w:rsidRPr="000A66A1">
        <w:rPr>
          <w:rFonts w:asciiTheme="minorHAnsi" w:hAnsiTheme="minorHAnsi"/>
        </w:rPr>
        <w:t xml:space="preserve">still </w:t>
      </w:r>
      <w:r w:rsidRPr="000A66A1">
        <w:rPr>
          <w:rFonts w:asciiTheme="minorHAnsi" w:hAnsiTheme="minorHAnsi"/>
        </w:rPr>
        <w:t>established, even in cases where intoxication is present.</w:t>
      </w:r>
    </w:p>
    <w:p w14:paraId="5FA90D8B" w14:textId="73796F46" w:rsidR="008B0BF6" w:rsidRPr="000A66A1" w:rsidRDefault="008B0BF6" w:rsidP="000A66A1">
      <w:pPr>
        <w:spacing w:line="360" w:lineRule="auto"/>
        <w:jc w:val="both"/>
        <w:rPr>
          <w:rFonts w:asciiTheme="minorHAnsi" w:hAnsiTheme="minorHAnsi"/>
        </w:rPr>
      </w:pPr>
    </w:p>
    <w:p w14:paraId="14AED235" w14:textId="141901EB" w:rsidR="008B0BF6" w:rsidRPr="000A66A1" w:rsidRDefault="0045358C" w:rsidP="000A66A1">
      <w:pPr>
        <w:spacing w:line="360" w:lineRule="auto"/>
        <w:jc w:val="both"/>
        <w:rPr>
          <w:rFonts w:asciiTheme="minorHAnsi" w:hAnsiTheme="minorHAnsi"/>
        </w:rPr>
      </w:pPr>
      <w:r w:rsidRPr="000A66A1">
        <w:rPr>
          <w:rFonts w:asciiTheme="minorHAnsi" w:hAnsiTheme="minorHAnsi"/>
        </w:rPr>
        <w:t>When analysing</w:t>
      </w:r>
      <w:r w:rsidR="008B0BF6" w:rsidRPr="000A66A1">
        <w:rPr>
          <w:rFonts w:asciiTheme="minorHAnsi" w:hAnsiTheme="minorHAnsi"/>
        </w:rPr>
        <w:t xml:space="preserve"> burglary under s.9(1)(a)</w:t>
      </w:r>
      <w:r w:rsidRPr="000A66A1">
        <w:rPr>
          <w:rStyle w:val="FootnoteReference"/>
          <w:rFonts w:asciiTheme="minorHAnsi" w:hAnsiTheme="minorHAnsi"/>
        </w:rPr>
        <w:footnoteReference w:id="184"/>
      </w:r>
      <w:r w:rsidR="008B0BF6" w:rsidRPr="000A66A1">
        <w:rPr>
          <w:rFonts w:asciiTheme="minorHAnsi" w:hAnsiTheme="minorHAnsi"/>
        </w:rPr>
        <w:t>, the first element that has to be established is that the offender must be a trespasser. They must either know they are a trespasser or be reckless as to whether they are trespassing</w:t>
      </w:r>
      <w:r w:rsidR="008B0BF6" w:rsidRPr="000A66A1">
        <w:rPr>
          <w:rStyle w:val="FootnoteReference"/>
          <w:rFonts w:asciiTheme="minorHAnsi" w:hAnsiTheme="minorHAnsi"/>
        </w:rPr>
        <w:footnoteReference w:id="185"/>
      </w:r>
      <w:r w:rsidRPr="000A66A1">
        <w:rPr>
          <w:rFonts w:asciiTheme="minorHAnsi" w:hAnsiTheme="minorHAnsi"/>
        </w:rPr>
        <w:t>.</w:t>
      </w:r>
      <w:r w:rsidR="008B0BF6" w:rsidRPr="000A66A1">
        <w:rPr>
          <w:rFonts w:asciiTheme="minorHAnsi" w:hAnsiTheme="minorHAnsi"/>
        </w:rPr>
        <w:t xml:space="preserve"> They can even have permission to enter the building but become a trespasser because they </w:t>
      </w:r>
      <w:r w:rsidR="008B0BF6" w:rsidRPr="000A66A1">
        <w:rPr>
          <w:rFonts w:asciiTheme="minorHAnsi" w:hAnsiTheme="minorHAnsi"/>
        </w:rPr>
        <w:lastRenderedPageBreak/>
        <w:t>do something they were not invited to do</w:t>
      </w:r>
      <w:r w:rsidR="008B0BF6" w:rsidRPr="000A66A1">
        <w:rPr>
          <w:rStyle w:val="FootnoteReference"/>
          <w:rFonts w:asciiTheme="minorHAnsi" w:hAnsiTheme="minorHAnsi"/>
        </w:rPr>
        <w:footnoteReference w:id="186"/>
      </w:r>
      <w:r w:rsidRPr="000A66A1">
        <w:rPr>
          <w:rFonts w:asciiTheme="minorHAnsi" w:hAnsiTheme="minorHAnsi"/>
        </w:rPr>
        <w:t>.</w:t>
      </w:r>
      <w:r w:rsidR="001F50DA" w:rsidRPr="000A66A1">
        <w:rPr>
          <w:rFonts w:asciiTheme="minorHAnsi" w:hAnsiTheme="minorHAnsi"/>
        </w:rPr>
        <w:t xml:space="preserve"> If you ‘invite someone into your house to use your staircase you do not invite him to slide down the banister</w:t>
      </w:r>
      <w:r w:rsidRPr="000A66A1">
        <w:rPr>
          <w:rFonts w:asciiTheme="minorHAnsi" w:hAnsiTheme="minorHAnsi"/>
        </w:rPr>
        <w:t>s’</w:t>
      </w:r>
      <w:r w:rsidR="001F50DA" w:rsidRPr="000A66A1">
        <w:rPr>
          <w:rStyle w:val="FootnoteReference"/>
          <w:rFonts w:asciiTheme="minorHAnsi" w:hAnsiTheme="minorHAnsi"/>
        </w:rPr>
        <w:footnoteReference w:id="187"/>
      </w:r>
      <w:r w:rsidRPr="000A66A1">
        <w:rPr>
          <w:rFonts w:asciiTheme="minorHAnsi" w:hAnsiTheme="minorHAnsi"/>
        </w:rPr>
        <w:t>.</w:t>
      </w:r>
      <w:r w:rsidR="001F50DA" w:rsidRPr="000A66A1">
        <w:rPr>
          <w:rFonts w:asciiTheme="minorHAnsi" w:hAnsiTheme="minorHAnsi"/>
        </w:rPr>
        <w:t xml:space="preserve"> This </w:t>
      </w:r>
      <w:r w:rsidR="00095869" w:rsidRPr="000A66A1">
        <w:rPr>
          <w:rFonts w:asciiTheme="minorHAnsi" w:hAnsiTheme="minorHAnsi"/>
        </w:rPr>
        <w:t xml:space="preserve">highlights </w:t>
      </w:r>
      <w:r w:rsidR="001F50DA" w:rsidRPr="000A66A1">
        <w:rPr>
          <w:rFonts w:asciiTheme="minorHAnsi" w:hAnsiTheme="minorHAnsi"/>
        </w:rPr>
        <w:t>that ‘trespassing’ can be established using recklessness</w:t>
      </w:r>
      <w:r w:rsidR="00206273" w:rsidRPr="000A66A1">
        <w:rPr>
          <w:rFonts w:asciiTheme="minorHAnsi" w:hAnsiTheme="minorHAnsi"/>
        </w:rPr>
        <w:t xml:space="preserve">, making it easier for the prosecution to prove. </w:t>
      </w:r>
      <w:r w:rsidR="00A500B7" w:rsidRPr="000A66A1">
        <w:rPr>
          <w:rFonts w:asciiTheme="minorHAnsi" w:hAnsiTheme="minorHAnsi"/>
        </w:rPr>
        <w:t xml:space="preserve">As described in </w:t>
      </w:r>
      <w:r w:rsidR="008C0798" w:rsidRPr="000A66A1">
        <w:rPr>
          <w:rFonts w:asciiTheme="minorHAnsi" w:hAnsiTheme="minorHAnsi"/>
        </w:rPr>
        <w:t>Section I</w:t>
      </w:r>
      <w:r w:rsidR="00A500B7" w:rsidRPr="000A66A1">
        <w:rPr>
          <w:rFonts w:asciiTheme="minorHAnsi" w:hAnsiTheme="minorHAnsi"/>
        </w:rPr>
        <w:t>, the level of culpability of becoming intoxicated could equate to the level of culpability required for trespassing.</w:t>
      </w:r>
    </w:p>
    <w:p w14:paraId="0BEBC5C0" w14:textId="6F0E019B" w:rsidR="001F50DA" w:rsidRPr="000A66A1" w:rsidRDefault="001F50DA" w:rsidP="000A66A1">
      <w:pPr>
        <w:spacing w:line="360" w:lineRule="auto"/>
        <w:jc w:val="both"/>
        <w:rPr>
          <w:rFonts w:asciiTheme="minorHAnsi" w:hAnsiTheme="minorHAnsi"/>
        </w:rPr>
      </w:pPr>
    </w:p>
    <w:p w14:paraId="0760939E" w14:textId="1A6979D5" w:rsidR="001F50DA" w:rsidRPr="000A66A1" w:rsidRDefault="001F50DA" w:rsidP="000A66A1">
      <w:pPr>
        <w:spacing w:line="360" w:lineRule="auto"/>
        <w:jc w:val="both"/>
        <w:rPr>
          <w:rFonts w:asciiTheme="minorHAnsi" w:hAnsiTheme="minorHAnsi"/>
        </w:rPr>
      </w:pPr>
      <w:r w:rsidRPr="000A66A1">
        <w:rPr>
          <w:rFonts w:asciiTheme="minorHAnsi" w:hAnsiTheme="minorHAnsi"/>
        </w:rPr>
        <w:t>The next element that must be established is the intention to either</w:t>
      </w:r>
      <w:r w:rsidR="0045358C" w:rsidRPr="000A66A1">
        <w:rPr>
          <w:rFonts w:asciiTheme="minorHAnsi" w:hAnsiTheme="minorHAnsi"/>
        </w:rPr>
        <w:t>:</w:t>
      </w:r>
      <w:r w:rsidRPr="000A66A1">
        <w:rPr>
          <w:rFonts w:asciiTheme="minorHAnsi" w:hAnsiTheme="minorHAnsi"/>
        </w:rPr>
        <w:t xml:space="preserve"> steal </w:t>
      </w:r>
      <w:r w:rsidR="0045358C" w:rsidRPr="000A66A1">
        <w:rPr>
          <w:rFonts w:asciiTheme="minorHAnsi" w:hAnsiTheme="minorHAnsi"/>
        </w:rPr>
        <w:t>an item;</w:t>
      </w:r>
      <w:r w:rsidRPr="000A66A1">
        <w:rPr>
          <w:rFonts w:asciiTheme="minorHAnsi" w:hAnsiTheme="minorHAnsi"/>
        </w:rPr>
        <w:t xml:space="preserve"> inflict GBH</w:t>
      </w:r>
      <w:r w:rsidR="0045358C" w:rsidRPr="000A66A1">
        <w:rPr>
          <w:rFonts w:asciiTheme="minorHAnsi" w:hAnsiTheme="minorHAnsi"/>
        </w:rPr>
        <w:t>;</w:t>
      </w:r>
      <w:r w:rsidRPr="000A66A1">
        <w:rPr>
          <w:rFonts w:asciiTheme="minorHAnsi" w:hAnsiTheme="minorHAnsi"/>
        </w:rPr>
        <w:t xml:space="preserve"> or </w:t>
      </w:r>
      <w:r w:rsidR="0045358C" w:rsidRPr="000A66A1">
        <w:rPr>
          <w:rFonts w:asciiTheme="minorHAnsi" w:hAnsiTheme="minorHAnsi"/>
        </w:rPr>
        <w:t xml:space="preserve">commit </w:t>
      </w:r>
      <w:r w:rsidRPr="000A66A1">
        <w:rPr>
          <w:rFonts w:asciiTheme="minorHAnsi" w:hAnsiTheme="minorHAnsi"/>
        </w:rPr>
        <w:t xml:space="preserve">unlawful damage. </w:t>
      </w:r>
      <w:r w:rsidR="00095869" w:rsidRPr="000A66A1">
        <w:rPr>
          <w:rFonts w:asciiTheme="minorHAnsi" w:hAnsiTheme="minorHAnsi"/>
        </w:rPr>
        <w:t xml:space="preserve">Both GBH and criminal damage </w:t>
      </w:r>
      <w:r w:rsidR="00F43EE5" w:rsidRPr="000A66A1">
        <w:rPr>
          <w:rFonts w:asciiTheme="minorHAnsi" w:hAnsiTheme="minorHAnsi"/>
          <w:i/>
        </w:rPr>
        <w:t>can</w:t>
      </w:r>
      <w:r w:rsidR="00F43EE5" w:rsidRPr="000A66A1">
        <w:rPr>
          <w:rFonts w:asciiTheme="minorHAnsi" w:hAnsiTheme="minorHAnsi"/>
        </w:rPr>
        <w:t xml:space="preserve"> be</w:t>
      </w:r>
      <w:r w:rsidR="00FF3070" w:rsidRPr="000A66A1">
        <w:rPr>
          <w:rFonts w:asciiTheme="minorHAnsi" w:hAnsiTheme="minorHAnsi"/>
        </w:rPr>
        <w:t xml:space="preserve"> offences of basic intent</w:t>
      </w:r>
      <w:r w:rsidR="00C20853" w:rsidRPr="000A66A1">
        <w:rPr>
          <w:rFonts w:asciiTheme="minorHAnsi" w:hAnsiTheme="minorHAnsi"/>
        </w:rPr>
        <w:t>;</w:t>
      </w:r>
      <w:r w:rsidR="00FF3070" w:rsidRPr="000A66A1">
        <w:rPr>
          <w:rFonts w:asciiTheme="minorHAnsi" w:hAnsiTheme="minorHAnsi"/>
        </w:rPr>
        <w:t xml:space="preserve"> the intention of these offences can be that of recklessness. This means that </w:t>
      </w:r>
      <w:r w:rsidR="00206273" w:rsidRPr="000A66A1">
        <w:rPr>
          <w:rFonts w:asciiTheme="minorHAnsi" w:hAnsiTheme="minorHAnsi"/>
        </w:rPr>
        <w:t>the last two</w:t>
      </w:r>
      <w:r w:rsidR="00FF3070" w:rsidRPr="000A66A1">
        <w:rPr>
          <w:rFonts w:asciiTheme="minorHAnsi" w:hAnsiTheme="minorHAnsi"/>
        </w:rPr>
        <w:t xml:space="preserve"> elements of burglary </w:t>
      </w:r>
      <w:r w:rsidR="00A500B7" w:rsidRPr="000A66A1">
        <w:rPr>
          <w:rFonts w:asciiTheme="minorHAnsi" w:hAnsiTheme="minorHAnsi"/>
        </w:rPr>
        <w:t xml:space="preserve">individually </w:t>
      </w:r>
      <w:r w:rsidR="00FF3070" w:rsidRPr="000A66A1">
        <w:rPr>
          <w:rFonts w:asciiTheme="minorHAnsi" w:hAnsiTheme="minorHAnsi"/>
        </w:rPr>
        <w:t>require basic intent only, if the intoxicated intention is to commit either GBH or criminal damage</w:t>
      </w:r>
      <w:r w:rsidR="00A500B7" w:rsidRPr="000A66A1">
        <w:rPr>
          <w:rFonts w:asciiTheme="minorHAnsi" w:hAnsiTheme="minorHAnsi"/>
        </w:rPr>
        <w:t>, even for an ulterior intent crime</w:t>
      </w:r>
      <w:r w:rsidR="00FF3070" w:rsidRPr="000A66A1">
        <w:rPr>
          <w:rFonts w:asciiTheme="minorHAnsi" w:hAnsiTheme="minorHAnsi"/>
        </w:rPr>
        <w:t>.</w:t>
      </w:r>
      <w:r w:rsidR="00206273" w:rsidRPr="000A66A1">
        <w:rPr>
          <w:rFonts w:asciiTheme="minorHAnsi" w:hAnsiTheme="minorHAnsi"/>
        </w:rPr>
        <w:t xml:space="preserve"> This would also make it easier for the prosecution to establish. </w:t>
      </w:r>
    </w:p>
    <w:p w14:paraId="23058642" w14:textId="25FC5138" w:rsidR="00FF3070" w:rsidRPr="000A66A1" w:rsidRDefault="00FF3070" w:rsidP="000A66A1">
      <w:pPr>
        <w:spacing w:line="360" w:lineRule="auto"/>
        <w:jc w:val="both"/>
        <w:rPr>
          <w:rFonts w:asciiTheme="minorHAnsi" w:hAnsiTheme="minorHAnsi"/>
        </w:rPr>
      </w:pPr>
    </w:p>
    <w:p w14:paraId="5BC49082" w14:textId="31D6BF67" w:rsidR="00FF3070" w:rsidRPr="000A66A1" w:rsidRDefault="00FF3070" w:rsidP="000A66A1">
      <w:pPr>
        <w:spacing w:line="360" w:lineRule="auto"/>
        <w:ind w:firstLine="720"/>
        <w:jc w:val="both"/>
        <w:rPr>
          <w:rFonts w:asciiTheme="minorHAnsi" w:hAnsiTheme="minorHAnsi"/>
        </w:rPr>
      </w:pPr>
      <w:r w:rsidRPr="000A66A1">
        <w:rPr>
          <w:rFonts w:asciiTheme="minorHAnsi" w:hAnsiTheme="minorHAnsi"/>
          <w:b/>
        </w:rPr>
        <w:t>Example 5A</w:t>
      </w:r>
      <w:r w:rsidRPr="000A66A1">
        <w:rPr>
          <w:rFonts w:asciiTheme="minorHAnsi" w:hAnsiTheme="minorHAnsi"/>
        </w:rPr>
        <w:t xml:space="preserve"> – D stumbles into a house that he believes is his </w:t>
      </w:r>
      <w:r w:rsidR="00F74497" w:rsidRPr="000A66A1">
        <w:rPr>
          <w:rFonts w:asciiTheme="minorHAnsi" w:hAnsiTheme="minorHAnsi"/>
        </w:rPr>
        <w:t xml:space="preserve">friends due to his intoxication. It is actually the house next door. He enters with the intention </w:t>
      </w:r>
      <w:r w:rsidR="00A500B7" w:rsidRPr="000A66A1">
        <w:rPr>
          <w:rFonts w:asciiTheme="minorHAnsi" w:hAnsiTheme="minorHAnsi"/>
        </w:rPr>
        <w:t>to</w:t>
      </w:r>
      <w:r w:rsidR="00F74497" w:rsidRPr="000A66A1">
        <w:rPr>
          <w:rFonts w:asciiTheme="minorHAnsi" w:hAnsiTheme="minorHAnsi"/>
        </w:rPr>
        <w:t xml:space="preserve"> commit criminal damage, as he has decided</w:t>
      </w:r>
      <w:r w:rsidR="00A500B7" w:rsidRPr="000A66A1">
        <w:rPr>
          <w:rFonts w:asciiTheme="minorHAnsi" w:hAnsiTheme="minorHAnsi"/>
        </w:rPr>
        <w:t xml:space="preserve"> to</w:t>
      </w:r>
      <w:r w:rsidR="00F74497" w:rsidRPr="000A66A1">
        <w:rPr>
          <w:rFonts w:asciiTheme="minorHAnsi" w:hAnsiTheme="minorHAnsi"/>
        </w:rPr>
        <w:t xml:space="preserve"> throw paint on a wall.</w:t>
      </w:r>
    </w:p>
    <w:p w14:paraId="68DF8E87" w14:textId="636BC854" w:rsidR="00F74497" w:rsidRPr="000A66A1" w:rsidRDefault="00F74497" w:rsidP="000A66A1">
      <w:pPr>
        <w:spacing w:line="360" w:lineRule="auto"/>
        <w:jc w:val="both"/>
        <w:rPr>
          <w:rFonts w:asciiTheme="minorHAnsi" w:hAnsiTheme="minorHAnsi"/>
        </w:rPr>
      </w:pPr>
    </w:p>
    <w:p w14:paraId="38F11EF3" w14:textId="5C2746B3" w:rsidR="00F74497" w:rsidRPr="000A66A1" w:rsidRDefault="00F74497" w:rsidP="000A66A1">
      <w:pPr>
        <w:spacing w:line="360" w:lineRule="auto"/>
        <w:jc w:val="both"/>
        <w:rPr>
          <w:rFonts w:asciiTheme="minorHAnsi" w:hAnsiTheme="minorHAnsi"/>
        </w:rPr>
      </w:pPr>
      <w:r w:rsidRPr="000A66A1">
        <w:rPr>
          <w:rFonts w:asciiTheme="minorHAnsi" w:hAnsiTheme="minorHAnsi"/>
        </w:rPr>
        <w:t xml:space="preserve">In this example, the element that D has to be a trespasser can be established, as this can be done through recklessness. </w:t>
      </w:r>
      <w:r w:rsidR="00A500B7" w:rsidRPr="000A66A1">
        <w:rPr>
          <w:rFonts w:asciiTheme="minorHAnsi" w:hAnsiTheme="minorHAnsi"/>
        </w:rPr>
        <w:t xml:space="preserve">There must also be an intention to commit criminal damage which can be satisfied in this case. Even though </w:t>
      </w:r>
      <w:r w:rsidR="00F43EE5" w:rsidRPr="000A66A1">
        <w:rPr>
          <w:rFonts w:asciiTheme="minorHAnsi" w:hAnsiTheme="minorHAnsi"/>
        </w:rPr>
        <w:t>burglary</w:t>
      </w:r>
      <w:r w:rsidR="00A500B7" w:rsidRPr="000A66A1">
        <w:rPr>
          <w:rFonts w:asciiTheme="minorHAnsi" w:hAnsiTheme="minorHAnsi"/>
        </w:rPr>
        <w:t xml:space="preserve"> is a specific intent crime due to the ulterior intent, it can be broken down and established when intoxication is present due to the various elements that </w:t>
      </w:r>
      <w:r w:rsidR="00A979F9" w:rsidRPr="000A66A1">
        <w:rPr>
          <w:rFonts w:asciiTheme="minorHAnsi" w:hAnsiTheme="minorHAnsi"/>
        </w:rPr>
        <w:t>are relatively simple for the prosecution to prove.</w:t>
      </w:r>
      <w:r w:rsidR="00A500B7" w:rsidRPr="000A66A1">
        <w:rPr>
          <w:rFonts w:asciiTheme="minorHAnsi" w:hAnsiTheme="minorHAnsi"/>
        </w:rPr>
        <w:t xml:space="preserve"> Although theft is a specific intent crime, using the new dishonesty rules, there is the potential for theft to be established as part of the burglary element whilst intoxicated too.</w:t>
      </w:r>
    </w:p>
    <w:p w14:paraId="1495BCAE" w14:textId="4F74116A" w:rsidR="00A500B7" w:rsidRPr="000A66A1" w:rsidRDefault="00A500B7" w:rsidP="000A66A1">
      <w:pPr>
        <w:spacing w:line="360" w:lineRule="auto"/>
        <w:jc w:val="both"/>
        <w:rPr>
          <w:rFonts w:asciiTheme="minorHAnsi" w:hAnsiTheme="minorHAnsi"/>
        </w:rPr>
      </w:pPr>
    </w:p>
    <w:p w14:paraId="32CCDDCF" w14:textId="01F71287" w:rsidR="00A500B7" w:rsidRPr="000A66A1" w:rsidRDefault="00A500B7" w:rsidP="000A66A1">
      <w:pPr>
        <w:spacing w:line="360" w:lineRule="auto"/>
        <w:jc w:val="both"/>
        <w:rPr>
          <w:rFonts w:asciiTheme="minorHAnsi" w:hAnsiTheme="minorHAnsi"/>
        </w:rPr>
      </w:pPr>
      <w:r w:rsidRPr="000A66A1">
        <w:rPr>
          <w:rFonts w:asciiTheme="minorHAnsi" w:hAnsiTheme="minorHAnsi"/>
        </w:rPr>
        <w:t xml:space="preserve">This works in a similar way to burglary </w:t>
      </w:r>
      <w:r w:rsidR="00617C09" w:rsidRPr="000A66A1">
        <w:rPr>
          <w:rFonts w:asciiTheme="minorHAnsi" w:hAnsiTheme="minorHAnsi"/>
        </w:rPr>
        <w:t>under</w:t>
      </w:r>
      <w:r w:rsidRPr="000A66A1">
        <w:rPr>
          <w:rFonts w:asciiTheme="minorHAnsi" w:hAnsiTheme="minorHAnsi"/>
        </w:rPr>
        <w:t xml:space="preserve"> s.9(1)(b)</w:t>
      </w:r>
      <w:r w:rsidR="00885B16" w:rsidRPr="000A66A1">
        <w:rPr>
          <w:rStyle w:val="FootnoteReference"/>
          <w:rFonts w:asciiTheme="minorHAnsi" w:hAnsiTheme="minorHAnsi"/>
        </w:rPr>
        <w:footnoteReference w:id="188"/>
      </w:r>
      <w:r w:rsidR="00885B16" w:rsidRPr="000A66A1">
        <w:rPr>
          <w:rFonts w:asciiTheme="minorHAnsi" w:hAnsiTheme="minorHAnsi"/>
        </w:rPr>
        <w:t>:</w:t>
      </w:r>
      <w:r w:rsidR="00617C09" w:rsidRPr="000A66A1">
        <w:rPr>
          <w:rFonts w:asciiTheme="minorHAnsi" w:hAnsiTheme="minorHAnsi"/>
        </w:rPr>
        <w:t xml:space="preserve"> The trespasser element can also be satisfied </w:t>
      </w:r>
      <w:r w:rsidR="001E52EF" w:rsidRPr="000A66A1">
        <w:rPr>
          <w:rFonts w:asciiTheme="minorHAnsi" w:hAnsiTheme="minorHAnsi"/>
        </w:rPr>
        <w:t>through recklessness</w:t>
      </w:r>
      <w:r w:rsidR="001E52EF" w:rsidRPr="000A66A1">
        <w:rPr>
          <w:rStyle w:val="FootnoteReference"/>
          <w:rFonts w:asciiTheme="minorHAnsi" w:hAnsiTheme="minorHAnsi"/>
        </w:rPr>
        <w:footnoteReference w:id="189"/>
      </w:r>
      <w:r w:rsidR="00885B16" w:rsidRPr="000A66A1">
        <w:rPr>
          <w:rFonts w:asciiTheme="minorHAnsi" w:hAnsiTheme="minorHAnsi"/>
        </w:rPr>
        <w:t>.</w:t>
      </w:r>
      <w:r w:rsidR="001E52EF" w:rsidRPr="000A66A1">
        <w:rPr>
          <w:rFonts w:asciiTheme="minorHAnsi" w:hAnsiTheme="minorHAnsi"/>
        </w:rPr>
        <w:t xml:space="preserve"> </w:t>
      </w:r>
      <w:r w:rsidRPr="000A66A1">
        <w:rPr>
          <w:rFonts w:asciiTheme="minorHAnsi" w:hAnsiTheme="minorHAnsi"/>
        </w:rPr>
        <w:t xml:space="preserve"> </w:t>
      </w:r>
      <w:r w:rsidR="00F43EE5" w:rsidRPr="000A66A1">
        <w:rPr>
          <w:rFonts w:asciiTheme="minorHAnsi" w:hAnsiTheme="minorHAnsi"/>
        </w:rPr>
        <w:t xml:space="preserve">The second element is that D either </w:t>
      </w:r>
      <w:r w:rsidR="00F43EE5" w:rsidRPr="000A66A1">
        <w:rPr>
          <w:rFonts w:asciiTheme="minorHAnsi" w:hAnsiTheme="minorHAnsi"/>
        </w:rPr>
        <w:lastRenderedPageBreak/>
        <w:t>intends to commit GBH or theft or actually commits GBH or theft. As with the first offence of burglary, it may be possible for the elements of each offence to be established even when intoxicated.</w:t>
      </w:r>
    </w:p>
    <w:p w14:paraId="5FF94C5C" w14:textId="79F34195" w:rsidR="00F43EE5" w:rsidRPr="000A66A1" w:rsidRDefault="00F43EE5" w:rsidP="000A66A1">
      <w:pPr>
        <w:spacing w:line="360" w:lineRule="auto"/>
        <w:jc w:val="both"/>
        <w:rPr>
          <w:rFonts w:asciiTheme="minorHAnsi" w:hAnsiTheme="minorHAnsi"/>
        </w:rPr>
      </w:pPr>
    </w:p>
    <w:p w14:paraId="0427DB02" w14:textId="783D2302" w:rsidR="00F43EE5" w:rsidRPr="000A66A1" w:rsidRDefault="00F43EE5" w:rsidP="000A66A1">
      <w:pPr>
        <w:spacing w:line="360" w:lineRule="auto"/>
        <w:jc w:val="both"/>
        <w:rPr>
          <w:rFonts w:asciiTheme="minorHAnsi" w:hAnsiTheme="minorHAnsi"/>
        </w:rPr>
      </w:pPr>
      <w:r w:rsidRPr="000A66A1">
        <w:rPr>
          <w:rFonts w:asciiTheme="minorHAnsi" w:hAnsiTheme="minorHAnsi"/>
        </w:rPr>
        <w:t>Although this analysis does not result in both theft and burglary being offences with basic intent due to the presence of ulterior intent</w:t>
      </w:r>
      <w:r w:rsidR="00885B16" w:rsidRPr="000A66A1">
        <w:rPr>
          <w:rFonts w:asciiTheme="minorHAnsi" w:hAnsiTheme="minorHAnsi"/>
        </w:rPr>
        <w:t xml:space="preserve"> -</w:t>
      </w:r>
      <w:r w:rsidRPr="000A66A1">
        <w:rPr>
          <w:rFonts w:asciiTheme="minorHAnsi" w:hAnsiTheme="minorHAnsi"/>
        </w:rPr>
        <w:t xml:space="preserve"> it is possible for offenders to secure a conviction </w:t>
      </w:r>
      <w:r w:rsidR="00885B16" w:rsidRPr="000A66A1">
        <w:rPr>
          <w:rFonts w:asciiTheme="minorHAnsi" w:hAnsiTheme="minorHAnsi"/>
        </w:rPr>
        <w:t>despite</w:t>
      </w:r>
      <w:r w:rsidRPr="000A66A1">
        <w:rPr>
          <w:rFonts w:asciiTheme="minorHAnsi" w:hAnsiTheme="minorHAnsi"/>
        </w:rPr>
        <w:t xml:space="preserve"> commit</w:t>
      </w:r>
      <w:r w:rsidR="00885B16" w:rsidRPr="000A66A1">
        <w:rPr>
          <w:rFonts w:asciiTheme="minorHAnsi" w:hAnsiTheme="minorHAnsi"/>
        </w:rPr>
        <w:t>ting</w:t>
      </w:r>
      <w:r w:rsidRPr="000A66A1">
        <w:rPr>
          <w:rFonts w:asciiTheme="minorHAnsi" w:hAnsiTheme="minorHAnsi"/>
        </w:rPr>
        <w:t xml:space="preserve"> the offences whilst intoxicated. </w:t>
      </w:r>
      <w:r w:rsidR="00A979F9" w:rsidRPr="000A66A1">
        <w:rPr>
          <w:rFonts w:asciiTheme="minorHAnsi" w:hAnsiTheme="minorHAnsi"/>
        </w:rPr>
        <w:t xml:space="preserve">Intoxicated offenders could be charged with theft in cases of theft or robbery, and burglary in cases of burglary and aggravated burglary. </w:t>
      </w:r>
      <w:r w:rsidRPr="000A66A1">
        <w:rPr>
          <w:rFonts w:asciiTheme="minorHAnsi" w:hAnsiTheme="minorHAnsi"/>
        </w:rPr>
        <w:t xml:space="preserve">This allows the relationship that these offences have with the intoxication doctrine to mimic the relationship intoxication has with the offences in </w:t>
      </w:r>
      <w:r w:rsidR="008C0798" w:rsidRPr="000A66A1">
        <w:rPr>
          <w:rFonts w:asciiTheme="minorHAnsi" w:hAnsiTheme="minorHAnsi"/>
        </w:rPr>
        <w:t>Section I</w:t>
      </w:r>
      <w:r w:rsidRPr="000A66A1">
        <w:rPr>
          <w:rFonts w:asciiTheme="minorHAnsi" w:hAnsiTheme="minorHAnsi"/>
        </w:rPr>
        <w:t xml:space="preserve">. </w:t>
      </w:r>
      <w:r w:rsidR="00885B16" w:rsidRPr="000A66A1">
        <w:rPr>
          <w:rFonts w:asciiTheme="minorHAnsi" w:hAnsiTheme="minorHAnsi"/>
        </w:rPr>
        <w:t>Thus,</w:t>
      </w:r>
      <w:r w:rsidRPr="000A66A1">
        <w:rPr>
          <w:rFonts w:asciiTheme="minorHAnsi" w:hAnsiTheme="minorHAnsi"/>
        </w:rPr>
        <w:t xml:space="preserve"> the offences of theft and burglary to act as the corresponding crimes for the more serious property offences.</w:t>
      </w:r>
    </w:p>
    <w:p w14:paraId="6712971F" w14:textId="6B15E8EE" w:rsidR="00052DB7" w:rsidRDefault="00052DB7" w:rsidP="000A66A1">
      <w:pPr>
        <w:spacing w:line="360" w:lineRule="auto"/>
        <w:jc w:val="both"/>
        <w:rPr>
          <w:rFonts w:asciiTheme="minorHAnsi" w:hAnsiTheme="minorHAnsi"/>
        </w:rPr>
      </w:pPr>
    </w:p>
    <w:p w14:paraId="4295D3CB" w14:textId="591D7335" w:rsidR="000A66A1" w:rsidRDefault="000A66A1" w:rsidP="000A66A1">
      <w:pPr>
        <w:spacing w:line="360" w:lineRule="auto"/>
        <w:jc w:val="both"/>
        <w:rPr>
          <w:rFonts w:asciiTheme="minorHAnsi" w:hAnsiTheme="minorHAnsi"/>
        </w:rPr>
      </w:pPr>
    </w:p>
    <w:p w14:paraId="59D9A37A" w14:textId="0DD87CF4" w:rsidR="000A66A1" w:rsidRDefault="000A66A1" w:rsidP="000A66A1">
      <w:pPr>
        <w:spacing w:line="360" w:lineRule="auto"/>
        <w:jc w:val="both"/>
        <w:rPr>
          <w:rFonts w:asciiTheme="minorHAnsi" w:hAnsiTheme="minorHAnsi"/>
        </w:rPr>
      </w:pPr>
    </w:p>
    <w:p w14:paraId="453E4B65" w14:textId="6FD2CB7F" w:rsidR="000A66A1" w:rsidRDefault="000A66A1" w:rsidP="000A66A1">
      <w:pPr>
        <w:spacing w:line="360" w:lineRule="auto"/>
        <w:jc w:val="both"/>
        <w:rPr>
          <w:rFonts w:asciiTheme="minorHAnsi" w:hAnsiTheme="minorHAnsi"/>
        </w:rPr>
      </w:pPr>
    </w:p>
    <w:p w14:paraId="04D5CAF1" w14:textId="65DDA865" w:rsidR="000A66A1" w:rsidRDefault="000A66A1" w:rsidP="000A66A1">
      <w:pPr>
        <w:spacing w:line="360" w:lineRule="auto"/>
        <w:jc w:val="both"/>
        <w:rPr>
          <w:rFonts w:asciiTheme="minorHAnsi" w:hAnsiTheme="minorHAnsi"/>
        </w:rPr>
      </w:pPr>
    </w:p>
    <w:p w14:paraId="03920523" w14:textId="778FD305" w:rsidR="000A66A1" w:rsidRDefault="000A66A1" w:rsidP="000A66A1">
      <w:pPr>
        <w:spacing w:line="360" w:lineRule="auto"/>
        <w:jc w:val="both"/>
        <w:rPr>
          <w:rFonts w:asciiTheme="minorHAnsi" w:hAnsiTheme="minorHAnsi"/>
        </w:rPr>
      </w:pPr>
    </w:p>
    <w:p w14:paraId="639F6585" w14:textId="0201D6B4" w:rsidR="000A66A1" w:rsidRDefault="000A66A1" w:rsidP="000A66A1">
      <w:pPr>
        <w:spacing w:line="360" w:lineRule="auto"/>
        <w:jc w:val="both"/>
        <w:rPr>
          <w:rFonts w:asciiTheme="minorHAnsi" w:hAnsiTheme="minorHAnsi"/>
        </w:rPr>
      </w:pPr>
    </w:p>
    <w:p w14:paraId="1B96664C" w14:textId="7BAB9F06" w:rsidR="000A66A1" w:rsidRDefault="000A66A1" w:rsidP="000A66A1">
      <w:pPr>
        <w:spacing w:line="360" w:lineRule="auto"/>
        <w:jc w:val="both"/>
        <w:rPr>
          <w:rFonts w:asciiTheme="minorHAnsi" w:hAnsiTheme="minorHAnsi"/>
        </w:rPr>
      </w:pPr>
    </w:p>
    <w:p w14:paraId="0200A3B1" w14:textId="17439D05" w:rsidR="000A66A1" w:rsidRDefault="000A66A1" w:rsidP="000A66A1">
      <w:pPr>
        <w:spacing w:line="360" w:lineRule="auto"/>
        <w:jc w:val="both"/>
        <w:rPr>
          <w:rFonts w:asciiTheme="minorHAnsi" w:hAnsiTheme="minorHAnsi"/>
        </w:rPr>
      </w:pPr>
    </w:p>
    <w:p w14:paraId="17EB9851" w14:textId="3B7E3A28" w:rsidR="000A66A1" w:rsidRDefault="000A66A1" w:rsidP="000A66A1">
      <w:pPr>
        <w:spacing w:line="360" w:lineRule="auto"/>
        <w:jc w:val="both"/>
        <w:rPr>
          <w:rFonts w:asciiTheme="minorHAnsi" w:hAnsiTheme="minorHAnsi"/>
        </w:rPr>
      </w:pPr>
    </w:p>
    <w:p w14:paraId="7489E725" w14:textId="05687EE5" w:rsidR="000A66A1" w:rsidRDefault="000A66A1" w:rsidP="000A66A1">
      <w:pPr>
        <w:spacing w:line="360" w:lineRule="auto"/>
        <w:jc w:val="both"/>
        <w:rPr>
          <w:rFonts w:asciiTheme="minorHAnsi" w:hAnsiTheme="minorHAnsi"/>
        </w:rPr>
      </w:pPr>
    </w:p>
    <w:p w14:paraId="14D8BF35" w14:textId="70405A7C" w:rsidR="000A66A1" w:rsidRDefault="000A66A1" w:rsidP="000A66A1">
      <w:pPr>
        <w:spacing w:line="360" w:lineRule="auto"/>
        <w:jc w:val="both"/>
        <w:rPr>
          <w:rFonts w:asciiTheme="minorHAnsi" w:hAnsiTheme="minorHAnsi"/>
        </w:rPr>
      </w:pPr>
    </w:p>
    <w:p w14:paraId="6FDC3CC2" w14:textId="1598377E" w:rsidR="000A66A1" w:rsidRDefault="000A66A1" w:rsidP="000A66A1">
      <w:pPr>
        <w:spacing w:line="360" w:lineRule="auto"/>
        <w:jc w:val="both"/>
        <w:rPr>
          <w:rFonts w:asciiTheme="minorHAnsi" w:hAnsiTheme="minorHAnsi"/>
        </w:rPr>
      </w:pPr>
    </w:p>
    <w:p w14:paraId="0B959A85" w14:textId="3B0CD03B" w:rsidR="000A66A1" w:rsidRDefault="000A66A1" w:rsidP="000A66A1">
      <w:pPr>
        <w:spacing w:line="360" w:lineRule="auto"/>
        <w:jc w:val="both"/>
        <w:rPr>
          <w:rFonts w:asciiTheme="minorHAnsi" w:hAnsiTheme="minorHAnsi"/>
        </w:rPr>
      </w:pPr>
    </w:p>
    <w:p w14:paraId="759D3295" w14:textId="37F45A0B" w:rsidR="000A66A1" w:rsidRDefault="000A66A1" w:rsidP="000A66A1">
      <w:pPr>
        <w:spacing w:line="360" w:lineRule="auto"/>
        <w:jc w:val="both"/>
        <w:rPr>
          <w:rFonts w:asciiTheme="minorHAnsi" w:hAnsiTheme="minorHAnsi"/>
        </w:rPr>
      </w:pPr>
    </w:p>
    <w:p w14:paraId="342F1AFC" w14:textId="070A798C" w:rsidR="000A66A1" w:rsidRDefault="000A66A1" w:rsidP="000A66A1">
      <w:pPr>
        <w:spacing w:line="360" w:lineRule="auto"/>
        <w:jc w:val="both"/>
        <w:rPr>
          <w:rFonts w:asciiTheme="minorHAnsi" w:hAnsiTheme="minorHAnsi"/>
        </w:rPr>
      </w:pPr>
    </w:p>
    <w:p w14:paraId="37E5A13D" w14:textId="0DBF871E" w:rsidR="000A66A1" w:rsidRDefault="000A66A1" w:rsidP="000A66A1">
      <w:pPr>
        <w:spacing w:line="360" w:lineRule="auto"/>
        <w:jc w:val="both"/>
        <w:rPr>
          <w:rFonts w:asciiTheme="minorHAnsi" w:hAnsiTheme="minorHAnsi"/>
        </w:rPr>
      </w:pPr>
    </w:p>
    <w:p w14:paraId="07AF4D1D" w14:textId="77777777" w:rsidR="000A66A1" w:rsidRPr="000A66A1" w:rsidRDefault="000A66A1" w:rsidP="000A66A1">
      <w:pPr>
        <w:spacing w:line="360" w:lineRule="auto"/>
        <w:jc w:val="both"/>
        <w:rPr>
          <w:rFonts w:asciiTheme="minorHAnsi" w:hAnsiTheme="minorHAnsi"/>
        </w:rPr>
      </w:pPr>
    </w:p>
    <w:p w14:paraId="50589CBD" w14:textId="31CB2FDF" w:rsidR="00507B99" w:rsidRPr="000A66A1" w:rsidRDefault="00507B99" w:rsidP="000A66A1">
      <w:pPr>
        <w:spacing w:line="360" w:lineRule="auto"/>
        <w:jc w:val="both"/>
        <w:rPr>
          <w:rFonts w:asciiTheme="minorHAnsi" w:hAnsiTheme="minorHAnsi"/>
        </w:rPr>
      </w:pPr>
    </w:p>
    <w:p w14:paraId="16A9EE20" w14:textId="77777777" w:rsidR="00243C6A" w:rsidRPr="000A66A1" w:rsidRDefault="00243C6A" w:rsidP="000A66A1">
      <w:pPr>
        <w:spacing w:line="360" w:lineRule="auto"/>
        <w:jc w:val="both"/>
        <w:rPr>
          <w:rFonts w:asciiTheme="minorHAnsi" w:hAnsiTheme="minorHAnsi"/>
        </w:rPr>
      </w:pPr>
    </w:p>
    <w:p w14:paraId="05303EE3" w14:textId="6BE03926" w:rsidR="0092065A" w:rsidRPr="000A66A1" w:rsidRDefault="00D541A0" w:rsidP="000A66A1">
      <w:pPr>
        <w:spacing w:line="360" w:lineRule="auto"/>
        <w:jc w:val="center"/>
        <w:rPr>
          <w:rFonts w:asciiTheme="minorHAnsi" w:hAnsiTheme="minorHAnsi"/>
          <w:b/>
          <w:i/>
        </w:rPr>
      </w:pPr>
      <w:r w:rsidRPr="000A66A1">
        <w:rPr>
          <w:rFonts w:asciiTheme="minorHAnsi" w:hAnsiTheme="minorHAnsi"/>
          <w:b/>
          <w:u w:val="single"/>
        </w:rPr>
        <w:lastRenderedPageBreak/>
        <w:t>III. The Law Commission Report Revisited</w:t>
      </w:r>
    </w:p>
    <w:p w14:paraId="6498DD75" w14:textId="5774C245" w:rsidR="00F62FBD" w:rsidRPr="000A66A1" w:rsidRDefault="00F62FBD" w:rsidP="000A66A1">
      <w:pPr>
        <w:spacing w:line="360" w:lineRule="auto"/>
        <w:jc w:val="center"/>
        <w:rPr>
          <w:rFonts w:asciiTheme="minorHAnsi" w:hAnsiTheme="minorHAnsi"/>
          <w:u w:val="single"/>
        </w:rPr>
      </w:pPr>
    </w:p>
    <w:p w14:paraId="354DB911" w14:textId="32A7CD94" w:rsidR="00F62FBD" w:rsidRPr="000A66A1" w:rsidRDefault="00D32675" w:rsidP="000A66A1">
      <w:pPr>
        <w:spacing w:line="360" w:lineRule="auto"/>
        <w:jc w:val="both"/>
        <w:rPr>
          <w:rFonts w:asciiTheme="minorHAnsi" w:hAnsiTheme="minorHAnsi"/>
        </w:rPr>
      </w:pPr>
      <w:r w:rsidRPr="000A66A1">
        <w:rPr>
          <w:rFonts w:asciiTheme="minorHAnsi" w:hAnsiTheme="minorHAnsi"/>
        </w:rPr>
        <w:t xml:space="preserve">This </w:t>
      </w:r>
      <w:r w:rsidR="008C0798" w:rsidRPr="000A66A1">
        <w:rPr>
          <w:rFonts w:asciiTheme="minorHAnsi" w:hAnsiTheme="minorHAnsi"/>
        </w:rPr>
        <w:t>Section</w:t>
      </w:r>
      <w:r w:rsidRPr="000A66A1">
        <w:rPr>
          <w:rFonts w:asciiTheme="minorHAnsi" w:hAnsiTheme="minorHAnsi"/>
        </w:rPr>
        <w:t xml:space="preserve"> aims to analyse the proposed reforms suggested by the Law Commission</w:t>
      </w:r>
      <w:r w:rsidR="000B5A43" w:rsidRPr="000A66A1">
        <w:rPr>
          <w:rFonts w:asciiTheme="minorHAnsi" w:hAnsiTheme="minorHAnsi"/>
        </w:rPr>
        <w:t xml:space="preserve"> and to understand whether these proposed reforms would alleviate the problems discussed in </w:t>
      </w:r>
      <w:r w:rsidR="0092065A" w:rsidRPr="000A66A1">
        <w:rPr>
          <w:rFonts w:asciiTheme="minorHAnsi" w:hAnsiTheme="minorHAnsi"/>
        </w:rPr>
        <w:t>Section II</w:t>
      </w:r>
      <w:r w:rsidR="005B75C2" w:rsidRPr="000A66A1">
        <w:rPr>
          <w:rFonts w:asciiTheme="minorHAnsi" w:hAnsiTheme="minorHAnsi"/>
        </w:rPr>
        <w:t xml:space="preserve"> if they were ever to be enacted</w:t>
      </w:r>
      <w:r w:rsidR="000B5A43" w:rsidRPr="000A66A1">
        <w:rPr>
          <w:rFonts w:asciiTheme="minorHAnsi" w:hAnsiTheme="minorHAnsi"/>
        </w:rPr>
        <w:t xml:space="preserve">. </w:t>
      </w:r>
      <w:r w:rsidR="0092065A" w:rsidRPr="000A66A1">
        <w:rPr>
          <w:rFonts w:asciiTheme="minorHAnsi" w:hAnsiTheme="minorHAnsi"/>
        </w:rPr>
        <w:t xml:space="preserve">Particularly focussing on whether any changes would now be necessary taking into account the change to the dishonesty test. </w:t>
      </w:r>
    </w:p>
    <w:p w14:paraId="22A56FE4" w14:textId="3FC23F3E" w:rsidR="00137051" w:rsidRPr="000A66A1" w:rsidRDefault="00137051" w:rsidP="000A66A1">
      <w:pPr>
        <w:spacing w:line="360" w:lineRule="auto"/>
        <w:jc w:val="both"/>
        <w:rPr>
          <w:rFonts w:asciiTheme="minorHAnsi" w:hAnsiTheme="minorHAnsi"/>
        </w:rPr>
      </w:pPr>
    </w:p>
    <w:p w14:paraId="1A00F6F5" w14:textId="7ACDC910" w:rsidR="00137051" w:rsidRPr="000A66A1" w:rsidRDefault="00137051" w:rsidP="000A66A1">
      <w:pPr>
        <w:spacing w:line="360" w:lineRule="auto"/>
        <w:jc w:val="both"/>
        <w:rPr>
          <w:rFonts w:asciiTheme="minorHAnsi" w:hAnsiTheme="minorHAnsi"/>
          <w:u w:val="single"/>
        </w:rPr>
      </w:pPr>
      <w:r w:rsidRPr="000A66A1">
        <w:rPr>
          <w:rFonts w:asciiTheme="minorHAnsi" w:hAnsiTheme="minorHAnsi"/>
          <w:u w:val="single"/>
        </w:rPr>
        <w:t>Law Commission Proposals</w:t>
      </w:r>
    </w:p>
    <w:p w14:paraId="51E0DAD5" w14:textId="3A380501" w:rsidR="00EE1482" w:rsidRPr="000A66A1" w:rsidRDefault="00EE1482" w:rsidP="000A66A1">
      <w:pPr>
        <w:spacing w:line="360" w:lineRule="auto"/>
        <w:jc w:val="both"/>
        <w:rPr>
          <w:rFonts w:asciiTheme="minorHAnsi" w:hAnsiTheme="minorHAnsi"/>
        </w:rPr>
      </w:pPr>
    </w:p>
    <w:p w14:paraId="1224D939" w14:textId="32B6CFF6" w:rsidR="00EE1482" w:rsidRPr="000A66A1" w:rsidRDefault="00EE1482" w:rsidP="000A66A1">
      <w:pPr>
        <w:spacing w:line="360" w:lineRule="auto"/>
        <w:jc w:val="both"/>
        <w:rPr>
          <w:rFonts w:asciiTheme="minorHAnsi" w:hAnsiTheme="minorHAnsi"/>
        </w:rPr>
      </w:pPr>
      <w:r w:rsidRPr="000A66A1">
        <w:rPr>
          <w:rFonts w:asciiTheme="minorHAnsi" w:hAnsiTheme="minorHAnsi"/>
        </w:rPr>
        <w:t xml:space="preserve">In the Law </w:t>
      </w:r>
      <w:r w:rsidR="00130E8B" w:rsidRPr="000A66A1">
        <w:rPr>
          <w:rFonts w:asciiTheme="minorHAnsi" w:hAnsiTheme="minorHAnsi"/>
        </w:rPr>
        <w:t>Commissions</w:t>
      </w:r>
      <w:r w:rsidRPr="000A66A1">
        <w:rPr>
          <w:rFonts w:asciiTheme="minorHAnsi" w:hAnsiTheme="minorHAnsi"/>
        </w:rPr>
        <w:t xml:space="preserve"> most recent report, they take accept that the current law set out in common law should be codified and set out in legislation.</w:t>
      </w:r>
      <w:r w:rsidRPr="000A66A1">
        <w:rPr>
          <w:rStyle w:val="FootnoteReference"/>
          <w:rFonts w:asciiTheme="minorHAnsi" w:hAnsiTheme="minorHAnsi"/>
        </w:rPr>
        <w:footnoteReference w:id="190"/>
      </w:r>
      <w:r w:rsidRPr="000A66A1">
        <w:rPr>
          <w:rFonts w:asciiTheme="minorHAnsi" w:hAnsiTheme="minorHAnsi"/>
        </w:rPr>
        <w:t xml:space="preserve"> </w:t>
      </w:r>
      <w:r w:rsidR="008C3D87" w:rsidRPr="000A66A1">
        <w:rPr>
          <w:rFonts w:asciiTheme="minorHAnsi" w:hAnsiTheme="minorHAnsi"/>
        </w:rPr>
        <w:t xml:space="preserve">They take a similar approach to the approach set out in </w:t>
      </w:r>
      <w:r w:rsidR="008C0798" w:rsidRPr="000A66A1">
        <w:rPr>
          <w:rFonts w:asciiTheme="minorHAnsi" w:hAnsiTheme="minorHAnsi"/>
        </w:rPr>
        <w:t>Section I</w:t>
      </w:r>
      <w:r w:rsidR="008C3D87" w:rsidRPr="000A66A1">
        <w:rPr>
          <w:rFonts w:asciiTheme="minorHAnsi" w:hAnsiTheme="minorHAnsi"/>
        </w:rPr>
        <w:t xml:space="preserve">, in that the law should make a compromise between subjectivism and an absolutist approach. They agree with Stephen Gough’s view that </w:t>
      </w:r>
      <w:r w:rsidR="00F453DB" w:rsidRPr="000A66A1">
        <w:rPr>
          <w:rFonts w:asciiTheme="minorHAnsi" w:hAnsiTheme="minorHAnsi"/>
        </w:rPr>
        <w:t>‘</w:t>
      </w:r>
      <w:r w:rsidR="008C3D87" w:rsidRPr="000A66A1">
        <w:rPr>
          <w:rFonts w:asciiTheme="minorHAnsi" w:hAnsiTheme="minorHAnsi"/>
        </w:rPr>
        <w:t>subjectivism is an unattractive and unnatural standpoint</w:t>
      </w:r>
      <w:r w:rsidR="00F453DB" w:rsidRPr="000A66A1">
        <w:rPr>
          <w:rFonts w:asciiTheme="minorHAnsi" w:hAnsiTheme="minorHAnsi"/>
        </w:rPr>
        <w:t>’</w:t>
      </w:r>
      <w:r w:rsidR="008C3D87" w:rsidRPr="000A66A1">
        <w:rPr>
          <w:rStyle w:val="FootnoteReference"/>
          <w:rFonts w:asciiTheme="minorHAnsi" w:hAnsiTheme="minorHAnsi"/>
        </w:rPr>
        <w:footnoteReference w:id="191"/>
      </w:r>
      <w:r w:rsidR="00F453DB" w:rsidRPr="000A66A1">
        <w:rPr>
          <w:rFonts w:asciiTheme="minorHAnsi" w:hAnsiTheme="minorHAnsi"/>
        </w:rPr>
        <w:t>.</w:t>
      </w:r>
      <w:r w:rsidR="008C3D87" w:rsidRPr="000A66A1">
        <w:rPr>
          <w:rFonts w:asciiTheme="minorHAnsi" w:hAnsiTheme="minorHAnsi"/>
        </w:rPr>
        <w:t xml:space="preserve"> They rebut the idea of simple definitional logic for the reason that it allows too much of a defence </w:t>
      </w:r>
      <w:r w:rsidR="001E0BC1" w:rsidRPr="000A66A1">
        <w:rPr>
          <w:rFonts w:asciiTheme="minorHAnsi" w:hAnsiTheme="minorHAnsi"/>
        </w:rPr>
        <w:t>and also the idea of absolutist interpretation due to the mismatch in culpabilit</w:t>
      </w:r>
      <w:r w:rsidR="00F453DB" w:rsidRPr="000A66A1">
        <w:rPr>
          <w:rFonts w:asciiTheme="minorHAnsi" w:hAnsiTheme="minorHAnsi"/>
        </w:rPr>
        <w:t>y</w:t>
      </w:r>
      <w:r w:rsidR="001E0BC1" w:rsidRPr="000A66A1">
        <w:rPr>
          <w:rStyle w:val="FootnoteReference"/>
          <w:rFonts w:asciiTheme="minorHAnsi" w:hAnsiTheme="minorHAnsi"/>
        </w:rPr>
        <w:footnoteReference w:id="192"/>
      </w:r>
      <w:r w:rsidR="00F453DB" w:rsidRPr="000A66A1">
        <w:rPr>
          <w:rFonts w:asciiTheme="minorHAnsi" w:hAnsiTheme="minorHAnsi"/>
        </w:rPr>
        <w:t>.</w:t>
      </w:r>
    </w:p>
    <w:p w14:paraId="2B5B27A1" w14:textId="630C0302" w:rsidR="001E0BC1" w:rsidRPr="000A66A1" w:rsidRDefault="001E0BC1" w:rsidP="000A66A1">
      <w:pPr>
        <w:spacing w:line="360" w:lineRule="auto"/>
        <w:jc w:val="both"/>
        <w:rPr>
          <w:rFonts w:asciiTheme="minorHAnsi" w:hAnsiTheme="minorHAnsi"/>
        </w:rPr>
      </w:pPr>
    </w:p>
    <w:p w14:paraId="75DFE3F0" w14:textId="32BC8D90" w:rsidR="007E17AE" w:rsidRPr="000A66A1" w:rsidRDefault="001E0BC1" w:rsidP="000A66A1">
      <w:pPr>
        <w:spacing w:line="360" w:lineRule="auto"/>
        <w:jc w:val="both"/>
        <w:rPr>
          <w:rFonts w:asciiTheme="minorHAnsi" w:hAnsiTheme="minorHAnsi"/>
        </w:rPr>
      </w:pPr>
      <w:r w:rsidRPr="000A66A1">
        <w:rPr>
          <w:rFonts w:asciiTheme="minorHAnsi" w:hAnsiTheme="minorHAnsi"/>
        </w:rPr>
        <w:t xml:space="preserve">Their main aim throughout the most recent report is to codify the law and allow the </w:t>
      </w:r>
      <w:r w:rsidRPr="000A66A1">
        <w:rPr>
          <w:rFonts w:asciiTheme="minorHAnsi" w:hAnsiTheme="minorHAnsi"/>
          <w:i/>
        </w:rPr>
        <w:t>Majewski</w:t>
      </w:r>
      <w:r w:rsidRPr="000A66A1">
        <w:rPr>
          <w:rFonts w:asciiTheme="minorHAnsi" w:hAnsiTheme="minorHAnsi"/>
        </w:rPr>
        <w:t xml:space="preserve"> rule to stand in a manner that is easier to understand and easier to interpret and apply</w:t>
      </w:r>
      <w:r w:rsidRPr="000A66A1">
        <w:rPr>
          <w:rStyle w:val="FootnoteReference"/>
          <w:rFonts w:asciiTheme="minorHAnsi" w:hAnsiTheme="minorHAnsi"/>
        </w:rPr>
        <w:footnoteReference w:id="193"/>
      </w:r>
      <w:r w:rsidR="009211C4" w:rsidRPr="000A66A1">
        <w:rPr>
          <w:rFonts w:asciiTheme="minorHAnsi" w:hAnsiTheme="minorHAnsi"/>
        </w:rPr>
        <w:t xml:space="preserve">. </w:t>
      </w:r>
      <w:r w:rsidR="00C24B0F" w:rsidRPr="000A66A1">
        <w:rPr>
          <w:rFonts w:asciiTheme="minorHAnsi" w:hAnsiTheme="minorHAnsi"/>
        </w:rPr>
        <w:t>The Law Commission believe</w:t>
      </w:r>
      <w:r w:rsidR="0033097B" w:rsidRPr="000A66A1">
        <w:rPr>
          <w:rFonts w:asciiTheme="minorHAnsi" w:hAnsiTheme="minorHAnsi"/>
        </w:rPr>
        <w:t>s</w:t>
      </w:r>
      <w:r w:rsidR="00C24B0F" w:rsidRPr="000A66A1">
        <w:rPr>
          <w:rFonts w:asciiTheme="minorHAnsi" w:hAnsiTheme="minorHAnsi"/>
        </w:rPr>
        <w:t xml:space="preserve"> that </w:t>
      </w:r>
      <w:r w:rsidR="003B2BEB" w:rsidRPr="000A66A1">
        <w:rPr>
          <w:rFonts w:asciiTheme="minorHAnsi" w:hAnsiTheme="minorHAnsi"/>
        </w:rPr>
        <w:t xml:space="preserve">the </w:t>
      </w:r>
      <w:r w:rsidR="003B2BEB" w:rsidRPr="000A66A1">
        <w:rPr>
          <w:rFonts w:asciiTheme="minorHAnsi" w:hAnsiTheme="minorHAnsi"/>
          <w:i/>
        </w:rPr>
        <w:t>Majewski</w:t>
      </w:r>
      <w:r w:rsidR="003B2BEB" w:rsidRPr="000A66A1">
        <w:rPr>
          <w:rFonts w:asciiTheme="minorHAnsi" w:hAnsiTheme="minorHAnsi"/>
        </w:rPr>
        <w:t xml:space="preserve"> rule should be codified </w:t>
      </w:r>
      <w:r w:rsidR="0033097B" w:rsidRPr="000A66A1">
        <w:rPr>
          <w:rFonts w:asciiTheme="minorHAnsi" w:hAnsiTheme="minorHAnsi"/>
        </w:rPr>
        <w:t>through</w:t>
      </w:r>
      <w:r w:rsidR="003B2BEB" w:rsidRPr="000A66A1">
        <w:rPr>
          <w:rFonts w:asciiTheme="minorHAnsi" w:hAnsiTheme="minorHAnsi"/>
        </w:rPr>
        <w:t xml:space="preserve"> statute. They proposed that this statute list should include the types of subjective fault that should always have to be proved by the prosecution when the offence has been committed whilst intoxicated. This includes the states of mind which have been held to be ‘specific intent’ at common law</w:t>
      </w:r>
      <w:r w:rsidR="00F453DB" w:rsidRPr="000A66A1">
        <w:rPr>
          <w:rFonts w:asciiTheme="minorHAnsi" w:hAnsiTheme="minorHAnsi"/>
        </w:rPr>
        <w:t>;</w:t>
      </w:r>
      <w:r w:rsidR="003B2BEB" w:rsidRPr="000A66A1">
        <w:rPr>
          <w:rFonts w:asciiTheme="minorHAnsi" w:hAnsiTheme="minorHAnsi"/>
        </w:rPr>
        <w:t xml:space="preserve"> the states of mind which would no doubt be regarded as ‘specific intent’ and the states of mind which should be treated as ‘specific intent’ as a matter of principle</w:t>
      </w:r>
      <w:r w:rsidR="00F453DB" w:rsidRPr="000A66A1">
        <w:rPr>
          <w:rFonts w:asciiTheme="minorHAnsi" w:hAnsiTheme="minorHAnsi"/>
        </w:rPr>
        <w:t>. This is</w:t>
      </w:r>
      <w:r w:rsidR="003B2BEB" w:rsidRPr="000A66A1">
        <w:rPr>
          <w:rFonts w:asciiTheme="minorHAnsi" w:hAnsiTheme="minorHAnsi"/>
        </w:rPr>
        <w:t xml:space="preserve"> on the ground that </w:t>
      </w:r>
      <w:r w:rsidR="00E33E27" w:rsidRPr="000A66A1">
        <w:rPr>
          <w:rFonts w:asciiTheme="minorHAnsi" w:hAnsiTheme="minorHAnsi"/>
        </w:rPr>
        <w:t xml:space="preserve">the external element committed with the </w:t>
      </w:r>
      <w:r w:rsidR="00E33E27" w:rsidRPr="000A66A1">
        <w:rPr>
          <w:rFonts w:asciiTheme="minorHAnsi" w:hAnsiTheme="minorHAnsi"/>
        </w:rPr>
        <w:lastRenderedPageBreak/>
        <w:t>required state of mind compared to the external element without the required state of mind would be fundamentally different</w:t>
      </w:r>
      <w:r w:rsidR="00E33E27" w:rsidRPr="000A66A1">
        <w:rPr>
          <w:rStyle w:val="FootnoteReference"/>
          <w:rFonts w:asciiTheme="minorHAnsi" w:hAnsiTheme="minorHAnsi"/>
        </w:rPr>
        <w:footnoteReference w:id="194"/>
      </w:r>
      <w:r w:rsidR="00F453DB" w:rsidRPr="000A66A1">
        <w:rPr>
          <w:rFonts w:asciiTheme="minorHAnsi" w:hAnsiTheme="minorHAnsi"/>
        </w:rPr>
        <w:t>.</w:t>
      </w:r>
    </w:p>
    <w:p w14:paraId="2735A8D5" w14:textId="509ABFE1" w:rsidR="00E33E27" w:rsidRPr="000A66A1" w:rsidRDefault="00E33E27" w:rsidP="000A66A1">
      <w:pPr>
        <w:spacing w:line="360" w:lineRule="auto"/>
        <w:jc w:val="both"/>
        <w:rPr>
          <w:rFonts w:asciiTheme="minorHAnsi" w:hAnsiTheme="minorHAnsi"/>
        </w:rPr>
      </w:pPr>
    </w:p>
    <w:p w14:paraId="7DE3B6BE" w14:textId="3FA58044" w:rsidR="00984F9B" w:rsidRPr="000A66A1" w:rsidRDefault="00E33E27" w:rsidP="000A66A1">
      <w:pPr>
        <w:spacing w:line="360" w:lineRule="auto"/>
        <w:jc w:val="both"/>
        <w:rPr>
          <w:rFonts w:asciiTheme="minorHAnsi" w:hAnsiTheme="minorHAnsi"/>
        </w:rPr>
      </w:pPr>
      <w:r w:rsidRPr="000A66A1">
        <w:rPr>
          <w:rFonts w:asciiTheme="minorHAnsi" w:hAnsiTheme="minorHAnsi"/>
        </w:rPr>
        <w:t>The Law Commission also stated in their report that statute should exclude the element of subjective recklessness. This would mean that the subjective recklessness element in any offence would not have to be proven by the prosecution in cases where any lack of awareness was caused by voluntary intoxication</w:t>
      </w:r>
      <w:r w:rsidRPr="000A66A1">
        <w:rPr>
          <w:rStyle w:val="FootnoteReference"/>
          <w:rFonts w:asciiTheme="minorHAnsi" w:hAnsiTheme="minorHAnsi"/>
        </w:rPr>
        <w:footnoteReference w:id="195"/>
      </w:r>
      <w:r w:rsidR="00F453DB" w:rsidRPr="000A66A1">
        <w:rPr>
          <w:rFonts w:asciiTheme="minorHAnsi" w:hAnsiTheme="minorHAnsi"/>
        </w:rPr>
        <w:t>.</w:t>
      </w:r>
      <w:r w:rsidRPr="000A66A1">
        <w:rPr>
          <w:rFonts w:asciiTheme="minorHAnsi" w:hAnsiTheme="minorHAnsi"/>
        </w:rPr>
        <w:t xml:space="preserve"> </w:t>
      </w:r>
      <w:r w:rsidR="00984F9B" w:rsidRPr="000A66A1">
        <w:rPr>
          <w:rFonts w:asciiTheme="minorHAnsi" w:hAnsiTheme="minorHAnsi"/>
        </w:rPr>
        <w:t xml:space="preserve">This would be relevant for offences labelled as basic intent offences in </w:t>
      </w:r>
      <w:r w:rsidR="008C0798" w:rsidRPr="000A66A1">
        <w:rPr>
          <w:rFonts w:asciiTheme="minorHAnsi" w:hAnsiTheme="minorHAnsi"/>
        </w:rPr>
        <w:t>Section I</w:t>
      </w:r>
      <w:r w:rsidR="00984F9B" w:rsidRPr="000A66A1">
        <w:rPr>
          <w:rFonts w:asciiTheme="minorHAnsi" w:hAnsiTheme="minorHAnsi"/>
        </w:rPr>
        <w:t>.</w:t>
      </w:r>
      <w:r w:rsidR="00F453DB" w:rsidRPr="000A66A1">
        <w:rPr>
          <w:rFonts w:asciiTheme="minorHAnsi" w:hAnsiTheme="minorHAnsi"/>
        </w:rPr>
        <w:t xml:space="preserve"> </w:t>
      </w:r>
      <w:r w:rsidR="00984F9B" w:rsidRPr="000A66A1">
        <w:rPr>
          <w:rFonts w:asciiTheme="minorHAnsi" w:hAnsiTheme="minorHAnsi"/>
        </w:rPr>
        <w:t xml:space="preserve">The Law Commission detailed that there should be a definitive test that would be applied in cases where subjective recklessness </w:t>
      </w:r>
      <w:r w:rsidR="0046080D" w:rsidRPr="000A66A1">
        <w:rPr>
          <w:rFonts w:asciiTheme="minorHAnsi" w:hAnsiTheme="minorHAnsi"/>
        </w:rPr>
        <w:t>exists and</w:t>
      </w:r>
      <w:r w:rsidR="00984F9B" w:rsidRPr="000A66A1">
        <w:rPr>
          <w:rFonts w:asciiTheme="minorHAnsi" w:hAnsiTheme="minorHAnsi"/>
        </w:rPr>
        <w:t xml:space="preserve"> explained that there should also be a body of rules </w:t>
      </w:r>
      <w:r w:rsidR="0046080D" w:rsidRPr="000A66A1">
        <w:rPr>
          <w:rFonts w:asciiTheme="minorHAnsi" w:hAnsiTheme="minorHAnsi"/>
        </w:rPr>
        <w:t>that would allow the court to decide whether D was voluntarily intoxicated at the time of the offence or not</w:t>
      </w:r>
      <w:r w:rsidR="0046080D" w:rsidRPr="000A66A1">
        <w:rPr>
          <w:rStyle w:val="FootnoteReference"/>
          <w:rFonts w:asciiTheme="minorHAnsi" w:hAnsiTheme="minorHAnsi"/>
        </w:rPr>
        <w:footnoteReference w:id="196"/>
      </w:r>
      <w:r w:rsidR="00F453DB" w:rsidRPr="000A66A1">
        <w:rPr>
          <w:rFonts w:asciiTheme="minorHAnsi" w:hAnsiTheme="minorHAnsi"/>
        </w:rPr>
        <w:t>.</w:t>
      </w:r>
    </w:p>
    <w:p w14:paraId="126E26B0" w14:textId="26CEE04B" w:rsidR="00684A38" w:rsidRPr="000A66A1" w:rsidRDefault="00684A38" w:rsidP="000A66A1">
      <w:pPr>
        <w:spacing w:line="360" w:lineRule="auto"/>
        <w:jc w:val="both"/>
        <w:rPr>
          <w:rFonts w:asciiTheme="minorHAnsi" w:hAnsiTheme="minorHAnsi"/>
        </w:rPr>
      </w:pPr>
    </w:p>
    <w:p w14:paraId="697F531E" w14:textId="34627C9A" w:rsidR="00684A38" w:rsidRPr="000A66A1" w:rsidRDefault="00684A38" w:rsidP="000A66A1">
      <w:pPr>
        <w:spacing w:line="360" w:lineRule="auto"/>
        <w:jc w:val="both"/>
        <w:rPr>
          <w:rFonts w:asciiTheme="minorHAnsi" w:hAnsiTheme="minorHAnsi"/>
        </w:rPr>
      </w:pPr>
      <w:r w:rsidRPr="000A66A1">
        <w:rPr>
          <w:rFonts w:asciiTheme="minorHAnsi" w:hAnsiTheme="minorHAnsi"/>
        </w:rPr>
        <w:t>This approach simply codifies the rules that exist currently with definitive definitions and test</w:t>
      </w:r>
      <w:r w:rsidR="00EC19B4" w:rsidRPr="000A66A1">
        <w:rPr>
          <w:rFonts w:asciiTheme="minorHAnsi" w:hAnsiTheme="minorHAnsi"/>
        </w:rPr>
        <w:t>s</w:t>
      </w:r>
      <w:r w:rsidRPr="000A66A1">
        <w:rPr>
          <w:rFonts w:asciiTheme="minorHAnsi" w:hAnsiTheme="minorHAnsi"/>
        </w:rPr>
        <w:t xml:space="preserve"> when needed, then allows common law to develop in</w:t>
      </w:r>
      <w:r w:rsidR="00EC19B4" w:rsidRPr="000A66A1">
        <w:rPr>
          <w:rFonts w:asciiTheme="minorHAnsi" w:hAnsiTheme="minorHAnsi"/>
        </w:rPr>
        <w:t xml:space="preserve"> relation to</w:t>
      </w:r>
      <w:r w:rsidRPr="000A66A1">
        <w:rPr>
          <w:rFonts w:asciiTheme="minorHAnsi" w:hAnsiTheme="minorHAnsi"/>
        </w:rPr>
        <w:t xml:space="preserve"> unusual scenarios. </w:t>
      </w:r>
      <w:r w:rsidR="00EC19B4" w:rsidRPr="000A66A1">
        <w:rPr>
          <w:rFonts w:asciiTheme="minorHAnsi" w:hAnsiTheme="minorHAnsi"/>
        </w:rPr>
        <w:t>This would allow the courts to naturally and progressively evolve the law based around the codified basics</w:t>
      </w:r>
      <w:r w:rsidR="004435EA" w:rsidRPr="000A66A1">
        <w:rPr>
          <w:rStyle w:val="FootnoteReference"/>
          <w:rFonts w:asciiTheme="minorHAnsi" w:hAnsiTheme="minorHAnsi"/>
        </w:rPr>
        <w:footnoteReference w:id="197"/>
      </w:r>
      <w:r w:rsidR="00F453DB" w:rsidRPr="000A66A1">
        <w:rPr>
          <w:rFonts w:asciiTheme="minorHAnsi" w:hAnsiTheme="minorHAnsi"/>
        </w:rPr>
        <w:t>.</w:t>
      </w:r>
    </w:p>
    <w:p w14:paraId="45E13BB5" w14:textId="6CBC67B1" w:rsidR="004435EA" w:rsidRPr="000A66A1" w:rsidRDefault="004435EA" w:rsidP="000A66A1">
      <w:pPr>
        <w:spacing w:line="360" w:lineRule="auto"/>
        <w:jc w:val="both"/>
        <w:rPr>
          <w:rFonts w:asciiTheme="minorHAnsi" w:hAnsiTheme="minorHAnsi"/>
        </w:rPr>
      </w:pPr>
    </w:p>
    <w:p w14:paraId="12E2E272" w14:textId="1A862455" w:rsidR="004435EA" w:rsidRPr="000A66A1" w:rsidRDefault="004435EA" w:rsidP="000A66A1">
      <w:pPr>
        <w:spacing w:line="360" w:lineRule="auto"/>
        <w:jc w:val="both"/>
        <w:rPr>
          <w:rFonts w:asciiTheme="minorHAnsi" w:hAnsiTheme="minorHAnsi"/>
        </w:rPr>
      </w:pPr>
      <w:r w:rsidRPr="000A66A1">
        <w:rPr>
          <w:rFonts w:asciiTheme="minorHAnsi" w:hAnsiTheme="minorHAnsi"/>
        </w:rPr>
        <w:t>The report formed by the Law Commission sets out a new draft for their ‘Criminal Liability (Intoxication) Bill in Appendix A</w:t>
      </w:r>
      <w:r w:rsidR="00F453DB" w:rsidRPr="000A66A1">
        <w:rPr>
          <w:rStyle w:val="FootnoteReference"/>
          <w:rFonts w:asciiTheme="minorHAnsi" w:hAnsiTheme="minorHAnsi"/>
        </w:rPr>
        <w:footnoteReference w:id="198"/>
      </w:r>
      <w:r w:rsidRPr="000A66A1">
        <w:rPr>
          <w:rFonts w:asciiTheme="minorHAnsi" w:hAnsiTheme="minorHAnsi"/>
        </w:rPr>
        <w:t>, then explains throughout the report the reasons for each provision. One of the first things tackled is the notion of basic and specific intent, and how the Bill does not actually refer to that distinction. They do however retain the approach that this distinction stems from, in that some subjective fault elements must always be proved, and that some subjective fault elements, subjective recklessness</w:t>
      </w:r>
      <w:r w:rsidR="0033097B" w:rsidRPr="000A66A1">
        <w:rPr>
          <w:rFonts w:asciiTheme="minorHAnsi" w:hAnsiTheme="minorHAnsi"/>
        </w:rPr>
        <w:t>,</w:t>
      </w:r>
      <w:r w:rsidRPr="000A66A1">
        <w:rPr>
          <w:rFonts w:asciiTheme="minorHAnsi" w:hAnsiTheme="minorHAnsi"/>
        </w:rPr>
        <w:t xml:space="preserve"> in particular, do not always have to be proved</w:t>
      </w:r>
      <w:r w:rsidRPr="000A66A1">
        <w:rPr>
          <w:rStyle w:val="FootnoteReference"/>
          <w:rFonts w:asciiTheme="minorHAnsi" w:hAnsiTheme="minorHAnsi"/>
        </w:rPr>
        <w:footnoteReference w:id="199"/>
      </w:r>
      <w:r w:rsidR="008931C4" w:rsidRPr="000A66A1">
        <w:rPr>
          <w:rFonts w:asciiTheme="minorHAnsi" w:hAnsiTheme="minorHAnsi"/>
        </w:rPr>
        <w:t>.</w:t>
      </w:r>
      <w:r w:rsidRPr="000A66A1">
        <w:rPr>
          <w:rFonts w:asciiTheme="minorHAnsi" w:hAnsiTheme="minorHAnsi"/>
        </w:rPr>
        <w:t xml:space="preserve"> </w:t>
      </w:r>
      <w:r w:rsidR="00E051B7" w:rsidRPr="000A66A1">
        <w:rPr>
          <w:rFonts w:asciiTheme="minorHAnsi" w:hAnsiTheme="minorHAnsi"/>
        </w:rPr>
        <w:t>Instead of using the term ‘specific intent’, they used the label of an offence with an ‘integral fault element’</w:t>
      </w:r>
      <w:r w:rsidR="00E051B7" w:rsidRPr="000A66A1">
        <w:rPr>
          <w:rStyle w:val="FootnoteReference"/>
          <w:rFonts w:asciiTheme="minorHAnsi" w:hAnsiTheme="minorHAnsi"/>
        </w:rPr>
        <w:footnoteReference w:id="200"/>
      </w:r>
      <w:r w:rsidR="008931C4" w:rsidRPr="000A66A1">
        <w:rPr>
          <w:rFonts w:asciiTheme="minorHAnsi" w:hAnsiTheme="minorHAnsi"/>
        </w:rPr>
        <w:t>.</w:t>
      </w:r>
    </w:p>
    <w:p w14:paraId="4902B314" w14:textId="079CD206" w:rsidR="00E051B7" w:rsidRPr="000A66A1" w:rsidRDefault="00E051B7" w:rsidP="000A66A1">
      <w:pPr>
        <w:spacing w:line="360" w:lineRule="auto"/>
        <w:jc w:val="both"/>
        <w:rPr>
          <w:rFonts w:asciiTheme="minorHAnsi" w:hAnsiTheme="minorHAnsi"/>
        </w:rPr>
      </w:pPr>
    </w:p>
    <w:p w14:paraId="2631D5CC" w14:textId="68094EBB" w:rsidR="00E051B7" w:rsidRPr="000A66A1" w:rsidRDefault="00E051B7" w:rsidP="000A66A1">
      <w:pPr>
        <w:spacing w:line="360" w:lineRule="auto"/>
        <w:jc w:val="both"/>
        <w:rPr>
          <w:rFonts w:asciiTheme="minorHAnsi" w:hAnsiTheme="minorHAnsi"/>
        </w:rPr>
      </w:pPr>
      <w:r w:rsidRPr="000A66A1">
        <w:rPr>
          <w:rFonts w:asciiTheme="minorHAnsi" w:hAnsiTheme="minorHAnsi"/>
        </w:rPr>
        <w:lastRenderedPageBreak/>
        <w:t>In relation to an offence where the fault element is not an integral fault element</w:t>
      </w:r>
      <w:r w:rsidR="00E01E21" w:rsidRPr="000A66A1">
        <w:rPr>
          <w:rFonts w:asciiTheme="minorHAnsi" w:hAnsiTheme="minorHAnsi"/>
        </w:rPr>
        <w:t xml:space="preserve"> (equivalent to specific intent)</w:t>
      </w:r>
      <w:r w:rsidR="00F453DB" w:rsidRPr="000A66A1">
        <w:rPr>
          <w:rFonts w:asciiTheme="minorHAnsi" w:hAnsiTheme="minorHAnsi"/>
        </w:rPr>
        <w:t xml:space="preserve"> - </w:t>
      </w:r>
      <w:r w:rsidRPr="000A66A1">
        <w:rPr>
          <w:rFonts w:asciiTheme="minorHAnsi" w:hAnsiTheme="minorHAnsi"/>
        </w:rPr>
        <w:t xml:space="preserve">the Law Commission propose that </w:t>
      </w:r>
      <w:r w:rsidR="00E024FD" w:rsidRPr="000A66A1">
        <w:rPr>
          <w:rFonts w:asciiTheme="minorHAnsi" w:hAnsiTheme="minorHAnsi"/>
        </w:rPr>
        <w:t>when D is intoxicated at the material time, they should be treated as ‘having been aware at the material time of anything which D would have been aware of but for the intoxication’</w:t>
      </w:r>
      <w:r w:rsidR="00E024FD" w:rsidRPr="000A66A1">
        <w:rPr>
          <w:rStyle w:val="FootnoteReference"/>
          <w:rFonts w:asciiTheme="minorHAnsi" w:hAnsiTheme="minorHAnsi"/>
        </w:rPr>
        <w:footnoteReference w:id="201"/>
      </w:r>
      <w:r w:rsidR="00F453DB" w:rsidRPr="000A66A1">
        <w:rPr>
          <w:rFonts w:asciiTheme="minorHAnsi" w:hAnsiTheme="minorHAnsi"/>
        </w:rPr>
        <w:t>.</w:t>
      </w:r>
      <w:r w:rsidR="00E024FD" w:rsidRPr="000A66A1">
        <w:rPr>
          <w:rFonts w:asciiTheme="minorHAnsi" w:hAnsiTheme="minorHAnsi"/>
        </w:rPr>
        <w:t xml:space="preserve"> This would apply to any relevant offence regardless of the degree of the intoxication, or whether the intoxication was brought on by alcohol or drugs</w:t>
      </w:r>
      <w:r w:rsidR="00E024FD" w:rsidRPr="000A66A1">
        <w:rPr>
          <w:rStyle w:val="FootnoteReference"/>
          <w:rFonts w:asciiTheme="minorHAnsi" w:hAnsiTheme="minorHAnsi"/>
        </w:rPr>
        <w:footnoteReference w:id="202"/>
      </w:r>
      <w:r w:rsidR="00F453DB" w:rsidRPr="000A66A1">
        <w:rPr>
          <w:rFonts w:asciiTheme="minorHAnsi" w:hAnsiTheme="minorHAnsi"/>
        </w:rPr>
        <w:t>.</w:t>
      </w:r>
      <w:r w:rsidR="00EF0CBA" w:rsidRPr="000A66A1">
        <w:rPr>
          <w:rFonts w:asciiTheme="minorHAnsi" w:hAnsiTheme="minorHAnsi"/>
        </w:rPr>
        <w:t xml:space="preserve"> This is the first recommendation stated in the report. </w:t>
      </w:r>
    </w:p>
    <w:p w14:paraId="704BEA4A" w14:textId="2B680322" w:rsidR="009610BD" w:rsidRPr="000A66A1" w:rsidRDefault="009610BD" w:rsidP="000A66A1">
      <w:pPr>
        <w:spacing w:line="360" w:lineRule="auto"/>
        <w:jc w:val="both"/>
        <w:rPr>
          <w:rFonts w:asciiTheme="minorHAnsi" w:hAnsiTheme="minorHAnsi"/>
        </w:rPr>
      </w:pPr>
    </w:p>
    <w:p w14:paraId="0550891D" w14:textId="03BF8416" w:rsidR="00E024FD" w:rsidRPr="000A66A1" w:rsidRDefault="0028758C" w:rsidP="000A66A1">
      <w:pPr>
        <w:spacing w:line="360" w:lineRule="auto"/>
        <w:jc w:val="both"/>
        <w:rPr>
          <w:rFonts w:asciiTheme="minorHAnsi" w:hAnsiTheme="minorHAnsi"/>
        </w:rPr>
      </w:pPr>
      <w:r w:rsidRPr="000A66A1">
        <w:rPr>
          <w:rFonts w:asciiTheme="minorHAnsi" w:hAnsiTheme="minorHAnsi"/>
        </w:rPr>
        <w:t xml:space="preserve">The second recommendation </w:t>
      </w:r>
      <w:r w:rsidR="00930B6C" w:rsidRPr="000A66A1">
        <w:rPr>
          <w:rFonts w:asciiTheme="minorHAnsi" w:hAnsiTheme="minorHAnsi"/>
        </w:rPr>
        <w:t>relates to offences that have an integral fault element only, currently</w:t>
      </w:r>
      <w:r w:rsidR="004520B4" w:rsidRPr="000A66A1">
        <w:rPr>
          <w:rFonts w:asciiTheme="minorHAnsi" w:hAnsiTheme="minorHAnsi"/>
        </w:rPr>
        <w:t xml:space="preserve"> labelled as</w:t>
      </w:r>
      <w:r w:rsidR="00930B6C" w:rsidRPr="000A66A1">
        <w:rPr>
          <w:rFonts w:asciiTheme="minorHAnsi" w:hAnsiTheme="minorHAnsi"/>
        </w:rPr>
        <w:t xml:space="preserve"> the specific intent offences. </w:t>
      </w:r>
      <w:r w:rsidR="004B12E8" w:rsidRPr="000A66A1">
        <w:rPr>
          <w:rFonts w:asciiTheme="minorHAnsi" w:hAnsiTheme="minorHAnsi"/>
        </w:rPr>
        <w:t xml:space="preserve">The recommendation states that if the definition </w:t>
      </w:r>
      <w:r w:rsidR="00064899" w:rsidRPr="000A66A1">
        <w:rPr>
          <w:rFonts w:asciiTheme="minorHAnsi" w:hAnsiTheme="minorHAnsi"/>
        </w:rPr>
        <w:t xml:space="preserve">of the offence charged would make it so the </w:t>
      </w:r>
      <w:r w:rsidR="00064899" w:rsidRPr="000A66A1">
        <w:rPr>
          <w:rFonts w:asciiTheme="minorHAnsi" w:hAnsiTheme="minorHAnsi"/>
          <w:i/>
        </w:rPr>
        <w:t>Majewski</w:t>
      </w:r>
      <w:r w:rsidR="00064899" w:rsidRPr="000A66A1">
        <w:rPr>
          <w:rFonts w:asciiTheme="minorHAnsi" w:hAnsiTheme="minorHAnsi"/>
        </w:rPr>
        <w:t xml:space="preserve"> rule would not apply currently, then the prosecution should have to prove that D acted with that relevant state of mind</w:t>
      </w:r>
      <w:r w:rsidR="00064899" w:rsidRPr="000A66A1">
        <w:rPr>
          <w:rStyle w:val="FootnoteReference"/>
          <w:rFonts w:asciiTheme="minorHAnsi" w:hAnsiTheme="minorHAnsi"/>
        </w:rPr>
        <w:footnoteReference w:id="203"/>
      </w:r>
      <w:r w:rsidR="00F453DB" w:rsidRPr="000A66A1">
        <w:rPr>
          <w:rFonts w:asciiTheme="minorHAnsi" w:hAnsiTheme="minorHAnsi"/>
        </w:rPr>
        <w:t>.</w:t>
      </w:r>
    </w:p>
    <w:p w14:paraId="463628D2" w14:textId="26C8E67E" w:rsidR="00064899" w:rsidRPr="000A66A1" w:rsidRDefault="00064899" w:rsidP="000A66A1">
      <w:pPr>
        <w:spacing w:line="360" w:lineRule="auto"/>
        <w:jc w:val="both"/>
        <w:rPr>
          <w:rFonts w:asciiTheme="minorHAnsi" w:hAnsiTheme="minorHAnsi"/>
        </w:rPr>
      </w:pPr>
    </w:p>
    <w:p w14:paraId="5F21529A" w14:textId="2CBDA8B8" w:rsidR="001A5BB2" w:rsidRPr="000A66A1" w:rsidRDefault="00064899" w:rsidP="000A66A1">
      <w:pPr>
        <w:spacing w:line="360" w:lineRule="auto"/>
        <w:jc w:val="both"/>
        <w:rPr>
          <w:rFonts w:asciiTheme="minorHAnsi" w:hAnsiTheme="minorHAnsi"/>
        </w:rPr>
      </w:pPr>
      <w:r w:rsidRPr="000A66A1">
        <w:rPr>
          <w:rFonts w:asciiTheme="minorHAnsi" w:hAnsiTheme="minorHAnsi"/>
        </w:rPr>
        <w:t>The third recommendation actually states the fault elements that should be included within the definition of</w:t>
      </w:r>
      <w:r w:rsidR="001A5BB2" w:rsidRPr="000A66A1">
        <w:rPr>
          <w:rFonts w:asciiTheme="minorHAnsi" w:hAnsiTheme="minorHAnsi"/>
        </w:rPr>
        <w:t xml:space="preserve"> an</w:t>
      </w:r>
      <w:r w:rsidRPr="000A66A1">
        <w:rPr>
          <w:rFonts w:asciiTheme="minorHAnsi" w:hAnsiTheme="minorHAnsi"/>
        </w:rPr>
        <w:t xml:space="preserve"> ‘integral fault element’. This is one of the most criticised </w:t>
      </w:r>
      <w:r w:rsidR="001A5BB2" w:rsidRPr="000A66A1">
        <w:rPr>
          <w:rFonts w:asciiTheme="minorHAnsi" w:hAnsiTheme="minorHAnsi"/>
        </w:rPr>
        <w:t>components</w:t>
      </w:r>
      <w:r w:rsidRPr="000A66A1">
        <w:rPr>
          <w:rFonts w:asciiTheme="minorHAnsi" w:hAnsiTheme="minorHAnsi"/>
        </w:rPr>
        <w:t xml:space="preserve"> that exists with intoxication currently. </w:t>
      </w:r>
      <w:r w:rsidR="001A5BB2" w:rsidRPr="000A66A1">
        <w:rPr>
          <w:rFonts w:asciiTheme="minorHAnsi" w:hAnsiTheme="minorHAnsi"/>
        </w:rPr>
        <w:t>Although the second recommendation would make it so the actual state of mind rather than the offence itself would determine which rule would apply. This would stand to be</w:t>
      </w:r>
      <w:r w:rsidR="001A4B11" w:rsidRPr="000A66A1">
        <w:rPr>
          <w:rFonts w:asciiTheme="minorHAnsi" w:hAnsiTheme="minorHAnsi"/>
        </w:rPr>
        <w:t xml:space="preserve"> an</w:t>
      </w:r>
      <w:r w:rsidR="001A5BB2" w:rsidRPr="000A66A1">
        <w:rPr>
          <w:rFonts w:asciiTheme="minorHAnsi" w:hAnsiTheme="minorHAnsi"/>
        </w:rPr>
        <w:t xml:space="preserve"> improvement on the current law. It would make it so each offence would be broken down into different fault elements, rather than being categorised based on the offence. Some elements of mens rea may be interpreted using the rule in recommendation one, and some using recommendation two, even though they both remain within the same crime</w:t>
      </w:r>
      <w:r w:rsidR="001A5BB2" w:rsidRPr="000A66A1">
        <w:rPr>
          <w:rStyle w:val="FootnoteReference"/>
          <w:rFonts w:asciiTheme="minorHAnsi" w:hAnsiTheme="minorHAnsi"/>
        </w:rPr>
        <w:footnoteReference w:id="204"/>
      </w:r>
      <w:r w:rsidR="00F453DB" w:rsidRPr="000A66A1">
        <w:rPr>
          <w:rFonts w:asciiTheme="minorHAnsi" w:hAnsiTheme="minorHAnsi"/>
        </w:rPr>
        <w:t>.</w:t>
      </w:r>
    </w:p>
    <w:p w14:paraId="1FD8D7B2" w14:textId="5CD78A93" w:rsidR="001A5BB2" w:rsidRPr="000A66A1" w:rsidRDefault="001A5BB2" w:rsidP="000A66A1">
      <w:pPr>
        <w:spacing w:line="360" w:lineRule="auto"/>
        <w:jc w:val="both"/>
        <w:rPr>
          <w:rFonts w:asciiTheme="minorHAnsi" w:hAnsiTheme="minorHAnsi"/>
        </w:rPr>
      </w:pPr>
    </w:p>
    <w:p w14:paraId="53EC0B1C" w14:textId="246FB4D6" w:rsidR="001A5BB2" w:rsidRPr="000A66A1" w:rsidRDefault="004D169A" w:rsidP="000A66A1">
      <w:pPr>
        <w:spacing w:line="360" w:lineRule="auto"/>
        <w:jc w:val="both"/>
        <w:rPr>
          <w:rFonts w:asciiTheme="minorHAnsi" w:hAnsiTheme="minorHAnsi"/>
        </w:rPr>
      </w:pPr>
      <w:r w:rsidRPr="000A66A1">
        <w:rPr>
          <w:rFonts w:asciiTheme="minorHAnsi" w:hAnsiTheme="minorHAnsi"/>
        </w:rPr>
        <w:t xml:space="preserve">The Law Commission decided to put forward the idea that various fault elements should be excluded from the </w:t>
      </w:r>
      <w:r w:rsidRPr="000A66A1">
        <w:rPr>
          <w:rFonts w:asciiTheme="minorHAnsi" w:hAnsiTheme="minorHAnsi"/>
          <w:i/>
        </w:rPr>
        <w:t>Majewski</w:t>
      </w:r>
      <w:r w:rsidRPr="000A66A1">
        <w:rPr>
          <w:rFonts w:asciiTheme="minorHAnsi" w:hAnsiTheme="minorHAnsi"/>
        </w:rPr>
        <w:t xml:space="preserve"> rule and should therefore always have to be proved by the prosecution. They include </w:t>
      </w:r>
      <w:r w:rsidR="007A70C4" w:rsidRPr="000A66A1">
        <w:rPr>
          <w:rFonts w:asciiTheme="minorHAnsi" w:hAnsiTheme="minorHAnsi"/>
        </w:rPr>
        <w:t xml:space="preserve">the </w:t>
      </w:r>
      <w:r w:rsidRPr="000A66A1">
        <w:rPr>
          <w:rFonts w:asciiTheme="minorHAnsi" w:hAnsiTheme="minorHAnsi"/>
        </w:rPr>
        <w:t>intention to a consequence rather than intention as to conduct</w:t>
      </w:r>
      <w:r w:rsidR="009211C4" w:rsidRPr="000A66A1">
        <w:rPr>
          <w:rFonts w:asciiTheme="minorHAnsi" w:hAnsiTheme="minorHAnsi"/>
        </w:rPr>
        <w:t>;</w:t>
      </w:r>
      <w:r w:rsidRPr="000A66A1">
        <w:rPr>
          <w:rFonts w:asciiTheme="minorHAnsi" w:hAnsiTheme="minorHAnsi"/>
        </w:rPr>
        <w:t xml:space="preserve"> </w:t>
      </w:r>
      <w:r w:rsidR="007A70C4" w:rsidRPr="000A66A1">
        <w:rPr>
          <w:rFonts w:asciiTheme="minorHAnsi" w:hAnsiTheme="minorHAnsi"/>
        </w:rPr>
        <w:t xml:space="preserve">the </w:t>
      </w:r>
      <w:r w:rsidRPr="000A66A1">
        <w:rPr>
          <w:rFonts w:asciiTheme="minorHAnsi" w:hAnsiTheme="minorHAnsi"/>
        </w:rPr>
        <w:t>knowledge as to something (although not knowledge as to risk)</w:t>
      </w:r>
      <w:r w:rsidR="009211C4" w:rsidRPr="000A66A1">
        <w:rPr>
          <w:rFonts w:asciiTheme="minorHAnsi" w:hAnsiTheme="minorHAnsi"/>
        </w:rPr>
        <w:t>; and</w:t>
      </w:r>
      <w:r w:rsidRPr="000A66A1">
        <w:rPr>
          <w:rFonts w:asciiTheme="minorHAnsi" w:hAnsiTheme="minorHAnsi"/>
        </w:rPr>
        <w:t xml:space="preserve"> </w:t>
      </w:r>
      <w:r w:rsidR="007A70C4" w:rsidRPr="000A66A1">
        <w:rPr>
          <w:rFonts w:asciiTheme="minorHAnsi" w:hAnsiTheme="minorHAnsi"/>
        </w:rPr>
        <w:t xml:space="preserve">the </w:t>
      </w:r>
      <w:r w:rsidRPr="000A66A1">
        <w:rPr>
          <w:rFonts w:asciiTheme="minorHAnsi" w:hAnsiTheme="minorHAnsi"/>
        </w:rPr>
        <w:t xml:space="preserve">belief as to something, fraud and dishonesty. </w:t>
      </w:r>
      <w:r w:rsidR="007A70C4" w:rsidRPr="000A66A1">
        <w:rPr>
          <w:rFonts w:asciiTheme="minorHAnsi" w:hAnsiTheme="minorHAnsi"/>
        </w:rPr>
        <w:t xml:space="preserve">It </w:t>
      </w:r>
      <w:r w:rsidR="007A70C4" w:rsidRPr="000A66A1">
        <w:rPr>
          <w:rFonts w:asciiTheme="minorHAnsi" w:hAnsiTheme="minorHAnsi"/>
        </w:rPr>
        <w:lastRenderedPageBreak/>
        <w:t xml:space="preserve">should be noted however that dishonesty was included within this </w:t>
      </w:r>
      <w:r w:rsidR="00DB17CD" w:rsidRPr="000A66A1">
        <w:rPr>
          <w:rFonts w:asciiTheme="minorHAnsi" w:hAnsiTheme="minorHAnsi"/>
        </w:rPr>
        <w:t xml:space="preserve">recommendation before the test changed in </w:t>
      </w:r>
      <w:r w:rsidR="00DB17CD" w:rsidRPr="000A66A1">
        <w:rPr>
          <w:rFonts w:asciiTheme="minorHAnsi" w:hAnsiTheme="minorHAnsi"/>
          <w:i/>
        </w:rPr>
        <w:t>Ivey v Genting Casinos</w:t>
      </w:r>
      <w:r w:rsidR="009211C4" w:rsidRPr="000A66A1">
        <w:rPr>
          <w:rStyle w:val="FootnoteReference"/>
          <w:rFonts w:asciiTheme="minorHAnsi" w:hAnsiTheme="minorHAnsi"/>
          <w:i/>
        </w:rPr>
        <w:footnoteReference w:id="205"/>
      </w:r>
      <w:r w:rsidR="00DB17CD" w:rsidRPr="000A66A1">
        <w:rPr>
          <w:rFonts w:asciiTheme="minorHAnsi" w:hAnsiTheme="minorHAnsi"/>
        </w:rPr>
        <w:t>. It is unknown as to the opinion the Law Commission would have on including this within this recommendation now.</w:t>
      </w:r>
    </w:p>
    <w:p w14:paraId="5E091FFA" w14:textId="1F1CA4D2" w:rsidR="00DB17CD" w:rsidRPr="000A66A1" w:rsidRDefault="00DB17CD" w:rsidP="000A66A1">
      <w:pPr>
        <w:spacing w:line="360" w:lineRule="auto"/>
        <w:jc w:val="both"/>
        <w:rPr>
          <w:rFonts w:asciiTheme="minorHAnsi" w:hAnsiTheme="minorHAnsi"/>
        </w:rPr>
      </w:pPr>
    </w:p>
    <w:p w14:paraId="451FE025" w14:textId="0BE8DA33" w:rsidR="00DB17CD" w:rsidRPr="000A66A1" w:rsidRDefault="00DB17CD" w:rsidP="000A66A1">
      <w:pPr>
        <w:spacing w:line="360" w:lineRule="auto"/>
        <w:jc w:val="both"/>
        <w:rPr>
          <w:rFonts w:asciiTheme="minorHAnsi" w:hAnsiTheme="minorHAnsi"/>
        </w:rPr>
      </w:pPr>
      <w:r w:rsidRPr="000A66A1">
        <w:rPr>
          <w:rFonts w:asciiTheme="minorHAnsi" w:hAnsiTheme="minorHAnsi"/>
        </w:rPr>
        <w:t xml:space="preserve">By analysing the position that the Law Commission suggests, it seems that the offences described in </w:t>
      </w:r>
      <w:r w:rsidR="008C0798" w:rsidRPr="000A66A1">
        <w:rPr>
          <w:rFonts w:asciiTheme="minorHAnsi" w:hAnsiTheme="minorHAnsi"/>
        </w:rPr>
        <w:t>Section I</w:t>
      </w:r>
      <w:r w:rsidRPr="000A66A1">
        <w:rPr>
          <w:rFonts w:asciiTheme="minorHAnsi" w:hAnsiTheme="minorHAnsi"/>
        </w:rPr>
        <w:t xml:space="preserve"> would remain relatively unchanged</w:t>
      </w:r>
      <w:r w:rsidR="0092065A" w:rsidRPr="000A66A1">
        <w:rPr>
          <w:rFonts w:asciiTheme="minorHAnsi" w:hAnsiTheme="minorHAnsi"/>
        </w:rPr>
        <w:t>.</w:t>
      </w:r>
      <w:r w:rsidRPr="000A66A1">
        <w:rPr>
          <w:rFonts w:asciiTheme="minorHAnsi" w:hAnsiTheme="minorHAnsi"/>
        </w:rPr>
        <w:t xml:space="preserve"> The position regarding the offences stated in </w:t>
      </w:r>
      <w:r w:rsidR="008C0798" w:rsidRPr="000A66A1">
        <w:rPr>
          <w:rFonts w:asciiTheme="minorHAnsi" w:hAnsiTheme="minorHAnsi"/>
        </w:rPr>
        <w:t>Section II</w:t>
      </w:r>
      <w:r w:rsidR="0033097B" w:rsidRPr="000A66A1">
        <w:rPr>
          <w:rFonts w:asciiTheme="minorHAnsi" w:hAnsiTheme="minorHAnsi"/>
        </w:rPr>
        <w:t>,</w:t>
      </w:r>
      <w:r w:rsidRPr="000A66A1">
        <w:rPr>
          <w:rFonts w:asciiTheme="minorHAnsi" w:hAnsiTheme="minorHAnsi"/>
        </w:rPr>
        <w:t xml:space="preserve"> however</w:t>
      </w:r>
      <w:r w:rsidR="0033097B" w:rsidRPr="000A66A1">
        <w:rPr>
          <w:rFonts w:asciiTheme="minorHAnsi" w:hAnsiTheme="minorHAnsi"/>
        </w:rPr>
        <w:t>,</w:t>
      </w:r>
      <w:r w:rsidRPr="000A66A1">
        <w:rPr>
          <w:rFonts w:asciiTheme="minorHAnsi" w:hAnsiTheme="minorHAnsi"/>
        </w:rPr>
        <w:t xml:space="preserve"> should be analysed again</w:t>
      </w:r>
      <w:r w:rsidR="00EF0CBA" w:rsidRPr="000A66A1">
        <w:rPr>
          <w:rFonts w:asciiTheme="minorHAnsi" w:hAnsiTheme="minorHAnsi"/>
        </w:rPr>
        <w:t xml:space="preserve">, due to the issues stated with ulterior intent. </w:t>
      </w:r>
    </w:p>
    <w:p w14:paraId="08FBBBBA" w14:textId="3C5D9621" w:rsidR="00F1591B" w:rsidRPr="000A66A1" w:rsidRDefault="00F1591B" w:rsidP="000A66A1">
      <w:pPr>
        <w:spacing w:line="360" w:lineRule="auto"/>
        <w:jc w:val="both"/>
        <w:rPr>
          <w:rFonts w:asciiTheme="minorHAnsi" w:hAnsiTheme="minorHAnsi"/>
        </w:rPr>
      </w:pPr>
    </w:p>
    <w:p w14:paraId="6D55355F" w14:textId="7E258486" w:rsidR="00F1591B" w:rsidRPr="000A66A1" w:rsidRDefault="00F1591B" w:rsidP="000A66A1">
      <w:pPr>
        <w:spacing w:line="360" w:lineRule="auto"/>
        <w:jc w:val="both"/>
        <w:rPr>
          <w:rFonts w:asciiTheme="minorHAnsi" w:hAnsiTheme="minorHAnsi"/>
        </w:rPr>
      </w:pPr>
      <w:r w:rsidRPr="000A66A1">
        <w:rPr>
          <w:rFonts w:asciiTheme="minorHAnsi" w:hAnsiTheme="minorHAnsi"/>
        </w:rPr>
        <w:t>If the Law Commission would regard the dishonesty rule</w:t>
      </w:r>
      <w:r w:rsidR="00EF0CBA" w:rsidRPr="000A66A1">
        <w:rPr>
          <w:rFonts w:asciiTheme="minorHAnsi" w:hAnsiTheme="minorHAnsi"/>
        </w:rPr>
        <w:t xml:space="preserve"> </w:t>
      </w:r>
      <w:r w:rsidRPr="000A66A1">
        <w:rPr>
          <w:rFonts w:asciiTheme="minorHAnsi" w:hAnsiTheme="minorHAnsi"/>
        </w:rPr>
        <w:t xml:space="preserve">as being subject to the </w:t>
      </w:r>
      <w:r w:rsidRPr="000A66A1">
        <w:rPr>
          <w:rFonts w:asciiTheme="minorHAnsi" w:hAnsiTheme="minorHAnsi"/>
          <w:i/>
        </w:rPr>
        <w:t xml:space="preserve">Majewski </w:t>
      </w:r>
      <w:r w:rsidRPr="000A66A1">
        <w:rPr>
          <w:rFonts w:asciiTheme="minorHAnsi" w:hAnsiTheme="minorHAnsi"/>
        </w:rPr>
        <w:t>rule, then recommendation one would apply. It would</w:t>
      </w:r>
      <w:r w:rsidR="0033097B" w:rsidRPr="000A66A1">
        <w:rPr>
          <w:rFonts w:asciiTheme="minorHAnsi" w:hAnsiTheme="minorHAnsi"/>
        </w:rPr>
        <w:t>,</w:t>
      </w:r>
      <w:r w:rsidRPr="000A66A1">
        <w:rPr>
          <w:rFonts w:asciiTheme="minorHAnsi" w:hAnsiTheme="minorHAnsi"/>
        </w:rPr>
        <w:t xml:space="preserve"> therefore</w:t>
      </w:r>
      <w:r w:rsidR="0033097B" w:rsidRPr="000A66A1">
        <w:rPr>
          <w:rFonts w:asciiTheme="minorHAnsi" w:hAnsiTheme="minorHAnsi"/>
        </w:rPr>
        <w:t>,</w:t>
      </w:r>
      <w:r w:rsidRPr="000A66A1">
        <w:rPr>
          <w:rFonts w:asciiTheme="minorHAnsi" w:hAnsiTheme="minorHAnsi"/>
        </w:rPr>
        <w:t xml:space="preserve"> be easier in statute for the prosecution to prove dishonesty. This would follow the proposed method as discussed in </w:t>
      </w:r>
      <w:r w:rsidR="008C0798" w:rsidRPr="000A66A1">
        <w:rPr>
          <w:rFonts w:asciiTheme="minorHAnsi" w:hAnsiTheme="minorHAnsi"/>
        </w:rPr>
        <w:t>Section II</w:t>
      </w:r>
      <w:r w:rsidR="00EF0CBA" w:rsidRPr="000A66A1">
        <w:rPr>
          <w:rFonts w:asciiTheme="minorHAnsi" w:hAnsiTheme="minorHAnsi"/>
        </w:rPr>
        <w:t>, where dishonesty could be established easily in relation to intoxicated offenders</w:t>
      </w:r>
      <w:r w:rsidRPr="000A66A1">
        <w:rPr>
          <w:rFonts w:asciiTheme="minorHAnsi" w:hAnsiTheme="minorHAnsi"/>
        </w:rPr>
        <w:t>. This would make it so the prosecution would not have to prove dishonesty</w:t>
      </w:r>
      <w:r w:rsidR="0033097B" w:rsidRPr="000A66A1">
        <w:rPr>
          <w:rFonts w:asciiTheme="minorHAnsi" w:hAnsiTheme="minorHAnsi"/>
        </w:rPr>
        <w:t>;</w:t>
      </w:r>
      <w:r w:rsidRPr="000A66A1">
        <w:rPr>
          <w:rFonts w:asciiTheme="minorHAnsi" w:hAnsiTheme="minorHAnsi"/>
        </w:rPr>
        <w:t xml:space="preserve"> it would simply be considered by the jury. </w:t>
      </w:r>
      <w:r w:rsidR="009211C4" w:rsidRPr="000A66A1">
        <w:rPr>
          <w:rFonts w:asciiTheme="minorHAnsi" w:hAnsiTheme="minorHAnsi"/>
        </w:rPr>
        <w:t>However, this is</w:t>
      </w:r>
      <w:r w:rsidR="00C87B95" w:rsidRPr="000A66A1">
        <w:rPr>
          <w:rFonts w:asciiTheme="minorHAnsi" w:hAnsiTheme="minorHAnsi"/>
        </w:rPr>
        <w:t xml:space="preserve"> an assumption, as the Law Commission did not include any rules on the changing of such longstanding criminal law principals. This may be something that would</w:t>
      </w:r>
      <w:r w:rsidR="00AC590D" w:rsidRPr="000A66A1">
        <w:rPr>
          <w:rFonts w:asciiTheme="minorHAnsi" w:hAnsiTheme="minorHAnsi"/>
        </w:rPr>
        <w:t xml:space="preserve"> potentially</w:t>
      </w:r>
      <w:r w:rsidR="00C87B95" w:rsidRPr="000A66A1">
        <w:rPr>
          <w:rFonts w:asciiTheme="minorHAnsi" w:hAnsiTheme="minorHAnsi"/>
        </w:rPr>
        <w:t xml:space="preserve"> evolve through case law</w:t>
      </w:r>
      <w:r w:rsidR="00AC590D" w:rsidRPr="000A66A1">
        <w:rPr>
          <w:rFonts w:asciiTheme="minorHAnsi" w:hAnsiTheme="minorHAnsi"/>
        </w:rPr>
        <w:t xml:space="preserve"> rather than being set out in statute</w:t>
      </w:r>
      <w:r w:rsidR="00C87B95" w:rsidRPr="000A66A1">
        <w:rPr>
          <w:rFonts w:asciiTheme="minorHAnsi" w:hAnsiTheme="minorHAnsi"/>
        </w:rPr>
        <w:t>.</w:t>
      </w:r>
    </w:p>
    <w:p w14:paraId="37D15023" w14:textId="77777777" w:rsidR="00F56771" w:rsidRPr="000A66A1" w:rsidRDefault="00F56771" w:rsidP="000A66A1">
      <w:pPr>
        <w:spacing w:line="360" w:lineRule="auto"/>
        <w:jc w:val="both"/>
        <w:rPr>
          <w:rFonts w:asciiTheme="minorHAnsi" w:hAnsiTheme="minorHAnsi"/>
        </w:rPr>
      </w:pPr>
    </w:p>
    <w:p w14:paraId="327D8CC6" w14:textId="662624EB" w:rsidR="00C87B95" w:rsidRPr="000A66A1" w:rsidRDefault="00C87B95" w:rsidP="000A66A1">
      <w:pPr>
        <w:spacing w:line="360" w:lineRule="auto"/>
        <w:jc w:val="both"/>
        <w:rPr>
          <w:rFonts w:asciiTheme="minorHAnsi" w:hAnsiTheme="minorHAnsi"/>
        </w:rPr>
      </w:pPr>
      <w:r w:rsidRPr="000A66A1">
        <w:rPr>
          <w:rFonts w:asciiTheme="minorHAnsi" w:hAnsiTheme="minorHAnsi"/>
        </w:rPr>
        <w:t xml:space="preserve">This intention </w:t>
      </w:r>
      <w:r w:rsidR="00F56771" w:rsidRPr="000A66A1">
        <w:rPr>
          <w:rFonts w:asciiTheme="minorHAnsi" w:hAnsiTheme="minorHAnsi"/>
        </w:rPr>
        <w:t xml:space="preserve">to permanently deprive </w:t>
      </w:r>
      <w:r w:rsidRPr="000A66A1">
        <w:rPr>
          <w:rFonts w:asciiTheme="minorHAnsi" w:hAnsiTheme="minorHAnsi"/>
        </w:rPr>
        <w:t>would come within one of the intents regarded in recommendation two as an ‘integral fault element’. Although this would not make it so the prosecution could not prove this element beyond reasonable doubt, it would just make it so the jury would be directed to consider all circumstances, including the fact D</w:t>
      </w:r>
      <w:r w:rsidR="0033097B" w:rsidRPr="000A66A1">
        <w:rPr>
          <w:rFonts w:asciiTheme="minorHAnsi" w:hAnsiTheme="minorHAnsi"/>
        </w:rPr>
        <w:t>,</w:t>
      </w:r>
      <w:r w:rsidRPr="000A66A1">
        <w:rPr>
          <w:rFonts w:asciiTheme="minorHAnsi" w:hAnsiTheme="minorHAnsi"/>
        </w:rPr>
        <w:t xml:space="preserve"> was voluntarily intoxicated and whether or not that affected the required element of fault. This is very similar to the hypothetical interpretation set out in </w:t>
      </w:r>
      <w:r w:rsidR="008C0798" w:rsidRPr="000A66A1">
        <w:rPr>
          <w:rFonts w:asciiTheme="minorHAnsi" w:hAnsiTheme="minorHAnsi"/>
        </w:rPr>
        <w:t>Section II</w:t>
      </w:r>
      <w:r w:rsidR="00057280" w:rsidRPr="000A66A1">
        <w:rPr>
          <w:rFonts w:asciiTheme="minorHAnsi" w:hAnsiTheme="minorHAnsi"/>
        </w:rPr>
        <w:t>, where it is still possible for an offender to be convicted if the mens rea can still be established with the intoxication taken into account</w:t>
      </w:r>
      <w:r w:rsidRPr="000A66A1">
        <w:rPr>
          <w:rFonts w:asciiTheme="minorHAnsi" w:hAnsiTheme="minorHAnsi"/>
        </w:rPr>
        <w:t>.</w:t>
      </w:r>
    </w:p>
    <w:p w14:paraId="4E5A2328" w14:textId="73038600" w:rsidR="00C87B95" w:rsidRPr="000A66A1" w:rsidRDefault="00C87B95" w:rsidP="000A66A1">
      <w:pPr>
        <w:spacing w:line="360" w:lineRule="auto"/>
        <w:jc w:val="both"/>
        <w:rPr>
          <w:rFonts w:asciiTheme="minorHAnsi" w:hAnsiTheme="minorHAnsi"/>
        </w:rPr>
      </w:pPr>
    </w:p>
    <w:p w14:paraId="6938B159" w14:textId="1A352A0E" w:rsidR="00C87B95" w:rsidRPr="000A66A1" w:rsidRDefault="00D628DA" w:rsidP="000A66A1">
      <w:pPr>
        <w:spacing w:line="360" w:lineRule="auto"/>
        <w:jc w:val="both"/>
        <w:rPr>
          <w:rFonts w:asciiTheme="minorHAnsi" w:hAnsiTheme="minorHAnsi"/>
        </w:rPr>
      </w:pPr>
      <w:r w:rsidRPr="000A66A1">
        <w:rPr>
          <w:rFonts w:asciiTheme="minorHAnsi" w:hAnsiTheme="minorHAnsi"/>
        </w:rPr>
        <w:lastRenderedPageBreak/>
        <w:t xml:space="preserve">The way that the recommendations work in relation to separating intents through individual elements of mens rea rather than basic and specific intent offences also works in a similar way to the hypothetical interpretation set out in </w:t>
      </w:r>
      <w:r w:rsidR="008C0798" w:rsidRPr="000A66A1">
        <w:rPr>
          <w:rFonts w:asciiTheme="minorHAnsi" w:hAnsiTheme="minorHAnsi"/>
        </w:rPr>
        <w:t>Section II</w:t>
      </w:r>
      <w:r w:rsidRPr="000A66A1">
        <w:rPr>
          <w:rFonts w:asciiTheme="minorHAnsi" w:hAnsiTheme="minorHAnsi"/>
        </w:rPr>
        <w:t xml:space="preserve">, specifically in relation to burglary. As the trespassing </w:t>
      </w:r>
      <w:r w:rsidR="0020609B" w:rsidRPr="000A66A1">
        <w:rPr>
          <w:rFonts w:asciiTheme="minorHAnsi" w:hAnsiTheme="minorHAnsi"/>
        </w:rPr>
        <w:t>component of burglary</w:t>
      </w:r>
      <w:r w:rsidR="009211C4" w:rsidRPr="000A66A1">
        <w:rPr>
          <w:rFonts w:asciiTheme="minorHAnsi" w:hAnsiTheme="minorHAnsi"/>
        </w:rPr>
        <w:t xml:space="preserve"> </w:t>
      </w:r>
      <w:r w:rsidRPr="000A66A1">
        <w:rPr>
          <w:rFonts w:asciiTheme="minorHAnsi" w:hAnsiTheme="minorHAnsi"/>
        </w:rPr>
        <w:t>include</w:t>
      </w:r>
      <w:r w:rsidR="0020609B" w:rsidRPr="000A66A1">
        <w:rPr>
          <w:rFonts w:asciiTheme="minorHAnsi" w:hAnsiTheme="minorHAnsi"/>
        </w:rPr>
        <w:t xml:space="preserve">s an element of recklessness, </w:t>
      </w:r>
      <w:r w:rsidR="009211C4" w:rsidRPr="000A66A1">
        <w:rPr>
          <w:rFonts w:asciiTheme="minorHAnsi" w:hAnsiTheme="minorHAnsi"/>
        </w:rPr>
        <w:t xml:space="preserve">when applying </w:t>
      </w:r>
      <w:r w:rsidR="0020609B" w:rsidRPr="000A66A1">
        <w:rPr>
          <w:rFonts w:asciiTheme="minorHAnsi" w:hAnsiTheme="minorHAnsi"/>
        </w:rPr>
        <w:t>recommendation one, D would be considered as having been aware at the material time of anything that D would have been aware of had it not been for the intoxication</w:t>
      </w:r>
      <w:r w:rsidR="0020609B" w:rsidRPr="000A66A1">
        <w:rPr>
          <w:rStyle w:val="FootnoteReference"/>
          <w:rFonts w:asciiTheme="minorHAnsi" w:hAnsiTheme="minorHAnsi"/>
        </w:rPr>
        <w:footnoteReference w:id="206"/>
      </w:r>
      <w:r w:rsidR="009211C4" w:rsidRPr="000A66A1">
        <w:rPr>
          <w:rFonts w:asciiTheme="minorHAnsi" w:hAnsiTheme="minorHAnsi"/>
        </w:rPr>
        <w:t>.</w:t>
      </w:r>
      <w:r w:rsidR="0020609B" w:rsidRPr="000A66A1">
        <w:rPr>
          <w:rFonts w:asciiTheme="minorHAnsi" w:hAnsiTheme="minorHAnsi"/>
        </w:rPr>
        <w:t xml:space="preserve"> It would be much easier for this component to be established. This would then be dealt with as a separate element of the crime, rather than the entire offence being labelled as specific intent. The next fault element would then be dealt with separately as well.</w:t>
      </w:r>
    </w:p>
    <w:p w14:paraId="5250F75B" w14:textId="072E4C95" w:rsidR="001A0BF9" w:rsidRPr="000A66A1" w:rsidRDefault="001A0BF9" w:rsidP="000A66A1">
      <w:pPr>
        <w:spacing w:line="360" w:lineRule="auto"/>
        <w:jc w:val="both"/>
        <w:rPr>
          <w:rFonts w:asciiTheme="minorHAnsi" w:hAnsiTheme="minorHAnsi"/>
        </w:rPr>
      </w:pPr>
    </w:p>
    <w:p w14:paraId="163CA089" w14:textId="65E36970" w:rsidR="001A0BF9" w:rsidRPr="000A66A1" w:rsidRDefault="001A0BF9" w:rsidP="000A66A1">
      <w:pPr>
        <w:spacing w:line="360" w:lineRule="auto"/>
        <w:jc w:val="both"/>
        <w:rPr>
          <w:rFonts w:asciiTheme="minorHAnsi" w:hAnsiTheme="minorHAnsi"/>
        </w:rPr>
      </w:pPr>
      <w:r w:rsidRPr="000A66A1">
        <w:rPr>
          <w:rFonts w:asciiTheme="minorHAnsi" w:hAnsiTheme="minorHAnsi"/>
        </w:rPr>
        <w:t xml:space="preserve">Criminal damage included within the definition of </w:t>
      </w:r>
      <w:r w:rsidR="00057280" w:rsidRPr="000A66A1">
        <w:rPr>
          <w:rFonts w:asciiTheme="minorHAnsi" w:hAnsiTheme="minorHAnsi"/>
        </w:rPr>
        <w:t xml:space="preserve">one type of </w:t>
      </w:r>
      <w:r w:rsidRPr="000A66A1">
        <w:rPr>
          <w:rFonts w:asciiTheme="minorHAnsi" w:hAnsiTheme="minorHAnsi"/>
        </w:rPr>
        <w:t>burglary</w:t>
      </w:r>
      <w:r w:rsidRPr="000A66A1">
        <w:rPr>
          <w:rStyle w:val="FootnoteReference"/>
          <w:rFonts w:asciiTheme="minorHAnsi" w:hAnsiTheme="minorHAnsi"/>
        </w:rPr>
        <w:footnoteReference w:id="207"/>
      </w:r>
      <w:r w:rsidR="00EB1757" w:rsidRPr="000A66A1">
        <w:rPr>
          <w:rFonts w:asciiTheme="minorHAnsi" w:hAnsiTheme="minorHAnsi"/>
        </w:rPr>
        <w:t xml:space="preserve"> can be committed either intentionally</w:t>
      </w:r>
      <w:r w:rsidR="00EB1757" w:rsidRPr="000A66A1">
        <w:rPr>
          <w:rStyle w:val="FootnoteReference"/>
          <w:rFonts w:asciiTheme="minorHAnsi" w:hAnsiTheme="minorHAnsi"/>
        </w:rPr>
        <w:footnoteReference w:id="208"/>
      </w:r>
      <w:r w:rsidR="00EB1757" w:rsidRPr="000A66A1">
        <w:rPr>
          <w:rFonts w:asciiTheme="minorHAnsi" w:hAnsiTheme="minorHAnsi"/>
        </w:rPr>
        <w:t xml:space="preserve"> or recklessly</w:t>
      </w:r>
      <w:r w:rsidR="00EB1757" w:rsidRPr="000A66A1">
        <w:rPr>
          <w:rStyle w:val="FootnoteReference"/>
          <w:rFonts w:asciiTheme="minorHAnsi" w:hAnsiTheme="minorHAnsi"/>
        </w:rPr>
        <w:footnoteReference w:id="209"/>
      </w:r>
      <w:r w:rsidR="00EB1757" w:rsidRPr="000A66A1">
        <w:rPr>
          <w:rFonts w:asciiTheme="minorHAnsi" w:hAnsiTheme="minorHAnsi"/>
        </w:rPr>
        <w:t xml:space="preserve">. By using the recommendations proposed by the Law Commission, the fault element would be subject to the </w:t>
      </w:r>
      <w:r w:rsidR="00EB1757" w:rsidRPr="000A66A1">
        <w:rPr>
          <w:rFonts w:asciiTheme="minorHAnsi" w:hAnsiTheme="minorHAnsi"/>
          <w:i/>
        </w:rPr>
        <w:t xml:space="preserve">Majewski </w:t>
      </w:r>
      <w:r w:rsidR="00EB1757" w:rsidRPr="000A66A1">
        <w:rPr>
          <w:rFonts w:asciiTheme="minorHAnsi" w:hAnsiTheme="minorHAnsi"/>
        </w:rPr>
        <w:t>rule.</w:t>
      </w:r>
      <w:r w:rsidR="009211C4" w:rsidRPr="000A66A1">
        <w:rPr>
          <w:rFonts w:asciiTheme="minorHAnsi" w:hAnsiTheme="minorHAnsi"/>
        </w:rPr>
        <w:t xml:space="preserve"> </w:t>
      </w:r>
    </w:p>
    <w:p w14:paraId="1AB33BE7" w14:textId="77777777" w:rsidR="00BC09FC" w:rsidRPr="000A66A1" w:rsidRDefault="00BC09FC" w:rsidP="000A66A1">
      <w:pPr>
        <w:spacing w:line="360" w:lineRule="auto"/>
        <w:jc w:val="both"/>
        <w:rPr>
          <w:rFonts w:asciiTheme="minorHAnsi" w:hAnsiTheme="minorHAnsi"/>
        </w:rPr>
      </w:pPr>
    </w:p>
    <w:p w14:paraId="16C2A905" w14:textId="06758785" w:rsidR="00F57BB9" w:rsidRPr="000A66A1" w:rsidRDefault="00972E70" w:rsidP="000A66A1">
      <w:pPr>
        <w:spacing w:line="360" w:lineRule="auto"/>
        <w:jc w:val="both"/>
        <w:rPr>
          <w:rFonts w:asciiTheme="minorHAnsi" w:hAnsiTheme="minorHAnsi"/>
        </w:rPr>
      </w:pPr>
      <w:r w:rsidRPr="000A66A1">
        <w:rPr>
          <w:rFonts w:asciiTheme="minorHAnsi" w:hAnsiTheme="minorHAnsi"/>
        </w:rPr>
        <w:t>If a burglary include</w:t>
      </w:r>
      <w:r w:rsidR="00A80A98" w:rsidRPr="000A66A1">
        <w:rPr>
          <w:rFonts w:asciiTheme="minorHAnsi" w:hAnsiTheme="minorHAnsi"/>
        </w:rPr>
        <w:t>d</w:t>
      </w:r>
      <w:r w:rsidRPr="000A66A1">
        <w:rPr>
          <w:rFonts w:asciiTheme="minorHAnsi" w:hAnsiTheme="minorHAnsi"/>
        </w:rPr>
        <w:t xml:space="preserve"> a criminal damage eleme</w:t>
      </w:r>
      <w:r w:rsidR="00A80A98" w:rsidRPr="000A66A1">
        <w:rPr>
          <w:rFonts w:asciiTheme="minorHAnsi" w:hAnsiTheme="minorHAnsi"/>
        </w:rPr>
        <w:t>n</w:t>
      </w:r>
      <w:r w:rsidRPr="000A66A1">
        <w:rPr>
          <w:rFonts w:asciiTheme="minorHAnsi" w:hAnsiTheme="minorHAnsi"/>
        </w:rPr>
        <w:t>t, it is possible that the burglary would be easier to prosecute</w:t>
      </w:r>
      <w:r w:rsidR="00A80A98" w:rsidRPr="000A66A1">
        <w:rPr>
          <w:rFonts w:asciiTheme="minorHAnsi" w:hAnsiTheme="minorHAnsi"/>
        </w:rPr>
        <w:t xml:space="preserve"> if the offender was intoxicated by using the proposed reforms. </w:t>
      </w:r>
      <w:r w:rsidRPr="000A66A1">
        <w:rPr>
          <w:rFonts w:asciiTheme="minorHAnsi" w:hAnsiTheme="minorHAnsi"/>
        </w:rPr>
        <w:t>T</w:t>
      </w:r>
      <w:r w:rsidR="00B40E27" w:rsidRPr="000A66A1">
        <w:rPr>
          <w:rFonts w:asciiTheme="minorHAnsi" w:hAnsiTheme="minorHAnsi"/>
        </w:rPr>
        <w:t xml:space="preserve">he </w:t>
      </w:r>
      <w:r w:rsidR="00B40E27" w:rsidRPr="000A66A1">
        <w:rPr>
          <w:rFonts w:asciiTheme="minorHAnsi" w:hAnsiTheme="minorHAnsi"/>
          <w:i/>
        </w:rPr>
        <w:t xml:space="preserve">Majewski </w:t>
      </w:r>
      <w:r w:rsidR="00B40E27" w:rsidRPr="000A66A1">
        <w:rPr>
          <w:rFonts w:asciiTheme="minorHAnsi" w:hAnsiTheme="minorHAnsi"/>
        </w:rPr>
        <w:t>rule would be applicable to both the trespassing elemen</w:t>
      </w:r>
      <w:r w:rsidRPr="000A66A1">
        <w:rPr>
          <w:rFonts w:asciiTheme="minorHAnsi" w:hAnsiTheme="minorHAnsi"/>
        </w:rPr>
        <w:t xml:space="preserve">t and </w:t>
      </w:r>
      <w:r w:rsidR="00B40E27" w:rsidRPr="000A66A1">
        <w:rPr>
          <w:rFonts w:asciiTheme="minorHAnsi" w:hAnsiTheme="minorHAnsi"/>
        </w:rPr>
        <w:t xml:space="preserve">the criminal damage </w:t>
      </w:r>
      <w:r w:rsidRPr="000A66A1">
        <w:rPr>
          <w:rFonts w:asciiTheme="minorHAnsi" w:hAnsiTheme="minorHAnsi"/>
        </w:rPr>
        <w:t>element, which</w:t>
      </w:r>
      <w:r w:rsidR="00B40E27" w:rsidRPr="000A66A1">
        <w:rPr>
          <w:rFonts w:asciiTheme="minorHAnsi" w:hAnsiTheme="minorHAnsi"/>
        </w:rPr>
        <w:t xml:space="preserve"> </w:t>
      </w:r>
      <w:r w:rsidRPr="000A66A1">
        <w:rPr>
          <w:rFonts w:asciiTheme="minorHAnsi" w:hAnsiTheme="minorHAnsi"/>
        </w:rPr>
        <w:t>w</w:t>
      </w:r>
      <w:r w:rsidR="00B40E27" w:rsidRPr="000A66A1">
        <w:rPr>
          <w:rFonts w:asciiTheme="minorHAnsi" w:hAnsiTheme="minorHAnsi"/>
        </w:rPr>
        <w:t xml:space="preserve">ould not require the prosecution to have to prove </w:t>
      </w:r>
      <w:r w:rsidRPr="000A66A1">
        <w:rPr>
          <w:rFonts w:asciiTheme="minorHAnsi" w:hAnsiTheme="minorHAnsi"/>
        </w:rPr>
        <w:t xml:space="preserve">any </w:t>
      </w:r>
      <w:r w:rsidR="00B40E27" w:rsidRPr="000A66A1">
        <w:rPr>
          <w:rFonts w:asciiTheme="minorHAnsi" w:hAnsiTheme="minorHAnsi"/>
        </w:rPr>
        <w:t>element</w:t>
      </w:r>
      <w:r w:rsidRPr="000A66A1">
        <w:rPr>
          <w:rFonts w:asciiTheme="minorHAnsi" w:hAnsiTheme="minorHAnsi"/>
        </w:rPr>
        <w:t>s if they were present in a burglary</w:t>
      </w:r>
      <w:r w:rsidR="00B40E27" w:rsidRPr="000A66A1">
        <w:rPr>
          <w:rFonts w:asciiTheme="minorHAnsi" w:hAnsiTheme="minorHAnsi"/>
        </w:rPr>
        <w:t>. Rather than the entire offence being labelled as specific intent as the law does now due to the ulterior intent, the recommendations would allow for the offence to be broken up into the relevant fault elements. This would allow the court to analyse culpability on a more effective basis.</w:t>
      </w:r>
    </w:p>
    <w:p w14:paraId="0998AB1A" w14:textId="40E8B8E5" w:rsidR="00915E35" w:rsidRPr="000A66A1" w:rsidRDefault="00915E35" w:rsidP="000A66A1">
      <w:pPr>
        <w:spacing w:line="360" w:lineRule="auto"/>
        <w:jc w:val="both"/>
        <w:rPr>
          <w:rFonts w:asciiTheme="minorHAnsi" w:hAnsiTheme="minorHAnsi"/>
        </w:rPr>
      </w:pPr>
    </w:p>
    <w:p w14:paraId="3B0A08BA" w14:textId="04611FAF" w:rsidR="00915E35" w:rsidRPr="000A66A1" w:rsidRDefault="00A80A98" w:rsidP="000A66A1">
      <w:pPr>
        <w:spacing w:line="360" w:lineRule="auto"/>
        <w:jc w:val="both"/>
        <w:rPr>
          <w:rFonts w:asciiTheme="minorHAnsi" w:hAnsiTheme="minorHAnsi"/>
        </w:rPr>
      </w:pPr>
      <w:r w:rsidRPr="000A66A1">
        <w:rPr>
          <w:rFonts w:asciiTheme="minorHAnsi" w:hAnsiTheme="minorHAnsi"/>
        </w:rPr>
        <w:t>If a burglary included GBH, u</w:t>
      </w:r>
      <w:r w:rsidR="00915E35" w:rsidRPr="000A66A1">
        <w:rPr>
          <w:rFonts w:asciiTheme="minorHAnsi" w:hAnsiTheme="minorHAnsi"/>
        </w:rPr>
        <w:t>sing the recommendations of the Law Commission,</w:t>
      </w:r>
      <w:r w:rsidRPr="000A66A1">
        <w:rPr>
          <w:rFonts w:asciiTheme="minorHAnsi" w:hAnsiTheme="minorHAnsi"/>
        </w:rPr>
        <w:t xml:space="preserve"> it is more likely that an offender </w:t>
      </w:r>
      <w:r w:rsidR="00915E35" w:rsidRPr="000A66A1">
        <w:rPr>
          <w:rFonts w:asciiTheme="minorHAnsi" w:hAnsiTheme="minorHAnsi"/>
        </w:rPr>
        <w:t>would be convicted of burglary</w:t>
      </w:r>
      <w:r w:rsidR="009211C4" w:rsidRPr="000A66A1">
        <w:rPr>
          <w:rFonts w:asciiTheme="minorHAnsi" w:hAnsiTheme="minorHAnsi"/>
        </w:rPr>
        <w:t xml:space="preserve"> under s.9(1)(b)</w:t>
      </w:r>
      <w:r w:rsidR="009211C4" w:rsidRPr="000A66A1">
        <w:rPr>
          <w:rStyle w:val="FootnoteReference"/>
          <w:rFonts w:asciiTheme="minorHAnsi" w:hAnsiTheme="minorHAnsi"/>
        </w:rPr>
        <w:footnoteReference w:id="210"/>
      </w:r>
      <w:r w:rsidR="00915E35" w:rsidRPr="000A66A1">
        <w:rPr>
          <w:rFonts w:asciiTheme="minorHAnsi" w:hAnsiTheme="minorHAnsi"/>
        </w:rPr>
        <w:t xml:space="preserve">. </w:t>
      </w:r>
      <w:r w:rsidR="00DA5FE0" w:rsidRPr="000A66A1">
        <w:rPr>
          <w:rFonts w:asciiTheme="minorHAnsi" w:hAnsiTheme="minorHAnsi"/>
        </w:rPr>
        <w:t xml:space="preserve">As the offence would not be considered as a specific intent crime, it would be </w:t>
      </w:r>
      <w:r w:rsidR="00DA5FE0" w:rsidRPr="000A66A1">
        <w:rPr>
          <w:rFonts w:asciiTheme="minorHAnsi" w:hAnsiTheme="minorHAnsi"/>
        </w:rPr>
        <w:lastRenderedPageBreak/>
        <w:t>broken down into separate mens rea elements</w:t>
      </w:r>
      <w:r w:rsidR="009211C4" w:rsidRPr="000A66A1">
        <w:rPr>
          <w:rFonts w:asciiTheme="minorHAnsi" w:hAnsiTheme="minorHAnsi"/>
        </w:rPr>
        <w:t>.</w:t>
      </w:r>
      <w:r w:rsidR="00DA5FE0" w:rsidRPr="000A66A1">
        <w:rPr>
          <w:rFonts w:asciiTheme="minorHAnsi" w:hAnsiTheme="minorHAnsi"/>
        </w:rPr>
        <w:t xml:space="preserve"> </w:t>
      </w:r>
      <w:r w:rsidR="009211C4" w:rsidRPr="000A66A1">
        <w:rPr>
          <w:rFonts w:asciiTheme="minorHAnsi" w:hAnsiTheme="minorHAnsi"/>
        </w:rPr>
        <w:t>This</w:t>
      </w:r>
      <w:r w:rsidR="00DA5FE0" w:rsidRPr="000A66A1">
        <w:rPr>
          <w:rFonts w:asciiTheme="minorHAnsi" w:hAnsiTheme="minorHAnsi"/>
        </w:rPr>
        <w:t xml:space="preserve"> would work in a similar way to</w:t>
      </w:r>
      <w:r w:rsidRPr="000A66A1">
        <w:rPr>
          <w:rFonts w:asciiTheme="minorHAnsi" w:hAnsiTheme="minorHAnsi"/>
        </w:rPr>
        <w:t xml:space="preserve"> the burglary mentioned above,</w:t>
      </w:r>
      <w:r w:rsidR="00DA5FE0" w:rsidRPr="000A66A1">
        <w:rPr>
          <w:rFonts w:asciiTheme="minorHAnsi" w:hAnsiTheme="minorHAnsi"/>
          <w:b/>
        </w:rPr>
        <w:t xml:space="preserve"> </w:t>
      </w:r>
      <w:r w:rsidR="00DA5FE0" w:rsidRPr="000A66A1">
        <w:rPr>
          <w:rFonts w:asciiTheme="minorHAnsi" w:hAnsiTheme="minorHAnsi"/>
        </w:rPr>
        <w:t>as the GBH</w:t>
      </w:r>
      <w:r w:rsidR="00DA5FE0" w:rsidRPr="000A66A1">
        <w:rPr>
          <w:rStyle w:val="FootnoteReference"/>
          <w:rFonts w:asciiTheme="minorHAnsi" w:hAnsiTheme="minorHAnsi"/>
        </w:rPr>
        <w:footnoteReference w:id="211"/>
      </w:r>
      <w:r w:rsidR="00DA5FE0" w:rsidRPr="000A66A1">
        <w:rPr>
          <w:rFonts w:asciiTheme="minorHAnsi" w:hAnsiTheme="minorHAnsi"/>
        </w:rPr>
        <w:t xml:space="preserve"> component of the burglary would also be subject to the </w:t>
      </w:r>
      <w:r w:rsidR="00DA5FE0" w:rsidRPr="000A66A1">
        <w:rPr>
          <w:rFonts w:asciiTheme="minorHAnsi" w:hAnsiTheme="minorHAnsi"/>
          <w:i/>
        </w:rPr>
        <w:t>Majewski</w:t>
      </w:r>
      <w:r w:rsidR="00DA5FE0" w:rsidRPr="000A66A1">
        <w:rPr>
          <w:rFonts w:asciiTheme="minorHAnsi" w:hAnsiTheme="minorHAnsi"/>
        </w:rPr>
        <w:t xml:space="preserve"> rule. It is likely that the intoxication</w:t>
      </w:r>
      <w:r w:rsidR="0033097B" w:rsidRPr="000A66A1">
        <w:rPr>
          <w:rFonts w:asciiTheme="minorHAnsi" w:hAnsiTheme="minorHAnsi"/>
        </w:rPr>
        <w:t>,</w:t>
      </w:r>
      <w:r w:rsidR="00DA5FE0" w:rsidRPr="000A66A1">
        <w:rPr>
          <w:rFonts w:asciiTheme="minorHAnsi" w:hAnsiTheme="minorHAnsi"/>
        </w:rPr>
        <w:t xml:space="preserve"> in this case</w:t>
      </w:r>
      <w:r w:rsidR="0033097B" w:rsidRPr="000A66A1">
        <w:rPr>
          <w:rFonts w:asciiTheme="minorHAnsi" w:hAnsiTheme="minorHAnsi"/>
        </w:rPr>
        <w:t>,</w:t>
      </w:r>
      <w:r w:rsidR="00DA5FE0" w:rsidRPr="000A66A1">
        <w:rPr>
          <w:rFonts w:asciiTheme="minorHAnsi" w:hAnsiTheme="minorHAnsi"/>
        </w:rPr>
        <w:t xml:space="preserve"> would not be considered by the jury</w:t>
      </w:r>
      <w:r w:rsidR="0033097B" w:rsidRPr="000A66A1">
        <w:rPr>
          <w:rFonts w:asciiTheme="minorHAnsi" w:hAnsiTheme="minorHAnsi"/>
        </w:rPr>
        <w:t>;</w:t>
      </w:r>
      <w:r w:rsidR="00DA5FE0" w:rsidRPr="000A66A1">
        <w:rPr>
          <w:rFonts w:asciiTheme="minorHAnsi" w:hAnsiTheme="minorHAnsi"/>
        </w:rPr>
        <w:t xml:space="preserve"> the fault elements would be considered as if the intoxication was not present at all.</w:t>
      </w:r>
    </w:p>
    <w:p w14:paraId="533F0605" w14:textId="33D6D42B" w:rsidR="009B2CFA" w:rsidRPr="000A66A1" w:rsidRDefault="009B2CFA" w:rsidP="000A66A1">
      <w:pPr>
        <w:spacing w:line="360" w:lineRule="auto"/>
        <w:jc w:val="both"/>
        <w:rPr>
          <w:rFonts w:asciiTheme="minorHAnsi" w:hAnsiTheme="minorHAnsi"/>
        </w:rPr>
      </w:pPr>
    </w:p>
    <w:p w14:paraId="5425A1EF" w14:textId="1E8D0673" w:rsidR="008F6346" w:rsidRPr="000A66A1" w:rsidRDefault="00107364" w:rsidP="000A66A1">
      <w:pPr>
        <w:spacing w:line="360" w:lineRule="auto"/>
        <w:jc w:val="both"/>
        <w:rPr>
          <w:rFonts w:asciiTheme="minorHAnsi" w:hAnsiTheme="minorHAnsi"/>
        </w:rPr>
      </w:pPr>
      <w:r w:rsidRPr="000A66A1">
        <w:rPr>
          <w:rFonts w:asciiTheme="minorHAnsi" w:hAnsiTheme="minorHAnsi"/>
        </w:rPr>
        <w:t>For the offence of burglary</w:t>
      </w:r>
      <w:r w:rsidRPr="000A66A1">
        <w:rPr>
          <w:rStyle w:val="FootnoteReference"/>
          <w:rFonts w:asciiTheme="minorHAnsi" w:hAnsiTheme="minorHAnsi"/>
        </w:rPr>
        <w:footnoteReference w:id="212"/>
      </w:r>
      <w:r w:rsidRPr="000A66A1">
        <w:rPr>
          <w:rFonts w:asciiTheme="minorHAnsi" w:hAnsiTheme="minorHAnsi"/>
        </w:rPr>
        <w:t xml:space="preserve"> where theft has to be either intended</w:t>
      </w:r>
      <w:r w:rsidR="0033097B" w:rsidRPr="000A66A1">
        <w:rPr>
          <w:rFonts w:asciiTheme="minorHAnsi" w:hAnsiTheme="minorHAnsi"/>
        </w:rPr>
        <w:t>,</w:t>
      </w:r>
      <w:r w:rsidRPr="000A66A1">
        <w:rPr>
          <w:rFonts w:asciiTheme="minorHAnsi" w:hAnsiTheme="minorHAnsi"/>
        </w:rPr>
        <w:t xml:space="preserve"> or it has actually occurred, this would work in a slightly different way to the examples set out </w:t>
      </w:r>
      <w:r w:rsidR="00A80A98" w:rsidRPr="000A66A1">
        <w:rPr>
          <w:rFonts w:asciiTheme="minorHAnsi" w:hAnsiTheme="minorHAnsi"/>
        </w:rPr>
        <w:t>above</w:t>
      </w:r>
      <w:r w:rsidRPr="000A66A1">
        <w:rPr>
          <w:rFonts w:asciiTheme="minorHAnsi" w:hAnsiTheme="minorHAnsi"/>
        </w:rPr>
        <w:t>.</w:t>
      </w:r>
      <w:r w:rsidR="00A80A98" w:rsidRPr="000A66A1">
        <w:rPr>
          <w:rFonts w:asciiTheme="minorHAnsi" w:hAnsiTheme="minorHAnsi"/>
        </w:rPr>
        <w:t xml:space="preserve"> </w:t>
      </w:r>
      <w:r w:rsidR="008F6346" w:rsidRPr="000A66A1">
        <w:rPr>
          <w:rFonts w:asciiTheme="minorHAnsi" w:hAnsiTheme="minorHAnsi"/>
        </w:rPr>
        <w:t xml:space="preserve">Taking each element of mens rea in turn, as this also requires either the intention to steal or any actual theft, there are actually more elements than with the previous examples. The trespassing element would be easy to establish using the recommendations due to the presence of potential recklessness. </w:t>
      </w:r>
    </w:p>
    <w:p w14:paraId="6B5028E3" w14:textId="7D3D7DAE" w:rsidR="001A4628" w:rsidRPr="000A66A1" w:rsidRDefault="001A4628" w:rsidP="000A66A1">
      <w:pPr>
        <w:spacing w:line="360" w:lineRule="auto"/>
        <w:jc w:val="both"/>
        <w:rPr>
          <w:rFonts w:asciiTheme="minorHAnsi" w:hAnsiTheme="minorHAnsi"/>
        </w:rPr>
      </w:pPr>
    </w:p>
    <w:p w14:paraId="3B0B67BC" w14:textId="65FCF657" w:rsidR="001A4628" w:rsidRPr="000A66A1" w:rsidRDefault="00F35391" w:rsidP="000A66A1">
      <w:pPr>
        <w:spacing w:line="360" w:lineRule="auto"/>
        <w:jc w:val="both"/>
        <w:rPr>
          <w:rFonts w:asciiTheme="minorHAnsi" w:hAnsiTheme="minorHAnsi"/>
        </w:rPr>
      </w:pPr>
      <w:r w:rsidRPr="000A66A1">
        <w:rPr>
          <w:rFonts w:asciiTheme="minorHAnsi" w:hAnsiTheme="minorHAnsi"/>
        </w:rPr>
        <w:t xml:space="preserve">As discussed in </w:t>
      </w:r>
      <w:r w:rsidR="008C0798" w:rsidRPr="000A66A1">
        <w:rPr>
          <w:rFonts w:asciiTheme="minorHAnsi" w:hAnsiTheme="minorHAnsi"/>
        </w:rPr>
        <w:t>Section II</w:t>
      </w:r>
      <w:r w:rsidRPr="000A66A1">
        <w:rPr>
          <w:rFonts w:asciiTheme="minorHAnsi" w:hAnsiTheme="minorHAnsi"/>
        </w:rPr>
        <w:t xml:space="preserve">, the mens rea of theft includes dishonesty and an intention to permanently deprive. </w:t>
      </w:r>
      <w:r w:rsidR="00D503C0" w:rsidRPr="000A66A1">
        <w:rPr>
          <w:rFonts w:asciiTheme="minorHAnsi" w:hAnsiTheme="minorHAnsi"/>
        </w:rPr>
        <w:t xml:space="preserve">Unlike with the examples set out above, these elements would not be subject to the </w:t>
      </w:r>
      <w:r w:rsidR="00D503C0" w:rsidRPr="000A66A1">
        <w:rPr>
          <w:rFonts w:asciiTheme="minorHAnsi" w:hAnsiTheme="minorHAnsi"/>
          <w:i/>
        </w:rPr>
        <w:t>Majewski</w:t>
      </w:r>
      <w:r w:rsidR="00D503C0" w:rsidRPr="000A66A1">
        <w:rPr>
          <w:rFonts w:asciiTheme="minorHAnsi" w:hAnsiTheme="minorHAnsi"/>
        </w:rPr>
        <w:t xml:space="preserve"> rule according to recommendation 2 by the Law Commission. Specifically, with </w:t>
      </w:r>
      <w:r w:rsidR="0033097B" w:rsidRPr="000A66A1">
        <w:rPr>
          <w:rFonts w:asciiTheme="minorHAnsi" w:hAnsiTheme="minorHAnsi"/>
        </w:rPr>
        <w:t xml:space="preserve">the </w:t>
      </w:r>
      <w:r w:rsidR="00D503C0" w:rsidRPr="000A66A1">
        <w:rPr>
          <w:rFonts w:asciiTheme="minorHAnsi" w:hAnsiTheme="minorHAnsi"/>
        </w:rPr>
        <w:t>intention to permanently deprive, the prosecution would have to prove this element</w:t>
      </w:r>
      <w:r w:rsidR="0033097B" w:rsidRPr="000A66A1">
        <w:rPr>
          <w:rFonts w:asciiTheme="minorHAnsi" w:hAnsiTheme="minorHAnsi"/>
        </w:rPr>
        <w:t>,</w:t>
      </w:r>
      <w:r w:rsidR="00D503C0" w:rsidRPr="000A66A1">
        <w:rPr>
          <w:rFonts w:asciiTheme="minorHAnsi" w:hAnsiTheme="minorHAnsi"/>
        </w:rPr>
        <w:t xml:space="preserve"> and the jury would be able to take into account the intoxication. If for example, D disposed of </w:t>
      </w:r>
      <w:r w:rsidR="00A80A98" w:rsidRPr="000A66A1">
        <w:rPr>
          <w:rFonts w:asciiTheme="minorHAnsi" w:hAnsiTheme="minorHAnsi"/>
        </w:rPr>
        <w:t>property</w:t>
      </w:r>
      <w:r w:rsidR="00D503C0" w:rsidRPr="000A66A1">
        <w:rPr>
          <w:rFonts w:asciiTheme="minorHAnsi" w:hAnsiTheme="minorHAnsi"/>
        </w:rPr>
        <w:t xml:space="preserve"> that same night or sold </w:t>
      </w:r>
      <w:r w:rsidR="0033097B" w:rsidRPr="000A66A1">
        <w:rPr>
          <w:rFonts w:asciiTheme="minorHAnsi" w:hAnsiTheme="minorHAnsi"/>
        </w:rPr>
        <w:t>it</w:t>
      </w:r>
      <w:r w:rsidR="00D503C0" w:rsidRPr="000A66A1">
        <w:rPr>
          <w:rFonts w:asciiTheme="minorHAnsi" w:hAnsiTheme="minorHAnsi"/>
        </w:rPr>
        <w:t xml:space="preserve"> to another person, this would normally suffice in regard to this element. If D returned the </w:t>
      </w:r>
      <w:r w:rsidR="00A80A98" w:rsidRPr="000A66A1">
        <w:rPr>
          <w:rFonts w:asciiTheme="minorHAnsi" w:hAnsiTheme="minorHAnsi"/>
        </w:rPr>
        <w:t>property</w:t>
      </w:r>
      <w:r w:rsidR="00D503C0" w:rsidRPr="000A66A1">
        <w:rPr>
          <w:rFonts w:asciiTheme="minorHAnsi" w:hAnsiTheme="minorHAnsi"/>
        </w:rPr>
        <w:t xml:space="preserve"> the next day when sober, it would be very difficult to prove this element.</w:t>
      </w:r>
    </w:p>
    <w:p w14:paraId="27E7325A" w14:textId="7CA4FBBC" w:rsidR="00DA5FE0" w:rsidRPr="000A66A1" w:rsidRDefault="00DA5FE0" w:rsidP="000A66A1">
      <w:pPr>
        <w:spacing w:line="360" w:lineRule="auto"/>
        <w:jc w:val="both"/>
        <w:rPr>
          <w:rFonts w:asciiTheme="minorHAnsi" w:hAnsiTheme="minorHAnsi"/>
        </w:rPr>
      </w:pPr>
    </w:p>
    <w:p w14:paraId="605A4638" w14:textId="7534C5B3" w:rsidR="009B6C2B" w:rsidRPr="000A66A1" w:rsidRDefault="00C608DE" w:rsidP="000A66A1">
      <w:pPr>
        <w:spacing w:line="360" w:lineRule="auto"/>
        <w:jc w:val="both"/>
        <w:rPr>
          <w:rFonts w:asciiTheme="minorHAnsi" w:hAnsiTheme="minorHAnsi"/>
        </w:rPr>
      </w:pPr>
      <w:r w:rsidRPr="000A66A1">
        <w:rPr>
          <w:rFonts w:asciiTheme="minorHAnsi" w:hAnsiTheme="minorHAnsi"/>
        </w:rPr>
        <w:t xml:space="preserve">These recommendations are definitely a step in the right direction, </w:t>
      </w:r>
      <w:r w:rsidR="00C82002" w:rsidRPr="000A66A1">
        <w:rPr>
          <w:rFonts w:asciiTheme="minorHAnsi" w:hAnsiTheme="minorHAnsi"/>
        </w:rPr>
        <w:t>as codifying the law would allow the intoxication doctrine to be interpreted in a more definitive way with less room for inconsistency. There are still however further amendments that should be made in order</w:t>
      </w:r>
      <w:r w:rsidR="00B036A8" w:rsidRPr="000A66A1">
        <w:rPr>
          <w:rFonts w:asciiTheme="minorHAnsi" w:hAnsiTheme="minorHAnsi"/>
        </w:rPr>
        <w:t xml:space="preserve"> to create</w:t>
      </w:r>
      <w:r w:rsidR="00C82002" w:rsidRPr="000A66A1">
        <w:rPr>
          <w:rFonts w:asciiTheme="minorHAnsi" w:hAnsiTheme="minorHAnsi"/>
        </w:rPr>
        <w:t xml:space="preserve"> more accessib</w:t>
      </w:r>
      <w:r w:rsidR="00B036A8" w:rsidRPr="000A66A1">
        <w:rPr>
          <w:rFonts w:asciiTheme="minorHAnsi" w:hAnsiTheme="minorHAnsi"/>
        </w:rPr>
        <w:t>ility to convictions</w:t>
      </w:r>
      <w:r w:rsidR="00C82002" w:rsidRPr="000A66A1">
        <w:rPr>
          <w:rFonts w:asciiTheme="minorHAnsi" w:hAnsiTheme="minorHAnsi"/>
        </w:rPr>
        <w:t xml:space="preserve"> in relation to property offences. With these recommendations, </w:t>
      </w:r>
      <w:r w:rsidR="00B036A8" w:rsidRPr="000A66A1">
        <w:rPr>
          <w:rFonts w:asciiTheme="minorHAnsi" w:hAnsiTheme="minorHAnsi"/>
        </w:rPr>
        <w:t xml:space="preserve">they create a mismatch between the culpability and the chance of acquittal, particularly in relation to the branches of burglary. If the burglary relates to GBH or criminal damage, the </w:t>
      </w:r>
      <w:r w:rsidR="00B036A8" w:rsidRPr="000A66A1">
        <w:rPr>
          <w:rFonts w:asciiTheme="minorHAnsi" w:hAnsiTheme="minorHAnsi"/>
          <w:i/>
        </w:rPr>
        <w:t>Majewski</w:t>
      </w:r>
      <w:r w:rsidR="00B036A8" w:rsidRPr="000A66A1">
        <w:rPr>
          <w:rFonts w:asciiTheme="minorHAnsi" w:hAnsiTheme="minorHAnsi"/>
        </w:rPr>
        <w:t xml:space="preserve"> rule will apply</w:t>
      </w:r>
      <w:r w:rsidR="009211C4" w:rsidRPr="000A66A1">
        <w:rPr>
          <w:rFonts w:asciiTheme="minorHAnsi" w:hAnsiTheme="minorHAnsi"/>
        </w:rPr>
        <w:t>.</w:t>
      </w:r>
      <w:r w:rsidR="00B036A8" w:rsidRPr="000A66A1">
        <w:rPr>
          <w:rFonts w:asciiTheme="minorHAnsi" w:hAnsiTheme="minorHAnsi"/>
        </w:rPr>
        <w:t xml:space="preserve"> </w:t>
      </w:r>
      <w:r w:rsidR="009211C4" w:rsidRPr="000A66A1">
        <w:rPr>
          <w:rFonts w:asciiTheme="minorHAnsi" w:hAnsiTheme="minorHAnsi"/>
        </w:rPr>
        <w:t>W</w:t>
      </w:r>
      <w:r w:rsidR="00B036A8" w:rsidRPr="000A66A1">
        <w:rPr>
          <w:rFonts w:asciiTheme="minorHAnsi" w:hAnsiTheme="minorHAnsi"/>
        </w:rPr>
        <w:t>hereas</w:t>
      </w:r>
      <w:r w:rsidR="009211C4" w:rsidRPr="000A66A1">
        <w:rPr>
          <w:rFonts w:asciiTheme="minorHAnsi" w:hAnsiTheme="minorHAnsi"/>
        </w:rPr>
        <w:t>,</w:t>
      </w:r>
      <w:r w:rsidR="00B036A8" w:rsidRPr="000A66A1">
        <w:rPr>
          <w:rFonts w:asciiTheme="minorHAnsi" w:hAnsiTheme="minorHAnsi"/>
        </w:rPr>
        <w:t xml:space="preserve"> when theft</w:t>
      </w:r>
      <w:r w:rsidR="009211C4" w:rsidRPr="000A66A1">
        <w:rPr>
          <w:rFonts w:asciiTheme="minorHAnsi" w:hAnsiTheme="minorHAnsi"/>
        </w:rPr>
        <w:t xml:space="preserve"> is</w:t>
      </w:r>
      <w:r w:rsidR="00B036A8" w:rsidRPr="000A66A1">
        <w:rPr>
          <w:rFonts w:asciiTheme="minorHAnsi" w:hAnsiTheme="minorHAnsi"/>
        </w:rPr>
        <w:t xml:space="preserve"> present, the </w:t>
      </w:r>
      <w:r w:rsidR="00B036A8" w:rsidRPr="000A66A1">
        <w:rPr>
          <w:rFonts w:asciiTheme="minorHAnsi" w:hAnsiTheme="minorHAnsi"/>
          <w:i/>
        </w:rPr>
        <w:lastRenderedPageBreak/>
        <w:t>Majewski</w:t>
      </w:r>
      <w:r w:rsidR="00B036A8" w:rsidRPr="000A66A1">
        <w:rPr>
          <w:rFonts w:asciiTheme="minorHAnsi" w:hAnsiTheme="minorHAnsi"/>
        </w:rPr>
        <w:t xml:space="preserve"> rule will not apply. The mismatch in convictions would be too high compared to the culpability needed for each branch of the offence.</w:t>
      </w:r>
    </w:p>
    <w:p w14:paraId="1F069379" w14:textId="5A5459BA" w:rsidR="00B036A8" w:rsidRPr="000A66A1" w:rsidRDefault="00B036A8" w:rsidP="000A66A1">
      <w:pPr>
        <w:spacing w:line="360" w:lineRule="auto"/>
        <w:jc w:val="both"/>
        <w:rPr>
          <w:rFonts w:asciiTheme="minorHAnsi" w:hAnsiTheme="minorHAnsi"/>
        </w:rPr>
      </w:pPr>
    </w:p>
    <w:p w14:paraId="71032D6D" w14:textId="4CA87963" w:rsidR="00B036A8" w:rsidRPr="000A66A1" w:rsidRDefault="00B036A8" w:rsidP="000A66A1">
      <w:pPr>
        <w:spacing w:line="360" w:lineRule="auto"/>
        <w:jc w:val="both"/>
        <w:rPr>
          <w:rFonts w:asciiTheme="minorHAnsi" w:hAnsiTheme="minorHAnsi"/>
        </w:rPr>
      </w:pPr>
      <w:r w:rsidRPr="000A66A1">
        <w:rPr>
          <w:rFonts w:asciiTheme="minorHAnsi" w:hAnsiTheme="minorHAnsi"/>
        </w:rPr>
        <w:t>The Law Commission do</w:t>
      </w:r>
      <w:r w:rsidR="00A05663" w:rsidRPr="000A66A1">
        <w:rPr>
          <w:rFonts w:asciiTheme="minorHAnsi" w:hAnsiTheme="minorHAnsi"/>
        </w:rPr>
        <w:t>es</w:t>
      </w:r>
      <w:r w:rsidRPr="000A66A1">
        <w:rPr>
          <w:rFonts w:asciiTheme="minorHAnsi" w:hAnsiTheme="minorHAnsi"/>
        </w:rPr>
        <w:t xml:space="preserve"> also state that when determining the nature of the fault element</w:t>
      </w:r>
      <w:r w:rsidR="00AA0B24" w:rsidRPr="000A66A1">
        <w:rPr>
          <w:rFonts w:asciiTheme="minorHAnsi" w:hAnsiTheme="minorHAnsi"/>
        </w:rPr>
        <w:t xml:space="preserve"> when it is an integral fault element, whether there is an alternative offence of recklessness or not should be taken into consideration</w:t>
      </w:r>
      <w:r w:rsidR="00AA0B24" w:rsidRPr="000A66A1">
        <w:rPr>
          <w:rStyle w:val="FootnoteReference"/>
          <w:rFonts w:asciiTheme="minorHAnsi" w:hAnsiTheme="minorHAnsi"/>
        </w:rPr>
        <w:footnoteReference w:id="213"/>
      </w:r>
      <w:r w:rsidR="009211C4" w:rsidRPr="000A66A1">
        <w:rPr>
          <w:rFonts w:asciiTheme="minorHAnsi" w:hAnsiTheme="minorHAnsi"/>
        </w:rPr>
        <w:t>.</w:t>
      </w:r>
      <w:r w:rsidR="00AA0B24" w:rsidRPr="000A66A1">
        <w:rPr>
          <w:rFonts w:asciiTheme="minorHAnsi" w:hAnsiTheme="minorHAnsi"/>
        </w:rPr>
        <w:t xml:space="preserve"> This implies that through the evolution of case law, this can be taken into consideration, particularly when looking at the offences held in </w:t>
      </w:r>
      <w:r w:rsidR="008C0798" w:rsidRPr="000A66A1">
        <w:rPr>
          <w:rFonts w:asciiTheme="minorHAnsi" w:hAnsiTheme="minorHAnsi"/>
        </w:rPr>
        <w:t>Section II</w:t>
      </w:r>
      <w:r w:rsidR="00AA0B24" w:rsidRPr="000A66A1">
        <w:rPr>
          <w:rFonts w:asciiTheme="minorHAnsi" w:hAnsiTheme="minorHAnsi"/>
        </w:rPr>
        <w:t xml:space="preserve">. By allowing courts to take this into consideration, it may then </w:t>
      </w:r>
      <w:r w:rsidR="0068018A" w:rsidRPr="000A66A1">
        <w:rPr>
          <w:rFonts w:asciiTheme="minorHAnsi" w:hAnsiTheme="minorHAnsi"/>
        </w:rPr>
        <w:t>allow the law to evolve in a way that secures convictions for theft when the offender is voluntarily intoxicated. There is still an argument that the rules on this should be codified.</w:t>
      </w:r>
    </w:p>
    <w:p w14:paraId="75EE6212" w14:textId="55354626" w:rsidR="0068018A" w:rsidRPr="000A66A1" w:rsidRDefault="0068018A" w:rsidP="000A66A1">
      <w:pPr>
        <w:spacing w:line="360" w:lineRule="auto"/>
        <w:jc w:val="both"/>
        <w:rPr>
          <w:rFonts w:asciiTheme="minorHAnsi" w:hAnsiTheme="minorHAnsi"/>
        </w:rPr>
      </w:pPr>
    </w:p>
    <w:p w14:paraId="77D0F226" w14:textId="454A3DF8" w:rsidR="0068018A" w:rsidRPr="000A66A1" w:rsidRDefault="0068018A" w:rsidP="000A66A1">
      <w:pPr>
        <w:spacing w:line="360" w:lineRule="auto"/>
        <w:jc w:val="both"/>
        <w:rPr>
          <w:rFonts w:asciiTheme="minorHAnsi" w:hAnsiTheme="minorHAnsi"/>
        </w:rPr>
      </w:pPr>
      <w:r w:rsidRPr="000A66A1">
        <w:rPr>
          <w:rFonts w:asciiTheme="minorHAnsi" w:hAnsiTheme="minorHAnsi"/>
        </w:rPr>
        <w:t>If the Law Commission recommendations were to be codified, it would allow the relationship between the intoxication doctrine and the offences within</w:t>
      </w:r>
      <w:r w:rsidR="008C0798" w:rsidRPr="000A66A1">
        <w:rPr>
          <w:rFonts w:asciiTheme="minorHAnsi" w:hAnsiTheme="minorHAnsi"/>
        </w:rPr>
        <w:t xml:space="preserve"> Section I</w:t>
      </w:r>
      <w:r w:rsidRPr="000A66A1">
        <w:rPr>
          <w:rFonts w:asciiTheme="minorHAnsi" w:hAnsiTheme="minorHAnsi"/>
        </w:rPr>
        <w:t xml:space="preserve"> to work as they do now. It would make sure they were implemented in a fair and consistent way with scope for evolution in unusual cases. The relationship between the doctrine and the offences in </w:t>
      </w:r>
      <w:r w:rsidR="008C0798" w:rsidRPr="000A66A1">
        <w:rPr>
          <w:rFonts w:asciiTheme="minorHAnsi" w:hAnsiTheme="minorHAnsi"/>
        </w:rPr>
        <w:t>Section II</w:t>
      </w:r>
      <w:r w:rsidRPr="000A66A1">
        <w:rPr>
          <w:rFonts w:asciiTheme="minorHAnsi" w:hAnsiTheme="minorHAnsi"/>
        </w:rPr>
        <w:t xml:space="preserve"> would </w:t>
      </w:r>
      <w:r w:rsidR="0092065A" w:rsidRPr="000A66A1">
        <w:rPr>
          <w:rFonts w:asciiTheme="minorHAnsi" w:hAnsiTheme="minorHAnsi"/>
        </w:rPr>
        <w:t>potentially be more appropriate</w:t>
      </w:r>
      <w:r w:rsidRPr="000A66A1">
        <w:rPr>
          <w:rFonts w:asciiTheme="minorHAnsi" w:hAnsiTheme="minorHAnsi"/>
        </w:rPr>
        <w:t>.</w:t>
      </w:r>
      <w:r w:rsidR="004C1970" w:rsidRPr="000A66A1">
        <w:rPr>
          <w:rFonts w:asciiTheme="minorHAnsi" w:hAnsiTheme="minorHAnsi"/>
        </w:rPr>
        <w:t xml:space="preserve"> If each property offence were to be broken down into separate integral fault elements, it is likely that the dishonesty element would not be subject to the </w:t>
      </w:r>
      <w:r w:rsidR="004C1970" w:rsidRPr="000A66A1">
        <w:rPr>
          <w:rFonts w:asciiTheme="minorHAnsi" w:hAnsiTheme="minorHAnsi"/>
          <w:i/>
          <w:iCs/>
        </w:rPr>
        <w:t>Majewski</w:t>
      </w:r>
      <w:r w:rsidR="004C1970" w:rsidRPr="000A66A1">
        <w:rPr>
          <w:rFonts w:asciiTheme="minorHAnsi" w:hAnsiTheme="minorHAnsi"/>
        </w:rPr>
        <w:t xml:space="preserve"> rule. The intention to permanently deprive element would not be subject to the </w:t>
      </w:r>
      <w:r w:rsidR="004C1970" w:rsidRPr="000A66A1">
        <w:rPr>
          <w:rFonts w:asciiTheme="minorHAnsi" w:hAnsiTheme="minorHAnsi"/>
          <w:i/>
          <w:iCs/>
        </w:rPr>
        <w:t>Majewski</w:t>
      </w:r>
      <w:r w:rsidR="004C1970" w:rsidRPr="000A66A1">
        <w:rPr>
          <w:rFonts w:asciiTheme="minorHAnsi" w:hAnsiTheme="minorHAnsi"/>
        </w:rPr>
        <w:t xml:space="preserve"> rule, however this element would be far easier to prove when an offender later becomes sober.</w:t>
      </w:r>
      <w:r w:rsidRPr="000A66A1">
        <w:rPr>
          <w:rFonts w:asciiTheme="minorHAnsi" w:hAnsiTheme="minorHAnsi"/>
        </w:rPr>
        <w:t xml:space="preserve"> More codification surrounding the fault elements of theft would definitely be needed, particularly now the dishonesty test has changed.</w:t>
      </w:r>
      <w:r w:rsidR="00BA45EA" w:rsidRPr="000A66A1">
        <w:rPr>
          <w:rFonts w:asciiTheme="minorHAnsi" w:hAnsiTheme="minorHAnsi"/>
        </w:rPr>
        <w:t xml:space="preserve"> Generally, the recommendations relating to</w:t>
      </w:r>
      <w:r w:rsidR="00E14B7B" w:rsidRPr="000A66A1">
        <w:rPr>
          <w:rFonts w:asciiTheme="minorHAnsi" w:hAnsiTheme="minorHAnsi"/>
        </w:rPr>
        <w:t xml:space="preserve"> Section I</w:t>
      </w:r>
      <w:r w:rsidR="00BA45EA" w:rsidRPr="000A66A1">
        <w:rPr>
          <w:rFonts w:asciiTheme="minorHAnsi" w:hAnsiTheme="minorHAnsi"/>
        </w:rPr>
        <w:t xml:space="preserve"> and </w:t>
      </w:r>
      <w:proofErr w:type="spellStart"/>
      <w:r w:rsidR="00E14B7B" w:rsidRPr="000A66A1">
        <w:rPr>
          <w:rFonts w:asciiTheme="minorHAnsi" w:hAnsiTheme="minorHAnsi"/>
        </w:rPr>
        <w:t>Seection</w:t>
      </w:r>
      <w:proofErr w:type="spellEnd"/>
      <w:r w:rsidR="00E14B7B" w:rsidRPr="000A66A1">
        <w:rPr>
          <w:rFonts w:asciiTheme="minorHAnsi" w:hAnsiTheme="minorHAnsi"/>
        </w:rPr>
        <w:t xml:space="preserve"> II</w:t>
      </w:r>
      <w:r w:rsidR="00A05663" w:rsidRPr="000A66A1">
        <w:rPr>
          <w:rFonts w:asciiTheme="minorHAnsi" w:hAnsiTheme="minorHAnsi"/>
        </w:rPr>
        <w:t>,</w:t>
      </w:r>
      <w:r w:rsidR="00BA45EA" w:rsidRPr="000A66A1">
        <w:rPr>
          <w:rFonts w:asciiTheme="minorHAnsi" w:hAnsiTheme="minorHAnsi"/>
        </w:rPr>
        <w:t xml:space="preserve"> in particular</w:t>
      </w:r>
      <w:r w:rsidR="00A05663" w:rsidRPr="000A66A1">
        <w:rPr>
          <w:rFonts w:asciiTheme="minorHAnsi" w:hAnsiTheme="minorHAnsi"/>
        </w:rPr>
        <w:t>,</w:t>
      </w:r>
      <w:r w:rsidR="00BA45EA" w:rsidRPr="000A66A1">
        <w:rPr>
          <w:rFonts w:asciiTheme="minorHAnsi" w:hAnsiTheme="minorHAnsi"/>
        </w:rPr>
        <w:t xml:space="preserve"> can be interpreted in a way that sways more towards an absolutist approach.</w:t>
      </w:r>
      <w:r w:rsidR="004C1970" w:rsidRPr="000A66A1">
        <w:rPr>
          <w:rFonts w:asciiTheme="minorHAnsi" w:hAnsiTheme="minorHAnsi"/>
        </w:rPr>
        <w:t xml:space="preserve"> Potentially making it so offenders can still be charged with property offences, even if committed whilst intoxicated. The relationship between the Law Commissions Proposals and the Ivey case should be evaluated further in order to analyse the effects of Ivey on the Intoxication Doctrine. </w:t>
      </w:r>
    </w:p>
    <w:p w14:paraId="7A5ED4D3" w14:textId="097CBB97" w:rsidR="0068018A" w:rsidRPr="000A66A1" w:rsidRDefault="0068018A" w:rsidP="000A66A1">
      <w:pPr>
        <w:spacing w:line="360" w:lineRule="auto"/>
        <w:jc w:val="both"/>
        <w:rPr>
          <w:rFonts w:asciiTheme="minorHAnsi" w:hAnsiTheme="minorHAnsi"/>
        </w:rPr>
      </w:pPr>
    </w:p>
    <w:p w14:paraId="05F889C4" w14:textId="5F0296A5" w:rsidR="00725050" w:rsidRPr="000A66A1" w:rsidRDefault="00725050" w:rsidP="000A66A1">
      <w:pPr>
        <w:spacing w:line="360" w:lineRule="auto"/>
        <w:jc w:val="both"/>
        <w:rPr>
          <w:rFonts w:asciiTheme="minorHAnsi" w:hAnsiTheme="minorHAnsi"/>
        </w:rPr>
      </w:pPr>
    </w:p>
    <w:p w14:paraId="2A273D98" w14:textId="48E9AA0E" w:rsidR="00243C6A" w:rsidRPr="000A66A1" w:rsidRDefault="00243C6A" w:rsidP="000A66A1">
      <w:pPr>
        <w:spacing w:line="360" w:lineRule="auto"/>
        <w:jc w:val="both"/>
        <w:rPr>
          <w:rFonts w:asciiTheme="minorHAnsi" w:hAnsiTheme="minorHAnsi"/>
        </w:rPr>
      </w:pPr>
    </w:p>
    <w:p w14:paraId="3F3BB6D3" w14:textId="6DA2AFAC" w:rsidR="0090040D" w:rsidRPr="000A66A1" w:rsidRDefault="0090040D" w:rsidP="000A66A1">
      <w:pPr>
        <w:spacing w:line="360" w:lineRule="auto"/>
        <w:jc w:val="center"/>
        <w:rPr>
          <w:rFonts w:asciiTheme="minorHAnsi" w:hAnsiTheme="minorHAnsi"/>
          <w:b/>
          <w:u w:val="single"/>
        </w:rPr>
      </w:pPr>
      <w:r w:rsidRPr="000A66A1">
        <w:rPr>
          <w:rFonts w:asciiTheme="minorHAnsi" w:hAnsiTheme="minorHAnsi"/>
          <w:b/>
          <w:u w:val="single"/>
        </w:rPr>
        <w:t>Conclusion</w:t>
      </w:r>
    </w:p>
    <w:p w14:paraId="153A4A54" w14:textId="78424145" w:rsidR="0090040D" w:rsidRPr="000A66A1" w:rsidRDefault="0090040D" w:rsidP="000A66A1">
      <w:pPr>
        <w:spacing w:line="360" w:lineRule="auto"/>
        <w:jc w:val="both"/>
        <w:rPr>
          <w:rFonts w:asciiTheme="minorHAnsi" w:hAnsiTheme="minorHAnsi"/>
          <w:u w:val="single"/>
        </w:rPr>
      </w:pPr>
    </w:p>
    <w:p w14:paraId="20CEDC38" w14:textId="5FAE2D4E" w:rsidR="0090040D" w:rsidRPr="000A66A1" w:rsidRDefault="0090040D" w:rsidP="000A66A1">
      <w:pPr>
        <w:spacing w:line="360" w:lineRule="auto"/>
        <w:jc w:val="both"/>
        <w:rPr>
          <w:rFonts w:asciiTheme="minorHAnsi" w:hAnsiTheme="minorHAnsi"/>
        </w:rPr>
      </w:pPr>
      <w:r w:rsidRPr="000A66A1">
        <w:rPr>
          <w:rFonts w:asciiTheme="minorHAnsi" w:hAnsiTheme="minorHAnsi"/>
        </w:rPr>
        <w:t xml:space="preserve">Throughout this project, it has become clear that although the </w:t>
      </w:r>
      <w:r w:rsidRPr="000A66A1">
        <w:rPr>
          <w:rFonts w:asciiTheme="minorHAnsi" w:hAnsiTheme="minorHAnsi"/>
          <w:i/>
        </w:rPr>
        <w:t>Majewski</w:t>
      </w:r>
      <w:r w:rsidR="005B2565" w:rsidRPr="000A66A1">
        <w:rPr>
          <w:rStyle w:val="FootnoteReference"/>
          <w:rFonts w:asciiTheme="minorHAnsi" w:hAnsiTheme="minorHAnsi"/>
          <w:i/>
        </w:rPr>
        <w:footnoteReference w:id="214"/>
      </w:r>
      <w:r w:rsidRPr="000A66A1">
        <w:rPr>
          <w:rFonts w:asciiTheme="minorHAnsi" w:hAnsiTheme="minorHAnsi"/>
        </w:rPr>
        <w:t xml:space="preserve"> rule ha</w:t>
      </w:r>
      <w:r w:rsidR="00656482" w:rsidRPr="000A66A1">
        <w:rPr>
          <w:rFonts w:asciiTheme="minorHAnsi" w:hAnsiTheme="minorHAnsi"/>
        </w:rPr>
        <w:t>s</w:t>
      </w:r>
      <w:r w:rsidRPr="000A66A1">
        <w:rPr>
          <w:rFonts w:asciiTheme="minorHAnsi" w:hAnsiTheme="minorHAnsi"/>
        </w:rPr>
        <w:t xml:space="preserve"> benefits both in theory and in practice </w:t>
      </w:r>
      <w:r w:rsidR="00460E44" w:rsidRPr="000A66A1">
        <w:rPr>
          <w:rFonts w:asciiTheme="minorHAnsi" w:hAnsiTheme="minorHAnsi"/>
        </w:rPr>
        <w:t>with certain offences</w:t>
      </w:r>
      <w:r w:rsidR="00656482" w:rsidRPr="000A66A1">
        <w:rPr>
          <w:rFonts w:asciiTheme="minorHAnsi" w:hAnsiTheme="minorHAnsi"/>
        </w:rPr>
        <w:t>, t</w:t>
      </w:r>
      <w:r w:rsidR="00460E44" w:rsidRPr="000A66A1">
        <w:rPr>
          <w:rFonts w:asciiTheme="minorHAnsi" w:hAnsiTheme="minorHAnsi"/>
        </w:rPr>
        <w:t>here are also a lot of problems</w:t>
      </w:r>
      <w:r w:rsidR="00F31A11" w:rsidRPr="000A66A1">
        <w:rPr>
          <w:rFonts w:asciiTheme="minorHAnsi" w:hAnsiTheme="minorHAnsi"/>
        </w:rPr>
        <w:t xml:space="preserve"> and concerns</w:t>
      </w:r>
      <w:r w:rsidR="00460E44" w:rsidRPr="000A66A1">
        <w:rPr>
          <w:rFonts w:asciiTheme="minorHAnsi" w:hAnsiTheme="minorHAnsi"/>
        </w:rPr>
        <w:t xml:space="preserve">. Particularly coming from the lack of codification as well as the problems through interpretation amongst property offences and offences that occur through an involuntary intoxication. </w:t>
      </w:r>
      <w:r w:rsidR="00FE5752" w:rsidRPr="000A66A1">
        <w:rPr>
          <w:rFonts w:asciiTheme="minorHAnsi" w:hAnsiTheme="minorHAnsi"/>
        </w:rPr>
        <w:t xml:space="preserve">Considering even the judges within the </w:t>
      </w:r>
      <w:r w:rsidR="00FE5752" w:rsidRPr="000A66A1">
        <w:rPr>
          <w:rFonts w:asciiTheme="minorHAnsi" w:hAnsiTheme="minorHAnsi"/>
          <w:i/>
        </w:rPr>
        <w:t>Majewski</w:t>
      </w:r>
      <w:r w:rsidR="005B2565" w:rsidRPr="000A66A1">
        <w:rPr>
          <w:rStyle w:val="FootnoteReference"/>
          <w:rFonts w:asciiTheme="minorHAnsi" w:hAnsiTheme="minorHAnsi"/>
          <w:i/>
        </w:rPr>
        <w:footnoteReference w:id="215"/>
      </w:r>
      <w:r w:rsidR="00FE5752" w:rsidRPr="000A66A1">
        <w:rPr>
          <w:rFonts w:asciiTheme="minorHAnsi" w:hAnsiTheme="minorHAnsi"/>
          <w:i/>
        </w:rPr>
        <w:t xml:space="preserve"> </w:t>
      </w:r>
      <w:r w:rsidR="00FE5752" w:rsidRPr="000A66A1">
        <w:rPr>
          <w:rFonts w:asciiTheme="minorHAnsi" w:hAnsiTheme="minorHAnsi"/>
        </w:rPr>
        <w:t>case had differing opinions on basic and specific intent, clearly</w:t>
      </w:r>
      <w:r w:rsidR="00656482" w:rsidRPr="000A66A1">
        <w:rPr>
          <w:rFonts w:asciiTheme="minorHAnsi" w:hAnsiTheme="minorHAnsi"/>
        </w:rPr>
        <w:t>,</w:t>
      </w:r>
      <w:r w:rsidR="00FE5752" w:rsidRPr="000A66A1">
        <w:rPr>
          <w:rFonts w:asciiTheme="minorHAnsi" w:hAnsiTheme="minorHAnsi"/>
        </w:rPr>
        <w:t xml:space="preserve"> some form of clarification and codification would be beneficial. </w:t>
      </w:r>
    </w:p>
    <w:p w14:paraId="0DF8870C" w14:textId="12618D16" w:rsidR="00B46D61" w:rsidRPr="000A66A1" w:rsidRDefault="00B46D61" w:rsidP="000A66A1">
      <w:pPr>
        <w:spacing w:line="360" w:lineRule="auto"/>
        <w:jc w:val="both"/>
        <w:rPr>
          <w:rFonts w:asciiTheme="minorHAnsi" w:hAnsiTheme="minorHAnsi"/>
        </w:rPr>
      </w:pPr>
    </w:p>
    <w:p w14:paraId="436E4189" w14:textId="2E315D34" w:rsidR="00B46D61" w:rsidRPr="000A66A1" w:rsidRDefault="00EB7044" w:rsidP="000A66A1">
      <w:pPr>
        <w:spacing w:line="360" w:lineRule="auto"/>
        <w:jc w:val="both"/>
        <w:rPr>
          <w:rFonts w:asciiTheme="minorHAnsi" w:hAnsiTheme="minorHAnsi"/>
        </w:rPr>
      </w:pPr>
      <w:r w:rsidRPr="000A66A1">
        <w:rPr>
          <w:rFonts w:asciiTheme="minorHAnsi" w:hAnsiTheme="minorHAnsi"/>
        </w:rPr>
        <w:t xml:space="preserve">With offences </w:t>
      </w:r>
      <w:r w:rsidR="00D541A0" w:rsidRPr="000A66A1">
        <w:rPr>
          <w:rFonts w:asciiTheme="minorHAnsi" w:hAnsiTheme="minorHAnsi"/>
        </w:rPr>
        <w:t>ag</w:t>
      </w:r>
      <w:r w:rsidR="00ED0E32" w:rsidRPr="000A66A1">
        <w:rPr>
          <w:rFonts w:asciiTheme="minorHAnsi" w:hAnsiTheme="minorHAnsi"/>
        </w:rPr>
        <w:t>a</w:t>
      </w:r>
      <w:r w:rsidR="00D541A0" w:rsidRPr="000A66A1">
        <w:rPr>
          <w:rFonts w:asciiTheme="minorHAnsi" w:hAnsiTheme="minorHAnsi"/>
        </w:rPr>
        <w:t>inst the person</w:t>
      </w:r>
      <w:r w:rsidRPr="000A66A1">
        <w:rPr>
          <w:rFonts w:asciiTheme="minorHAnsi" w:hAnsiTheme="minorHAnsi"/>
        </w:rPr>
        <w:t xml:space="preserve">, the </w:t>
      </w:r>
      <w:r w:rsidRPr="000A66A1">
        <w:rPr>
          <w:rFonts w:asciiTheme="minorHAnsi" w:hAnsiTheme="minorHAnsi"/>
          <w:i/>
        </w:rPr>
        <w:t>Majewski</w:t>
      </w:r>
      <w:r w:rsidR="005B2565" w:rsidRPr="000A66A1">
        <w:rPr>
          <w:rStyle w:val="FootnoteReference"/>
          <w:rFonts w:asciiTheme="minorHAnsi" w:hAnsiTheme="minorHAnsi"/>
          <w:i/>
        </w:rPr>
        <w:footnoteReference w:id="216"/>
      </w:r>
      <w:r w:rsidRPr="000A66A1">
        <w:rPr>
          <w:rFonts w:asciiTheme="minorHAnsi" w:hAnsiTheme="minorHAnsi"/>
        </w:rPr>
        <w:t xml:space="preserve"> rule works well in practice due to the nature of the corresponding offences. </w:t>
      </w:r>
      <w:r w:rsidR="00887512" w:rsidRPr="000A66A1">
        <w:rPr>
          <w:rFonts w:asciiTheme="minorHAnsi" w:hAnsiTheme="minorHAnsi"/>
        </w:rPr>
        <w:t xml:space="preserve">As all offences that have a specific intent also have a basic intent offence with the same actus reus, the prosecution can still secure a conviction, even in cases with intoxication present. </w:t>
      </w:r>
    </w:p>
    <w:p w14:paraId="17D3EF2C" w14:textId="388B25F4" w:rsidR="00887512" w:rsidRPr="000A66A1" w:rsidRDefault="00887512" w:rsidP="000A66A1">
      <w:pPr>
        <w:spacing w:line="360" w:lineRule="auto"/>
        <w:jc w:val="both"/>
        <w:rPr>
          <w:rFonts w:asciiTheme="minorHAnsi" w:hAnsiTheme="minorHAnsi"/>
        </w:rPr>
      </w:pPr>
    </w:p>
    <w:p w14:paraId="4D3BD99B" w14:textId="2894D885" w:rsidR="00887512" w:rsidRPr="000A66A1" w:rsidRDefault="00887512" w:rsidP="000A66A1">
      <w:pPr>
        <w:spacing w:line="360" w:lineRule="auto"/>
        <w:jc w:val="both"/>
        <w:rPr>
          <w:rFonts w:asciiTheme="minorHAnsi" w:hAnsiTheme="minorHAnsi"/>
        </w:rPr>
      </w:pPr>
      <w:r w:rsidRPr="000A66A1">
        <w:rPr>
          <w:rFonts w:asciiTheme="minorHAnsi" w:hAnsiTheme="minorHAnsi"/>
        </w:rPr>
        <w:t>There are various arguments that suggest the way the intoxication works is unsatisfactory. Some suggest that by allowing the effect of the intoxication doctrine on basic intent crimes, it undermines a very important rule of law</w:t>
      </w:r>
      <w:r w:rsidR="00F31A11" w:rsidRPr="000A66A1">
        <w:rPr>
          <w:rFonts w:asciiTheme="minorHAnsi" w:hAnsiTheme="minorHAnsi"/>
        </w:rPr>
        <w:t xml:space="preserve"> -</w:t>
      </w:r>
      <w:r w:rsidRPr="000A66A1">
        <w:rPr>
          <w:rFonts w:asciiTheme="minorHAnsi" w:hAnsiTheme="minorHAnsi"/>
        </w:rPr>
        <w:t xml:space="preserve"> that all elements of a criminal offence must be proved by the prosecution beyond a</w:t>
      </w:r>
      <w:r w:rsidR="00C410F5" w:rsidRPr="000A66A1">
        <w:rPr>
          <w:rFonts w:asciiTheme="minorHAnsi" w:hAnsiTheme="minorHAnsi"/>
        </w:rPr>
        <w:t>ll</w:t>
      </w:r>
      <w:r w:rsidRPr="000A66A1">
        <w:rPr>
          <w:rFonts w:asciiTheme="minorHAnsi" w:hAnsiTheme="minorHAnsi"/>
        </w:rPr>
        <w:t xml:space="preserve"> reasonable doubt.</w:t>
      </w:r>
      <w:r w:rsidR="00C410F5" w:rsidRPr="000A66A1">
        <w:rPr>
          <w:rFonts w:asciiTheme="minorHAnsi" w:hAnsiTheme="minorHAnsi"/>
        </w:rPr>
        <w:t xml:space="preserve"> The theory behind the way this works in practice is that it will fail to provide a full defence in order for intoxicated offenders to evade liability. It seems to be an absolutist approach to interpreting the law</w:t>
      </w:r>
      <w:r w:rsidR="00F31A11" w:rsidRPr="000A66A1">
        <w:rPr>
          <w:rFonts w:asciiTheme="minorHAnsi" w:hAnsiTheme="minorHAnsi"/>
        </w:rPr>
        <w:t xml:space="preserve">. Yet, </w:t>
      </w:r>
      <w:r w:rsidR="00C410F5" w:rsidRPr="000A66A1">
        <w:rPr>
          <w:rFonts w:asciiTheme="minorHAnsi" w:hAnsiTheme="minorHAnsi"/>
        </w:rPr>
        <w:t>this has proved not</w:t>
      </w:r>
      <w:r w:rsidR="00656482" w:rsidRPr="000A66A1">
        <w:rPr>
          <w:rFonts w:asciiTheme="minorHAnsi" w:hAnsiTheme="minorHAnsi"/>
        </w:rPr>
        <w:t xml:space="preserve"> to</w:t>
      </w:r>
      <w:r w:rsidR="00C410F5" w:rsidRPr="000A66A1">
        <w:rPr>
          <w:rFonts w:asciiTheme="minorHAnsi" w:hAnsiTheme="minorHAnsi"/>
        </w:rPr>
        <w:t xml:space="preserve"> be the case through common law</w:t>
      </w:r>
      <w:r w:rsidR="00C410F5" w:rsidRPr="000A66A1">
        <w:rPr>
          <w:rStyle w:val="FootnoteReference"/>
          <w:rFonts w:asciiTheme="minorHAnsi" w:hAnsiTheme="minorHAnsi"/>
        </w:rPr>
        <w:footnoteReference w:id="217"/>
      </w:r>
      <w:r w:rsidR="00F31A11" w:rsidRPr="000A66A1">
        <w:rPr>
          <w:rFonts w:asciiTheme="minorHAnsi" w:hAnsiTheme="minorHAnsi"/>
        </w:rPr>
        <w:t>.</w:t>
      </w:r>
      <w:r w:rsidR="00C410F5" w:rsidRPr="000A66A1">
        <w:rPr>
          <w:rFonts w:asciiTheme="minorHAnsi" w:hAnsiTheme="minorHAnsi"/>
        </w:rPr>
        <w:t xml:space="preserve"> Offenders are still able to evade liability if they would not have been culpable when sober.</w:t>
      </w:r>
    </w:p>
    <w:p w14:paraId="2D87511A" w14:textId="3B3F120F" w:rsidR="00C410F5" w:rsidRPr="000A66A1" w:rsidRDefault="00C410F5" w:rsidP="000A66A1">
      <w:pPr>
        <w:spacing w:line="360" w:lineRule="auto"/>
        <w:jc w:val="both"/>
        <w:rPr>
          <w:rFonts w:asciiTheme="minorHAnsi" w:hAnsiTheme="minorHAnsi"/>
        </w:rPr>
      </w:pPr>
    </w:p>
    <w:p w14:paraId="7DA4AB74" w14:textId="5CC6CB84" w:rsidR="00C410F5" w:rsidRPr="000A66A1" w:rsidRDefault="00963609" w:rsidP="000A66A1">
      <w:pPr>
        <w:spacing w:line="360" w:lineRule="auto"/>
        <w:jc w:val="both"/>
        <w:rPr>
          <w:rFonts w:asciiTheme="minorHAnsi" w:hAnsiTheme="minorHAnsi"/>
        </w:rPr>
      </w:pPr>
      <w:r w:rsidRPr="000A66A1">
        <w:rPr>
          <w:rFonts w:asciiTheme="minorHAnsi" w:hAnsiTheme="minorHAnsi"/>
        </w:rPr>
        <w:t>There are also various arguments about intoxication being taken into account for specific intent crimes. If the courts were to take an absolutist approach to interpre</w:t>
      </w:r>
      <w:r w:rsidR="00656482" w:rsidRPr="000A66A1">
        <w:rPr>
          <w:rFonts w:asciiTheme="minorHAnsi" w:hAnsiTheme="minorHAnsi"/>
        </w:rPr>
        <w:t>t</w:t>
      </w:r>
      <w:r w:rsidRPr="000A66A1">
        <w:rPr>
          <w:rFonts w:asciiTheme="minorHAnsi" w:hAnsiTheme="minorHAnsi"/>
        </w:rPr>
        <w:t xml:space="preserve"> specific intent crimes, intoxication would not be taken into account at all. Although this would have obvious public safety benefits, </w:t>
      </w:r>
      <w:r w:rsidR="00F31A11" w:rsidRPr="000A66A1">
        <w:rPr>
          <w:rFonts w:asciiTheme="minorHAnsi" w:hAnsiTheme="minorHAnsi"/>
        </w:rPr>
        <w:t xml:space="preserve">it </w:t>
      </w:r>
      <w:r w:rsidRPr="000A66A1">
        <w:rPr>
          <w:rFonts w:asciiTheme="minorHAnsi" w:hAnsiTheme="minorHAnsi"/>
        </w:rPr>
        <w:t xml:space="preserve">would create a </w:t>
      </w:r>
      <w:r w:rsidRPr="000A66A1">
        <w:rPr>
          <w:rFonts w:asciiTheme="minorHAnsi" w:hAnsiTheme="minorHAnsi"/>
        </w:rPr>
        <w:lastRenderedPageBreak/>
        <w:t xml:space="preserve">monumental difference between the culpability of committing a serious offence with a sober intention, compared to when intoxicated. The </w:t>
      </w:r>
      <w:r w:rsidRPr="000A66A1">
        <w:rPr>
          <w:rFonts w:asciiTheme="minorHAnsi" w:hAnsiTheme="minorHAnsi"/>
          <w:i/>
        </w:rPr>
        <w:t>Majewski</w:t>
      </w:r>
      <w:r w:rsidR="005B2565" w:rsidRPr="000A66A1">
        <w:rPr>
          <w:rStyle w:val="FootnoteReference"/>
          <w:rFonts w:asciiTheme="minorHAnsi" w:hAnsiTheme="minorHAnsi"/>
          <w:i/>
        </w:rPr>
        <w:footnoteReference w:id="218"/>
      </w:r>
      <w:r w:rsidRPr="000A66A1">
        <w:rPr>
          <w:rFonts w:asciiTheme="minorHAnsi" w:hAnsiTheme="minorHAnsi"/>
        </w:rPr>
        <w:t xml:space="preserve"> rule currently does not apply to specific intent crimes. However, rather than allowing a defence for intoxicated offenders, it simply allows the intoxication to be taken into account when assessing the element of fault, potentially then preventing a conviction.  </w:t>
      </w:r>
    </w:p>
    <w:p w14:paraId="7C897C1D" w14:textId="416B6C3B" w:rsidR="00963609" w:rsidRPr="000A66A1" w:rsidRDefault="00963609" w:rsidP="000A66A1">
      <w:pPr>
        <w:spacing w:line="360" w:lineRule="auto"/>
        <w:jc w:val="both"/>
        <w:rPr>
          <w:rFonts w:asciiTheme="minorHAnsi" w:hAnsiTheme="minorHAnsi"/>
        </w:rPr>
      </w:pPr>
    </w:p>
    <w:p w14:paraId="5123EB79" w14:textId="452BE484" w:rsidR="00963609" w:rsidRPr="000A66A1" w:rsidRDefault="00963609" w:rsidP="000A66A1">
      <w:pPr>
        <w:spacing w:line="360" w:lineRule="auto"/>
        <w:jc w:val="both"/>
        <w:rPr>
          <w:rFonts w:asciiTheme="minorHAnsi" w:hAnsiTheme="minorHAnsi"/>
        </w:rPr>
      </w:pPr>
      <w:r w:rsidRPr="000A66A1">
        <w:rPr>
          <w:rFonts w:asciiTheme="minorHAnsi" w:hAnsiTheme="minorHAnsi"/>
        </w:rPr>
        <w:t xml:space="preserve">This allows a compromise between the absolutist and the subjective approach. The absolutist approach is used for basic intent crimes, allowing for convictions to be attained in order to protect the public, and the subjective rule is used for specific intent crimes in order to protect the importance of taking culpability into account. This is however only how the doctrine works with violent offences that have committed when offenders have been voluntarily intoxicated. </w:t>
      </w:r>
    </w:p>
    <w:p w14:paraId="66E704A5" w14:textId="50E1BE2F" w:rsidR="00AC1490" w:rsidRPr="000A66A1" w:rsidRDefault="00AC1490" w:rsidP="000A66A1">
      <w:pPr>
        <w:spacing w:line="360" w:lineRule="auto"/>
        <w:jc w:val="both"/>
        <w:rPr>
          <w:rFonts w:asciiTheme="minorHAnsi" w:hAnsiTheme="minorHAnsi"/>
        </w:rPr>
      </w:pPr>
    </w:p>
    <w:p w14:paraId="4F5DA9CE" w14:textId="0792989E" w:rsidR="00694641" w:rsidRPr="000A66A1" w:rsidRDefault="00AC1490" w:rsidP="000A66A1">
      <w:pPr>
        <w:spacing w:line="360" w:lineRule="auto"/>
        <w:jc w:val="both"/>
        <w:rPr>
          <w:rFonts w:asciiTheme="minorHAnsi" w:hAnsiTheme="minorHAnsi"/>
        </w:rPr>
      </w:pPr>
      <w:r w:rsidRPr="000A66A1">
        <w:rPr>
          <w:rFonts w:asciiTheme="minorHAnsi" w:hAnsiTheme="minorHAnsi"/>
        </w:rPr>
        <w:t xml:space="preserve">Generally, the relationship between intoxication and violent offences works in a consistent and fair manner. Considering the </w:t>
      </w:r>
      <w:r w:rsidRPr="000A66A1">
        <w:rPr>
          <w:rFonts w:asciiTheme="minorHAnsi" w:hAnsiTheme="minorHAnsi"/>
          <w:i/>
        </w:rPr>
        <w:t>Majewski</w:t>
      </w:r>
      <w:r w:rsidR="005B2565" w:rsidRPr="000A66A1">
        <w:rPr>
          <w:rStyle w:val="FootnoteReference"/>
          <w:rFonts w:asciiTheme="minorHAnsi" w:hAnsiTheme="minorHAnsi"/>
          <w:i/>
        </w:rPr>
        <w:footnoteReference w:id="219"/>
      </w:r>
      <w:r w:rsidRPr="000A66A1">
        <w:rPr>
          <w:rFonts w:asciiTheme="minorHAnsi" w:hAnsiTheme="minorHAnsi"/>
        </w:rPr>
        <w:t xml:space="preserve"> rule was created with violent offences in mind, it works as a concept in theory and in practice. The doctrine works in a way that offers the public an element of safety, as well as fairness for offenders. The manner </w:t>
      </w:r>
      <w:r w:rsidR="00656482" w:rsidRPr="000A66A1">
        <w:rPr>
          <w:rFonts w:asciiTheme="minorHAnsi" w:hAnsiTheme="minorHAnsi"/>
        </w:rPr>
        <w:t>in</w:t>
      </w:r>
      <w:r w:rsidRPr="000A66A1">
        <w:rPr>
          <w:rFonts w:asciiTheme="minorHAnsi" w:hAnsiTheme="minorHAnsi"/>
        </w:rPr>
        <w:t xml:space="preserve"> which it works should be extrapolated and applies to other areas of criminal law in order to improve their relationship with intoxication. </w:t>
      </w:r>
    </w:p>
    <w:p w14:paraId="423A97C7" w14:textId="5CDD7945" w:rsidR="00670B97" w:rsidRPr="000A66A1" w:rsidRDefault="00670B97" w:rsidP="000A66A1">
      <w:pPr>
        <w:spacing w:line="360" w:lineRule="auto"/>
        <w:jc w:val="both"/>
        <w:rPr>
          <w:rFonts w:asciiTheme="minorHAnsi" w:hAnsiTheme="minorHAnsi"/>
        </w:rPr>
      </w:pPr>
    </w:p>
    <w:p w14:paraId="37822CF3" w14:textId="60ACD7B8" w:rsidR="00670B97" w:rsidRPr="000A66A1" w:rsidRDefault="005B75C2" w:rsidP="000A66A1">
      <w:pPr>
        <w:spacing w:line="360" w:lineRule="auto"/>
        <w:jc w:val="both"/>
        <w:rPr>
          <w:rFonts w:asciiTheme="minorHAnsi" w:hAnsiTheme="minorHAnsi"/>
        </w:rPr>
      </w:pPr>
      <w:r w:rsidRPr="000A66A1">
        <w:rPr>
          <w:rFonts w:asciiTheme="minorHAnsi" w:hAnsiTheme="minorHAnsi"/>
        </w:rPr>
        <w:t xml:space="preserve">The manner of codification suggested by the Law Commission would also add an element of consistency. As the </w:t>
      </w:r>
      <w:r w:rsidRPr="000A66A1">
        <w:rPr>
          <w:rFonts w:asciiTheme="minorHAnsi" w:hAnsiTheme="minorHAnsi"/>
          <w:i/>
        </w:rPr>
        <w:t>Majewski</w:t>
      </w:r>
      <w:r w:rsidR="005B2565" w:rsidRPr="000A66A1">
        <w:rPr>
          <w:rStyle w:val="FootnoteReference"/>
          <w:rFonts w:asciiTheme="minorHAnsi" w:hAnsiTheme="minorHAnsi"/>
          <w:i/>
        </w:rPr>
        <w:footnoteReference w:id="220"/>
      </w:r>
      <w:r w:rsidRPr="000A66A1">
        <w:rPr>
          <w:rFonts w:asciiTheme="minorHAnsi" w:hAnsiTheme="minorHAnsi"/>
          <w:i/>
        </w:rPr>
        <w:t xml:space="preserve"> </w:t>
      </w:r>
      <w:r w:rsidRPr="000A66A1">
        <w:rPr>
          <w:rFonts w:asciiTheme="minorHAnsi" w:hAnsiTheme="minorHAnsi"/>
        </w:rPr>
        <w:t xml:space="preserve">rule works well in practice, codifying it would ensure fairness. The method incorporated in Australia should also be looked at if the </w:t>
      </w:r>
      <w:r w:rsidRPr="000A66A1">
        <w:rPr>
          <w:rFonts w:asciiTheme="minorHAnsi" w:hAnsiTheme="minorHAnsi"/>
          <w:i/>
        </w:rPr>
        <w:t>Majewski</w:t>
      </w:r>
      <w:r w:rsidR="005B2565" w:rsidRPr="000A66A1">
        <w:rPr>
          <w:rStyle w:val="FootnoteReference"/>
          <w:rFonts w:asciiTheme="minorHAnsi" w:hAnsiTheme="minorHAnsi"/>
          <w:i/>
        </w:rPr>
        <w:footnoteReference w:id="221"/>
      </w:r>
      <w:r w:rsidRPr="000A66A1">
        <w:rPr>
          <w:rFonts w:asciiTheme="minorHAnsi" w:hAnsiTheme="minorHAnsi"/>
        </w:rPr>
        <w:t xml:space="preserve"> rule w</w:t>
      </w:r>
      <w:r w:rsidR="005B2565" w:rsidRPr="000A66A1">
        <w:rPr>
          <w:rFonts w:asciiTheme="minorHAnsi" w:hAnsiTheme="minorHAnsi"/>
        </w:rPr>
        <w:t>as</w:t>
      </w:r>
      <w:r w:rsidRPr="000A66A1">
        <w:rPr>
          <w:rFonts w:asciiTheme="minorHAnsi" w:hAnsiTheme="minorHAnsi"/>
        </w:rPr>
        <w:t xml:space="preserve"> ever to be codified. This would allow for offenders to use their intoxication to evade liability in relation to specific intent crimes </w:t>
      </w:r>
      <w:r w:rsidRPr="000A66A1">
        <w:rPr>
          <w:rFonts w:asciiTheme="minorHAnsi" w:hAnsiTheme="minorHAnsi"/>
          <w:i/>
        </w:rPr>
        <w:t>unless</w:t>
      </w:r>
      <w:r w:rsidRPr="000A66A1">
        <w:rPr>
          <w:rFonts w:asciiTheme="minorHAnsi" w:hAnsiTheme="minorHAnsi"/>
        </w:rPr>
        <w:t xml:space="preserve"> they have committed an offence whilst intoxicated before. This would add another element of public safety to legislation. </w:t>
      </w:r>
    </w:p>
    <w:p w14:paraId="699AA19B" w14:textId="6C36B82F" w:rsidR="00AC1490" w:rsidRPr="000A66A1" w:rsidRDefault="00AC1490" w:rsidP="000A66A1">
      <w:pPr>
        <w:spacing w:line="360" w:lineRule="auto"/>
        <w:jc w:val="both"/>
        <w:rPr>
          <w:rFonts w:asciiTheme="minorHAnsi" w:hAnsiTheme="minorHAnsi"/>
        </w:rPr>
      </w:pPr>
    </w:p>
    <w:p w14:paraId="0A44CD1A" w14:textId="2F42A8A5" w:rsidR="00AC1490" w:rsidRPr="000A66A1" w:rsidRDefault="00AC1490" w:rsidP="000A66A1">
      <w:pPr>
        <w:spacing w:line="360" w:lineRule="auto"/>
        <w:jc w:val="both"/>
        <w:rPr>
          <w:rFonts w:asciiTheme="minorHAnsi" w:hAnsiTheme="minorHAnsi"/>
        </w:rPr>
      </w:pPr>
      <w:r w:rsidRPr="000A66A1">
        <w:rPr>
          <w:rFonts w:asciiTheme="minorHAnsi" w:hAnsiTheme="minorHAnsi"/>
        </w:rPr>
        <w:lastRenderedPageBreak/>
        <w:t xml:space="preserve">Involuntary intoxication should and tends to be immune from the rule set in </w:t>
      </w:r>
      <w:r w:rsidRPr="000A66A1">
        <w:rPr>
          <w:rFonts w:asciiTheme="minorHAnsi" w:hAnsiTheme="minorHAnsi"/>
          <w:i/>
        </w:rPr>
        <w:t>Majewski</w:t>
      </w:r>
      <w:r w:rsidR="005B2565" w:rsidRPr="000A66A1">
        <w:rPr>
          <w:rStyle w:val="FootnoteReference"/>
          <w:rFonts w:asciiTheme="minorHAnsi" w:hAnsiTheme="minorHAnsi"/>
        </w:rPr>
        <w:footnoteReference w:id="222"/>
      </w:r>
      <w:r w:rsidR="008931C4" w:rsidRPr="000A66A1">
        <w:rPr>
          <w:rFonts w:asciiTheme="minorHAnsi" w:hAnsiTheme="minorHAnsi"/>
          <w:i/>
        </w:rPr>
        <w:t>.</w:t>
      </w:r>
      <w:r w:rsidRPr="000A66A1">
        <w:rPr>
          <w:rFonts w:asciiTheme="minorHAnsi" w:hAnsiTheme="minorHAnsi"/>
        </w:rPr>
        <w:t xml:space="preserve"> When an offender commits an offence without the requisite mens rea in </w:t>
      </w:r>
      <w:r w:rsidRPr="000A66A1">
        <w:rPr>
          <w:rFonts w:asciiTheme="minorHAnsi" w:hAnsiTheme="minorHAnsi"/>
          <w:i/>
        </w:rPr>
        <w:t>any</w:t>
      </w:r>
      <w:r w:rsidRPr="000A66A1">
        <w:rPr>
          <w:rFonts w:asciiTheme="minorHAnsi" w:hAnsiTheme="minorHAnsi"/>
        </w:rPr>
        <w:t xml:space="preserve"> type of crime, and the failure to establish the mens rea has arisen from an involuntary intoxication, no conviction will be granted. The reasons for this are relatively clear. The issues with involuntary intoxication arose in the case of </w:t>
      </w:r>
      <w:r w:rsidRPr="000A66A1">
        <w:rPr>
          <w:rFonts w:asciiTheme="minorHAnsi" w:hAnsiTheme="minorHAnsi"/>
          <w:i/>
        </w:rPr>
        <w:t>Kingston</w:t>
      </w:r>
      <w:r w:rsidRPr="000A66A1">
        <w:rPr>
          <w:rStyle w:val="FootnoteReference"/>
          <w:rFonts w:asciiTheme="minorHAnsi" w:hAnsiTheme="minorHAnsi"/>
        </w:rPr>
        <w:footnoteReference w:id="223"/>
      </w:r>
      <w:r w:rsidR="008931C4" w:rsidRPr="000A66A1">
        <w:rPr>
          <w:rFonts w:asciiTheme="minorHAnsi" w:hAnsiTheme="minorHAnsi"/>
          <w:i/>
        </w:rPr>
        <w:t>.</w:t>
      </w:r>
      <w:r w:rsidR="00026576" w:rsidRPr="000A66A1">
        <w:rPr>
          <w:rFonts w:asciiTheme="minorHAnsi" w:hAnsiTheme="minorHAnsi"/>
        </w:rPr>
        <w:t xml:space="preserve"> This case set a dangerous precedent, as it takes an absolutist approach</w:t>
      </w:r>
      <w:r w:rsidR="00E6750D" w:rsidRPr="000A66A1">
        <w:rPr>
          <w:rFonts w:asciiTheme="minorHAnsi" w:hAnsiTheme="minorHAnsi"/>
        </w:rPr>
        <w:t xml:space="preserve"> in regard to involuntary intoxication.</w:t>
      </w:r>
    </w:p>
    <w:p w14:paraId="2475E7CD" w14:textId="77777777" w:rsidR="00095609" w:rsidRPr="000A66A1" w:rsidRDefault="00095609" w:rsidP="000A66A1">
      <w:pPr>
        <w:spacing w:line="360" w:lineRule="auto"/>
        <w:jc w:val="both"/>
        <w:rPr>
          <w:rFonts w:asciiTheme="minorHAnsi" w:hAnsiTheme="minorHAnsi"/>
        </w:rPr>
      </w:pPr>
    </w:p>
    <w:p w14:paraId="736EF2E5" w14:textId="073CFFA1" w:rsidR="00E6750D" w:rsidRPr="000A66A1" w:rsidRDefault="00403820" w:rsidP="000A66A1">
      <w:pPr>
        <w:spacing w:line="360" w:lineRule="auto"/>
        <w:jc w:val="both"/>
        <w:rPr>
          <w:rFonts w:asciiTheme="minorHAnsi" w:hAnsiTheme="minorHAnsi"/>
        </w:rPr>
      </w:pPr>
      <w:r w:rsidRPr="000A66A1">
        <w:rPr>
          <w:rFonts w:asciiTheme="minorHAnsi" w:hAnsiTheme="minorHAnsi"/>
        </w:rPr>
        <w:t>It was decided that even though the offender</w:t>
      </w:r>
      <w:r w:rsidR="00656482" w:rsidRPr="000A66A1">
        <w:rPr>
          <w:rFonts w:asciiTheme="minorHAnsi" w:hAnsiTheme="minorHAnsi"/>
        </w:rPr>
        <w:t>,</w:t>
      </w:r>
      <w:r w:rsidRPr="000A66A1">
        <w:rPr>
          <w:rFonts w:asciiTheme="minorHAnsi" w:hAnsiTheme="minorHAnsi"/>
        </w:rPr>
        <w:t xml:space="preserve"> in this case</w:t>
      </w:r>
      <w:r w:rsidR="00656482" w:rsidRPr="000A66A1">
        <w:rPr>
          <w:rFonts w:asciiTheme="minorHAnsi" w:hAnsiTheme="minorHAnsi"/>
        </w:rPr>
        <w:t>,</w:t>
      </w:r>
      <w:r w:rsidRPr="000A66A1">
        <w:rPr>
          <w:rFonts w:asciiTheme="minorHAnsi" w:hAnsiTheme="minorHAnsi"/>
        </w:rPr>
        <w:t xml:space="preserve"> did not choose to become intoxicated</w:t>
      </w:r>
      <w:r w:rsidR="00D3001A" w:rsidRPr="000A66A1">
        <w:rPr>
          <w:rFonts w:asciiTheme="minorHAnsi" w:hAnsiTheme="minorHAnsi"/>
        </w:rPr>
        <w:t>, however</w:t>
      </w:r>
      <w:r w:rsidR="00656482" w:rsidRPr="000A66A1">
        <w:rPr>
          <w:rFonts w:asciiTheme="minorHAnsi" w:hAnsiTheme="minorHAnsi"/>
        </w:rPr>
        <w:t>,</w:t>
      </w:r>
      <w:r w:rsidR="00D3001A" w:rsidRPr="000A66A1">
        <w:rPr>
          <w:rFonts w:asciiTheme="minorHAnsi" w:hAnsiTheme="minorHAnsi"/>
        </w:rPr>
        <w:t xml:space="preserve"> was still held to be liable for all that occurred thereafter. This was a very controversial decision, as his </w:t>
      </w:r>
      <w:r w:rsidR="00845054" w:rsidRPr="000A66A1">
        <w:rPr>
          <w:rFonts w:asciiTheme="minorHAnsi" w:hAnsiTheme="minorHAnsi"/>
        </w:rPr>
        <w:t xml:space="preserve">drugged </w:t>
      </w:r>
      <w:r w:rsidR="00D3001A" w:rsidRPr="000A66A1">
        <w:rPr>
          <w:rFonts w:asciiTheme="minorHAnsi" w:hAnsiTheme="minorHAnsi"/>
        </w:rPr>
        <w:t xml:space="preserve">intent was held to be intent. It seems very unfair to equate an involuntary and drugged intent with a sober intent. </w:t>
      </w:r>
      <w:r w:rsidR="005B75C2" w:rsidRPr="000A66A1">
        <w:rPr>
          <w:rFonts w:asciiTheme="minorHAnsi" w:hAnsiTheme="minorHAnsi"/>
        </w:rPr>
        <w:t xml:space="preserve">The suggested recommendations by the Law Commission, if they were ever to be enacted, may reduce the effects of the precedent set in </w:t>
      </w:r>
      <w:r w:rsidR="005B75C2" w:rsidRPr="000A66A1">
        <w:rPr>
          <w:rFonts w:asciiTheme="minorHAnsi" w:hAnsiTheme="minorHAnsi"/>
          <w:i/>
        </w:rPr>
        <w:t>Kingston</w:t>
      </w:r>
      <w:r w:rsidR="005B75C2" w:rsidRPr="000A66A1">
        <w:rPr>
          <w:rFonts w:asciiTheme="minorHAnsi" w:hAnsiTheme="minorHAnsi"/>
        </w:rPr>
        <w:t xml:space="preserve">. It would potentially allow for intoxication to be taken into consideration, even if the fault element could be proved by the prosecution. If it were ever to be codified, this would offer a far superior form of culpability assessment for offenders that have committed crimes whilst involuntarily intoxicated. </w:t>
      </w:r>
    </w:p>
    <w:p w14:paraId="7FB0DFBB" w14:textId="3F83F9C7" w:rsidR="0039364A" w:rsidRPr="000A66A1" w:rsidRDefault="0039364A" w:rsidP="000A66A1">
      <w:pPr>
        <w:spacing w:line="360" w:lineRule="auto"/>
        <w:jc w:val="both"/>
        <w:rPr>
          <w:rFonts w:asciiTheme="minorHAnsi" w:hAnsiTheme="minorHAnsi"/>
        </w:rPr>
      </w:pPr>
    </w:p>
    <w:p w14:paraId="4512100C" w14:textId="34601AAC" w:rsidR="0039364A" w:rsidRPr="000A66A1" w:rsidRDefault="0039364A" w:rsidP="000A66A1">
      <w:pPr>
        <w:spacing w:line="360" w:lineRule="auto"/>
        <w:jc w:val="both"/>
        <w:rPr>
          <w:rFonts w:asciiTheme="minorHAnsi" w:hAnsiTheme="minorHAnsi"/>
        </w:rPr>
      </w:pPr>
      <w:r w:rsidRPr="000A66A1">
        <w:rPr>
          <w:rFonts w:asciiTheme="minorHAnsi" w:hAnsiTheme="minorHAnsi"/>
        </w:rPr>
        <w:t xml:space="preserve">One the face of it, the property offences discussed in </w:t>
      </w:r>
      <w:r w:rsidR="00E14B7B" w:rsidRPr="000A66A1">
        <w:rPr>
          <w:rFonts w:asciiTheme="minorHAnsi" w:hAnsiTheme="minorHAnsi"/>
        </w:rPr>
        <w:t>Section II</w:t>
      </w:r>
      <w:r w:rsidRPr="000A66A1">
        <w:rPr>
          <w:rFonts w:asciiTheme="minorHAnsi" w:hAnsiTheme="minorHAnsi"/>
        </w:rPr>
        <w:t>, namely theft, burglary</w:t>
      </w:r>
      <w:r w:rsidR="005711FE" w:rsidRPr="000A66A1">
        <w:rPr>
          <w:rFonts w:asciiTheme="minorHAnsi" w:hAnsiTheme="minorHAnsi"/>
        </w:rPr>
        <w:t>, aggravated burglary and</w:t>
      </w:r>
      <w:r w:rsidRPr="000A66A1">
        <w:rPr>
          <w:rFonts w:asciiTheme="minorHAnsi" w:hAnsiTheme="minorHAnsi"/>
        </w:rPr>
        <w:t xml:space="preserve"> robbery, seem</w:t>
      </w:r>
      <w:r w:rsidR="00095609" w:rsidRPr="000A66A1">
        <w:rPr>
          <w:rFonts w:asciiTheme="minorHAnsi" w:hAnsiTheme="minorHAnsi"/>
        </w:rPr>
        <w:t xml:space="preserve"> similar to the offences discussed above. Theft and burglary require a lower level of fault than robbery and aggravated burglary as well as resulting in a lower sentence if convicted. Theft also has corresponding actus reus elements with robbery</w:t>
      </w:r>
      <w:r w:rsidR="00656482" w:rsidRPr="000A66A1">
        <w:rPr>
          <w:rFonts w:asciiTheme="minorHAnsi" w:hAnsiTheme="minorHAnsi"/>
        </w:rPr>
        <w:t>,</w:t>
      </w:r>
      <w:r w:rsidR="00095609" w:rsidRPr="000A66A1">
        <w:rPr>
          <w:rFonts w:asciiTheme="minorHAnsi" w:hAnsiTheme="minorHAnsi"/>
        </w:rPr>
        <w:t xml:space="preserve"> and burglary has corresponding actus reus elements with aggravated burglary. The issue</w:t>
      </w:r>
      <w:r w:rsidR="00656482" w:rsidRPr="000A66A1">
        <w:rPr>
          <w:rFonts w:asciiTheme="minorHAnsi" w:hAnsiTheme="minorHAnsi"/>
        </w:rPr>
        <w:t>,</w:t>
      </w:r>
      <w:r w:rsidR="00095609" w:rsidRPr="000A66A1">
        <w:rPr>
          <w:rFonts w:asciiTheme="minorHAnsi" w:hAnsiTheme="minorHAnsi"/>
        </w:rPr>
        <w:t xml:space="preserve"> however</w:t>
      </w:r>
      <w:r w:rsidR="00656482" w:rsidRPr="000A66A1">
        <w:rPr>
          <w:rFonts w:asciiTheme="minorHAnsi" w:hAnsiTheme="minorHAnsi"/>
        </w:rPr>
        <w:t>,</w:t>
      </w:r>
      <w:r w:rsidR="00095609" w:rsidRPr="000A66A1">
        <w:rPr>
          <w:rFonts w:asciiTheme="minorHAnsi" w:hAnsiTheme="minorHAnsi"/>
        </w:rPr>
        <w:t xml:space="preserve"> remains that all four offences are ones of specific intent, therefore providing no basic intent offences that the prosecution can prosecute </w:t>
      </w:r>
      <w:r w:rsidR="00656482" w:rsidRPr="000A66A1">
        <w:rPr>
          <w:rFonts w:asciiTheme="minorHAnsi" w:hAnsiTheme="minorHAnsi"/>
        </w:rPr>
        <w:t xml:space="preserve">the </w:t>
      </w:r>
      <w:r w:rsidR="00095609" w:rsidRPr="000A66A1">
        <w:rPr>
          <w:rFonts w:asciiTheme="minorHAnsi" w:hAnsiTheme="minorHAnsi"/>
        </w:rPr>
        <w:t xml:space="preserve">offender for when intoxication has prevented them from proving the mens rea </w:t>
      </w:r>
      <w:r w:rsidR="00845054" w:rsidRPr="000A66A1">
        <w:rPr>
          <w:rFonts w:asciiTheme="minorHAnsi" w:hAnsiTheme="minorHAnsi"/>
        </w:rPr>
        <w:t>required</w:t>
      </w:r>
      <w:r w:rsidR="00095609" w:rsidRPr="000A66A1">
        <w:rPr>
          <w:rFonts w:asciiTheme="minorHAnsi" w:hAnsiTheme="minorHAnsi"/>
        </w:rPr>
        <w:t>. This is clearly a public policy concern.</w:t>
      </w:r>
    </w:p>
    <w:p w14:paraId="536F428C" w14:textId="6E58CD59" w:rsidR="007276CA" w:rsidRPr="000A66A1" w:rsidRDefault="007276CA" w:rsidP="000A66A1">
      <w:pPr>
        <w:spacing w:line="360" w:lineRule="auto"/>
        <w:jc w:val="both"/>
        <w:rPr>
          <w:rFonts w:asciiTheme="minorHAnsi" w:hAnsiTheme="minorHAnsi"/>
        </w:rPr>
      </w:pPr>
    </w:p>
    <w:p w14:paraId="5FCABD07" w14:textId="1AF83D66" w:rsidR="007276CA" w:rsidRPr="000A66A1" w:rsidRDefault="007276CA" w:rsidP="000A66A1">
      <w:pPr>
        <w:spacing w:line="360" w:lineRule="auto"/>
        <w:jc w:val="both"/>
        <w:rPr>
          <w:rFonts w:asciiTheme="minorHAnsi" w:hAnsiTheme="minorHAnsi"/>
        </w:rPr>
      </w:pPr>
      <w:r w:rsidRPr="000A66A1">
        <w:rPr>
          <w:rFonts w:asciiTheme="minorHAnsi" w:hAnsiTheme="minorHAnsi"/>
        </w:rPr>
        <w:lastRenderedPageBreak/>
        <w:t xml:space="preserve">The </w:t>
      </w:r>
      <w:r w:rsidRPr="000A66A1">
        <w:rPr>
          <w:rFonts w:asciiTheme="minorHAnsi" w:hAnsiTheme="minorHAnsi"/>
          <w:i/>
          <w:iCs/>
        </w:rPr>
        <w:t>Ivey</w:t>
      </w:r>
      <w:r w:rsidRPr="000A66A1">
        <w:rPr>
          <w:rFonts w:asciiTheme="minorHAnsi" w:hAnsiTheme="minorHAnsi"/>
        </w:rPr>
        <w:t xml:space="preserve"> case suggests t</w:t>
      </w:r>
      <w:r w:rsidR="001B6700" w:rsidRPr="000A66A1">
        <w:rPr>
          <w:rFonts w:asciiTheme="minorHAnsi" w:hAnsiTheme="minorHAnsi"/>
        </w:rPr>
        <w:t>he</w:t>
      </w:r>
      <w:r w:rsidRPr="000A66A1">
        <w:rPr>
          <w:rFonts w:asciiTheme="minorHAnsi" w:hAnsiTheme="minorHAnsi"/>
        </w:rPr>
        <w:t xml:space="preserve"> way theft </w:t>
      </w:r>
      <w:r w:rsidR="005711FE" w:rsidRPr="000A66A1">
        <w:rPr>
          <w:rFonts w:asciiTheme="minorHAnsi" w:hAnsiTheme="minorHAnsi"/>
        </w:rPr>
        <w:t xml:space="preserve">and other property offences </w:t>
      </w:r>
      <w:r w:rsidRPr="000A66A1">
        <w:rPr>
          <w:rFonts w:asciiTheme="minorHAnsi" w:hAnsiTheme="minorHAnsi"/>
        </w:rPr>
        <w:t xml:space="preserve">may work in the future, </w:t>
      </w:r>
      <w:r w:rsidR="001B6700" w:rsidRPr="000A66A1">
        <w:rPr>
          <w:rFonts w:asciiTheme="minorHAnsi" w:hAnsiTheme="minorHAnsi"/>
        </w:rPr>
        <w:t>could</w:t>
      </w:r>
      <w:r w:rsidRPr="000A66A1">
        <w:rPr>
          <w:rFonts w:asciiTheme="minorHAnsi" w:hAnsiTheme="minorHAnsi"/>
        </w:rPr>
        <w:t xml:space="preserve"> mimic the format that offences </w:t>
      </w:r>
      <w:r w:rsidR="001B6700" w:rsidRPr="000A66A1">
        <w:rPr>
          <w:rFonts w:asciiTheme="minorHAnsi" w:hAnsiTheme="minorHAnsi"/>
        </w:rPr>
        <w:t xml:space="preserve">discussed in </w:t>
      </w:r>
      <w:r w:rsidR="00E14B7B" w:rsidRPr="000A66A1">
        <w:rPr>
          <w:rFonts w:asciiTheme="minorHAnsi" w:hAnsiTheme="minorHAnsi"/>
        </w:rPr>
        <w:t>Section</w:t>
      </w:r>
      <w:r w:rsidR="001B6700" w:rsidRPr="000A66A1">
        <w:rPr>
          <w:rFonts w:asciiTheme="minorHAnsi" w:hAnsiTheme="minorHAnsi"/>
        </w:rPr>
        <w:t xml:space="preserve"> </w:t>
      </w:r>
      <w:r w:rsidR="000809B8" w:rsidRPr="000A66A1">
        <w:rPr>
          <w:rFonts w:asciiTheme="minorHAnsi" w:hAnsiTheme="minorHAnsi"/>
        </w:rPr>
        <w:t>I</w:t>
      </w:r>
      <w:r w:rsidR="001B6700" w:rsidRPr="000A66A1">
        <w:rPr>
          <w:rFonts w:asciiTheme="minorHAnsi" w:hAnsiTheme="minorHAnsi"/>
        </w:rPr>
        <w:t xml:space="preserve"> work in pra</w:t>
      </w:r>
      <w:r w:rsidR="005711FE" w:rsidRPr="000A66A1">
        <w:rPr>
          <w:rFonts w:asciiTheme="minorHAnsi" w:hAnsiTheme="minorHAnsi"/>
        </w:rPr>
        <w:t>c</w:t>
      </w:r>
      <w:r w:rsidR="001B6700" w:rsidRPr="000A66A1">
        <w:rPr>
          <w:rFonts w:asciiTheme="minorHAnsi" w:hAnsiTheme="minorHAnsi"/>
        </w:rPr>
        <w:t>tice</w:t>
      </w:r>
      <w:r w:rsidRPr="000A66A1">
        <w:rPr>
          <w:rFonts w:asciiTheme="minorHAnsi" w:hAnsiTheme="minorHAnsi"/>
        </w:rPr>
        <w:t>. Instead of being seen offence</w:t>
      </w:r>
      <w:r w:rsidR="005711FE" w:rsidRPr="000A66A1">
        <w:rPr>
          <w:rFonts w:asciiTheme="minorHAnsi" w:hAnsiTheme="minorHAnsi"/>
        </w:rPr>
        <w:t>s</w:t>
      </w:r>
      <w:r w:rsidRPr="000A66A1">
        <w:rPr>
          <w:rFonts w:asciiTheme="minorHAnsi" w:hAnsiTheme="minorHAnsi"/>
        </w:rPr>
        <w:t xml:space="preserve"> of ulterior intent, </w:t>
      </w:r>
      <w:r w:rsidR="005711FE" w:rsidRPr="000A66A1">
        <w:rPr>
          <w:rFonts w:asciiTheme="minorHAnsi" w:hAnsiTheme="minorHAnsi"/>
        </w:rPr>
        <w:t>they</w:t>
      </w:r>
      <w:r w:rsidRPr="000A66A1">
        <w:rPr>
          <w:rFonts w:asciiTheme="minorHAnsi" w:hAnsiTheme="minorHAnsi"/>
        </w:rPr>
        <w:t xml:space="preserve"> may instead be seen as basic intent offence</w:t>
      </w:r>
      <w:r w:rsidR="005711FE" w:rsidRPr="000A66A1">
        <w:rPr>
          <w:rFonts w:asciiTheme="minorHAnsi" w:hAnsiTheme="minorHAnsi"/>
        </w:rPr>
        <w:t>s</w:t>
      </w:r>
      <w:r w:rsidRPr="000A66A1">
        <w:rPr>
          <w:rFonts w:asciiTheme="minorHAnsi" w:hAnsiTheme="minorHAnsi"/>
        </w:rPr>
        <w:t>. As long as all of the actus reus elements of theft can be established, offenders may be able to be prosecuted for theft, even if they were deemed to be so intoxicated that they did not know what they were doing. If an individual awoke from an intoxicated state and they realised that they had taken something that did not belong to them; if they decided not to return such property, they could potentially still be liable for theft. This is due to the fact an ‘intention to permanently deprive’ can occur after the original appropriation</w:t>
      </w:r>
      <w:r w:rsidRPr="000A66A1">
        <w:rPr>
          <w:rStyle w:val="FootnoteReference"/>
          <w:rFonts w:asciiTheme="minorHAnsi" w:hAnsiTheme="minorHAnsi"/>
        </w:rPr>
        <w:footnoteReference w:id="224"/>
      </w:r>
      <w:r w:rsidRPr="000A66A1">
        <w:rPr>
          <w:rFonts w:asciiTheme="minorHAnsi" w:hAnsiTheme="minorHAnsi"/>
        </w:rPr>
        <w:t xml:space="preserve">. The only element left to establish would be the dishonesty. Due to the new test in </w:t>
      </w:r>
      <w:r w:rsidRPr="000A66A1">
        <w:rPr>
          <w:rFonts w:asciiTheme="minorHAnsi" w:hAnsiTheme="minorHAnsi"/>
          <w:i/>
          <w:iCs/>
        </w:rPr>
        <w:t xml:space="preserve">Ivey v </w:t>
      </w:r>
      <w:proofErr w:type="spellStart"/>
      <w:r w:rsidRPr="000A66A1">
        <w:rPr>
          <w:rFonts w:asciiTheme="minorHAnsi" w:hAnsiTheme="minorHAnsi"/>
          <w:i/>
          <w:iCs/>
        </w:rPr>
        <w:t>Gentings</w:t>
      </w:r>
      <w:proofErr w:type="spellEnd"/>
      <w:r w:rsidRPr="000A66A1">
        <w:rPr>
          <w:rFonts w:asciiTheme="minorHAnsi" w:hAnsiTheme="minorHAnsi"/>
          <w:i/>
          <w:iCs/>
        </w:rPr>
        <w:t xml:space="preserve"> Casinos,</w:t>
      </w:r>
      <w:r w:rsidRPr="000A66A1">
        <w:rPr>
          <w:rFonts w:asciiTheme="minorHAnsi" w:hAnsiTheme="minorHAnsi"/>
        </w:rPr>
        <w:t xml:space="preserve"> this may now be possible to establish, even in cases involving intoxication. If an offender were to appropriate property belonging to another whilst intoxicated, it would be down to the tribunal of fact to determine whether the offender was doing so dishonestly. </w:t>
      </w:r>
      <w:r w:rsidR="00A31FE2" w:rsidRPr="000A66A1">
        <w:rPr>
          <w:rFonts w:asciiTheme="minorHAnsi" w:hAnsiTheme="minorHAnsi"/>
        </w:rPr>
        <w:t>This test would not take into account the subjective opinion of the offender himself, only the objective opinion as to whether the offender was dishonest compared to the standard of a reasonable person. Theft, may therefore, still be prosecuted when an offender is intoxicated, as long as the property is not returned.</w:t>
      </w:r>
    </w:p>
    <w:p w14:paraId="1097E5D0" w14:textId="2E582193" w:rsidR="00A31FE2" w:rsidRPr="000A66A1" w:rsidRDefault="00A31FE2" w:rsidP="000A66A1">
      <w:pPr>
        <w:spacing w:line="360" w:lineRule="auto"/>
        <w:jc w:val="both"/>
        <w:rPr>
          <w:rFonts w:asciiTheme="minorHAnsi" w:hAnsiTheme="minorHAnsi"/>
        </w:rPr>
      </w:pPr>
    </w:p>
    <w:p w14:paraId="060CC30C" w14:textId="11B67BB8" w:rsidR="00A31FE2" w:rsidRPr="000A66A1" w:rsidRDefault="00A31FE2" w:rsidP="000A66A1">
      <w:pPr>
        <w:spacing w:line="360" w:lineRule="auto"/>
        <w:jc w:val="both"/>
        <w:rPr>
          <w:rFonts w:asciiTheme="minorHAnsi" w:hAnsiTheme="minorHAnsi"/>
        </w:rPr>
      </w:pPr>
      <w:r w:rsidRPr="000A66A1">
        <w:rPr>
          <w:rFonts w:asciiTheme="minorHAnsi" w:hAnsiTheme="minorHAnsi"/>
        </w:rPr>
        <w:t xml:space="preserve">In a case where an individual awakes from an intoxicated state and they realise they have appropriated property belonging to another; and they return that property as soon as is reasonably practicable, it is unlikely they would be prosecuted for theft. This is due to the fact all five elements of theft have to be established, including an intention to permanently deprive. Although the definition of dishonesty has changed, this will not impact the prosecution where they are unable to prove beyond reasonable doubt, </w:t>
      </w:r>
      <w:r w:rsidR="006C3C8C" w:rsidRPr="000A66A1">
        <w:rPr>
          <w:rFonts w:asciiTheme="minorHAnsi" w:hAnsiTheme="minorHAnsi"/>
        </w:rPr>
        <w:t>all</w:t>
      </w:r>
      <w:r w:rsidRPr="000A66A1">
        <w:rPr>
          <w:rFonts w:asciiTheme="minorHAnsi" w:hAnsiTheme="minorHAnsi"/>
        </w:rPr>
        <w:t xml:space="preserve"> of the other elements to the offence. This does however continue to highlight the fault of individuals and how that fault should impact on their sentence or lack thereof. This would add an additional level of deterrence, as any intoxicated offender would be encouraged to return any property once they awake from their intoxicated state. </w:t>
      </w:r>
    </w:p>
    <w:p w14:paraId="0722A43F" w14:textId="5703BFEE" w:rsidR="001B6700" w:rsidRPr="000A66A1" w:rsidRDefault="001B6700" w:rsidP="000A66A1">
      <w:pPr>
        <w:spacing w:line="360" w:lineRule="auto"/>
        <w:jc w:val="both"/>
        <w:rPr>
          <w:rFonts w:asciiTheme="minorHAnsi" w:hAnsiTheme="minorHAnsi"/>
        </w:rPr>
      </w:pPr>
    </w:p>
    <w:p w14:paraId="45E6EC65" w14:textId="1BE605A6" w:rsidR="001B6700" w:rsidRPr="000A66A1" w:rsidRDefault="001B6700" w:rsidP="000A66A1">
      <w:pPr>
        <w:spacing w:line="360" w:lineRule="auto"/>
        <w:jc w:val="both"/>
        <w:rPr>
          <w:rFonts w:asciiTheme="minorHAnsi" w:hAnsiTheme="minorHAnsi"/>
        </w:rPr>
      </w:pPr>
      <w:r w:rsidRPr="000A66A1">
        <w:rPr>
          <w:rFonts w:asciiTheme="minorHAnsi" w:hAnsiTheme="minorHAnsi"/>
        </w:rPr>
        <w:t>This would work in a similar way when the offender is charged with burglary. This is due to the breakdown of the elements of burglary being possible to prove by the prosecution</w:t>
      </w:r>
      <w:r w:rsidR="006C3C8C" w:rsidRPr="000A66A1">
        <w:rPr>
          <w:rFonts w:asciiTheme="minorHAnsi" w:hAnsiTheme="minorHAnsi"/>
        </w:rPr>
        <w:t xml:space="preserve"> individually</w:t>
      </w:r>
      <w:r w:rsidRPr="000A66A1">
        <w:rPr>
          <w:rFonts w:asciiTheme="minorHAnsi" w:hAnsiTheme="minorHAnsi"/>
        </w:rPr>
        <w:t xml:space="preserve">. As recklessness is possible to </w:t>
      </w:r>
      <w:r w:rsidR="006C3C8C" w:rsidRPr="000A66A1">
        <w:rPr>
          <w:rFonts w:asciiTheme="minorHAnsi" w:hAnsiTheme="minorHAnsi"/>
        </w:rPr>
        <w:t>establish</w:t>
      </w:r>
      <w:r w:rsidRPr="000A66A1">
        <w:rPr>
          <w:rFonts w:asciiTheme="minorHAnsi" w:hAnsiTheme="minorHAnsi"/>
        </w:rPr>
        <w:t xml:space="preserve"> even when the offender is intoxicated, the prosecution would only then be required to prove the additional element of theft, GBH, or criminal damage. Using the analysis of the </w:t>
      </w:r>
      <w:r w:rsidRPr="000A66A1">
        <w:rPr>
          <w:rFonts w:asciiTheme="minorHAnsi" w:hAnsiTheme="minorHAnsi"/>
          <w:i/>
          <w:iCs/>
        </w:rPr>
        <w:t>Ivey</w:t>
      </w:r>
      <w:r w:rsidRPr="000A66A1">
        <w:rPr>
          <w:rFonts w:asciiTheme="minorHAnsi" w:hAnsiTheme="minorHAnsi"/>
        </w:rPr>
        <w:t xml:space="preserve"> case, theft may be possible to prosecute even when the offender is intoxicated. This is also the case for s.20 GBH</w:t>
      </w:r>
      <w:r w:rsidRPr="000A66A1">
        <w:rPr>
          <w:rStyle w:val="FootnoteReference"/>
          <w:rFonts w:asciiTheme="minorHAnsi" w:hAnsiTheme="minorHAnsi"/>
        </w:rPr>
        <w:footnoteReference w:id="225"/>
      </w:r>
      <w:r w:rsidRPr="000A66A1">
        <w:rPr>
          <w:rFonts w:asciiTheme="minorHAnsi" w:hAnsiTheme="minorHAnsi"/>
        </w:rPr>
        <w:t xml:space="preserve"> and for criminal damage</w:t>
      </w:r>
      <w:r w:rsidRPr="000A66A1">
        <w:rPr>
          <w:rStyle w:val="FootnoteReference"/>
          <w:rFonts w:asciiTheme="minorHAnsi" w:hAnsiTheme="minorHAnsi"/>
        </w:rPr>
        <w:footnoteReference w:id="226"/>
      </w:r>
      <w:r w:rsidR="00EA288B" w:rsidRPr="000A66A1">
        <w:rPr>
          <w:rFonts w:asciiTheme="minorHAnsi" w:hAnsiTheme="minorHAnsi"/>
        </w:rPr>
        <w:t xml:space="preserve"> as they both stand as basic intent offences. This also slightly mirrors the method suggested by The Law Commission, by assessing each element of an offence individually in cases involving intoxication. </w:t>
      </w:r>
    </w:p>
    <w:p w14:paraId="278E0DD0" w14:textId="0FB4A0A9" w:rsidR="0079581C" w:rsidRPr="000A66A1" w:rsidRDefault="0079581C" w:rsidP="000A66A1">
      <w:pPr>
        <w:spacing w:line="360" w:lineRule="auto"/>
        <w:jc w:val="both"/>
        <w:rPr>
          <w:rFonts w:asciiTheme="minorHAnsi" w:hAnsiTheme="minorHAnsi"/>
        </w:rPr>
      </w:pPr>
    </w:p>
    <w:p w14:paraId="2F8812BA" w14:textId="64E69B26" w:rsidR="0079581C" w:rsidRPr="000A66A1" w:rsidRDefault="0079581C" w:rsidP="000A66A1">
      <w:pPr>
        <w:pStyle w:val="FootnoteText"/>
        <w:spacing w:line="360" w:lineRule="auto"/>
        <w:rPr>
          <w:rFonts w:asciiTheme="minorHAnsi" w:hAnsiTheme="minorHAnsi"/>
        </w:rPr>
      </w:pPr>
      <w:r w:rsidRPr="000A66A1">
        <w:rPr>
          <w:rFonts w:asciiTheme="minorHAnsi" w:hAnsiTheme="minorHAnsi"/>
        </w:rPr>
        <w:t xml:space="preserve">Incorporating the Law Commissions reform proposals into the law in England and Wales would allow only integral fault elements of offences to be immune from the </w:t>
      </w:r>
      <w:r w:rsidRPr="000A66A1">
        <w:rPr>
          <w:rFonts w:asciiTheme="minorHAnsi" w:hAnsiTheme="minorHAnsi"/>
          <w:i/>
        </w:rPr>
        <w:t>Majewski</w:t>
      </w:r>
      <w:r w:rsidR="005B2565" w:rsidRPr="000A66A1">
        <w:rPr>
          <w:rStyle w:val="FootnoteReference"/>
          <w:rFonts w:asciiTheme="minorHAnsi" w:hAnsiTheme="minorHAnsi"/>
          <w:i/>
        </w:rPr>
        <w:footnoteReference w:id="227"/>
      </w:r>
      <w:r w:rsidRPr="000A66A1">
        <w:rPr>
          <w:rFonts w:asciiTheme="minorHAnsi" w:hAnsiTheme="minorHAnsi"/>
          <w:i/>
        </w:rPr>
        <w:t xml:space="preserve"> </w:t>
      </w:r>
      <w:r w:rsidRPr="000A66A1">
        <w:rPr>
          <w:rFonts w:asciiTheme="minorHAnsi" w:hAnsiTheme="minorHAnsi"/>
        </w:rPr>
        <w:t xml:space="preserve">rule. This would therefore allow each mens rea element to be dealt with separately, rather than each crime being labelled either specific or basic intent. This would then transpire into elements of theft and burglary being subject to the </w:t>
      </w:r>
      <w:r w:rsidRPr="000A66A1">
        <w:rPr>
          <w:rFonts w:asciiTheme="minorHAnsi" w:hAnsiTheme="minorHAnsi"/>
          <w:i/>
        </w:rPr>
        <w:t>Majewski</w:t>
      </w:r>
      <w:r w:rsidR="005B2565" w:rsidRPr="000A66A1">
        <w:rPr>
          <w:rStyle w:val="FootnoteReference"/>
          <w:rFonts w:asciiTheme="minorHAnsi" w:hAnsiTheme="minorHAnsi"/>
          <w:i/>
        </w:rPr>
        <w:footnoteReference w:id="228"/>
      </w:r>
      <w:r w:rsidRPr="000A66A1">
        <w:rPr>
          <w:rFonts w:asciiTheme="minorHAnsi" w:hAnsiTheme="minorHAnsi"/>
        </w:rPr>
        <w:t xml:space="preserve"> rule. This would allow the offences to be judged on a case-by-case basis by the jury, making it so the offences in </w:t>
      </w:r>
      <w:r w:rsidR="00E14B7B" w:rsidRPr="000A66A1">
        <w:rPr>
          <w:rFonts w:asciiTheme="minorHAnsi" w:hAnsiTheme="minorHAnsi"/>
        </w:rPr>
        <w:t>Section II</w:t>
      </w:r>
      <w:r w:rsidRPr="000A66A1">
        <w:rPr>
          <w:rFonts w:asciiTheme="minorHAnsi" w:hAnsiTheme="minorHAnsi"/>
        </w:rPr>
        <w:t xml:space="preserve"> would be analysed in a much more succinct and consistent way. </w:t>
      </w:r>
    </w:p>
    <w:p w14:paraId="5B482F3F" w14:textId="7B495BD9" w:rsidR="00EA288B" w:rsidRPr="000A66A1" w:rsidRDefault="00EA288B" w:rsidP="000A66A1">
      <w:pPr>
        <w:pStyle w:val="FootnoteText"/>
        <w:spacing w:line="360" w:lineRule="auto"/>
        <w:rPr>
          <w:rFonts w:asciiTheme="minorHAnsi" w:hAnsiTheme="minorHAnsi"/>
        </w:rPr>
      </w:pPr>
    </w:p>
    <w:p w14:paraId="16FCE120" w14:textId="29FE7E57" w:rsidR="00EA288B" w:rsidRPr="000A66A1" w:rsidRDefault="00EA288B" w:rsidP="000A66A1">
      <w:pPr>
        <w:pStyle w:val="FootnoteText"/>
        <w:spacing w:line="360" w:lineRule="auto"/>
        <w:rPr>
          <w:rFonts w:asciiTheme="minorHAnsi" w:hAnsiTheme="minorHAnsi"/>
        </w:rPr>
      </w:pPr>
      <w:r w:rsidRPr="000A66A1">
        <w:rPr>
          <w:rFonts w:asciiTheme="minorHAnsi" w:hAnsiTheme="minorHAnsi"/>
        </w:rPr>
        <w:t xml:space="preserve">This method would also allow for the relationship between intoxication and the offences described in </w:t>
      </w:r>
      <w:r w:rsidR="00E14B7B" w:rsidRPr="000A66A1">
        <w:rPr>
          <w:rFonts w:asciiTheme="minorHAnsi" w:hAnsiTheme="minorHAnsi"/>
        </w:rPr>
        <w:t>Section II</w:t>
      </w:r>
      <w:r w:rsidRPr="000A66A1">
        <w:rPr>
          <w:rFonts w:asciiTheme="minorHAnsi" w:hAnsiTheme="minorHAnsi"/>
        </w:rPr>
        <w:t xml:space="preserve"> to mimic the relationship between intoxication and the offences described in </w:t>
      </w:r>
      <w:r w:rsidR="00E14B7B" w:rsidRPr="000A66A1">
        <w:rPr>
          <w:rFonts w:asciiTheme="minorHAnsi" w:hAnsiTheme="minorHAnsi"/>
        </w:rPr>
        <w:t>Section I</w:t>
      </w:r>
      <w:r w:rsidRPr="000A66A1">
        <w:rPr>
          <w:rFonts w:asciiTheme="minorHAnsi" w:hAnsiTheme="minorHAnsi"/>
        </w:rPr>
        <w:t xml:space="preserve">. This would allow the prosecution to charge offenders with both theft and burglary </w:t>
      </w:r>
      <w:r w:rsidR="006C3C8C" w:rsidRPr="000A66A1">
        <w:rPr>
          <w:rFonts w:asciiTheme="minorHAnsi" w:hAnsiTheme="minorHAnsi"/>
        </w:rPr>
        <w:t xml:space="preserve">when intoxicated </w:t>
      </w:r>
      <w:r w:rsidRPr="000A66A1">
        <w:rPr>
          <w:rFonts w:asciiTheme="minorHAnsi" w:hAnsiTheme="minorHAnsi"/>
        </w:rPr>
        <w:t>as they would</w:t>
      </w:r>
      <w:r w:rsidR="006C3C8C" w:rsidRPr="000A66A1">
        <w:rPr>
          <w:rFonts w:asciiTheme="minorHAnsi" w:hAnsiTheme="minorHAnsi"/>
        </w:rPr>
        <w:t xml:space="preserve"> for</w:t>
      </w:r>
      <w:r w:rsidRPr="000A66A1">
        <w:rPr>
          <w:rFonts w:asciiTheme="minorHAnsi" w:hAnsiTheme="minorHAnsi"/>
        </w:rPr>
        <w:t xml:space="preserve"> s.20 GBH and manslaughter. This would also provide a method of being able to prosecute an offender tha</w:t>
      </w:r>
      <w:r w:rsidR="006C3C8C" w:rsidRPr="000A66A1">
        <w:rPr>
          <w:rFonts w:asciiTheme="minorHAnsi" w:hAnsiTheme="minorHAnsi"/>
        </w:rPr>
        <w:t>t</w:t>
      </w:r>
      <w:r w:rsidRPr="000A66A1">
        <w:rPr>
          <w:rFonts w:asciiTheme="minorHAnsi" w:hAnsiTheme="minorHAnsi"/>
        </w:rPr>
        <w:t xml:space="preserve"> has committed either robbery or aggravated burglary, with theft or burglary instead. An in-depth analysis of the effects of </w:t>
      </w:r>
      <w:r w:rsidRPr="000A66A1">
        <w:rPr>
          <w:rFonts w:asciiTheme="minorHAnsi" w:hAnsiTheme="minorHAnsi"/>
          <w:i/>
          <w:iCs/>
        </w:rPr>
        <w:t>Ivey</w:t>
      </w:r>
      <w:r w:rsidRPr="000A66A1">
        <w:rPr>
          <w:rFonts w:asciiTheme="minorHAnsi" w:hAnsiTheme="minorHAnsi"/>
        </w:rPr>
        <w:t xml:space="preserve"> therefore seem to create corresponding crimes for both robbery and aggravated burglary, making it so the prosecution </w:t>
      </w:r>
      <w:r w:rsidR="00F010F7" w:rsidRPr="000A66A1">
        <w:rPr>
          <w:rFonts w:asciiTheme="minorHAnsi" w:hAnsiTheme="minorHAnsi"/>
        </w:rPr>
        <w:t>are</w:t>
      </w:r>
      <w:r w:rsidRPr="000A66A1">
        <w:rPr>
          <w:rFonts w:asciiTheme="minorHAnsi" w:hAnsiTheme="minorHAnsi"/>
        </w:rPr>
        <w:t xml:space="preserve"> still able to attain convictions when an </w:t>
      </w:r>
      <w:r w:rsidRPr="000A66A1">
        <w:rPr>
          <w:rFonts w:asciiTheme="minorHAnsi" w:hAnsiTheme="minorHAnsi"/>
        </w:rPr>
        <w:lastRenderedPageBreak/>
        <w:t xml:space="preserve">offender is intoxicated. </w:t>
      </w:r>
      <w:r w:rsidR="00F010F7" w:rsidRPr="000A66A1">
        <w:rPr>
          <w:rFonts w:asciiTheme="minorHAnsi" w:hAnsiTheme="minorHAnsi"/>
        </w:rPr>
        <w:t>This would mimic the method used between murder and manslaughter and s.18 GBH and s.20 GBH. This method has been described as working well in practice with few moral objections</w:t>
      </w:r>
      <w:r w:rsidR="00F61FBB" w:rsidRPr="000A66A1">
        <w:rPr>
          <w:rStyle w:val="FootnoteReference"/>
          <w:rFonts w:asciiTheme="minorHAnsi" w:hAnsiTheme="minorHAnsi"/>
        </w:rPr>
        <w:footnoteReference w:id="229"/>
      </w:r>
      <w:r w:rsidR="00F010F7" w:rsidRPr="000A66A1">
        <w:rPr>
          <w:rFonts w:asciiTheme="minorHAnsi" w:hAnsiTheme="minorHAnsi"/>
        </w:rPr>
        <w:t>.</w:t>
      </w:r>
    </w:p>
    <w:p w14:paraId="2A173EC7" w14:textId="77777777" w:rsidR="00EA288B" w:rsidRPr="000A66A1" w:rsidRDefault="00EA288B" w:rsidP="000A66A1">
      <w:pPr>
        <w:pStyle w:val="FootnoteText"/>
        <w:spacing w:line="360" w:lineRule="auto"/>
        <w:rPr>
          <w:rFonts w:asciiTheme="minorHAnsi" w:hAnsiTheme="minorHAnsi"/>
        </w:rPr>
      </w:pPr>
    </w:p>
    <w:p w14:paraId="2D4D0B27" w14:textId="7385F0BD" w:rsidR="00243C6A" w:rsidRPr="000A66A1" w:rsidRDefault="00F010F7" w:rsidP="000A66A1">
      <w:pPr>
        <w:pStyle w:val="FootnoteText"/>
        <w:spacing w:line="360" w:lineRule="auto"/>
        <w:rPr>
          <w:rFonts w:asciiTheme="minorHAnsi" w:hAnsiTheme="minorHAnsi"/>
        </w:rPr>
      </w:pPr>
      <w:r w:rsidRPr="000A66A1">
        <w:rPr>
          <w:rFonts w:asciiTheme="minorHAnsi" w:hAnsiTheme="minorHAnsi"/>
        </w:rPr>
        <w:t xml:space="preserve">Although the analysis of </w:t>
      </w:r>
      <w:r w:rsidRPr="000A66A1">
        <w:rPr>
          <w:rFonts w:asciiTheme="minorHAnsi" w:hAnsiTheme="minorHAnsi"/>
          <w:i/>
          <w:iCs/>
        </w:rPr>
        <w:t>Ivey</w:t>
      </w:r>
      <w:r w:rsidRPr="000A66A1">
        <w:rPr>
          <w:rFonts w:asciiTheme="minorHAnsi" w:hAnsiTheme="minorHAnsi"/>
        </w:rPr>
        <w:t xml:space="preserve"> in this manner would see to resolve such a heavily d</w:t>
      </w:r>
      <w:r w:rsidR="00F61FBB" w:rsidRPr="000A66A1">
        <w:rPr>
          <w:rFonts w:asciiTheme="minorHAnsi" w:hAnsiTheme="minorHAnsi"/>
        </w:rPr>
        <w:t>isputed</w:t>
      </w:r>
      <w:r w:rsidRPr="000A66A1">
        <w:rPr>
          <w:rFonts w:asciiTheme="minorHAnsi" w:hAnsiTheme="minorHAnsi"/>
        </w:rPr>
        <w:t xml:space="preserve"> area in law, it remains only a theory of a more appropriate practical format. Until codified, it is unknown as to how effective this change would be and how many more prosecutions would result. </w:t>
      </w:r>
      <w:r w:rsidR="00EA288B" w:rsidRPr="000A66A1">
        <w:rPr>
          <w:rFonts w:asciiTheme="minorHAnsi" w:hAnsiTheme="minorHAnsi"/>
        </w:rPr>
        <w:t xml:space="preserve">  </w:t>
      </w:r>
    </w:p>
    <w:p w14:paraId="74717F7D" w14:textId="4134CFED" w:rsidR="00391177" w:rsidRPr="000A66A1" w:rsidRDefault="00391177" w:rsidP="000A66A1">
      <w:pPr>
        <w:pStyle w:val="FootnoteText"/>
        <w:spacing w:line="360" w:lineRule="auto"/>
        <w:rPr>
          <w:rFonts w:asciiTheme="minorHAnsi" w:hAnsiTheme="minorHAnsi"/>
        </w:rPr>
      </w:pPr>
    </w:p>
    <w:p w14:paraId="22199822" w14:textId="4AEE0C72" w:rsidR="00391177" w:rsidRPr="000A66A1" w:rsidRDefault="00391177" w:rsidP="000A66A1">
      <w:pPr>
        <w:pStyle w:val="FootnoteText"/>
        <w:spacing w:line="360" w:lineRule="auto"/>
        <w:rPr>
          <w:rFonts w:asciiTheme="minorHAnsi" w:hAnsiTheme="minorHAnsi"/>
        </w:rPr>
      </w:pPr>
    </w:p>
    <w:p w14:paraId="29603ED1" w14:textId="6C56A3C0" w:rsidR="00391177" w:rsidRPr="000A66A1" w:rsidRDefault="00391177" w:rsidP="000A66A1">
      <w:pPr>
        <w:pStyle w:val="FootnoteText"/>
        <w:spacing w:line="360" w:lineRule="auto"/>
        <w:rPr>
          <w:rFonts w:asciiTheme="minorHAnsi" w:hAnsiTheme="minorHAnsi"/>
        </w:rPr>
      </w:pPr>
    </w:p>
    <w:p w14:paraId="52D4F60F" w14:textId="4EF07A49" w:rsidR="00391177" w:rsidRPr="000A66A1" w:rsidRDefault="00391177" w:rsidP="000A66A1">
      <w:pPr>
        <w:pStyle w:val="FootnoteText"/>
        <w:spacing w:line="360" w:lineRule="auto"/>
        <w:rPr>
          <w:rFonts w:asciiTheme="minorHAnsi" w:hAnsiTheme="minorHAnsi"/>
        </w:rPr>
      </w:pPr>
    </w:p>
    <w:p w14:paraId="7A901E61" w14:textId="05EA639B" w:rsidR="00391177" w:rsidRPr="000A66A1" w:rsidRDefault="00391177" w:rsidP="000A66A1">
      <w:pPr>
        <w:pStyle w:val="FootnoteText"/>
        <w:spacing w:line="360" w:lineRule="auto"/>
        <w:rPr>
          <w:rFonts w:asciiTheme="minorHAnsi" w:hAnsiTheme="minorHAnsi"/>
        </w:rPr>
      </w:pPr>
    </w:p>
    <w:p w14:paraId="0BFBE83C" w14:textId="5A08FEBE" w:rsidR="00391177" w:rsidRPr="000A66A1" w:rsidRDefault="00391177" w:rsidP="000A66A1">
      <w:pPr>
        <w:pStyle w:val="FootnoteText"/>
        <w:spacing w:line="360" w:lineRule="auto"/>
        <w:rPr>
          <w:rFonts w:asciiTheme="minorHAnsi" w:hAnsiTheme="minorHAnsi"/>
        </w:rPr>
      </w:pPr>
    </w:p>
    <w:p w14:paraId="26219AAA" w14:textId="723724DA" w:rsidR="00391177" w:rsidRPr="000A66A1" w:rsidRDefault="00391177" w:rsidP="000A66A1">
      <w:pPr>
        <w:pStyle w:val="FootnoteText"/>
        <w:spacing w:line="360" w:lineRule="auto"/>
        <w:rPr>
          <w:rFonts w:asciiTheme="minorHAnsi" w:hAnsiTheme="minorHAnsi"/>
        </w:rPr>
      </w:pPr>
    </w:p>
    <w:p w14:paraId="488DA8C5" w14:textId="7D9064DB" w:rsidR="00391177" w:rsidRPr="000A66A1" w:rsidRDefault="00391177" w:rsidP="000A66A1">
      <w:pPr>
        <w:pStyle w:val="FootnoteText"/>
        <w:spacing w:line="360" w:lineRule="auto"/>
        <w:rPr>
          <w:rFonts w:asciiTheme="minorHAnsi" w:hAnsiTheme="minorHAnsi"/>
        </w:rPr>
      </w:pPr>
    </w:p>
    <w:p w14:paraId="277A16DA" w14:textId="11CB7540" w:rsidR="00391177" w:rsidRPr="000A66A1" w:rsidRDefault="00391177" w:rsidP="000A66A1">
      <w:pPr>
        <w:pStyle w:val="FootnoteText"/>
        <w:spacing w:line="360" w:lineRule="auto"/>
        <w:rPr>
          <w:rFonts w:asciiTheme="minorHAnsi" w:hAnsiTheme="minorHAnsi"/>
        </w:rPr>
      </w:pPr>
    </w:p>
    <w:p w14:paraId="455DD9BD" w14:textId="3C76F80F" w:rsidR="00391177" w:rsidRPr="000A66A1" w:rsidRDefault="00391177" w:rsidP="000A66A1">
      <w:pPr>
        <w:pStyle w:val="FootnoteText"/>
        <w:spacing w:line="360" w:lineRule="auto"/>
        <w:rPr>
          <w:rFonts w:asciiTheme="minorHAnsi" w:hAnsiTheme="minorHAnsi"/>
        </w:rPr>
      </w:pPr>
    </w:p>
    <w:p w14:paraId="3B172D78" w14:textId="03381C28" w:rsidR="00391177" w:rsidRPr="000A66A1" w:rsidRDefault="00391177" w:rsidP="000A66A1">
      <w:pPr>
        <w:pStyle w:val="FootnoteText"/>
        <w:spacing w:line="360" w:lineRule="auto"/>
        <w:rPr>
          <w:rFonts w:asciiTheme="minorHAnsi" w:hAnsiTheme="minorHAnsi"/>
        </w:rPr>
      </w:pPr>
    </w:p>
    <w:p w14:paraId="1A9CC98E" w14:textId="0BED07B6" w:rsidR="00391177" w:rsidRPr="000A66A1" w:rsidRDefault="00391177" w:rsidP="000A66A1">
      <w:pPr>
        <w:pStyle w:val="FootnoteText"/>
        <w:spacing w:line="360" w:lineRule="auto"/>
        <w:rPr>
          <w:rFonts w:asciiTheme="minorHAnsi" w:hAnsiTheme="minorHAnsi"/>
        </w:rPr>
      </w:pPr>
    </w:p>
    <w:p w14:paraId="1F4D814C" w14:textId="7B661294" w:rsidR="00391177" w:rsidRPr="000A66A1" w:rsidRDefault="00391177" w:rsidP="000A66A1">
      <w:pPr>
        <w:pStyle w:val="FootnoteText"/>
        <w:spacing w:line="360" w:lineRule="auto"/>
        <w:rPr>
          <w:rFonts w:asciiTheme="minorHAnsi" w:hAnsiTheme="minorHAnsi"/>
        </w:rPr>
      </w:pPr>
    </w:p>
    <w:p w14:paraId="15E3AD08" w14:textId="5A71C9B9" w:rsidR="00391177" w:rsidRPr="000A66A1" w:rsidRDefault="00391177" w:rsidP="000A66A1">
      <w:pPr>
        <w:pStyle w:val="FootnoteText"/>
        <w:spacing w:line="360" w:lineRule="auto"/>
        <w:rPr>
          <w:rFonts w:asciiTheme="minorHAnsi" w:hAnsiTheme="minorHAnsi"/>
        </w:rPr>
      </w:pPr>
    </w:p>
    <w:p w14:paraId="5A54926D" w14:textId="79823FBA" w:rsidR="00391177" w:rsidRPr="000A66A1" w:rsidRDefault="00391177" w:rsidP="000A66A1">
      <w:pPr>
        <w:pStyle w:val="FootnoteText"/>
        <w:spacing w:line="360" w:lineRule="auto"/>
        <w:rPr>
          <w:rFonts w:asciiTheme="minorHAnsi" w:hAnsiTheme="minorHAnsi"/>
        </w:rPr>
      </w:pPr>
    </w:p>
    <w:p w14:paraId="14D3C480" w14:textId="1B2614C8" w:rsidR="00391177" w:rsidRPr="000A66A1" w:rsidRDefault="00391177" w:rsidP="000A66A1">
      <w:pPr>
        <w:pStyle w:val="FootnoteText"/>
        <w:spacing w:line="360" w:lineRule="auto"/>
        <w:rPr>
          <w:rFonts w:asciiTheme="minorHAnsi" w:hAnsiTheme="minorHAnsi"/>
        </w:rPr>
      </w:pPr>
    </w:p>
    <w:p w14:paraId="1EF7EB90" w14:textId="2814C1EA" w:rsidR="00391177" w:rsidRPr="000A66A1" w:rsidRDefault="00391177" w:rsidP="000A66A1">
      <w:pPr>
        <w:pStyle w:val="FootnoteText"/>
        <w:spacing w:line="360" w:lineRule="auto"/>
        <w:rPr>
          <w:rFonts w:asciiTheme="minorHAnsi" w:hAnsiTheme="minorHAnsi"/>
        </w:rPr>
      </w:pPr>
    </w:p>
    <w:p w14:paraId="3F5FF63D" w14:textId="5F765FE5" w:rsidR="00391177" w:rsidRPr="000A66A1" w:rsidRDefault="00391177" w:rsidP="000A66A1">
      <w:pPr>
        <w:pStyle w:val="FootnoteText"/>
        <w:spacing w:line="360" w:lineRule="auto"/>
        <w:rPr>
          <w:rFonts w:asciiTheme="minorHAnsi" w:hAnsiTheme="minorHAnsi"/>
        </w:rPr>
      </w:pPr>
    </w:p>
    <w:p w14:paraId="5B49B6F2" w14:textId="35FC4B30" w:rsidR="00391177" w:rsidRPr="000A66A1" w:rsidRDefault="00391177" w:rsidP="000A66A1">
      <w:pPr>
        <w:pStyle w:val="FootnoteText"/>
        <w:spacing w:line="360" w:lineRule="auto"/>
        <w:rPr>
          <w:rFonts w:asciiTheme="minorHAnsi" w:hAnsiTheme="minorHAnsi"/>
        </w:rPr>
      </w:pPr>
    </w:p>
    <w:p w14:paraId="2ADD5225" w14:textId="315F98F1" w:rsidR="00391177" w:rsidRDefault="00391177" w:rsidP="000A66A1">
      <w:pPr>
        <w:pStyle w:val="FootnoteText"/>
        <w:spacing w:line="360" w:lineRule="auto"/>
        <w:rPr>
          <w:rFonts w:asciiTheme="minorHAnsi" w:hAnsiTheme="minorHAnsi"/>
        </w:rPr>
      </w:pPr>
    </w:p>
    <w:p w14:paraId="3B7B213B" w14:textId="6E8DDDE1" w:rsidR="000A66A1" w:rsidRDefault="000A66A1" w:rsidP="000A66A1">
      <w:pPr>
        <w:pStyle w:val="FootnoteText"/>
        <w:spacing w:line="360" w:lineRule="auto"/>
        <w:rPr>
          <w:rFonts w:asciiTheme="minorHAnsi" w:hAnsiTheme="minorHAnsi"/>
        </w:rPr>
      </w:pPr>
    </w:p>
    <w:p w14:paraId="53860523" w14:textId="50AE5B62" w:rsidR="000A66A1" w:rsidRDefault="000A66A1" w:rsidP="000A66A1">
      <w:pPr>
        <w:pStyle w:val="FootnoteText"/>
        <w:spacing w:line="360" w:lineRule="auto"/>
        <w:rPr>
          <w:rFonts w:asciiTheme="minorHAnsi" w:hAnsiTheme="minorHAnsi"/>
        </w:rPr>
      </w:pPr>
    </w:p>
    <w:p w14:paraId="35315F8E" w14:textId="56507BB7" w:rsidR="000A66A1" w:rsidRPr="000A66A1" w:rsidRDefault="000A66A1" w:rsidP="000A66A1">
      <w:pPr>
        <w:pStyle w:val="FootnoteText"/>
        <w:spacing w:line="360" w:lineRule="auto"/>
        <w:rPr>
          <w:rFonts w:asciiTheme="minorHAnsi" w:hAnsiTheme="minorHAnsi"/>
        </w:rPr>
      </w:pPr>
    </w:p>
    <w:p w14:paraId="6644B823" w14:textId="77777777" w:rsidR="00391177" w:rsidRPr="000A66A1" w:rsidRDefault="00391177" w:rsidP="000A66A1">
      <w:pPr>
        <w:pStyle w:val="FootnoteText"/>
        <w:spacing w:line="360" w:lineRule="auto"/>
        <w:rPr>
          <w:rFonts w:asciiTheme="minorHAnsi" w:hAnsiTheme="minorHAnsi"/>
        </w:rPr>
      </w:pPr>
    </w:p>
    <w:p w14:paraId="5CAA76EF" w14:textId="4E611571" w:rsidR="007E5323" w:rsidRDefault="00386CB4" w:rsidP="000A66A1">
      <w:pPr>
        <w:spacing w:line="360" w:lineRule="auto"/>
        <w:jc w:val="center"/>
        <w:rPr>
          <w:rFonts w:asciiTheme="minorHAnsi" w:hAnsiTheme="minorHAnsi"/>
          <w:b/>
          <w:u w:val="single"/>
        </w:rPr>
      </w:pPr>
      <w:r w:rsidRPr="000A66A1">
        <w:rPr>
          <w:rFonts w:asciiTheme="minorHAnsi" w:hAnsiTheme="minorHAnsi"/>
          <w:b/>
          <w:u w:val="single"/>
        </w:rPr>
        <w:t>Bibliography</w:t>
      </w:r>
    </w:p>
    <w:p w14:paraId="7D807DAB" w14:textId="77777777" w:rsidR="000A66A1" w:rsidRPr="000A66A1" w:rsidRDefault="000A66A1" w:rsidP="000A66A1">
      <w:pPr>
        <w:spacing w:line="360" w:lineRule="auto"/>
        <w:jc w:val="center"/>
        <w:rPr>
          <w:rFonts w:asciiTheme="minorHAnsi" w:hAnsiTheme="minorHAnsi"/>
          <w:b/>
          <w:u w:val="single"/>
        </w:rPr>
      </w:pPr>
    </w:p>
    <w:p w14:paraId="62118C88" w14:textId="46E46B42" w:rsidR="001A4B11" w:rsidRPr="000A66A1" w:rsidRDefault="001A4B11" w:rsidP="000A66A1">
      <w:pPr>
        <w:spacing w:line="360" w:lineRule="auto"/>
        <w:jc w:val="both"/>
        <w:rPr>
          <w:rFonts w:asciiTheme="minorHAnsi" w:hAnsiTheme="minorHAnsi" w:cs="Arial"/>
          <w:u w:val="single"/>
        </w:rPr>
      </w:pPr>
      <w:r w:rsidRPr="000A66A1">
        <w:rPr>
          <w:rFonts w:asciiTheme="minorHAnsi" w:hAnsiTheme="minorHAnsi" w:cs="Arial"/>
          <w:u w:val="single"/>
        </w:rPr>
        <w:t>Primary Sources</w:t>
      </w:r>
    </w:p>
    <w:p w14:paraId="5FD43E61" w14:textId="77777777" w:rsidR="001A4B11" w:rsidRPr="000A66A1" w:rsidRDefault="001A4B11" w:rsidP="000A66A1">
      <w:pPr>
        <w:spacing w:line="360" w:lineRule="auto"/>
        <w:jc w:val="both"/>
        <w:rPr>
          <w:rFonts w:asciiTheme="minorHAnsi" w:hAnsiTheme="minorHAnsi" w:cs="Arial"/>
          <w:u w:val="single"/>
        </w:rPr>
      </w:pPr>
    </w:p>
    <w:p w14:paraId="231E8BB9" w14:textId="741B8BEF" w:rsidR="001A4B11" w:rsidRPr="000A66A1" w:rsidRDefault="00386CB4" w:rsidP="000A66A1">
      <w:pPr>
        <w:spacing w:line="360" w:lineRule="auto"/>
        <w:jc w:val="both"/>
        <w:rPr>
          <w:rFonts w:asciiTheme="minorHAnsi" w:hAnsiTheme="minorHAnsi" w:cs="Arial"/>
          <w:u w:val="single"/>
        </w:rPr>
      </w:pPr>
      <w:r w:rsidRPr="000A66A1">
        <w:rPr>
          <w:rFonts w:asciiTheme="minorHAnsi" w:hAnsiTheme="minorHAnsi" w:cs="Arial"/>
          <w:u w:val="single"/>
        </w:rPr>
        <w:t>Case Law</w:t>
      </w:r>
    </w:p>
    <w:p w14:paraId="2D8F78D7" w14:textId="77777777" w:rsidR="001A4B11" w:rsidRPr="000A66A1" w:rsidRDefault="001A4B11" w:rsidP="000A66A1">
      <w:pPr>
        <w:spacing w:line="360" w:lineRule="auto"/>
        <w:jc w:val="both"/>
        <w:rPr>
          <w:rFonts w:asciiTheme="minorHAnsi" w:hAnsiTheme="minorHAnsi" w:cs="Arial"/>
          <w:u w:val="single"/>
        </w:rPr>
      </w:pPr>
    </w:p>
    <w:p w14:paraId="65E2FBA4" w14:textId="77777777" w:rsidR="001A4B11" w:rsidRPr="000A66A1" w:rsidRDefault="001A4B11" w:rsidP="000A66A1">
      <w:pPr>
        <w:spacing w:line="360" w:lineRule="auto"/>
        <w:rPr>
          <w:rFonts w:asciiTheme="minorHAnsi" w:hAnsiTheme="minorHAnsi" w:cs="Arial"/>
          <w:bCs/>
          <w:color w:val="000000" w:themeColor="text1"/>
          <w:lang w:val="en-US"/>
        </w:rPr>
      </w:pPr>
      <w:r w:rsidRPr="000A66A1">
        <w:rPr>
          <w:rFonts w:asciiTheme="minorHAnsi" w:hAnsiTheme="minorHAnsi" w:cs="Arial"/>
          <w:bCs/>
          <w:i/>
          <w:color w:val="000000" w:themeColor="text1"/>
          <w:lang w:val="en-US"/>
        </w:rPr>
        <w:t>DPP v Beard</w:t>
      </w:r>
      <w:r w:rsidRPr="000A66A1">
        <w:rPr>
          <w:rFonts w:asciiTheme="minorHAnsi" w:hAnsiTheme="minorHAnsi" w:cs="Arial"/>
          <w:bCs/>
          <w:color w:val="000000" w:themeColor="text1"/>
          <w:lang w:val="en-US"/>
        </w:rPr>
        <w:t xml:space="preserve"> </w:t>
      </w:r>
      <w:hyperlink r:id="rId9" w:history="1">
        <w:r w:rsidRPr="000A66A1">
          <w:rPr>
            <w:rFonts w:asciiTheme="minorHAnsi" w:hAnsiTheme="minorHAnsi" w:cs="Arial"/>
            <w:color w:val="000000" w:themeColor="text1"/>
            <w:lang w:val="en-US"/>
          </w:rPr>
          <w:t>[1920] A.C. 479</w:t>
        </w:r>
      </w:hyperlink>
      <w:r w:rsidRPr="000A66A1">
        <w:rPr>
          <w:rFonts w:asciiTheme="minorHAnsi" w:hAnsiTheme="minorHAnsi" w:cs="Arial"/>
          <w:color w:val="000000" w:themeColor="text1"/>
          <w:lang w:val="en-US"/>
        </w:rPr>
        <w:t xml:space="preserve">, </w:t>
      </w:r>
      <w:hyperlink r:id="rId10" w:history="1">
        <w:r w:rsidRPr="000A66A1">
          <w:rPr>
            <w:rFonts w:asciiTheme="minorHAnsi" w:hAnsiTheme="minorHAnsi" w:cs="Arial"/>
            <w:color w:val="000000" w:themeColor="text1"/>
            <w:lang w:val="en-US"/>
          </w:rPr>
          <w:t>(1920) 14 Cr. App. R. 159</w:t>
        </w:r>
      </w:hyperlink>
    </w:p>
    <w:p w14:paraId="4FDCAEB3" w14:textId="77777777" w:rsidR="001A4B11" w:rsidRPr="000A66A1" w:rsidRDefault="001A4B11" w:rsidP="000A66A1">
      <w:pPr>
        <w:spacing w:line="360" w:lineRule="auto"/>
        <w:rPr>
          <w:rFonts w:asciiTheme="minorHAnsi" w:hAnsiTheme="minorHAnsi" w:cs="Arial"/>
          <w:color w:val="000000" w:themeColor="text1"/>
        </w:rPr>
      </w:pPr>
      <w:r w:rsidRPr="000A66A1">
        <w:rPr>
          <w:rFonts w:asciiTheme="minorHAnsi" w:hAnsiTheme="minorHAnsi" w:cs="Arial"/>
          <w:i/>
          <w:color w:val="000000" w:themeColor="text1"/>
        </w:rPr>
        <w:t>DPP v Kellet</w:t>
      </w:r>
      <w:r w:rsidRPr="000A66A1">
        <w:rPr>
          <w:rFonts w:asciiTheme="minorHAnsi" w:hAnsiTheme="minorHAnsi" w:cs="Arial"/>
          <w:color w:val="000000" w:themeColor="text1"/>
        </w:rPr>
        <w:t xml:space="preserve"> (1994) 158 JP 1138</w:t>
      </w:r>
    </w:p>
    <w:p w14:paraId="6026E6FC"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cs="Arial"/>
          <w:bCs/>
          <w:i/>
          <w:color w:val="000000" w:themeColor="text1"/>
          <w:lang w:val="en-US"/>
        </w:rPr>
        <w:t>DPP v Majewski</w:t>
      </w:r>
      <w:r w:rsidRPr="000A66A1">
        <w:rPr>
          <w:rFonts w:asciiTheme="minorHAnsi" w:hAnsiTheme="minorHAnsi" w:cs="Arial"/>
          <w:bCs/>
          <w:color w:val="000000" w:themeColor="text1"/>
          <w:lang w:val="en-US"/>
        </w:rPr>
        <w:t xml:space="preserve"> </w:t>
      </w:r>
      <w:hyperlink r:id="rId11" w:history="1">
        <w:r w:rsidRPr="000A66A1">
          <w:rPr>
            <w:rFonts w:asciiTheme="minorHAnsi" w:hAnsiTheme="minorHAnsi" w:cs="Arial"/>
            <w:color w:val="000000" w:themeColor="text1"/>
            <w:lang w:val="en-US"/>
          </w:rPr>
          <w:t>[1977] A.C. 443</w:t>
        </w:r>
      </w:hyperlink>
    </w:p>
    <w:p w14:paraId="4F784935" w14:textId="77777777" w:rsidR="001A4B11" w:rsidRPr="000A66A1" w:rsidRDefault="001A4B11" w:rsidP="000A66A1">
      <w:pPr>
        <w:pStyle w:val="FootnoteText"/>
        <w:spacing w:line="360" w:lineRule="auto"/>
        <w:rPr>
          <w:rFonts w:asciiTheme="minorHAnsi" w:hAnsiTheme="minorHAnsi"/>
          <w:i/>
          <w:color w:val="000000" w:themeColor="text1"/>
        </w:rPr>
      </w:pPr>
      <w:r w:rsidRPr="000A66A1">
        <w:rPr>
          <w:rFonts w:asciiTheme="minorHAnsi" w:hAnsiTheme="minorHAnsi"/>
          <w:i/>
          <w:color w:val="000000" w:themeColor="text1"/>
        </w:rPr>
        <w:t xml:space="preserve">DPP v Newbury </w:t>
      </w:r>
      <w:r w:rsidRPr="000A66A1">
        <w:rPr>
          <w:rFonts w:asciiTheme="minorHAnsi" w:hAnsiTheme="minorHAnsi"/>
          <w:color w:val="000000" w:themeColor="text1"/>
        </w:rPr>
        <w:t>[1977] AC 500</w:t>
      </w:r>
    </w:p>
    <w:p w14:paraId="549D532A"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t xml:space="preserve">Durante </w:t>
      </w:r>
      <w:r w:rsidRPr="000A66A1">
        <w:rPr>
          <w:rFonts w:asciiTheme="minorHAnsi" w:hAnsiTheme="minorHAnsi"/>
          <w:color w:val="000000" w:themeColor="text1"/>
        </w:rPr>
        <w:t>[1972] 1 WLR 1612</w:t>
      </w:r>
    </w:p>
    <w:p w14:paraId="328C5517" w14:textId="77777777" w:rsidR="001A4B11" w:rsidRPr="000A66A1" w:rsidRDefault="001A4B11" w:rsidP="000A66A1">
      <w:pPr>
        <w:pStyle w:val="FootnoteText"/>
        <w:spacing w:line="360" w:lineRule="auto"/>
        <w:rPr>
          <w:rFonts w:asciiTheme="minorHAnsi" w:hAnsiTheme="minorHAnsi"/>
          <w:color w:val="000000" w:themeColor="text1"/>
          <w:lang w:val="es-ES"/>
        </w:rPr>
      </w:pPr>
      <w:proofErr w:type="spellStart"/>
      <w:r w:rsidRPr="000A66A1">
        <w:rPr>
          <w:rFonts w:asciiTheme="minorHAnsi" w:hAnsiTheme="minorHAnsi"/>
          <w:i/>
          <w:color w:val="000000" w:themeColor="text1"/>
          <w:lang w:val="es-ES"/>
        </w:rPr>
        <w:t>Fagan</w:t>
      </w:r>
      <w:proofErr w:type="spellEnd"/>
      <w:r w:rsidRPr="000A66A1">
        <w:rPr>
          <w:rFonts w:asciiTheme="minorHAnsi" w:hAnsiTheme="minorHAnsi"/>
          <w:i/>
          <w:color w:val="000000" w:themeColor="text1"/>
          <w:lang w:val="es-ES"/>
        </w:rPr>
        <w:t xml:space="preserve"> v MPC</w:t>
      </w:r>
      <w:r w:rsidRPr="000A66A1">
        <w:rPr>
          <w:rFonts w:asciiTheme="minorHAnsi" w:hAnsiTheme="minorHAnsi"/>
          <w:color w:val="000000" w:themeColor="text1"/>
          <w:lang w:val="es-ES"/>
        </w:rPr>
        <w:t xml:space="preserve"> [1969] 1 Q.B. 439</w:t>
      </w:r>
    </w:p>
    <w:p w14:paraId="4CA91D3C" w14:textId="77777777" w:rsidR="001A4B11" w:rsidRPr="000A66A1" w:rsidRDefault="001A4B11" w:rsidP="000A66A1">
      <w:pPr>
        <w:pStyle w:val="FootnoteText"/>
        <w:spacing w:line="360" w:lineRule="auto"/>
        <w:rPr>
          <w:rFonts w:asciiTheme="minorHAnsi" w:hAnsiTheme="minorHAnsi"/>
          <w:color w:val="000000" w:themeColor="text1"/>
          <w:lang w:val="de-DE"/>
        </w:rPr>
      </w:pPr>
      <w:r w:rsidRPr="000A66A1">
        <w:rPr>
          <w:rFonts w:asciiTheme="minorHAnsi" w:hAnsiTheme="minorHAnsi"/>
          <w:i/>
          <w:color w:val="000000" w:themeColor="text1"/>
          <w:lang w:val="de-DE"/>
        </w:rPr>
        <w:t>Faulkner v Talbot</w:t>
      </w:r>
      <w:r w:rsidRPr="000A66A1">
        <w:rPr>
          <w:rFonts w:asciiTheme="minorHAnsi" w:hAnsiTheme="minorHAnsi"/>
          <w:color w:val="000000" w:themeColor="text1"/>
          <w:lang w:val="de-DE"/>
        </w:rPr>
        <w:t xml:space="preserve"> [1981] 3 All ER 468 </w:t>
      </w:r>
    </w:p>
    <w:p w14:paraId="0ED36463" w14:textId="77777777" w:rsidR="001A4B11" w:rsidRPr="000A66A1" w:rsidRDefault="001A4B11" w:rsidP="000A66A1">
      <w:pPr>
        <w:pStyle w:val="FootnoteText"/>
        <w:spacing w:line="360" w:lineRule="auto"/>
        <w:rPr>
          <w:rFonts w:asciiTheme="minorHAnsi" w:hAnsiTheme="minorHAnsi"/>
        </w:rPr>
      </w:pPr>
      <w:r w:rsidRPr="000A66A1">
        <w:rPr>
          <w:rFonts w:asciiTheme="minorHAnsi" w:hAnsiTheme="minorHAnsi"/>
          <w:i/>
        </w:rPr>
        <w:t xml:space="preserve">Forsyth </w:t>
      </w:r>
      <w:r w:rsidRPr="000A66A1">
        <w:rPr>
          <w:rFonts w:asciiTheme="minorHAnsi" w:hAnsiTheme="minorHAnsi"/>
        </w:rPr>
        <w:t>[1997] 2 Cr App R 299</w:t>
      </w:r>
    </w:p>
    <w:p w14:paraId="5EBED86B" w14:textId="77777777" w:rsidR="001A4B11" w:rsidRPr="000A66A1" w:rsidRDefault="001A4B11" w:rsidP="000A66A1">
      <w:pPr>
        <w:spacing w:line="360" w:lineRule="auto"/>
        <w:jc w:val="both"/>
        <w:rPr>
          <w:rStyle w:val="Emphasis"/>
          <w:rFonts w:asciiTheme="minorHAnsi" w:hAnsiTheme="minorHAnsi" w:cs="Arial"/>
          <w:bCs/>
          <w:i w:val="0"/>
          <w:color w:val="000000" w:themeColor="text1"/>
        </w:rPr>
      </w:pPr>
      <w:r w:rsidRPr="000A66A1">
        <w:rPr>
          <w:rStyle w:val="Emphasis"/>
          <w:rFonts w:asciiTheme="minorHAnsi" w:hAnsiTheme="minorHAnsi" w:cs="Arial"/>
          <w:bCs/>
          <w:color w:val="000000" w:themeColor="text1"/>
        </w:rPr>
        <w:t xml:space="preserve">Ivey v Genting Casinos (UK) Ltd (trading as Crockfords Club) </w:t>
      </w:r>
      <w:r w:rsidRPr="000A66A1">
        <w:rPr>
          <w:rStyle w:val="Emphasis"/>
          <w:rFonts w:asciiTheme="minorHAnsi" w:hAnsiTheme="minorHAnsi" w:cs="Arial"/>
          <w:bCs/>
          <w:i w:val="0"/>
          <w:color w:val="000000" w:themeColor="text1"/>
        </w:rPr>
        <w:t>[2018] A.C. 391</w:t>
      </w:r>
    </w:p>
    <w:p w14:paraId="5A817263" w14:textId="77777777" w:rsidR="001A4B11" w:rsidRPr="000A66A1" w:rsidRDefault="001A4B11" w:rsidP="000A66A1">
      <w:pPr>
        <w:pStyle w:val="FootnoteText"/>
        <w:spacing w:line="360" w:lineRule="auto"/>
        <w:rPr>
          <w:rStyle w:val="Emphasis"/>
          <w:rFonts w:asciiTheme="minorHAnsi" w:hAnsiTheme="minorHAnsi"/>
          <w:i w:val="0"/>
          <w:iCs w:val="0"/>
        </w:rPr>
      </w:pPr>
      <w:r w:rsidRPr="000A66A1">
        <w:rPr>
          <w:rFonts w:asciiTheme="minorHAnsi" w:hAnsiTheme="minorHAnsi"/>
          <w:i/>
        </w:rPr>
        <w:t>Kingston</w:t>
      </w:r>
      <w:r w:rsidRPr="000A66A1">
        <w:rPr>
          <w:rFonts w:asciiTheme="minorHAnsi" w:hAnsiTheme="minorHAnsi"/>
        </w:rPr>
        <w:t xml:space="preserve"> [1995] 2 AC 355</w:t>
      </w:r>
    </w:p>
    <w:p w14:paraId="330E20EC"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t xml:space="preserve">R v Caldwell </w:t>
      </w:r>
      <w:r w:rsidRPr="000A66A1">
        <w:rPr>
          <w:rFonts w:asciiTheme="minorHAnsi" w:hAnsiTheme="minorHAnsi"/>
          <w:color w:val="000000" w:themeColor="text1"/>
        </w:rPr>
        <w:t xml:space="preserve">[1981] 1 All ER 961 </w:t>
      </w:r>
    </w:p>
    <w:p w14:paraId="4011D939" w14:textId="77777777" w:rsidR="001A4B11" w:rsidRPr="000A66A1" w:rsidRDefault="001A4B11" w:rsidP="000A66A1">
      <w:pPr>
        <w:pStyle w:val="FootnoteText"/>
        <w:spacing w:line="360" w:lineRule="auto"/>
        <w:rPr>
          <w:rFonts w:asciiTheme="minorHAnsi" w:hAnsiTheme="minorHAnsi"/>
          <w:i/>
          <w:color w:val="000000" w:themeColor="text1"/>
        </w:rPr>
      </w:pPr>
      <w:r w:rsidRPr="000A66A1">
        <w:rPr>
          <w:rFonts w:asciiTheme="minorHAnsi" w:hAnsiTheme="minorHAnsi"/>
          <w:i/>
          <w:color w:val="000000" w:themeColor="text1"/>
        </w:rPr>
        <w:t xml:space="preserve">R v Cato </w:t>
      </w:r>
      <w:r w:rsidRPr="000A66A1">
        <w:rPr>
          <w:rFonts w:asciiTheme="minorHAnsi" w:hAnsiTheme="minorHAnsi"/>
          <w:color w:val="000000" w:themeColor="text1"/>
        </w:rPr>
        <w:t>[1976] 1 WLR 110</w:t>
      </w:r>
    </w:p>
    <w:p w14:paraId="07C7313C" w14:textId="77777777" w:rsidR="001A4B11" w:rsidRPr="000A66A1" w:rsidRDefault="001A4B11" w:rsidP="000A66A1">
      <w:pPr>
        <w:pStyle w:val="FootnoteText"/>
        <w:spacing w:line="360" w:lineRule="auto"/>
        <w:rPr>
          <w:rFonts w:asciiTheme="minorHAnsi" w:hAnsiTheme="minorHAnsi"/>
          <w:i/>
          <w:color w:val="000000" w:themeColor="text1"/>
        </w:rPr>
      </w:pPr>
      <w:r w:rsidRPr="000A66A1">
        <w:rPr>
          <w:rFonts w:asciiTheme="minorHAnsi" w:hAnsiTheme="minorHAnsi"/>
          <w:i/>
          <w:color w:val="000000" w:themeColor="text1"/>
        </w:rPr>
        <w:t xml:space="preserve">R v Church </w:t>
      </w:r>
      <w:r w:rsidRPr="000A66A1">
        <w:rPr>
          <w:rFonts w:asciiTheme="minorHAnsi" w:hAnsiTheme="minorHAnsi"/>
          <w:color w:val="000000" w:themeColor="text1"/>
        </w:rPr>
        <w:t>[1965] 2 WLR 1220</w:t>
      </w:r>
      <w:r w:rsidRPr="000A66A1">
        <w:rPr>
          <w:rFonts w:asciiTheme="minorHAnsi" w:hAnsiTheme="minorHAnsi"/>
          <w:i/>
          <w:color w:val="000000" w:themeColor="text1"/>
        </w:rPr>
        <w:t xml:space="preserve"> </w:t>
      </w:r>
    </w:p>
    <w:p w14:paraId="7FB86FE2"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t xml:space="preserve">R v </w:t>
      </w:r>
      <w:proofErr w:type="spellStart"/>
      <w:r w:rsidRPr="000A66A1">
        <w:rPr>
          <w:rFonts w:asciiTheme="minorHAnsi" w:hAnsiTheme="minorHAnsi"/>
          <w:i/>
          <w:color w:val="000000" w:themeColor="text1"/>
        </w:rPr>
        <w:t>Clouden</w:t>
      </w:r>
      <w:proofErr w:type="spellEnd"/>
      <w:r w:rsidRPr="000A66A1">
        <w:rPr>
          <w:rFonts w:asciiTheme="minorHAnsi" w:hAnsiTheme="minorHAnsi"/>
          <w:color w:val="000000" w:themeColor="text1"/>
        </w:rPr>
        <w:t xml:space="preserve"> [1987] Crim LR 56</w:t>
      </w:r>
    </w:p>
    <w:p w14:paraId="61A92DEE"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t>R v Coffey</w:t>
      </w:r>
      <w:r w:rsidRPr="000A66A1">
        <w:rPr>
          <w:rFonts w:asciiTheme="minorHAnsi" w:hAnsiTheme="minorHAnsi"/>
          <w:color w:val="000000" w:themeColor="text1"/>
        </w:rPr>
        <w:t xml:space="preserve"> [1987] Crim LR 498, CA</w:t>
      </w:r>
    </w:p>
    <w:p w14:paraId="3253F4FA"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t xml:space="preserve">R v Collins </w:t>
      </w:r>
      <w:r w:rsidRPr="000A66A1">
        <w:rPr>
          <w:rFonts w:asciiTheme="minorHAnsi" w:hAnsiTheme="minorHAnsi"/>
          <w:color w:val="000000" w:themeColor="text1"/>
        </w:rPr>
        <w:t>[1973] 3 WLR 243</w:t>
      </w:r>
    </w:p>
    <w:p w14:paraId="59E9FBC7"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t>R v Cunningham</w:t>
      </w:r>
      <w:r w:rsidRPr="000A66A1">
        <w:rPr>
          <w:rFonts w:asciiTheme="minorHAnsi" w:hAnsiTheme="minorHAnsi"/>
          <w:color w:val="000000" w:themeColor="text1"/>
        </w:rPr>
        <w:t xml:space="preserve"> [1982] AC 566</w:t>
      </w:r>
    </w:p>
    <w:p w14:paraId="006CDCC9" w14:textId="77777777" w:rsidR="001A4B11" w:rsidRPr="000A66A1" w:rsidRDefault="001A4B11" w:rsidP="000A66A1">
      <w:pPr>
        <w:spacing w:line="360" w:lineRule="auto"/>
        <w:rPr>
          <w:rFonts w:asciiTheme="minorHAnsi" w:hAnsiTheme="minorHAnsi" w:cs="Arial"/>
          <w:bCs/>
          <w:color w:val="000000" w:themeColor="text1"/>
          <w:lang w:val="en-US"/>
        </w:rPr>
      </w:pPr>
      <w:r w:rsidRPr="000A66A1">
        <w:rPr>
          <w:rFonts w:asciiTheme="minorHAnsi" w:hAnsiTheme="minorHAnsi" w:cs="Arial"/>
          <w:bCs/>
          <w:i/>
          <w:color w:val="000000" w:themeColor="text1"/>
          <w:lang w:val="en-US"/>
        </w:rPr>
        <w:t>R v Dawson</w:t>
      </w:r>
      <w:r w:rsidRPr="000A66A1">
        <w:rPr>
          <w:rFonts w:asciiTheme="minorHAnsi" w:hAnsiTheme="minorHAnsi" w:cs="Arial"/>
          <w:bCs/>
          <w:color w:val="000000" w:themeColor="text1"/>
          <w:lang w:val="en-US"/>
        </w:rPr>
        <w:t xml:space="preserve"> [1985] 81 Cr App R 150</w:t>
      </w:r>
    </w:p>
    <w:p w14:paraId="6B5EB62D" w14:textId="77777777" w:rsidR="001A4B11" w:rsidRPr="000A66A1" w:rsidRDefault="001A4B11" w:rsidP="000A66A1">
      <w:pPr>
        <w:pStyle w:val="FootnoteText"/>
        <w:spacing w:line="360" w:lineRule="auto"/>
        <w:rPr>
          <w:rFonts w:asciiTheme="minorHAnsi" w:hAnsiTheme="minorHAnsi"/>
          <w:color w:val="000000" w:themeColor="text1"/>
          <w:lang w:val="es-ES"/>
        </w:rPr>
      </w:pPr>
      <w:r w:rsidRPr="000A66A1">
        <w:rPr>
          <w:rFonts w:asciiTheme="minorHAnsi" w:hAnsiTheme="minorHAnsi"/>
          <w:i/>
          <w:color w:val="000000" w:themeColor="text1"/>
          <w:lang w:val="es-ES"/>
        </w:rPr>
        <w:t xml:space="preserve">R v </w:t>
      </w:r>
      <w:proofErr w:type="spellStart"/>
      <w:r w:rsidRPr="000A66A1">
        <w:rPr>
          <w:rFonts w:asciiTheme="minorHAnsi" w:hAnsiTheme="minorHAnsi"/>
          <w:i/>
          <w:color w:val="000000" w:themeColor="text1"/>
          <w:lang w:val="es-ES"/>
        </w:rPr>
        <w:t>Fenton</w:t>
      </w:r>
      <w:proofErr w:type="spellEnd"/>
      <w:r w:rsidRPr="000A66A1">
        <w:rPr>
          <w:rFonts w:asciiTheme="minorHAnsi" w:hAnsiTheme="minorHAnsi"/>
          <w:color w:val="000000" w:themeColor="text1"/>
          <w:lang w:val="es-ES"/>
        </w:rPr>
        <w:t xml:space="preserve"> (1830) 1 </w:t>
      </w:r>
      <w:proofErr w:type="spellStart"/>
      <w:r w:rsidRPr="000A66A1">
        <w:rPr>
          <w:rFonts w:asciiTheme="minorHAnsi" w:hAnsiTheme="minorHAnsi"/>
          <w:color w:val="000000" w:themeColor="text1"/>
          <w:lang w:val="es-ES"/>
        </w:rPr>
        <w:t>Lew</w:t>
      </w:r>
      <w:proofErr w:type="spellEnd"/>
      <w:r w:rsidRPr="000A66A1">
        <w:rPr>
          <w:rFonts w:asciiTheme="minorHAnsi" w:hAnsiTheme="minorHAnsi"/>
          <w:color w:val="000000" w:themeColor="text1"/>
          <w:lang w:val="es-ES"/>
        </w:rPr>
        <w:t xml:space="preserve"> CC 179</w:t>
      </w:r>
    </w:p>
    <w:p w14:paraId="2B7FCE2B"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t>R v Ghosh</w:t>
      </w:r>
      <w:r w:rsidRPr="000A66A1">
        <w:rPr>
          <w:rFonts w:asciiTheme="minorHAnsi" w:hAnsiTheme="minorHAnsi"/>
          <w:color w:val="000000" w:themeColor="text1"/>
        </w:rPr>
        <w:t xml:space="preserve"> [1982] EWCA Crim 2</w:t>
      </w:r>
    </w:p>
    <w:p w14:paraId="61150356" w14:textId="77777777" w:rsidR="001A4B11" w:rsidRPr="000A66A1" w:rsidRDefault="001A4B11" w:rsidP="000A66A1">
      <w:pPr>
        <w:spacing w:line="360" w:lineRule="auto"/>
        <w:rPr>
          <w:rFonts w:asciiTheme="minorHAnsi" w:hAnsiTheme="minorHAnsi"/>
          <w:color w:val="000000" w:themeColor="text1"/>
        </w:rPr>
      </w:pPr>
      <w:r w:rsidRPr="000A66A1">
        <w:rPr>
          <w:rFonts w:asciiTheme="minorHAnsi" w:hAnsiTheme="minorHAnsi"/>
          <w:i/>
          <w:color w:val="000000" w:themeColor="text1"/>
        </w:rPr>
        <w:t>R v Hatton</w:t>
      </w:r>
      <w:r w:rsidRPr="000A66A1">
        <w:rPr>
          <w:rFonts w:asciiTheme="minorHAnsi" w:hAnsiTheme="minorHAnsi"/>
          <w:color w:val="000000" w:themeColor="text1"/>
        </w:rPr>
        <w:t xml:space="preserve"> [2006] 1 Cr App R 16</w:t>
      </w:r>
    </w:p>
    <w:p w14:paraId="7E2DF186" w14:textId="77777777" w:rsidR="001A4B11" w:rsidRPr="000A66A1" w:rsidRDefault="001A4B11" w:rsidP="000A66A1">
      <w:pPr>
        <w:pStyle w:val="FootnoteText"/>
        <w:spacing w:line="360" w:lineRule="auto"/>
        <w:rPr>
          <w:rFonts w:asciiTheme="minorHAnsi" w:hAnsiTheme="minorHAnsi" w:cs="Arial"/>
          <w:color w:val="000000" w:themeColor="text1"/>
        </w:rPr>
      </w:pPr>
      <w:r w:rsidRPr="000A66A1">
        <w:rPr>
          <w:rFonts w:asciiTheme="minorHAnsi" w:hAnsiTheme="minorHAnsi" w:cs="Arial"/>
          <w:color w:val="000000" w:themeColor="text1"/>
        </w:rPr>
        <w:t xml:space="preserve">R v </w:t>
      </w:r>
      <w:r w:rsidRPr="000A66A1">
        <w:rPr>
          <w:rFonts w:asciiTheme="minorHAnsi" w:hAnsiTheme="minorHAnsi" w:cs="Arial"/>
          <w:i/>
          <w:color w:val="000000" w:themeColor="text1"/>
        </w:rPr>
        <w:t>Ireland</w:t>
      </w:r>
      <w:r w:rsidRPr="000A66A1">
        <w:rPr>
          <w:rFonts w:asciiTheme="minorHAnsi" w:hAnsiTheme="minorHAnsi" w:cs="Arial"/>
          <w:color w:val="000000" w:themeColor="text1"/>
        </w:rPr>
        <w:t xml:space="preserve"> [1997] 3 WLR 534 </w:t>
      </w:r>
    </w:p>
    <w:p w14:paraId="4397A87A" w14:textId="77777777" w:rsidR="001A4B11" w:rsidRPr="000A66A1" w:rsidRDefault="001A4B11" w:rsidP="000A66A1">
      <w:pPr>
        <w:spacing w:line="360" w:lineRule="auto"/>
        <w:rPr>
          <w:rFonts w:asciiTheme="minorHAnsi" w:hAnsiTheme="minorHAnsi"/>
          <w:color w:val="000000" w:themeColor="text1"/>
        </w:rPr>
      </w:pPr>
      <w:r w:rsidRPr="000A66A1">
        <w:rPr>
          <w:rFonts w:asciiTheme="minorHAnsi" w:hAnsiTheme="minorHAnsi"/>
          <w:i/>
          <w:color w:val="000000" w:themeColor="text1"/>
        </w:rPr>
        <w:t>R v Jones &amp; Smith</w:t>
      </w:r>
      <w:r w:rsidRPr="000A66A1">
        <w:rPr>
          <w:rFonts w:asciiTheme="minorHAnsi" w:hAnsiTheme="minorHAnsi"/>
          <w:color w:val="000000" w:themeColor="text1"/>
        </w:rPr>
        <w:t xml:space="preserve"> [1976] 1 WLR 672</w:t>
      </w:r>
    </w:p>
    <w:p w14:paraId="2C272178" w14:textId="77777777" w:rsidR="001A4B11" w:rsidRPr="000A66A1" w:rsidRDefault="001A4B11" w:rsidP="000A66A1">
      <w:pPr>
        <w:pStyle w:val="FootnoteText"/>
        <w:spacing w:line="360" w:lineRule="auto"/>
        <w:rPr>
          <w:rFonts w:asciiTheme="minorHAnsi" w:hAnsiTheme="minorHAnsi"/>
          <w:i/>
          <w:color w:val="000000" w:themeColor="text1"/>
        </w:rPr>
      </w:pPr>
      <w:r w:rsidRPr="000A66A1">
        <w:rPr>
          <w:rFonts w:asciiTheme="minorHAnsi" w:hAnsiTheme="minorHAnsi"/>
          <w:i/>
          <w:color w:val="000000" w:themeColor="text1"/>
        </w:rPr>
        <w:t xml:space="preserve">R v Lamb </w:t>
      </w:r>
      <w:r w:rsidRPr="000A66A1">
        <w:rPr>
          <w:rFonts w:asciiTheme="minorHAnsi" w:hAnsiTheme="minorHAnsi"/>
          <w:color w:val="000000" w:themeColor="text1"/>
        </w:rPr>
        <w:t>[1967] 2 QB 981</w:t>
      </w:r>
    </w:p>
    <w:p w14:paraId="743BC791" w14:textId="77777777" w:rsidR="001A4B11" w:rsidRPr="000A66A1" w:rsidRDefault="001A4B11" w:rsidP="000A66A1">
      <w:pPr>
        <w:spacing w:line="360" w:lineRule="auto"/>
        <w:rPr>
          <w:rFonts w:asciiTheme="minorHAnsi" w:hAnsiTheme="minorHAnsi"/>
          <w:color w:val="000000" w:themeColor="text1"/>
        </w:rPr>
      </w:pPr>
      <w:r w:rsidRPr="000A66A1">
        <w:rPr>
          <w:rFonts w:asciiTheme="minorHAnsi" w:hAnsiTheme="minorHAnsi"/>
          <w:i/>
          <w:color w:val="000000" w:themeColor="text1"/>
        </w:rPr>
        <w:t>R v Lipman</w:t>
      </w:r>
      <w:r w:rsidRPr="000A66A1">
        <w:rPr>
          <w:rFonts w:asciiTheme="minorHAnsi" w:hAnsiTheme="minorHAnsi"/>
          <w:color w:val="000000" w:themeColor="text1"/>
        </w:rPr>
        <w:t xml:space="preserve"> [1970] 1 Q.B. 152</w:t>
      </w:r>
    </w:p>
    <w:p w14:paraId="3463F0C0"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t xml:space="preserve">R v Lloyd, R v </w:t>
      </w:r>
      <w:proofErr w:type="spellStart"/>
      <w:r w:rsidRPr="000A66A1">
        <w:rPr>
          <w:rFonts w:asciiTheme="minorHAnsi" w:hAnsiTheme="minorHAnsi"/>
          <w:i/>
          <w:color w:val="000000" w:themeColor="text1"/>
        </w:rPr>
        <w:t>Bhuee</w:t>
      </w:r>
      <w:proofErr w:type="spellEnd"/>
      <w:r w:rsidRPr="000A66A1">
        <w:rPr>
          <w:rFonts w:asciiTheme="minorHAnsi" w:hAnsiTheme="minorHAnsi"/>
          <w:i/>
          <w:color w:val="000000" w:themeColor="text1"/>
        </w:rPr>
        <w:t>, R v Ali</w:t>
      </w:r>
      <w:r w:rsidRPr="000A66A1">
        <w:rPr>
          <w:rFonts w:asciiTheme="minorHAnsi" w:hAnsiTheme="minorHAnsi"/>
          <w:color w:val="000000" w:themeColor="text1"/>
        </w:rPr>
        <w:t xml:space="preserve"> [1985] QB 829, 830</w:t>
      </w:r>
    </w:p>
    <w:p w14:paraId="7917BEF4"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lastRenderedPageBreak/>
        <w:t>R v Lockley</w:t>
      </w:r>
      <w:r w:rsidRPr="000A66A1">
        <w:rPr>
          <w:rFonts w:asciiTheme="minorHAnsi" w:hAnsiTheme="minorHAnsi"/>
          <w:color w:val="000000" w:themeColor="text1"/>
        </w:rPr>
        <w:t xml:space="preserve"> [1995] Crim LR 656</w:t>
      </w:r>
    </w:p>
    <w:p w14:paraId="1F05823D" w14:textId="77777777" w:rsidR="001A4B11" w:rsidRPr="000A66A1" w:rsidRDefault="001A4B11" w:rsidP="000A66A1">
      <w:pPr>
        <w:pStyle w:val="FootnoteText"/>
        <w:spacing w:line="360" w:lineRule="auto"/>
        <w:rPr>
          <w:rFonts w:asciiTheme="minorHAnsi" w:hAnsiTheme="minorHAnsi"/>
          <w:color w:val="000000" w:themeColor="text1"/>
          <w:lang w:val="de-DE"/>
        </w:rPr>
      </w:pPr>
      <w:r w:rsidRPr="000A66A1">
        <w:rPr>
          <w:rFonts w:asciiTheme="minorHAnsi" w:hAnsiTheme="minorHAnsi"/>
          <w:i/>
          <w:color w:val="000000" w:themeColor="text1"/>
          <w:lang w:val="de-DE"/>
        </w:rPr>
        <w:t>R v Miller</w:t>
      </w:r>
      <w:r w:rsidRPr="000A66A1">
        <w:rPr>
          <w:rFonts w:asciiTheme="minorHAnsi" w:hAnsiTheme="minorHAnsi"/>
          <w:color w:val="000000" w:themeColor="text1"/>
          <w:lang w:val="de-DE"/>
        </w:rPr>
        <w:t xml:space="preserve"> [1954] 2 All ER 529</w:t>
      </w:r>
    </w:p>
    <w:p w14:paraId="316231B5" w14:textId="77777777" w:rsidR="001A4B11" w:rsidRPr="000A66A1" w:rsidRDefault="001A4B11" w:rsidP="000A66A1">
      <w:pPr>
        <w:pStyle w:val="FootnoteText"/>
        <w:spacing w:line="360" w:lineRule="auto"/>
        <w:rPr>
          <w:rFonts w:asciiTheme="minorHAnsi" w:hAnsiTheme="minorHAnsi" w:cs="Arial"/>
          <w:color w:val="000000" w:themeColor="text1"/>
        </w:rPr>
      </w:pPr>
      <w:r w:rsidRPr="000A66A1">
        <w:rPr>
          <w:rFonts w:asciiTheme="minorHAnsi" w:hAnsiTheme="minorHAnsi" w:cs="Arial"/>
          <w:color w:val="000000" w:themeColor="text1"/>
        </w:rPr>
        <w:t xml:space="preserve">R v </w:t>
      </w:r>
      <w:r w:rsidRPr="000A66A1">
        <w:rPr>
          <w:rFonts w:asciiTheme="minorHAnsi" w:hAnsiTheme="minorHAnsi" w:cs="Arial"/>
          <w:i/>
          <w:color w:val="000000" w:themeColor="text1"/>
        </w:rPr>
        <w:t xml:space="preserve">Moloney </w:t>
      </w:r>
      <w:r w:rsidRPr="000A66A1">
        <w:rPr>
          <w:rFonts w:asciiTheme="minorHAnsi" w:hAnsiTheme="minorHAnsi" w:cs="Arial"/>
          <w:color w:val="000000" w:themeColor="text1"/>
        </w:rPr>
        <w:t>[1985] AC 905</w:t>
      </w:r>
    </w:p>
    <w:p w14:paraId="1F19B48A" w14:textId="77777777" w:rsidR="001A4B11" w:rsidRPr="000A66A1" w:rsidRDefault="001A4B11" w:rsidP="000A66A1">
      <w:pPr>
        <w:spacing w:line="360" w:lineRule="auto"/>
        <w:rPr>
          <w:rFonts w:asciiTheme="minorHAnsi" w:hAnsiTheme="minorHAnsi"/>
          <w:color w:val="000000" w:themeColor="text1"/>
        </w:rPr>
      </w:pPr>
      <w:r w:rsidRPr="000A66A1">
        <w:rPr>
          <w:rFonts w:asciiTheme="minorHAnsi" w:hAnsiTheme="minorHAnsi"/>
          <w:i/>
          <w:color w:val="000000" w:themeColor="text1"/>
        </w:rPr>
        <w:t xml:space="preserve">R v O’Connor </w:t>
      </w:r>
      <w:r w:rsidRPr="000A66A1">
        <w:rPr>
          <w:rFonts w:asciiTheme="minorHAnsi" w:hAnsiTheme="minorHAnsi"/>
          <w:color w:val="000000" w:themeColor="text1"/>
        </w:rPr>
        <w:t>[1991] Crim LR 135</w:t>
      </w:r>
    </w:p>
    <w:p w14:paraId="382FC60F" w14:textId="77777777" w:rsidR="001A4B11" w:rsidRPr="000A66A1" w:rsidRDefault="001A4B11" w:rsidP="000A66A1">
      <w:pPr>
        <w:spacing w:line="360" w:lineRule="auto"/>
        <w:rPr>
          <w:rFonts w:asciiTheme="minorHAnsi" w:hAnsiTheme="minorHAnsi"/>
          <w:color w:val="000000" w:themeColor="text1"/>
        </w:rPr>
      </w:pPr>
      <w:r w:rsidRPr="000A66A1">
        <w:rPr>
          <w:rFonts w:asciiTheme="minorHAnsi" w:hAnsiTheme="minorHAnsi"/>
          <w:i/>
          <w:color w:val="000000" w:themeColor="text1"/>
        </w:rPr>
        <w:t>R v O’Grady</w:t>
      </w:r>
      <w:r w:rsidRPr="000A66A1">
        <w:rPr>
          <w:rFonts w:asciiTheme="minorHAnsi" w:hAnsiTheme="minorHAnsi"/>
          <w:color w:val="000000" w:themeColor="text1"/>
        </w:rPr>
        <w:t xml:space="preserve"> [1987] QB 995</w:t>
      </w:r>
    </w:p>
    <w:p w14:paraId="1BCE0292"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t>R v O’Leary</w:t>
      </w:r>
      <w:r w:rsidRPr="000A66A1">
        <w:rPr>
          <w:rFonts w:asciiTheme="minorHAnsi" w:hAnsiTheme="minorHAnsi"/>
          <w:color w:val="000000" w:themeColor="text1"/>
        </w:rPr>
        <w:t xml:space="preserve"> (1986) 82 Cr App R 341</w:t>
      </w:r>
    </w:p>
    <w:p w14:paraId="49455BB4" w14:textId="77777777" w:rsidR="001A4B11" w:rsidRPr="000A66A1" w:rsidRDefault="001A4B11" w:rsidP="000A66A1">
      <w:pPr>
        <w:pStyle w:val="FootnoteText"/>
        <w:spacing w:line="360" w:lineRule="auto"/>
        <w:rPr>
          <w:rFonts w:asciiTheme="minorHAnsi" w:hAnsiTheme="minorHAnsi"/>
          <w:color w:val="000000" w:themeColor="text1"/>
          <w:lang w:val="fr-FR"/>
        </w:rPr>
      </w:pPr>
      <w:r w:rsidRPr="000A66A1">
        <w:rPr>
          <w:rFonts w:asciiTheme="minorHAnsi" w:hAnsiTheme="minorHAnsi"/>
          <w:i/>
          <w:color w:val="000000" w:themeColor="text1"/>
          <w:lang w:val="fr-FR"/>
        </w:rPr>
        <w:t xml:space="preserve">R v </w:t>
      </w:r>
      <w:proofErr w:type="spellStart"/>
      <w:r w:rsidRPr="000A66A1">
        <w:rPr>
          <w:rFonts w:asciiTheme="minorHAnsi" w:hAnsiTheme="minorHAnsi"/>
          <w:i/>
          <w:color w:val="000000" w:themeColor="text1"/>
          <w:lang w:val="fr-FR"/>
        </w:rPr>
        <w:t>Parmenter</w:t>
      </w:r>
      <w:proofErr w:type="spellEnd"/>
      <w:r w:rsidRPr="000A66A1">
        <w:rPr>
          <w:rFonts w:asciiTheme="minorHAnsi" w:hAnsiTheme="minorHAnsi"/>
          <w:color w:val="000000" w:themeColor="text1"/>
          <w:lang w:val="fr-FR"/>
        </w:rPr>
        <w:t xml:space="preserve"> [1991] 94 Cr App R 193</w:t>
      </w:r>
    </w:p>
    <w:p w14:paraId="04DBD8DE" w14:textId="77777777" w:rsidR="001A4B11" w:rsidRPr="000A66A1" w:rsidRDefault="001A4B11" w:rsidP="000A66A1">
      <w:pPr>
        <w:pStyle w:val="FootnoteText"/>
        <w:spacing w:line="360" w:lineRule="auto"/>
        <w:rPr>
          <w:rFonts w:asciiTheme="minorHAnsi" w:hAnsiTheme="minorHAnsi" w:cs="Arial"/>
          <w:color w:val="000000" w:themeColor="text1"/>
        </w:rPr>
      </w:pPr>
      <w:r w:rsidRPr="000A66A1">
        <w:rPr>
          <w:rFonts w:asciiTheme="minorHAnsi" w:hAnsiTheme="minorHAnsi" w:cs="Arial"/>
          <w:color w:val="000000" w:themeColor="text1"/>
        </w:rPr>
        <w:t xml:space="preserve">R v </w:t>
      </w:r>
      <w:proofErr w:type="spellStart"/>
      <w:r w:rsidRPr="000A66A1">
        <w:rPr>
          <w:rFonts w:asciiTheme="minorHAnsi" w:hAnsiTheme="minorHAnsi" w:cs="Arial"/>
          <w:i/>
          <w:color w:val="000000" w:themeColor="text1"/>
        </w:rPr>
        <w:t>Pittwood</w:t>
      </w:r>
      <w:proofErr w:type="spellEnd"/>
      <w:r w:rsidRPr="000A66A1">
        <w:rPr>
          <w:rFonts w:asciiTheme="minorHAnsi" w:hAnsiTheme="minorHAnsi" w:cs="Arial"/>
          <w:i/>
          <w:color w:val="000000" w:themeColor="text1"/>
        </w:rPr>
        <w:t xml:space="preserve"> </w:t>
      </w:r>
      <w:r w:rsidRPr="000A66A1">
        <w:rPr>
          <w:rFonts w:asciiTheme="minorHAnsi" w:hAnsiTheme="minorHAnsi" w:cs="Arial"/>
          <w:color w:val="000000" w:themeColor="text1"/>
        </w:rPr>
        <w:t xml:space="preserve">[1902] TLR 37 </w:t>
      </w:r>
    </w:p>
    <w:p w14:paraId="011B7346"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t>R v Richardson</w:t>
      </w:r>
      <w:r w:rsidRPr="000A66A1">
        <w:rPr>
          <w:rFonts w:asciiTheme="minorHAnsi" w:hAnsiTheme="minorHAnsi"/>
          <w:color w:val="000000" w:themeColor="text1"/>
        </w:rPr>
        <w:t xml:space="preserve"> [1999] 1 Cr. App. R. 392</w:t>
      </w:r>
    </w:p>
    <w:p w14:paraId="152207DE" w14:textId="77777777" w:rsidR="001A4B11" w:rsidRPr="000A66A1" w:rsidRDefault="001A4B11" w:rsidP="000A66A1">
      <w:pPr>
        <w:pStyle w:val="FootnoteText"/>
        <w:spacing w:line="360" w:lineRule="auto"/>
        <w:rPr>
          <w:rFonts w:asciiTheme="minorHAnsi" w:hAnsiTheme="minorHAnsi"/>
          <w:color w:val="000000" w:themeColor="text1"/>
          <w:lang w:val="fr-FR"/>
        </w:rPr>
      </w:pPr>
      <w:r w:rsidRPr="000A66A1">
        <w:rPr>
          <w:rFonts w:asciiTheme="minorHAnsi" w:hAnsiTheme="minorHAnsi"/>
          <w:i/>
          <w:color w:val="000000" w:themeColor="text1"/>
          <w:lang w:val="fr-FR"/>
        </w:rPr>
        <w:t>R v Roberts</w:t>
      </w:r>
      <w:r w:rsidRPr="000A66A1">
        <w:rPr>
          <w:rFonts w:asciiTheme="minorHAnsi" w:hAnsiTheme="minorHAnsi"/>
          <w:color w:val="000000" w:themeColor="text1"/>
          <w:lang w:val="fr-FR"/>
        </w:rPr>
        <w:t xml:space="preserve"> [1971] EWCA </w:t>
      </w:r>
      <w:proofErr w:type="spellStart"/>
      <w:r w:rsidRPr="000A66A1">
        <w:rPr>
          <w:rFonts w:asciiTheme="minorHAnsi" w:hAnsiTheme="minorHAnsi"/>
          <w:color w:val="000000" w:themeColor="text1"/>
          <w:lang w:val="fr-FR"/>
        </w:rPr>
        <w:t>Crim</w:t>
      </w:r>
      <w:proofErr w:type="spellEnd"/>
      <w:r w:rsidRPr="000A66A1">
        <w:rPr>
          <w:rFonts w:asciiTheme="minorHAnsi" w:hAnsiTheme="minorHAnsi"/>
          <w:color w:val="000000" w:themeColor="text1"/>
          <w:lang w:val="fr-FR"/>
        </w:rPr>
        <w:t xml:space="preserve"> 4 </w:t>
      </w:r>
    </w:p>
    <w:p w14:paraId="55949568" w14:textId="77777777" w:rsidR="001A4B11" w:rsidRPr="000A66A1" w:rsidRDefault="001A4B11" w:rsidP="000A66A1">
      <w:pPr>
        <w:pStyle w:val="FootnoteText"/>
        <w:spacing w:line="360" w:lineRule="auto"/>
        <w:rPr>
          <w:rFonts w:asciiTheme="minorHAnsi" w:hAnsiTheme="minorHAnsi"/>
          <w:color w:val="000000" w:themeColor="text1"/>
          <w:lang w:val="fr-FR"/>
        </w:rPr>
      </w:pPr>
      <w:r w:rsidRPr="000A66A1">
        <w:rPr>
          <w:rFonts w:asciiTheme="minorHAnsi" w:hAnsiTheme="minorHAnsi"/>
          <w:i/>
          <w:color w:val="000000" w:themeColor="text1"/>
          <w:lang w:val="fr-FR"/>
        </w:rPr>
        <w:t>R v Robinson</w:t>
      </w:r>
      <w:r w:rsidRPr="000A66A1">
        <w:rPr>
          <w:rFonts w:asciiTheme="minorHAnsi" w:hAnsiTheme="minorHAnsi"/>
          <w:color w:val="000000" w:themeColor="text1"/>
          <w:lang w:val="fr-FR"/>
        </w:rPr>
        <w:t xml:space="preserve"> [1977] </w:t>
      </w:r>
      <w:proofErr w:type="spellStart"/>
      <w:r w:rsidRPr="000A66A1">
        <w:rPr>
          <w:rFonts w:asciiTheme="minorHAnsi" w:hAnsiTheme="minorHAnsi"/>
          <w:color w:val="000000" w:themeColor="text1"/>
          <w:lang w:val="fr-FR"/>
        </w:rPr>
        <w:t>Crim</w:t>
      </w:r>
      <w:proofErr w:type="spellEnd"/>
      <w:r w:rsidRPr="000A66A1">
        <w:rPr>
          <w:rFonts w:asciiTheme="minorHAnsi" w:hAnsiTheme="minorHAnsi"/>
          <w:color w:val="000000" w:themeColor="text1"/>
          <w:lang w:val="fr-FR"/>
        </w:rPr>
        <w:t xml:space="preserve"> LR 173</w:t>
      </w:r>
    </w:p>
    <w:p w14:paraId="4034A03E" w14:textId="77777777" w:rsidR="001A4B11" w:rsidRPr="000A66A1" w:rsidRDefault="001A4B11" w:rsidP="000A66A1">
      <w:pPr>
        <w:pStyle w:val="FootnoteText"/>
        <w:spacing w:line="360" w:lineRule="auto"/>
        <w:rPr>
          <w:rFonts w:asciiTheme="minorHAnsi" w:hAnsiTheme="minorHAnsi"/>
          <w:color w:val="000000" w:themeColor="text1"/>
          <w:lang w:val="fr-FR"/>
        </w:rPr>
      </w:pPr>
      <w:r w:rsidRPr="000A66A1">
        <w:rPr>
          <w:rFonts w:asciiTheme="minorHAnsi" w:hAnsiTheme="minorHAnsi"/>
          <w:i/>
          <w:color w:val="000000" w:themeColor="text1"/>
          <w:lang w:val="fr-FR"/>
        </w:rPr>
        <w:t xml:space="preserve">R v Savage </w:t>
      </w:r>
      <w:r w:rsidRPr="000A66A1">
        <w:rPr>
          <w:rFonts w:asciiTheme="minorHAnsi" w:hAnsiTheme="minorHAnsi"/>
          <w:color w:val="000000" w:themeColor="text1"/>
          <w:lang w:val="fr-FR"/>
        </w:rPr>
        <w:t>[1991] 94 Cr App R 193</w:t>
      </w:r>
    </w:p>
    <w:p w14:paraId="3DF44A6F" w14:textId="77777777" w:rsidR="001A4B11" w:rsidRPr="000A66A1" w:rsidRDefault="001A4B11" w:rsidP="000A66A1">
      <w:pPr>
        <w:pStyle w:val="FootnoteText"/>
        <w:spacing w:line="360" w:lineRule="auto"/>
        <w:rPr>
          <w:rFonts w:asciiTheme="minorHAnsi" w:hAnsiTheme="minorHAnsi"/>
          <w:color w:val="000000" w:themeColor="text1"/>
          <w:lang w:val="de-DE"/>
        </w:rPr>
      </w:pPr>
      <w:r w:rsidRPr="000A66A1">
        <w:rPr>
          <w:rFonts w:asciiTheme="minorHAnsi" w:hAnsiTheme="minorHAnsi"/>
          <w:i/>
          <w:color w:val="000000" w:themeColor="text1"/>
          <w:lang w:val="de-DE"/>
        </w:rPr>
        <w:t>R v Smith</w:t>
      </w:r>
      <w:r w:rsidRPr="000A66A1">
        <w:rPr>
          <w:rFonts w:asciiTheme="minorHAnsi" w:hAnsiTheme="minorHAnsi"/>
          <w:color w:val="000000" w:themeColor="text1"/>
          <w:lang w:val="de-DE"/>
        </w:rPr>
        <w:t xml:space="preserve"> [1974] QB 354</w:t>
      </w:r>
    </w:p>
    <w:p w14:paraId="5FD84AFB" w14:textId="77777777" w:rsidR="001A4B11" w:rsidRPr="000A66A1" w:rsidRDefault="001A4B11" w:rsidP="000A66A1">
      <w:pPr>
        <w:pStyle w:val="FootnoteText"/>
        <w:spacing w:line="360" w:lineRule="auto"/>
        <w:rPr>
          <w:rFonts w:asciiTheme="minorHAnsi" w:hAnsiTheme="minorHAnsi"/>
          <w:color w:val="000000" w:themeColor="text1"/>
          <w:lang w:val="de-DE"/>
        </w:rPr>
      </w:pPr>
      <w:r w:rsidRPr="000A66A1">
        <w:rPr>
          <w:rFonts w:asciiTheme="minorHAnsi" w:hAnsiTheme="minorHAnsi"/>
          <w:i/>
          <w:color w:val="000000" w:themeColor="text1"/>
          <w:lang w:val="de-DE"/>
        </w:rPr>
        <w:t>R v Spratt</w:t>
      </w:r>
      <w:r w:rsidRPr="000A66A1">
        <w:rPr>
          <w:rFonts w:asciiTheme="minorHAnsi" w:hAnsiTheme="minorHAnsi"/>
          <w:color w:val="000000" w:themeColor="text1"/>
          <w:lang w:val="de-DE"/>
        </w:rPr>
        <w:t xml:space="preserve"> [1990] 1 WLR 1073</w:t>
      </w:r>
    </w:p>
    <w:p w14:paraId="07C1640A" w14:textId="77777777" w:rsidR="001A4B11" w:rsidRPr="000A66A1" w:rsidRDefault="001A4B11" w:rsidP="000A66A1">
      <w:pPr>
        <w:spacing w:line="360" w:lineRule="auto"/>
        <w:rPr>
          <w:rFonts w:asciiTheme="minorHAnsi" w:hAnsiTheme="minorHAnsi"/>
          <w:color w:val="000000" w:themeColor="text1"/>
          <w:lang w:val="de-DE"/>
        </w:rPr>
      </w:pPr>
      <w:r w:rsidRPr="000A66A1">
        <w:rPr>
          <w:rFonts w:asciiTheme="minorHAnsi" w:hAnsiTheme="minorHAnsi"/>
          <w:i/>
          <w:color w:val="000000" w:themeColor="text1"/>
          <w:lang w:val="de-DE"/>
        </w:rPr>
        <w:t xml:space="preserve">R v Stephenson </w:t>
      </w:r>
      <w:r w:rsidRPr="000A66A1">
        <w:rPr>
          <w:rFonts w:asciiTheme="minorHAnsi" w:hAnsiTheme="minorHAnsi"/>
          <w:color w:val="000000" w:themeColor="text1"/>
          <w:lang w:val="de-DE"/>
        </w:rPr>
        <w:t>[1979] QB 695</w:t>
      </w:r>
    </w:p>
    <w:p w14:paraId="212799D8" w14:textId="77777777" w:rsidR="001A4B11" w:rsidRPr="000A66A1" w:rsidRDefault="001A4B11" w:rsidP="000A66A1">
      <w:pPr>
        <w:pStyle w:val="FootnoteText"/>
        <w:spacing w:line="360" w:lineRule="auto"/>
        <w:rPr>
          <w:rFonts w:asciiTheme="minorHAnsi" w:hAnsiTheme="minorHAnsi"/>
          <w:color w:val="000000" w:themeColor="text1"/>
          <w:lang w:val="de-DE"/>
        </w:rPr>
      </w:pPr>
      <w:r w:rsidRPr="000A66A1">
        <w:rPr>
          <w:rFonts w:asciiTheme="minorHAnsi" w:hAnsiTheme="minorHAnsi"/>
          <w:i/>
          <w:color w:val="000000" w:themeColor="text1"/>
          <w:lang w:val="de-DE"/>
        </w:rPr>
        <w:t>R v Stones</w:t>
      </w:r>
      <w:r w:rsidRPr="000A66A1">
        <w:rPr>
          <w:rFonts w:asciiTheme="minorHAnsi" w:hAnsiTheme="minorHAnsi"/>
          <w:color w:val="000000" w:themeColor="text1"/>
          <w:lang w:val="de-DE"/>
        </w:rPr>
        <w:t xml:space="preserve"> [1989] 1 WLR 156</w:t>
      </w:r>
    </w:p>
    <w:p w14:paraId="0745AE84" w14:textId="77777777" w:rsidR="001A4B11" w:rsidRPr="000A66A1" w:rsidRDefault="001A4B11" w:rsidP="000A66A1">
      <w:pPr>
        <w:pStyle w:val="FootnoteText"/>
        <w:spacing w:line="360" w:lineRule="auto"/>
        <w:rPr>
          <w:rFonts w:asciiTheme="minorHAnsi" w:hAnsiTheme="minorHAnsi" w:cs="Arial"/>
          <w:color w:val="000000" w:themeColor="text1"/>
          <w:lang w:val="de-DE"/>
        </w:rPr>
      </w:pPr>
      <w:r w:rsidRPr="000A66A1">
        <w:rPr>
          <w:rFonts w:asciiTheme="minorHAnsi" w:hAnsiTheme="minorHAnsi" w:cs="Arial"/>
          <w:bCs/>
          <w:i/>
          <w:color w:val="000000" w:themeColor="text1"/>
          <w:lang w:val="de-DE"/>
        </w:rPr>
        <w:t xml:space="preserve">R. v Aitken, R. v Bennett, R. v Barson </w:t>
      </w:r>
      <w:r w:rsidRPr="000A66A1">
        <w:rPr>
          <w:rFonts w:asciiTheme="minorHAnsi" w:hAnsiTheme="minorHAnsi" w:cs="Arial"/>
          <w:color w:val="000000" w:themeColor="text1"/>
          <w:lang w:val="de-DE"/>
        </w:rPr>
        <w:t>[1992] 1 W.L.R. 1006</w:t>
      </w:r>
    </w:p>
    <w:p w14:paraId="1744B687" w14:textId="77777777" w:rsidR="001A4B11" w:rsidRPr="000A66A1" w:rsidRDefault="001A4B11" w:rsidP="000A66A1">
      <w:pPr>
        <w:spacing w:line="360" w:lineRule="auto"/>
        <w:rPr>
          <w:rFonts w:asciiTheme="minorHAnsi" w:hAnsiTheme="minorHAnsi" w:cs="Arial"/>
          <w:color w:val="000000" w:themeColor="text1"/>
          <w:lang w:val="de-DE"/>
        </w:rPr>
      </w:pPr>
      <w:r w:rsidRPr="000A66A1">
        <w:rPr>
          <w:rFonts w:asciiTheme="minorHAnsi" w:hAnsiTheme="minorHAnsi" w:cs="Arial"/>
          <w:bCs/>
          <w:i/>
          <w:color w:val="000000" w:themeColor="text1"/>
          <w:lang w:val="de-DE"/>
        </w:rPr>
        <w:t>R. v Allen</w:t>
      </w:r>
      <w:r w:rsidRPr="000A66A1">
        <w:rPr>
          <w:rFonts w:asciiTheme="minorHAnsi" w:hAnsiTheme="minorHAnsi" w:cs="Arial"/>
          <w:bCs/>
          <w:color w:val="000000" w:themeColor="text1"/>
          <w:lang w:val="de-DE"/>
        </w:rPr>
        <w:t xml:space="preserve"> </w:t>
      </w:r>
      <w:r w:rsidRPr="000A66A1">
        <w:rPr>
          <w:rFonts w:asciiTheme="minorHAnsi" w:hAnsiTheme="minorHAnsi" w:cs="Arial"/>
          <w:color w:val="000000" w:themeColor="text1"/>
          <w:lang w:val="de-DE"/>
        </w:rPr>
        <w:t>[1988] Crim. L.R. 698</w:t>
      </w:r>
    </w:p>
    <w:p w14:paraId="421B11D7" w14:textId="77777777" w:rsidR="001A4B11" w:rsidRPr="000A66A1" w:rsidRDefault="001A4B11" w:rsidP="000A66A1">
      <w:pPr>
        <w:tabs>
          <w:tab w:val="center" w:pos="4150"/>
        </w:tabs>
        <w:spacing w:line="360" w:lineRule="auto"/>
        <w:rPr>
          <w:rFonts w:asciiTheme="minorHAnsi" w:hAnsiTheme="minorHAnsi" w:cs="Arial"/>
          <w:color w:val="000000" w:themeColor="text1"/>
          <w:lang w:val="en-US"/>
        </w:rPr>
      </w:pPr>
      <w:r w:rsidRPr="000A66A1">
        <w:rPr>
          <w:rFonts w:asciiTheme="minorHAnsi" w:hAnsiTheme="minorHAnsi" w:cs="Arial"/>
          <w:bCs/>
          <w:i/>
          <w:color w:val="000000" w:themeColor="text1"/>
          <w:lang w:val="en-US"/>
        </w:rPr>
        <w:t>R. v Bailey</w:t>
      </w:r>
      <w:r w:rsidRPr="000A66A1">
        <w:rPr>
          <w:rFonts w:asciiTheme="minorHAnsi" w:hAnsiTheme="minorHAnsi" w:cs="Arial"/>
          <w:bCs/>
          <w:color w:val="000000" w:themeColor="text1"/>
          <w:lang w:val="en-US"/>
        </w:rPr>
        <w:t xml:space="preserve"> </w:t>
      </w:r>
      <w:r w:rsidRPr="000A66A1">
        <w:rPr>
          <w:rFonts w:asciiTheme="minorHAnsi" w:hAnsiTheme="minorHAnsi" w:cs="Arial"/>
          <w:color w:val="000000" w:themeColor="text1"/>
          <w:lang w:val="en-US"/>
        </w:rPr>
        <w:t>[1983] 1 W.L.R. 760</w:t>
      </w:r>
    </w:p>
    <w:p w14:paraId="238832CF" w14:textId="77777777" w:rsidR="001A4B11" w:rsidRPr="000A66A1" w:rsidRDefault="001A4B11" w:rsidP="000A66A1">
      <w:pPr>
        <w:tabs>
          <w:tab w:val="center" w:pos="4150"/>
        </w:tabs>
        <w:spacing w:line="360" w:lineRule="auto"/>
        <w:rPr>
          <w:rFonts w:asciiTheme="minorHAnsi" w:hAnsiTheme="minorHAnsi" w:cs="Arial"/>
          <w:lang w:val="en-US"/>
        </w:rPr>
      </w:pPr>
      <w:r w:rsidRPr="000A66A1">
        <w:rPr>
          <w:rFonts w:asciiTheme="minorHAnsi" w:hAnsiTheme="minorHAnsi" w:cs="Arial"/>
          <w:bCs/>
          <w:i/>
          <w:lang w:val="en-US"/>
        </w:rPr>
        <w:t>R. v Coley, R. v McGhee, R. v Harris</w:t>
      </w:r>
      <w:r w:rsidRPr="000A66A1">
        <w:rPr>
          <w:rFonts w:asciiTheme="minorHAnsi" w:hAnsiTheme="minorHAnsi" w:cs="Arial"/>
          <w:bCs/>
          <w:lang w:val="en-US"/>
        </w:rPr>
        <w:t xml:space="preserve"> [</w:t>
      </w:r>
      <w:r w:rsidRPr="000A66A1">
        <w:rPr>
          <w:rFonts w:asciiTheme="minorHAnsi" w:hAnsiTheme="minorHAnsi" w:cs="Arial"/>
          <w:lang w:val="en-US"/>
        </w:rPr>
        <w:t>2013] EWCA Crim 223</w:t>
      </w:r>
    </w:p>
    <w:p w14:paraId="3B11F08A" w14:textId="77777777" w:rsidR="001A4B11" w:rsidRPr="000A66A1" w:rsidRDefault="001A4B11" w:rsidP="000A66A1">
      <w:pPr>
        <w:tabs>
          <w:tab w:val="center" w:pos="4150"/>
        </w:tabs>
        <w:spacing w:line="360" w:lineRule="auto"/>
        <w:rPr>
          <w:rFonts w:asciiTheme="minorHAnsi" w:hAnsiTheme="minorHAnsi" w:cs="Arial"/>
          <w:color w:val="000000" w:themeColor="text1"/>
          <w:lang w:val="en-US"/>
        </w:rPr>
      </w:pPr>
      <w:r w:rsidRPr="000A66A1">
        <w:rPr>
          <w:rFonts w:asciiTheme="minorHAnsi" w:hAnsiTheme="minorHAnsi" w:cs="Arial"/>
          <w:bCs/>
          <w:i/>
          <w:color w:val="000000" w:themeColor="text1"/>
          <w:lang w:val="en-US"/>
        </w:rPr>
        <w:t xml:space="preserve">R. v </w:t>
      </w:r>
      <w:proofErr w:type="spellStart"/>
      <w:r w:rsidRPr="000A66A1">
        <w:rPr>
          <w:rFonts w:asciiTheme="minorHAnsi" w:hAnsiTheme="minorHAnsi" w:cs="Arial"/>
          <w:bCs/>
          <w:i/>
          <w:color w:val="000000" w:themeColor="text1"/>
          <w:lang w:val="en-US"/>
        </w:rPr>
        <w:t>Eatch</w:t>
      </w:r>
      <w:proofErr w:type="spellEnd"/>
      <w:r w:rsidRPr="000A66A1">
        <w:rPr>
          <w:rFonts w:asciiTheme="minorHAnsi" w:hAnsiTheme="minorHAnsi" w:cs="Arial"/>
          <w:bCs/>
          <w:color w:val="000000" w:themeColor="text1"/>
          <w:lang w:val="en-US"/>
        </w:rPr>
        <w:t xml:space="preserve"> </w:t>
      </w:r>
      <w:r w:rsidRPr="000A66A1">
        <w:rPr>
          <w:rFonts w:asciiTheme="minorHAnsi" w:hAnsiTheme="minorHAnsi" w:cs="Arial"/>
          <w:color w:val="000000" w:themeColor="text1"/>
          <w:lang w:val="en-US"/>
        </w:rPr>
        <w:t>[1980] Crim. L.R. 650</w:t>
      </w:r>
    </w:p>
    <w:p w14:paraId="3A45A098" w14:textId="77777777" w:rsidR="001A4B11" w:rsidRPr="000A66A1" w:rsidRDefault="001A4B11" w:rsidP="000A66A1">
      <w:pPr>
        <w:spacing w:line="360" w:lineRule="auto"/>
        <w:rPr>
          <w:rFonts w:asciiTheme="minorHAnsi" w:hAnsiTheme="minorHAnsi" w:cs="Arial"/>
          <w:color w:val="000000" w:themeColor="text1"/>
          <w:lang w:val="de-DE"/>
        </w:rPr>
      </w:pPr>
      <w:r w:rsidRPr="000A66A1">
        <w:rPr>
          <w:rFonts w:asciiTheme="minorHAnsi" w:hAnsiTheme="minorHAnsi" w:cs="Arial"/>
          <w:bCs/>
          <w:i/>
          <w:color w:val="000000" w:themeColor="text1"/>
          <w:lang w:val="de-DE"/>
        </w:rPr>
        <w:t>R. v Hardie</w:t>
      </w:r>
      <w:r w:rsidRPr="000A66A1">
        <w:rPr>
          <w:rFonts w:asciiTheme="minorHAnsi" w:hAnsiTheme="minorHAnsi" w:cs="Arial"/>
          <w:bCs/>
          <w:color w:val="000000" w:themeColor="text1"/>
          <w:lang w:val="de-DE"/>
        </w:rPr>
        <w:t xml:space="preserve"> </w:t>
      </w:r>
      <w:r w:rsidRPr="000A66A1">
        <w:rPr>
          <w:rFonts w:asciiTheme="minorHAnsi" w:hAnsiTheme="minorHAnsi" w:cs="Arial"/>
          <w:color w:val="000000" w:themeColor="text1"/>
          <w:lang w:val="de-DE"/>
        </w:rPr>
        <w:t>[1985] 1 W.L.R. 64</w:t>
      </w:r>
    </w:p>
    <w:p w14:paraId="1C2EC57B" w14:textId="77777777" w:rsidR="001A4B11" w:rsidRPr="000A66A1" w:rsidRDefault="001A4B11" w:rsidP="000A66A1">
      <w:pPr>
        <w:tabs>
          <w:tab w:val="center" w:pos="4150"/>
        </w:tabs>
        <w:spacing w:line="360" w:lineRule="auto"/>
        <w:rPr>
          <w:rFonts w:asciiTheme="minorHAnsi" w:hAnsiTheme="minorHAnsi" w:cs="Arial"/>
          <w:color w:val="000000" w:themeColor="text1"/>
          <w:lang w:val="en-US"/>
        </w:rPr>
      </w:pPr>
      <w:r w:rsidRPr="000A66A1">
        <w:rPr>
          <w:rFonts w:asciiTheme="minorHAnsi" w:hAnsiTheme="minorHAnsi" w:cs="Arial"/>
          <w:bCs/>
          <w:i/>
          <w:color w:val="000000" w:themeColor="text1"/>
          <w:lang w:val="en-US"/>
        </w:rPr>
        <w:t>R. v Heard</w:t>
      </w:r>
      <w:r w:rsidRPr="000A66A1">
        <w:rPr>
          <w:rFonts w:asciiTheme="minorHAnsi" w:hAnsiTheme="minorHAnsi" w:cs="Arial"/>
          <w:bCs/>
          <w:color w:val="000000" w:themeColor="text1"/>
          <w:lang w:val="en-US"/>
        </w:rPr>
        <w:t xml:space="preserve"> </w:t>
      </w:r>
      <w:r w:rsidRPr="000A66A1">
        <w:rPr>
          <w:rFonts w:asciiTheme="minorHAnsi" w:hAnsiTheme="minorHAnsi" w:cs="Arial"/>
          <w:color w:val="000000" w:themeColor="text1"/>
          <w:lang w:val="en-US"/>
        </w:rPr>
        <w:t>[2007] EWCA Crim 125</w:t>
      </w:r>
    </w:p>
    <w:p w14:paraId="495AC67E" w14:textId="77777777" w:rsidR="001A4B11" w:rsidRPr="000A66A1" w:rsidRDefault="001A4B11" w:rsidP="000A66A1">
      <w:pPr>
        <w:tabs>
          <w:tab w:val="center" w:pos="4150"/>
        </w:tabs>
        <w:spacing w:line="360" w:lineRule="auto"/>
        <w:rPr>
          <w:rFonts w:asciiTheme="minorHAnsi" w:hAnsiTheme="minorHAnsi" w:cs="Arial"/>
          <w:color w:val="000000" w:themeColor="text1"/>
          <w:lang w:val="en-US"/>
        </w:rPr>
      </w:pPr>
      <w:r w:rsidRPr="000A66A1">
        <w:rPr>
          <w:rFonts w:asciiTheme="minorHAnsi" w:hAnsiTheme="minorHAnsi" w:cs="Arial"/>
          <w:bCs/>
          <w:i/>
          <w:color w:val="000000" w:themeColor="text1"/>
          <w:lang w:val="en-US"/>
        </w:rPr>
        <w:t>R. v Williams</w:t>
      </w:r>
      <w:r w:rsidRPr="000A66A1">
        <w:rPr>
          <w:rFonts w:asciiTheme="minorHAnsi" w:hAnsiTheme="minorHAnsi" w:cs="Arial"/>
          <w:bCs/>
          <w:color w:val="000000" w:themeColor="text1"/>
          <w:lang w:val="en-US"/>
        </w:rPr>
        <w:t xml:space="preserve"> </w:t>
      </w:r>
      <w:r w:rsidRPr="000A66A1">
        <w:rPr>
          <w:rFonts w:asciiTheme="minorHAnsi" w:hAnsiTheme="minorHAnsi" w:cs="Arial"/>
          <w:color w:val="000000" w:themeColor="text1"/>
          <w:lang w:val="en-US"/>
        </w:rPr>
        <w:t>[1987] 3 All E.R. 411</w:t>
      </w:r>
    </w:p>
    <w:p w14:paraId="3A7D9C33" w14:textId="77777777" w:rsidR="001A4B11" w:rsidRPr="000A66A1" w:rsidRDefault="001A4B11" w:rsidP="000A66A1">
      <w:pPr>
        <w:pStyle w:val="FootnoteText"/>
        <w:spacing w:line="360" w:lineRule="auto"/>
        <w:rPr>
          <w:rFonts w:asciiTheme="minorHAnsi" w:hAnsiTheme="minorHAnsi"/>
          <w:color w:val="000000" w:themeColor="text1"/>
          <w:lang w:val="en-US"/>
        </w:rPr>
      </w:pPr>
      <w:r w:rsidRPr="000A66A1">
        <w:rPr>
          <w:rFonts w:asciiTheme="minorHAnsi" w:hAnsiTheme="minorHAnsi"/>
          <w:i/>
          <w:color w:val="000000" w:themeColor="text1"/>
          <w:lang w:val="en-US"/>
        </w:rPr>
        <w:t>Reg v Morgan</w:t>
      </w:r>
      <w:r w:rsidRPr="000A66A1">
        <w:rPr>
          <w:rFonts w:asciiTheme="minorHAnsi" w:hAnsiTheme="minorHAnsi"/>
          <w:color w:val="000000" w:themeColor="text1"/>
          <w:lang w:val="en-US"/>
        </w:rPr>
        <w:t xml:space="preserve"> [1976] A.C. 182, 216</w:t>
      </w:r>
    </w:p>
    <w:p w14:paraId="7FDE34DA"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i/>
          <w:color w:val="000000" w:themeColor="text1"/>
        </w:rPr>
        <w:t>Sheehan</w:t>
      </w:r>
      <w:r w:rsidRPr="000A66A1">
        <w:rPr>
          <w:rFonts w:asciiTheme="minorHAnsi" w:hAnsiTheme="minorHAnsi"/>
          <w:color w:val="000000" w:themeColor="text1"/>
        </w:rPr>
        <w:t xml:space="preserve"> [1975] 1 WLR 739</w:t>
      </w:r>
    </w:p>
    <w:p w14:paraId="0A9E97B8" w14:textId="77777777" w:rsidR="001A4B11" w:rsidRPr="000A66A1" w:rsidRDefault="001A4B11" w:rsidP="000A66A1">
      <w:pPr>
        <w:spacing w:line="360" w:lineRule="auto"/>
        <w:rPr>
          <w:rFonts w:asciiTheme="minorHAnsi" w:hAnsiTheme="minorHAnsi" w:cs="Arial"/>
          <w:color w:val="000000" w:themeColor="text1"/>
          <w:shd w:val="clear" w:color="auto" w:fill="FFFFFF"/>
        </w:rPr>
      </w:pPr>
      <w:r w:rsidRPr="000A66A1">
        <w:rPr>
          <w:rFonts w:asciiTheme="minorHAnsi" w:hAnsiTheme="minorHAnsi" w:cs="Arial"/>
          <w:i/>
          <w:color w:val="000000" w:themeColor="text1"/>
          <w:shd w:val="clear" w:color="auto" w:fill="FFFFFF"/>
        </w:rPr>
        <w:t>The Queen v O’Connor</w:t>
      </w:r>
      <w:r w:rsidRPr="000A66A1">
        <w:rPr>
          <w:rFonts w:asciiTheme="minorHAnsi" w:hAnsiTheme="minorHAnsi" w:cs="Arial"/>
          <w:color w:val="000000" w:themeColor="text1"/>
          <w:shd w:val="clear" w:color="auto" w:fill="FFFFFF"/>
        </w:rPr>
        <w:t xml:space="preserve"> (1980) 54 A.L.J.R. 349</w:t>
      </w:r>
    </w:p>
    <w:p w14:paraId="012F1F86" w14:textId="77777777" w:rsidR="001A4B11" w:rsidRPr="000A66A1" w:rsidRDefault="001A4B11" w:rsidP="000A66A1">
      <w:pPr>
        <w:pStyle w:val="FootnoteText"/>
        <w:spacing w:line="360" w:lineRule="auto"/>
        <w:rPr>
          <w:rFonts w:asciiTheme="minorHAnsi" w:hAnsiTheme="minorHAnsi"/>
        </w:rPr>
      </w:pPr>
      <w:proofErr w:type="spellStart"/>
      <w:r w:rsidRPr="000A66A1">
        <w:rPr>
          <w:rFonts w:asciiTheme="minorHAnsi" w:hAnsiTheme="minorHAnsi"/>
          <w:i/>
        </w:rPr>
        <w:t>Woolmington</w:t>
      </w:r>
      <w:proofErr w:type="spellEnd"/>
      <w:r w:rsidRPr="000A66A1">
        <w:rPr>
          <w:rFonts w:asciiTheme="minorHAnsi" w:hAnsiTheme="minorHAnsi"/>
          <w:i/>
        </w:rPr>
        <w:t xml:space="preserve"> v DPP </w:t>
      </w:r>
      <w:r w:rsidRPr="000A66A1">
        <w:rPr>
          <w:rFonts w:asciiTheme="minorHAnsi" w:hAnsiTheme="minorHAnsi"/>
        </w:rPr>
        <w:t>[1935] UKHL 1</w:t>
      </w:r>
    </w:p>
    <w:p w14:paraId="60BF02DD" w14:textId="77777777" w:rsidR="00834D1A" w:rsidRPr="000A66A1" w:rsidRDefault="00834D1A" w:rsidP="000A66A1">
      <w:pPr>
        <w:spacing w:line="360" w:lineRule="auto"/>
        <w:rPr>
          <w:rFonts w:asciiTheme="minorHAnsi" w:hAnsiTheme="minorHAnsi" w:cs="Arial"/>
          <w:color w:val="000000" w:themeColor="text1"/>
          <w:shd w:val="clear" w:color="auto" w:fill="FFFFFF"/>
        </w:rPr>
      </w:pPr>
    </w:p>
    <w:p w14:paraId="52AA0C00" w14:textId="609B462C" w:rsidR="00386CB4" w:rsidRPr="000A66A1" w:rsidRDefault="00386CB4" w:rsidP="000A66A1">
      <w:pPr>
        <w:spacing w:line="360" w:lineRule="auto"/>
        <w:rPr>
          <w:rFonts w:asciiTheme="minorHAnsi" w:hAnsiTheme="minorHAnsi" w:cs="Arial"/>
          <w:color w:val="000000" w:themeColor="text1"/>
          <w:shd w:val="clear" w:color="auto" w:fill="FFFFFF"/>
        </w:rPr>
      </w:pPr>
    </w:p>
    <w:p w14:paraId="3FDFEE96" w14:textId="68B1EB35" w:rsidR="00386CB4" w:rsidRPr="000A66A1" w:rsidRDefault="001A4B11" w:rsidP="000A66A1">
      <w:pPr>
        <w:spacing w:line="360" w:lineRule="auto"/>
        <w:rPr>
          <w:rFonts w:asciiTheme="minorHAnsi" w:hAnsiTheme="minorHAnsi" w:cs="Arial"/>
          <w:color w:val="000000" w:themeColor="text1"/>
          <w:u w:val="single"/>
          <w:shd w:val="clear" w:color="auto" w:fill="FFFFFF"/>
        </w:rPr>
      </w:pPr>
      <w:r w:rsidRPr="000A66A1">
        <w:rPr>
          <w:rFonts w:asciiTheme="minorHAnsi" w:hAnsiTheme="minorHAnsi" w:cs="Arial"/>
          <w:color w:val="000000" w:themeColor="text1"/>
          <w:u w:val="single"/>
          <w:shd w:val="clear" w:color="auto" w:fill="FFFFFF"/>
        </w:rPr>
        <w:t>Statutes</w:t>
      </w:r>
    </w:p>
    <w:p w14:paraId="33FF65BE" w14:textId="77777777" w:rsidR="001A4B11" w:rsidRPr="000A66A1" w:rsidRDefault="001A4B11" w:rsidP="000A66A1">
      <w:pPr>
        <w:pStyle w:val="FootnoteText"/>
        <w:spacing w:line="360" w:lineRule="auto"/>
        <w:rPr>
          <w:rFonts w:asciiTheme="minorHAnsi" w:hAnsiTheme="minorHAnsi"/>
          <w:color w:val="000000" w:themeColor="text1"/>
          <w:lang w:val="en-US"/>
        </w:rPr>
      </w:pPr>
    </w:p>
    <w:p w14:paraId="67EF007D" w14:textId="77777777" w:rsidR="001A4B11" w:rsidRPr="000A66A1" w:rsidRDefault="001A4B11" w:rsidP="000A66A1">
      <w:pPr>
        <w:tabs>
          <w:tab w:val="center" w:pos="4150"/>
        </w:tabs>
        <w:spacing w:line="360" w:lineRule="auto"/>
        <w:rPr>
          <w:rFonts w:asciiTheme="minorHAnsi" w:hAnsiTheme="minorHAnsi" w:cs="Arial"/>
          <w:bCs/>
          <w:color w:val="262628"/>
          <w:lang w:val="en-US"/>
        </w:rPr>
      </w:pPr>
      <w:r w:rsidRPr="000A66A1">
        <w:rPr>
          <w:rFonts w:asciiTheme="minorHAnsi" w:hAnsiTheme="minorHAnsi" w:cs="Arial"/>
          <w:bCs/>
          <w:color w:val="262628"/>
          <w:lang w:val="en-US"/>
        </w:rPr>
        <w:t>Criminal Damage Act 1971</w:t>
      </w:r>
    </w:p>
    <w:p w14:paraId="56F2ACC7" w14:textId="77777777" w:rsidR="001A4B11" w:rsidRPr="000A66A1" w:rsidRDefault="001A4B11" w:rsidP="000A66A1">
      <w:pPr>
        <w:pStyle w:val="FootnoteText"/>
        <w:spacing w:line="360" w:lineRule="auto"/>
        <w:rPr>
          <w:rFonts w:asciiTheme="minorHAnsi" w:hAnsiTheme="minorHAnsi"/>
        </w:rPr>
      </w:pPr>
      <w:r w:rsidRPr="000A66A1">
        <w:rPr>
          <w:rFonts w:asciiTheme="minorHAnsi" w:hAnsiTheme="minorHAnsi"/>
        </w:rPr>
        <w:lastRenderedPageBreak/>
        <w:t>Criminal Justice Act 1988, s.39</w:t>
      </w:r>
    </w:p>
    <w:p w14:paraId="36DB2150" w14:textId="77777777" w:rsidR="001A4B11" w:rsidRPr="000A66A1" w:rsidRDefault="001A4B11" w:rsidP="000A66A1">
      <w:pPr>
        <w:pStyle w:val="FootnoteText"/>
        <w:spacing w:line="360" w:lineRule="auto"/>
        <w:rPr>
          <w:rFonts w:asciiTheme="minorHAnsi" w:hAnsiTheme="minorHAnsi" w:cs="Arial"/>
          <w:color w:val="000000" w:themeColor="text1"/>
          <w:lang w:val="en-US"/>
        </w:rPr>
      </w:pPr>
      <w:r w:rsidRPr="000A66A1">
        <w:rPr>
          <w:rFonts w:asciiTheme="minorHAnsi" w:hAnsiTheme="minorHAnsi" w:cs="Arial"/>
          <w:color w:val="000000" w:themeColor="text1"/>
          <w:lang w:val="en-US"/>
        </w:rPr>
        <w:t>Homicide Act 1957, s1(1)</w:t>
      </w:r>
    </w:p>
    <w:p w14:paraId="0F99DDCC" w14:textId="77777777" w:rsidR="001A4B11" w:rsidRPr="000A66A1" w:rsidRDefault="001A4B11" w:rsidP="000A66A1">
      <w:pPr>
        <w:pStyle w:val="FootnoteText"/>
        <w:spacing w:line="360" w:lineRule="auto"/>
        <w:rPr>
          <w:rFonts w:asciiTheme="minorHAnsi" w:hAnsiTheme="minorHAnsi"/>
          <w:color w:val="000000" w:themeColor="text1"/>
        </w:rPr>
      </w:pPr>
      <w:r w:rsidRPr="000A66A1">
        <w:rPr>
          <w:rFonts w:asciiTheme="minorHAnsi" w:hAnsiTheme="minorHAnsi"/>
          <w:color w:val="000000" w:themeColor="text1"/>
        </w:rPr>
        <w:t>Offences Against the Person Act 1861</w:t>
      </w:r>
    </w:p>
    <w:p w14:paraId="1CDE8585" w14:textId="527A2D4B" w:rsidR="001A4B11" w:rsidRPr="000A66A1" w:rsidRDefault="001A4B11" w:rsidP="000A66A1">
      <w:pPr>
        <w:pStyle w:val="FootnoteText"/>
        <w:spacing w:line="360" w:lineRule="auto"/>
        <w:rPr>
          <w:rFonts w:asciiTheme="minorHAnsi" w:hAnsiTheme="minorHAnsi"/>
          <w:color w:val="000000" w:themeColor="text1"/>
          <w:lang w:val="en-US"/>
        </w:rPr>
      </w:pPr>
      <w:r w:rsidRPr="000A66A1">
        <w:rPr>
          <w:rFonts w:asciiTheme="minorHAnsi" w:hAnsiTheme="minorHAnsi"/>
          <w:color w:val="000000" w:themeColor="text1"/>
          <w:lang w:val="en-US"/>
        </w:rPr>
        <w:t>Theft Act 1968, s 1(1)</w:t>
      </w:r>
    </w:p>
    <w:p w14:paraId="103DF833" w14:textId="77777777" w:rsidR="00F90D8E" w:rsidRPr="000A66A1" w:rsidRDefault="00F90D8E" w:rsidP="000A66A1">
      <w:pPr>
        <w:pStyle w:val="FootnoteText"/>
        <w:spacing w:line="360" w:lineRule="auto"/>
        <w:rPr>
          <w:rFonts w:asciiTheme="minorHAnsi" w:hAnsiTheme="minorHAnsi"/>
        </w:rPr>
      </w:pPr>
      <w:r w:rsidRPr="000A66A1">
        <w:rPr>
          <w:rFonts w:asciiTheme="minorHAnsi" w:hAnsiTheme="minorHAnsi"/>
        </w:rPr>
        <w:t>Violence, Reforming the Offences Against the Person Act 1861 (1998)</w:t>
      </w:r>
    </w:p>
    <w:p w14:paraId="1E6BE926" w14:textId="423FCE6B" w:rsidR="00DE664E" w:rsidRPr="000A66A1" w:rsidRDefault="00DE664E" w:rsidP="000A66A1">
      <w:pPr>
        <w:pStyle w:val="FootnoteText"/>
        <w:spacing w:line="360" w:lineRule="auto"/>
        <w:rPr>
          <w:rFonts w:asciiTheme="minorHAnsi" w:hAnsiTheme="minorHAnsi"/>
          <w:color w:val="000000" w:themeColor="text1"/>
          <w:lang w:val="en-US"/>
        </w:rPr>
      </w:pPr>
    </w:p>
    <w:p w14:paraId="0F2A5240" w14:textId="07F97891" w:rsidR="001A4B11" w:rsidRPr="000A66A1" w:rsidRDefault="001A4B11" w:rsidP="000A66A1">
      <w:pPr>
        <w:pStyle w:val="FootnoteText"/>
        <w:spacing w:line="360" w:lineRule="auto"/>
        <w:rPr>
          <w:rFonts w:asciiTheme="minorHAnsi" w:hAnsiTheme="minorHAnsi"/>
          <w:color w:val="000000" w:themeColor="text1"/>
          <w:u w:val="single"/>
          <w:lang w:val="en-US"/>
        </w:rPr>
      </w:pPr>
      <w:r w:rsidRPr="000A66A1">
        <w:rPr>
          <w:rFonts w:asciiTheme="minorHAnsi" w:hAnsiTheme="minorHAnsi"/>
          <w:color w:val="000000" w:themeColor="text1"/>
          <w:u w:val="single"/>
          <w:lang w:val="en-US"/>
        </w:rPr>
        <w:t>Secondary Sources</w:t>
      </w:r>
    </w:p>
    <w:p w14:paraId="0892FBD1" w14:textId="09D340AF" w:rsidR="00F90D8E" w:rsidRPr="000A66A1" w:rsidRDefault="00F90D8E" w:rsidP="000A66A1">
      <w:pPr>
        <w:pStyle w:val="FootnoteText"/>
        <w:spacing w:line="360" w:lineRule="auto"/>
        <w:rPr>
          <w:rFonts w:asciiTheme="minorHAnsi" w:hAnsiTheme="minorHAnsi"/>
          <w:color w:val="000000" w:themeColor="text1"/>
          <w:u w:val="single"/>
          <w:lang w:val="en-US"/>
        </w:rPr>
      </w:pPr>
    </w:p>
    <w:p w14:paraId="086533E6" w14:textId="5A30563E" w:rsidR="00F90D8E" w:rsidRPr="000A66A1" w:rsidRDefault="00F90D8E" w:rsidP="000A66A1">
      <w:pPr>
        <w:pStyle w:val="FootnoteText"/>
        <w:spacing w:line="360" w:lineRule="auto"/>
        <w:rPr>
          <w:rFonts w:asciiTheme="minorHAnsi" w:hAnsiTheme="minorHAnsi"/>
          <w:color w:val="000000" w:themeColor="text1"/>
          <w:u w:val="single"/>
          <w:lang w:val="en-US"/>
        </w:rPr>
      </w:pPr>
      <w:r w:rsidRPr="000A66A1">
        <w:rPr>
          <w:rFonts w:asciiTheme="minorHAnsi" w:hAnsiTheme="minorHAnsi"/>
          <w:color w:val="000000" w:themeColor="text1"/>
          <w:u w:val="single"/>
          <w:lang w:val="en-US"/>
        </w:rPr>
        <w:t xml:space="preserve">Books </w:t>
      </w:r>
    </w:p>
    <w:p w14:paraId="0B695FD2" w14:textId="648D9FDA" w:rsidR="00F90D8E" w:rsidRPr="000A66A1" w:rsidRDefault="00F90D8E" w:rsidP="000A66A1">
      <w:pPr>
        <w:pStyle w:val="FootnoteText"/>
        <w:spacing w:line="360" w:lineRule="auto"/>
        <w:rPr>
          <w:rFonts w:asciiTheme="minorHAnsi" w:hAnsiTheme="minorHAnsi"/>
          <w:color w:val="000000" w:themeColor="text1"/>
          <w:u w:val="single"/>
          <w:lang w:val="en-US"/>
        </w:rPr>
      </w:pPr>
    </w:p>
    <w:p w14:paraId="0FE387CF" w14:textId="77777777" w:rsidR="00F90D8E" w:rsidRPr="000A66A1" w:rsidRDefault="00F90D8E" w:rsidP="000A66A1">
      <w:pPr>
        <w:spacing w:line="360" w:lineRule="auto"/>
        <w:rPr>
          <w:rFonts w:asciiTheme="minorHAnsi" w:hAnsiTheme="minorHAnsi"/>
        </w:rPr>
      </w:pPr>
      <w:r w:rsidRPr="000A66A1">
        <w:rPr>
          <w:rFonts w:asciiTheme="minorHAnsi" w:hAnsiTheme="minorHAnsi"/>
        </w:rPr>
        <w:t xml:space="preserve">Livings B, Reed A and Wake N, </w:t>
      </w:r>
      <w:r w:rsidRPr="000A66A1">
        <w:rPr>
          <w:rFonts w:asciiTheme="minorHAnsi" w:hAnsiTheme="minorHAnsi"/>
          <w:i/>
        </w:rPr>
        <w:t xml:space="preserve">Mental Cognition Defences and the Criminal Justice System </w:t>
      </w:r>
      <w:r w:rsidRPr="000A66A1">
        <w:rPr>
          <w:rFonts w:asciiTheme="minorHAnsi" w:hAnsiTheme="minorHAnsi"/>
        </w:rPr>
        <w:t xml:space="preserve">(first published 2015, Cambridge Scholars Publishing) </w:t>
      </w:r>
    </w:p>
    <w:p w14:paraId="26DDD7D5" w14:textId="77777777" w:rsidR="00F90D8E" w:rsidRPr="000A66A1" w:rsidRDefault="00F90D8E" w:rsidP="000A66A1">
      <w:pPr>
        <w:spacing w:line="360" w:lineRule="auto"/>
        <w:rPr>
          <w:rFonts w:asciiTheme="minorHAnsi" w:hAnsiTheme="minorHAnsi"/>
          <w:color w:val="000000" w:themeColor="text1"/>
          <w:lang w:val="en-US"/>
        </w:rPr>
      </w:pPr>
      <w:r w:rsidRPr="000A66A1">
        <w:rPr>
          <w:rFonts w:asciiTheme="minorHAnsi" w:hAnsiTheme="minorHAnsi"/>
          <w:color w:val="000000" w:themeColor="text1"/>
          <w:lang w:val="en-US"/>
        </w:rPr>
        <w:t xml:space="preserve">Williams G, </w:t>
      </w:r>
      <w:r w:rsidRPr="000A66A1">
        <w:rPr>
          <w:rFonts w:asciiTheme="minorHAnsi" w:hAnsiTheme="minorHAnsi"/>
          <w:i/>
          <w:color w:val="000000" w:themeColor="text1"/>
          <w:lang w:val="en-US"/>
        </w:rPr>
        <w:t>Textbook of Criminal Law</w:t>
      </w:r>
      <w:r w:rsidRPr="000A66A1">
        <w:rPr>
          <w:rFonts w:asciiTheme="minorHAnsi" w:hAnsiTheme="minorHAnsi"/>
          <w:color w:val="000000" w:themeColor="text1"/>
          <w:lang w:val="en-US"/>
        </w:rPr>
        <w:t xml:space="preserve"> (2</w:t>
      </w:r>
      <w:r w:rsidRPr="000A66A1">
        <w:rPr>
          <w:rFonts w:asciiTheme="minorHAnsi" w:hAnsiTheme="minorHAnsi"/>
          <w:color w:val="000000" w:themeColor="text1"/>
          <w:vertAlign w:val="superscript"/>
          <w:lang w:val="en-US"/>
        </w:rPr>
        <w:t>nd</w:t>
      </w:r>
      <w:r w:rsidRPr="000A66A1">
        <w:rPr>
          <w:rFonts w:asciiTheme="minorHAnsi" w:hAnsiTheme="minorHAnsi"/>
          <w:color w:val="000000" w:themeColor="text1"/>
          <w:lang w:val="en-US"/>
        </w:rPr>
        <w:t xml:space="preserve"> ed, 1983)</w:t>
      </w:r>
    </w:p>
    <w:p w14:paraId="14AD5D0D" w14:textId="77777777" w:rsidR="001A4B11" w:rsidRPr="000A66A1" w:rsidRDefault="001A4B11" w:rsidP="000A66A1">
      <w:pPr>
        <w:pStyle w:val="FootnoteText"/>
        <w:spacing w:line="360" w:lineRule="auto"/>
        <w:rPr>
          <w:rFonts w:asciiTheme="minorHAnsi" w:hAnsiTheme="minorHAnsi"/>
          <w:color w:val="000000" w:themeColor="text1"/>
          <w:u w:val="single"/>
          <w:lang w:val="en-US"/>
        </w:rPr>
      </w:pPr>
    </w:p>
    <w:p w14:paraId="60B15FF7" w14:textId="24DEB74A" w:rsidR="00834D1A" w:rsidRPr="000A66A1" w:rsidRDefault="00834D1A" w:rsidP="000A66A1">
      <w:pPr>
        <w:pStyle w:val="FootnoteText"/>
        <w:spacing w:line="360" w:lineRule="auto"/>
        <w:rPr>
          <w:rFonts w:asciiTheme="minorHAnsi" w:hAnsiTheme="minorHAnsi"/>
          <w:color w:val="000000" w:themeColor="text1"/>
          <w:u w:val="single"/>
          <w:lang w:val="en-US"/>
        </w:rPr>
      </w:pPr>
      <w:r w:rsidRPr="000A66A1">
        <w:rPr>
          <w:rFonts w:asciiTheme="minorHAnsi" w:hAnsiTheme="minorHAnsi"/>
          <w:color w:val="000000" w:themeColor="text1"/>
          <w:u w:val="single"/>
          <w:lang w:val="en-US"/>
        </w:rPr>
        <w:t>Law Commission Reports</w:t>
      </w:r>
    </w:p>
    <w:p w14:paraId="3BF7F24E" w14:textId="3217747A" w:rsidR="00834D1A" w:rsidRPr="000A66A1" w:rsidRDefault="00834D1A" w:rsidP="000A66A1">
      <w:pPr>
        <w:pStyle w:val="FootnoteText"/>
        <w:spacing w:line="360" w:lineRule="auto"/>
        <w:rPr>
          <w:rFonts w:asciiTheme="minorHAnsi" w:hAnsiTheme="minorHAnsi"/>
          <w:color w:val="000000" w:themeColor="text1"/>
          <w:u w:val="single"/>
          <w:lang w:val="en-US"/>
        </w:rPr>
      </w:pPr>
    </w:p>
    <w:p w14:paraId="42B0A4C5" w14:textId="32F16271" w:rsidR="00834D1A" w:rsidRPr="000A66A1" w:rsidRDefault="00834D1A" w:rsidP="000A66A1">
      <w:pPr>
        <w:pStyle w:val="FootnoteText"/>
        <w:spacing w:line="360" w:lineRule="auto"/>
        <w:rPr>
          <w:rFonts w:asciiTheme="minorHAnsi" w:hAnsiTheme="minorHAnsi"/>
        </w:rPr>
      </w:pPr>
      <w:r w:rsidRPr="000A66A1">
        <w:rPr>
          <w:rFonts w:asciiTheme="minorHAnsi" w:hAnsiTheme="minorHAnsi"/>
        </w:rPr>
        <w:t xml:space="preserve">Law Commission, </w:t>
      </w:r>
      <w:r w:rsidRPr="000A66A1">
        <w:rPr>
          <w:rFonts w:asciiTheme="minorHAnsi" w:hAnsiTheme="minorHAnsi"/>
          <w:i/>
          <w:iCs/>
        </w:rPr>
        <w:t>Intoxication and Criminal Liability</w:t>
      </w:r>
      <w:r w:rsidRPr="000A66A1">
        <w:rPr>
          <w:rFonts w:asciiTheme="minorHAnsi" w:hAnsiTheme="minorHAnsi"/>
        </w:rPr>
        <w:t xml:space="preserve"> (Law Com No 127, 1993) </w:t>
      </w:r>
    </w:p>
    <w:p w14:paraId="6A5AFAA6" w14:textId="77777777" w:rsidR="00F90D8E" w:rsidRPr="000A66A1" w:rsidRDefault="00834D1A" w:rsidP="000A66A1">
      <w:pPr>
        <w:spacing w:line="360" w:lineRule="auto"/>
        <w:rPr>
          <w:rFonts w:asciiTheme="minorHAnsi" w:hAnsiTheme="minorHAnsi"/>
        </w:rPr>
      </w:pPr>
      <w:r w:rsidRPr="000A66A1">
        <w:rPr>
          <w:rFonts w:asciiTheme="minorHAnsi" w:hAnsiTheme="minorHAnsi"/>
        </w:rPr>
        <w:t xml:space="preserve">Law Commission, </w:t>
      </w:r>
      <w:r w:rsidRPr="000A66A1">
        <w:rPr>
          <w:rFonts w:asciiTheme="minorHAnsi" w:hAnsiTheme="minorHAnsi"/>
          <w:i/>
        </w:rPr>
        <w:t>Intoxication and Criminal Liability</w:t>
      </w:r>
      <w:r w:rsidRPr="000A66A1">
        <w:rPr>
          <w:rFonts w:asciiTheme="minorHAnsi" w:hAnsiTheme="minorHAnsi"/>
        </w:rPr>
        <w:t xml:space="preserve"> (Law Com No 229, 1995)</w:t>
      </w:r>
    </w:p>
    <w:p w14:paraId="7B929A4A" w14:textId="7FB19F3F" w:rsidR="00834D1A" w:rsidRPr="000A66A1" w:rsidRDefault="00834D1A" w:rsidP="000A66A1">
      <w:pPr>
        <w:spacing w:line="360" w:lineRule="auto"/>
        <w:rPr>
          <w:rFonts w:asciiTheme="minorHAnsi" w:hAnsiTheme="minorHAnsi"/>
        </w:rPr>
      </w:pPr>
      <w:r w:rsidRPr="000A66A1">
        <w:rPr>
          <w:rFonts w:asciiTheme="minorHAnsi" w:hAnsiTheme="minorHAnsi"/>
        </w:rPr>
        <w:t xml:space="preserve">Law Commission, </w:t>
      </w:r>
      <w:r w:rsidRPr="000A66A1">
        <w:rPr>
          <w:rFonts w:asciiTheme="minorHAnsi" w:hAnsiTheme="minorHAnsi"/>
          <w:i/>
        </w:rPr>
        <w:t>Intoxication and Criminal Liability</w:t>
      </w:r>
      <w:r w:rsidRPr="000A66A1">
        <w:rPr>
          <w:rFonts w:asciiTheme="minorHAnsi" w:hAnsiTheme="minorHAnsi"/>
        </w:rPr>
        <w:t xml:space="preserve"> (Law Com No 314, 2009) </w:t>
      </w:r>
    </w:p>
    <w:p w14:paraId="48DC3381" w14:textId="68E69246" w:rsidR="00834D1A" w:rsidRPr="000A66A1" w:rsidRDefault="00834D1A" w:rsidP="000A66A1">
      <w:pPr>
        <w:pStyle w:val="FootnoteText"/>
        <w:spacing w:line="360" w:lineRule="auto"/>
        <w:rPr>
          <w:rFonts w:asciiTheme="minorHAnsi" w:hAnsiTheme="minorHAnsi"/>
          <w:color w:val="000000" w:themeColor="text1"/>
          <w:lang w:val="en-US"/>
        </w:rPr>
      </w:pPr>
    </w:p>
    <w:p w14:paraId="278625BD" w14:textId="2A0F1B62" w:rsidR="00834D1A" w:rsidRPr="000A66A1" w:rsidRDefault="001A4B11" w:rsidP="000A66A1">
      <w:pPr>
        <w:pStyle w:val="FootnoteText"/>
        <w:spacing w:line="360" w:lineRule="auto"/>
        <w:rPr>
          <w:rFonts w:asciiTheme="minorHAnsi" w:hAnsiTheme="minorHAnsi"/>
          <w:color w:val="000000" w:themeColor="text1"/>
          <w:u w:val="single"/>
          <w:lang w:val="en-US"/>
        </w:rPr>
      </w:pPr>
      <w:r w:rsidRPr="000A66A1">
        <w:rPr>
          <w:rFonts w:asciiTheme="minorHAnsi" w:hAnsiTheme="minorHAnsi"/>
          <w:color w:val="000000" w:themeColor="text1"/>
          <w:u w:val="single"/>
          <w:lang w:val="en-US"/>
        </w:rPr>
        <w:t xml:space="preserve">Websites </w:t>
      </w:r>
    </w:p>
    <w:p w14:paraId="2EA3E78B" w14:textId="77777777" w:rsidR="001A4B11" w:rsidRPr="000A66A1" w:rsidRDefault="001A4B11" w:rsidP="000A66A1">
      <w:pPr>
        <w:pStyle w:val="FootnoteText"/>
        <w:spacing w:line="360" w:lineRule="auto"/>
        <w:rPr>
          <w:rFonts w:asciiTheme="minorHAnsi" w:hAnsiTheme="minorHAnsi"/>
          <w:i/>
        </w:rPr>
      </w:pPr>
    </w:p>
    <w:p w14:paraId="77ABBD01" w14:textId="77777777" w:rsidR="00F90D8E" w:rsidRPr="000A66A1" w:rsidRDefault="00F90D8E" w:rsidP="000A66A1">
      <w:pPr>
        <w:pStyle w:val="FootnoteText"/>
        <w:spacing w:line="360" w:lineRule="auto"/>
        <w:rPr>
          <w:rFonts w:asciiTheme="minorHAnsi" w:hAnsiTheme="minorHAnsi" w:cs="Arial"/>
          <w:lang w:val="en-US"/>
        </w:rPr>
      </w:pPr>
      <w:r w:rsidRPr="000A66A1">
        <w:rPr>
          <w:rFonts w:asciiTheme="minorHAnsi" w:hAnsiTheme="minorHAnsi" w:cs="Arial"/>
          <w:lang w:val="en-US"/>
        </w:rPr>
        <w:t>‘Alcohol statistics’ (</w:t>
      </w:r>
      <w:r w:rsidRPr="000A66A1">
        <w:rPr>
          <w:rFonts w:asciiTheme="minorHAnsi" w:hAnsiTheme="minorHAnsi" w:cs="Arial"/>
          <w:i/>
          <w:lang w:val="en-US"/>
        </w:rPr>
        <w:t xml:space="preserve">Alcohol Concern, </w:t>
      </w:r>
      <w:r w:rsidRPr="000A66A1">
        <w:rPr>
          <w:rFonts w:asciiTheme="minorHAnsi" w:hAnsiTheme="minorHAnsi" w:cs="Arial"/>
          <w:lang w:val="en-US"/>
        </w:rPr>
        <w:t>4</w:t>
      </w:r>
      <w:r w:rsidRPr="000A66A1">
        <w:rPr>
          <w:rFonts w:asciiTheme="minorHAnsi" w:hAnsiTheme="minorHAnsi" w:cs="Arial"/>
          <w:vertAlign w:val="superscript"/>
          <w:lang w:val="en-US"/>
        </w:rPr>
        <w:t>th</w:t>
      </w:r>
      <w:r w:rsidRPr="000A66A1">
        <w:rPr>
          <w:rFonts w:asciiTheme="minorHAnsi" w:hAnsiTheme="minorHAnsi" w:cs="Arial"/>
          <w:lang w:val="en-US"/>
        </w:rPr>
        <w:t xml:space="preserve"> August 2016) &lt;</w:t>
      </w:r>
      <w:hyperlink r:id="rId12" w:history="1">
        <w:r w:rsidRPr="000A66A1">
          <w:rPr>
            <w:rStyle w:val="Hyperlink"/>
            <w:rFonts w:asciiTheme="minorHAnsi" w:hAnsiTheme="minorHAnsi" w:cs="Arial"/>
            <w:lang w:val="en-US"/>
          </w:rPr>
          <w:t>https://www.alcoholconcern.org.uk/alcohol-statistics</w:t>
        </w:r>
      </w:hyperlink>
      <w:r w:rsidRPr="000A66A1">
        <w:rPr>
          <w:rFonts w:asciiTheme="minorHAnsi" w:hAnsiTheme="minorHAnsi" w:cs="Arial"/>
          <w:lang w:val="en-US"/>
        </w:rPr>
        <w:t>&gt; accessed 3</w:t>
      </w:r>
      <w:r w:rsidRPr="000A66A1">
        <w:rPr>
          <w:rFonts w:asciiTheme="minorHAnsi" w:hAnsiTheme="minorHAnsi" w:cs="Arial"/>
          <w:vertAlign w:val="superscript"/>
          <w:lang w:val="en-US"/>
        </w:rPr>
        <w:t>rd</w:t>
      </w:r>
      <w:r w:rsidRPr="000A66A1">
        <w:rPr>
          <w:rFonts w:asciiTheme="minorHAnsi" w:hAnsiTheme="minorHAnsi" w:cs="Arial"/>
          <w:lang w:val="en-US"/>
        </w:rPr>
        <w:t xml:space="preserve"> September 2018</w:t>
      </w:r>
    </w:p>
    <w:p w14:paraId="127EC47B" w14:textId="77777777" w:rsidR="00F90D8E" w:rsidRPr="000A66A1" w:rsidRDefault="00F90D8E" w:rsidP="000A66A1">
      <w:pPr>
        <w:pStyle w:val="FootnoteText"/>
        <w:spacing w:line="360" w:lineRule="auto"/>
        <w:rPr>
          <w:rFonts w:asciiTheme="minorHAnsi" w:hAnsiTheme="minorHAnsi"/>
          <w:i/>
        </w:rPr>
      </w:pPr>
      <w:r w:rsidRPr="000A66A1">
        <w:rPr>
          <w:rFonts w:asciiTheme="minorHAnsi" w:hAnsiTheme="minorHAnsi"/>
          <w:i/>
        </w:rPr>
        <w:t xml:space="preserve"> ‘</w:t>
      </w:r>
      <w:r w:rsidRPr="000A66A1">
        <w:rPr>
          <w:rFonts w:asciiTheme="minorHAnsi" w:hAnsiTheme="minorHAnsi"/>
          <w:iCs/>
        </w:rPr>
        <w:t>Homicide: Murder and Manslaughter’</w:t>
      </w:r>
      <w:r w:rsidRPr="000A66A1">
        <w:rPr>
          <w:rFonts w:asciiTheme="minorHAnsi" w:hAnsiTheme="minorHAnsi"/>
          <w:i/>
        </w:rPr>
        <w:t xml:space="preserve"> (CPS, </w:t>
      </w:r>
      <w:r w:rsidRPr="000A66A1">
        <w:rPr>
          <w:rFonts w:asciiTheme="minorHAnsi" w:hAnsiTheme="minorHAnsi"/>
          <w:iCs/>
        </w:rPr>
        <w:t>18 March 2019</w:t>
      </w:r>
      <w:r w:rsidRPr="000A66A1">
        <w:rPr>
          <w:rFonts w:asciiTheme="minorHAnsi" w:hAnsiTheme="minorHAnsi"/>
          <w:i/>
        </w:rPr>
        <w:t xml:space="preserve">) &lt; </w:t>
      </w:r>
      <w:hyperlink r:id="rId13" w:history="1">
        <w:r w:rsidRPr="000A66A1">
          <w:rPr>
            <w:rStyle w:val="Hyperlink"/>
            <w:rFonts w:asciiTheme="minorHAnsi" w:hAnsiTheme="minorHAnsi"/>
            <w:i/>
          </w:rPr>
          <w:t>https://www.cps.gov.uk/legal-guidance/homicide-murder-and-manslaughter</w:t>
        </w:r>
      </w:hyperlink>
      <w:r w:rsidRPr="000A66A1">
        <w:rPr>
          <w:rFonts w:asciiTheme="minorHAnsi" w:hAnsiTheme="minorHAnsi"/>
          <w:i/>
        </w:rPr>
        <w:t xml:space="preserve">&gt; accessed 15 April 2019 </w:t>
      </w:r>
    </w:p>
    <w:p w14:paraId="24445291" w14:textId="77777777" w:rsidR="00F90D8E" w:rsidRPr="000A66A1" w:rsidRDefault="00F90D8E" w:rsidP="000A66A1">
      <w:pPr>
        <w:pStyle w:val="FootnoteText"/>
        <w:spacing w:line="360" w:lineRule="auto"/>
        <w:rPr>
          <w:rFonts w:asciiTheme="minorHAnsi" w:hAnsiTheme="minorHAnsi"/>
          <w:i/>
        </w:rPr>
      </w:pPr>
      <w:r w:rsidRPr="000A66A1">
        <w:rPr>
          <w:rFonts w:asciiTheme="minorHAnsi" w:hAnsiTheme="minorHAnsi"/>
          <w:iCs/>
        </w:rPr>
        <w:t xml:space="preserve">‘Offences Against the Person, Incorporating the Charging Standard’ </w:t>
      </w:r>
      <w:r w:rsidRPr="000A66A1">
        <w:rPr>
          <w:rFonts w:asciiTheme="minorHAnsi" w:hAnsiTheme="minorHAnsi"/>
          <w:i/>
        </w:rPr>
        <w:t xml:space="preserve">(CPS, 12 November 2018) &lt; </w:t>
      </w:r>
      <w:hyperlink r:id="rId14" w:history="1">
        <w:r w:rsidRPr="000A66A1">
          <w:rPr>
            <w:rStyle w:val="Hyperlink"/>
            <w:rFonts w:asciiTheme="minorHAnsi" w:hAnsiTheme="minorHAnsi"/>
            <w:i/>
          </w:rPr>
          <w:t>https://www.cps.gov.uk/legal-guidance/offences-against-person-incorporating-charging-standard</w:t>
        </w:r>
      </w:hyperlink>
      <w:r w:rsidRPr="000A66A1">
        <w:rPr>
          <w:rFonts w:asciiTheme="minorHAnsi" w:hAnsiTheme="minorHAnsi"/>
          <w:i/>
        </w:rPr>
        <w:t>&gt; accessed 10 January 2019</w:t>
      </w:r>
    </w:p>
    <w:p w14:paraId="6C203AC6" w14:textId="77777777" w:rsidR="00F90D8E" w:rsidRPr="000A66A1" w:rsidRDefault="00F90D8E" w:rsidP="000A66A1">
      <w:pPr>
        <w:pStyle w:val="FootnoteText"/>
        <w:spacing w:line="360" w:lineRule="auto"/>
        <w:rPr>
          <w:rFonts w:asciiTheme="minorHAnsi" w:hAnsiTheme="minorHAnsi"/>
        </w:rPr>
      </w:pPr>
      <w:r w:rsidRPr="000A66A1">
        <w:rPr>
          <w:rFonts w:asciiTheme="minorHAnsi" w:hAnsiTheme="minorHAnsi"/>
        </w:rPr>
        <w:lastRenderedPageBreak/>
        <w:t xml:space="preserve"> ‘Sentencing – Mandatory Life Sentences in Murder Cases’ (</w:t>
      </w:r>
      <w:r w:rsidRPr="000A66A1">
        <w:rPr>
          <w:rFonts w:asciiTheme="minorHAnsi" w:hAnsiTheme="minorHAnsi"/>
          <w:i/>
        </w:rPr>
        <w:t>CPS</w:t>
      </w:r>
      <w:r w:rsidRPr="000A66A1">
        <w:rPr>
          <w:rFonts w:asciiTheme="minorHAnsi" w:hAnsiTheme="minorHAnsi"/>
        </w:rPr>
        <w:t>) &lt;</w:t>
      </w:r>
      <w:hyperlink r:id="rId15" w:history="1">
        <w:r w:rsidRPr="000A66A1">
          <w:rPr>
            <w:rStyle w:val="Hyperlink"/>
            <w:rFonts w:asciiTheme="minorHAnsi" w:hAnsiTheme="minorHAnsi"/>
          </w:rPr>
          <w:t>https://www.cps.gov.uk/legal-guidance/sentencing-mandatory-life-sentences-murder-cases</w:t>
        </w:r>
      </w:hyperlink>
      <w:r w:rsidRPr="000A66A1">
        <w:rPr>
          <w:rFonts w:asciiTheme="minorHAnsi" w:hAnsiTheme="minorHAnsi"/>
        </w:rPr>
        <w:t>&gt;  accessed 12 January 2019</w:t>
      </w:r>
    </w:p>
    <w:p w14:paraId="2B7B9D51" w14:textId="77777777" w:rsidR="00F90D8E" w:rsidRPr="000A66A1" w:rsidRDefault="00F90D8E" w:rsidP="000A66A1">
      <w:pPr>
        <w:pStyle w:val="FootnoteText"/>
        <w:spacing w:line="360" w:lineRule="auto"/>
        <w:rPr>
          <w:rFonts w:asciiTheme="minorHAnsi" w:hAnsiTheme="minorHAnsi"/>
        </w:rPr>
      </w:pPr>
      <w:r w:rsidRPr="000A66A1">
        <w:rPr>
          <w:rFonts w:asciiTheme="minorHAnsi" w:hAnsiTheme="minorHAnsi"/>
        </w:rPr>
        <w:t xml:space="preserve"> ‘Theft Act Offences’ (</w:t>
      </w:r>
      <w:r w:rsidRPr="000A66A1">
        <w:rPr>
          <w:rFonts w:asciiTheme="minorHAnsi" w:hAnsiTheme="minorHAnsi"/>
          <w:i/>
        </w:rPr>
        <w:t>CPS)</w:t>
      </w:r>
      <w:r w:rsidRPr="000A66A1">
        <w:rPr>
          <w:rFonts w:asciiTheme="minorHAnsi" w:hAnsiTheme="minorHAnsi"/>
        </w:rPr>
        <w:t xml:space="preserve"> &lt; </w:t>
      </w:r>
      <w:hyperlink r:id="rId16" w:history="1">
        <w:r w:rsidRPr="000A66A1">
          <w:rPr>
            <w:rStyle w:val="Hyperlink"/>
            <w:rFonts w:asciiTheme="minorHAnsi" w:hAnsiTheme="minorHAnsi"/>
          </w:rPr>
          <w:t>https://www.cps.gov.uk/legal-guidance/theft-act-offences</w:t>
        </w:r>
      </w:hyperlink>
      <w:r w:rsidRPr="000A66A1">
        <w:rPr>
          <w:rFonts w:asciiTheme="minorHAnsi" w:hAnsiTheme="minorHAnsi"/>
        </w:rPr>
        <w:t>&gt; accessed 15 April 2019</w:t>
      </w:r>
    </w:p>
    <w:p w14:paraId="404EE8BE" w14:textId="77777777" w:rsidR="00F90D8E" w:rsidRPr="000A66A1" w:rsidRDefault="00F90D8E" w:rsidP="000A66A1">
      <w:pPr>
        <w:spacing w:line="360" w:lineRule="auto"/>
        <w:rPr>
          <w:rFonts w:asciiTheme="minorHAnsi" w:hAnsiTheme="minorHAnsi" w:cs="Arial"/>
          <w:color w:val="323133"/>
          <w:lang w:val="en-US"/>
        </w:rPr>
      </w:pPr>
      <w:r w:rsidRPr="000A66A1">
        <w:rPr>
          <w:rFonts w:asciiTheme="minorHAnsi" w:hAnsiTheme="minorHAnsi"/>
        </w:rPr>
        <w:t xml:space="preserve">Flatley J, </w:t>
      </w:r>
      <w:r w:rsidRPr="000A66A1">
        <w:rPr>
          <w:rFonts w:asciiTheme="minorHAnsi" w:hAnsiTheme="minorHAnsi"/>
          <w:color w:val="000000" w:themeColor="text1"/>
        </w:rPr>
        <w:t>‘</w:t>
      </w:r>
      <w:r w:rsidRPr="000A66A1">
        <w:rPr>
          <w:rFonts w:asciiTheme="minorHAnsi" w:hAnsiTheme="minorHAnsi" w:cs="Arial"/>
          <w:color w:val="000000" w:themeColor="text1"/>
          <w:lang w:val="en-US"/>
        </w:rPr>
        <w:t>Violent Crime and Sexual Offences - Alcohol-Related Violence’ (</w:t>
      </w:r>
      <w:r w:rsidRPr="000A66A1">
        <w:rPr>
          <w:rFonts w:asciiTheme="minorHAnsi" w:hAnsiTheme="minorHAnsi" w:cs="Arial"/>
          <w:i/>
          <w:color w:val="000000" w:themeColor="text1"/>
          <w:lang w:val="en-US"/>
        </w:rPr>
        <w:t>Office for National Statistics</w:t>
      </w:r>
      <w:r w:rsidRPr="000A66A1">
        <w:rPr>
          <w:rFonts w:asciiTheme="minorHAnsi" w:hAnsiTheme="minorHAnsi" w:cs="Arial"/>
          <w:color w:val="000000" w:themeColor="text1"/>
          <w:lang w:val="en-US"/>
        </w:rPr>
        <w:t>, 12</w:t>
      </w:r>
      <w:r w:rsidRPr="000A66A1">
        <w:rPr>
          <w:rFonts w:asciiTheme="minorHAnsi" w:hAnsiTheme="minorHAnsi" w:cs="Arial"/>
          <w:color w:val="000000" w:themeColor="text1"/>
          <w:vertAlign w:val="superscript"/>
          <w:lang w:val="en-US"/>
        </w:rPr>
        <w:t>th</w:t>
      </w:r>
      <w:r w:rsidRPr="000A66A1">
        <w:rPr>
          <w:rFonts w:asciiTheme="minorHAnsi" w:hAnsiTheme="minorHAnsi" w:cs="Arial"/>
          <w:color w:val="000000" w:themeColor="text1"/>
          <w:lang w:val="en-US"/>
        </w:rPr>
        <w:t xml:space="preserve"> February 2015) </w:t>
      </w:r>
      <w:r w:rsidRPr="000A66A1">
        <w:rPr>
          <w:rFonts w:asciiTheme="minorHAnsi" w:hAnsiTheme="minorHAnsi" w:cs="Arial"/>
          <w:color w:val="323133"/>
          <w:lang w:val="en-US"/>
        </w:rPr>
        <w:t>&lt;</w:t>
      </w:r>
      <w:hyperlink r:id="rId17" w:history="1">
        <w:r w:rsidRPr="000A66A1">
          <w:rPr>
            <w:rStyle w:val="Hyperlink"/>
            <w:rFonts w:asciiTheme="minorHAnsi" w:hAnsiTheme="minorHAnsi" w:cs="Arial"/>
            <w:lang w:val="en-US"/>
          </w:rPr>
          <w:t>https://www.ons.gov.uk/peoplepopulationandcommunity/crimeandjustice/compendium/focusonviolentcrimeandsexualoffences/2015-02-12/chapter5violentcrimeandsexualoffencesalcoholrelatedviolence</w:t>
        </w:r>
      </w:hyperlink>
      <w:r w:rsidRPr="000A66A1">
        <w:rPr>
          <w:rFonts w:asciiTheme="minorHAnsi" w:hAnsiTheme="minorHAnsi" w:cs="Arial"/>
          <w:color w:val="000000" w:themeColor="text1"/>
          <w:lang w:val="en-US"/>
        </w:rPr>
        <w:t>&gt; accessed 3rd September 2018</w:t>
      </w:r>
    </w:p>
    <w:p w14:paraId="2AC1964A" w14:textId="77777777" w:rsidR="00F90D8E" w:rsidRPr="000A66A1" w:rsidRDefault="00F90D8E" w:rsidP="000A66A1">
      <w:pPr>
        <w:pStyle w:val="FootnoteText"/>
        <w:spacing w:line="360" w:lineRule="auto"/>
        <w:rPr>
          <w:rFonts w:asciiTheme="minorHAnsi" w:hAnsiTheme="minorHAnsi"/>
          <w:i/>
        </w:rPr>
      </w:pPr>
    </w:p>
    <w:p w14:paraId="0494212D" w14:textId="31BE281C" w:rsidR="001A4B11" w:rsidRPr="000A66A1" w:rsidRDefault="00F90D8E" w:rsidP="000A66A1">
      <w:pPr>
        <w:pStyle w:val="FootnoteText"/>
        <w:spacing w:line="360" w:lineRule="auto"/>
        <w:rPr>
          <w:rFonts w:asciiTheme="minorHAnsi" w:hAnsiTheme="minorHAnsi"/>
          <w:iCs/>
          <w:u w:val="single"/>
        </w:rPr>
      </w:pPr>
      <w:r w:rsidRPr="000A66A1">
        <w:rPr>
          <w:rFonts w:asciiTheme="minorHAnsi" w:hAnsiTheme="minorHAnsi"/>
          <w:iCs/>
          <w:u w:val="single"/>
        </w:rPr>
        <w:t xml:space="preserve">Encyclopaedias </w:t>
      </w:r>
    </w:p>
    <w:p w14:paraId="67159283" w14:textId="77777777" w:rsidR="00F90D8E" w:rsidRPr="000A66A1" w:rsidRDefault="00F90D8E" w:rsidP="000A66A1">
      <w:pPr>
        <w:pStyle w:val="FootnoteText"/>
        <w:spacing w:line="360" w:lineRule="auto"/>
        <w:rPr>
          <w:rFonts w:asciiTheme="minorHAnsi" w:hAnsiTheme="minorHAnsi"/>
          <w:iCs/>
          <w:color w:val="000000" w:themeColor="text1"/>
          <w:u w:val="single"/>
        </w:rPr>
      </w:pPr>
    </w:p>
    <w:p w14:paraId="41C978CA" w14:textId="267456B0" w:rsidR="001A4B11" w:rsidRPr="000A66A1" w:rsidRDefault="001A4B11" w:rsidP="000A66A1">
      <w:pPr>
        <w:pStyle w:val="FootnoteText"/>
        <w:spacing w:line="360" w:lineRule="auto"/>
        <w:rPr>
          <w:rFonts w:asciiTheme="minorHAnsi" w:hAnsiTheme="minorHAnsi"/>
        </w:rPr>
      </w:pPr>
      <w:r w:rsidRPr="000A66A1">
        <w:rPr>
          <w:rFonts w:asciiTheme="minorHAnsi" w:hAnsiTheme="minorHAnsi"/>
        </w:rPr>
        <w:t>Ashworth, Principles of Criminal Law (5</w:t>
      </w:r>
      <w:r w:rsidRPr="000A66A1">
        <w:rPr>
          <w:rFonts w:asciiTheme="minorHAnsi" w:hAnsiTheme="minorHAnsi"/>
          <w:vertAlign w:val="superscript"/>
        </w:rPr>
        <w:t>th</w:t>
      </w:r>
      <w:r w:rsidRPr="000A66A1">
        <w:rPr>
          <w:rFonts w:asciiTheme="minorHAnsi" w:hAnsiTheme="minorHAnsi"/>
        </w:rPr>
        <w:t xml:space="preserve"> ed, 2006) </w:t>
      </w:r>
    </w:p>
    <w:p w14:paraId="582E55AF" w14:textId="73DDB357" w:rsidR="001A4B11" w:rsidRPr="000A66A1" w:rsidRDefault="001A4B11" w:rsidP="000A66A1">
      <w:pPr>
        <w:spacing w:line="360" w:lineRule="auto"/>
        <w:rPr>
          <w:rFonts w:asciiTheme="minorHAnsi" w:hAnsiTheme="minorHAnsi"/>
          <w:lang w:val="en-US"/>
        </w:rPr>
      </w:pPr>
      <w:r w:rsidRPr="000A66A1">
        <w:rPr>
          <w:rFonts w:asciiTheme="minorHAnsi" w:hAnsiTheme="minorHAnsi"/>
          <w:i/>
          <w:lang w:val="en-US"/>
        </w:rPr>
        <w:t>Criminal Law Review</w:t>
      </w:r>
      <w:r w:rsidRPr="000A66A1">
        <w:rPr>
          <w:rFonts w:asciiTheme="minorHAnsi" w:hAnsiTheme="minorHAnsi"/>
          <w:lang w:val="en-US"/>
        </w:rPr>
        <w:t xml:space="preserve"> [1975] 574</w:t>
      </w:r>
    </w:p>
    <w:p w14:paraId="1B360B0A" w14:textId="3F4E93C9" w:rsidR="00F90D8E" w:rsidRPr="000A66A1" w:rsidRDefault="00F90D8E" w:rsidP="000A66A1">
      <w:pPr>
        <w:spacing w:line="360" w:lineRule="auto"/>
        <w:rPr>
          <w:rFonts w:asciiTheme="minorHAnsi" w:hAnsiTheme="minorHAnsi"/>
          <w:lang w:val="en-US"/>
        </w:rPr>
      </w:pPr>
    </w:p>
    <w:p w14:paraId="44886BEC" w14:textId="74E55323" w:rsidR="00F90D8E" w:rsidRPr="000A66A1" w:rsidRDefault="00F90D8E" w:rsidP="000A66A1">
      <w:pPr>
        <w:spacing w:line="360" w:lineRule="auto"/>
        <w:rPr>
          <w:rFonts w:asciiTheme="minorHAnsi" w:hAnsiTheme="minorHAnsi"/>
          <w:u w:val="single"/>
          <w:lang w:val="en-US"/>
        </w:rPr>
      </w:pPr>
      <w:r w:rsidRPr="000A66A1">
        <w:rPr>
          <w:rFonts w:asciiTheme="minorHAnsi" w:hAnsiTheme="minorHAnsi"/>
          <w:u w:val="single"/>
          <w:lang w:val="en-US"/>
        </w:rPr>
        <w:t>Journal Articles</w:t>
      </w:r>
    </w:p>
    <w:p w14:paraId="7416D49B" w14:textId="77777777" w:rsidR="001A4B11" w:rsidRPr="000A66A1" w:rsidRDefault="001A4B11" w:rsidP="000A66A1">
      <w:pPr>
        <w:pStyle w:val="FootnoteText"/>
        <w:spacing w:line="360" w:lineRule="auto"/>
        <w:rPr>
          <w:rFonts w:asciiTheme="minorHAnsi" w:hAnsiTheme="minorHAnsi"/>
        </w:rPr>
      </w:pPr>
    </w:p>
    <w:p w14:paraId="692BB51F" w14:textId="77777777" w:rsidR="001A4B11" w:rsidRPr="000A66A1" w:rsidRDefault="001A4B11" w:rsidP="000A66A1">
      <w:pPr>
        <w:spacing w:line="360" w:lineRule="auto"/>
        <w:rPr>
          <w:rFonts w:asciiTheme="minorHAnsi" w:hAnsiTheme="minorHAnsi"/>
          <w:color w:val="000000" w:themeColor="text1"/>
          <w:shd w:val="clear" w:color="auto" w:fill="FFFFFF"/>
        </w:rPr>
      </w:pPr>
      <w:r w:rsidRPr="000A66A1">
        <w:rPr>
          <w:rFonts w:asciiTheme="minorHAnsi" w:hAnsiTheme="minorHAnsi"/>
          <w:color w:val="000000" w:themeColor="text1"/>
          <w:shd w:val="clear" w:color="auto" w:fill="FFFFFF"/>
        </w:rPr>
        <w:t>Campbell K, 'The Test of Dishonesty in R. v. Ghosh' (1984) 43(2) Cambridge LJ 349</w:t>
      </w:r>
    </w:p>
    <w:p w14:paraId="703FE8B0" w14:textId="77777777" w:rsidR="001A4B11" w:rsidRPr="000A66A1" w:rsidRDefault="001A4B11" w:rsidP="000A66A1">
      <w:pPr>
        <w:spacing w:line="360" w:lineRule="auto"/>
        <w:rPr>
          <w:rFonts w:asciiTheme="minorHAnsi" w:hAnsiTheme="minorHAnsi" w:cs="Arial"/>
          <w:color w:val="000000" w:themeColor="text1"/>
          <w:shd w:val="clear" w:color="auto" w:fill="FFFFFF"/>
        </w:rPr>
      </w:pPr>
      <w:r w:rsidRPr="000A66A1">
        <w:rPr>
          <w:rFonts w:asciiTheme="minorHAnsi" w:hAnsiTheme="minorHAnsi" w:cs="Arial"/>
          <w:color w:val="000000" w:themeColor="text1"/>
          <w:shd w:val="clear" w:color="auto" w:fill="FFFFFF"/>
        </w:rPr>
        <w:t>Colvin E, 'Codification and Reform of the Intoxication Defence' (1983) 26(1) Crim LQ 43</w:t>
      </w:r>
    </w:p>
    <w:p w14:paraId="1C4E387D" w14:textId="77777777" w:rsidR="001A4B11" w:rsidRPr="000A66A1" w:rsidRDefault="001A4B11" w:rsidP="000A66A1">
      <w:pPr>
        <w:spacing w:line="360" w:lineRule="auto"/>
        <w:rPr>
          <w:rFonts w:asciiTheme="minorHAnsi" w:hAnsiTheme="minorHAnsi" w:cs="Arial"/>
          <w:color w:val="000000" w:themeColor="text1"/>
          <w:shd w:val="clear" w:color="auto" w:fill="FFFFFF"/>
        </w:rPr>
      </w:pPr>
      <w:r w:rsidRPr="000A66A1">
        <w:rPr>
          <w:rFonts w:asciiTheme="minorHAnsi" w:hAnsiTheme="minorHAnsi" w:cs="Arial"/>
          <w:color w:val="000000" w:themeColor="text1"/>
          <w:shd w:val="clear" w:color="auto" w:fill="FFFFFF"/>
        </w:rPr>
        <w:t>Friedland M, 'Beyond a Reasonable Doubt: Does it Apply to Finding the Law as Well as the Facts' (2015) 62(4) Crim LQ 428</w:t>
      </w:r>
    </w:p>
    <w:p w14:paraId="7FD9E24E" w14:textId="77777777" w:rsidR="001A4B11" w:rsidRPr="000A66A1" w:rsidRDefault="001A4B11" w:rsidP="000A66A1">
      <w:pPr>
        <w:pStyle w:val="FootnoteText"/>
        <w:spacing w:line="360" w:lineRule="auto"/>
        <w:rPr>
          <w:rFonts w:asciiTheme="minorHAnsi" w:hAnsiTheme="minorHAnsi"/>
        </w:rPr>
      </w:pPr>
      <w:r w:rsidRPr="000A66A1">
        <w:rPr>
          <w:rFonts w:asciiTheme="minorHAnsi" w:hAnsiTheme="minorHAnsi"/>
        </w:rPr>
        <w:t>Gough S, “Intoxication and Criminal Liability: The Law Commission’s Proposed Reforms” (1996) 112 Law Quarterly Review 335</w:t>
      </w:r>
    </w:p>
    <w:p w14:paraId="64CBD4CD" w14:textId="77777777" w:rsidR="001A4B11" w:rsidRPr="000A66A1" w:rsidRDefault="001A4B11" w:rsidP="000A66A1">
      <w:pPr>
        <w:spacing w:line="360" w:lineRule="auto"/>
        <w:rPr>
          <w:rFonts w:asciiTheme="minorHAnsi" w:hAnsiTheme="minorHAnsi"/>
        </w:rPr>
      </w:pPr>
      <w:r w:rsidRPr="000A66A1">
        <w:rPr>
          <w:rFonts w:asciiTheme="minorHAnsi" w:hAnsiTheme="minorHAnsi"/>
        </w:rPr>
        <w:t xml:space="preserve">Grainne de </w:t>
      </w:r>
      <w:proofErr w:type="spellStart"/>
      <w:r w:rsidRPr="000A66A1">
        <w:rPr>
          <w:rFonts w:asciiTheme="minorHAnsi" w:hAnsiTheme="minorHAnsi"/>
        </w:rPr>
        <w:t>Burca</w:t>
      </w:r>
      <w:proofErr w:type="spellEnd"/>
      <w:r w:rsidRPr="000A66A1">
        <w:rPr>
          <w:rFonts w:asciiTheme="minorHAnsi" w:hAnsiTheme="minorHAnsi"/>
        </w:rPr>
        <w:t>, ‘Intoxication and Criminal Law’ [1991] 141 NLJ 560</w:t>
      </w:r>
    </w:p>
    <w:p w14:paraId="7AAFB015" w14:textId="77777777" w:rsidR="001A4B11" w:rsidRPr="000A66A1" w:rsidRDefault="001A4B11" w:rsidP="000A66A1">
      <w:pPr>
        <w:spacing w:line="360" w:lineRule="auto"/>
        <w:rPr>
          <w:rFonts w:asciiTheme="minorHAnsi" w:hAnsiTheme="minorHAnsi"/>
          <w:color w:val="000000" w:themeColor="text1"/>
          <w:shd w:val="clear" w:color="auto" w:fill="FFFFFF"/>
        </w:rPr>
      </w:pPr>
      <w:proofErr w:type="spellStart"/>
      <w:r w:rsidRPr="000A66A1">
        <w:rPr>
          <w:rFonts w:asciiTheme="minorHAnsi" w:hAnsiTheme="minorHAnsi"/>
          <w:color w:val="000000" w:themeColor="text1"/>
          <w:shd w:val="clear" w:color="auto" w:fill="FFFFFF"/>
        </w:rPr>
        <w:t>Hasif</w:t>
      </w:r>
      <w:proofErr w:type="spellEnd"/>
      <w:r w:rsidRPr="000A66A1">
        <w:rPr>
          <w:rFonts w:asciiTheme="minorHAnsi" w:hAnsiTheme="minorHAnsi"/>
          <w:color w:val="000000" w:themeColor="text1"/>
          <w:shd w:val="clear" w:color="auto" w:fill="FFFFFF"/>
        </w:rPr>
        <w:t xml:space="preserve"> M, 'Ivey v Casinos: Reform to the Dishonest Principle' (2018) 2018 Sing Comp L Rev 108</w:t>
      </w:r>
    </w:p>
    <w:p w14:paraId="4103203F" w14:textId="77777777" w:rsidR="001A4B11" w:rsidRPr="000A66A1" w:rsidRDefault="001A4B11" w:rsidP="000A66A1">
      <w:pPr>
        <w:spacing w:line="360" w:lineRule="auto"/>
        <w:rPr>
          <w:rFonts w:asciiTheme="minorHAnsi" w:hAnsiTheme="minorHAnsi"/>
          <w:color w:val="000000" w:themeColor="text1"/>
          <w:shd w:val="clear" w:color="auto" w:fill="FFFFFF"/>
        </w:rPr>
      </w:pPr>
      <w:r w:rsidRPr="000A66A1">
        <w:rPr>
          <w:rFonts w:asciiTheme="minorHAnsi" w:hAnsiTheme="minorHAnsi"/>
          <w:color w:val="000000" w:themeColor="text1"/>
          <w:shd w:val="clear" w:color="auto" w:fill="FFFFFF"/>
        </w:rPr>
        <w:t>Intoxicated Offender in England and Germany' (2001) 4 Trinity CL Rev 119</w:t>
      </w:r>
    </w:p>
    <w:p w14:paraId="2FF8EC3A" w14:textId="77777777" w:rsidR="001A4B11" w:rsidRPr="000A66A1" w:rsidRDefault="001A4B11" w:rsidP="000A66A1">
      <w:pPr>
        <w:spacing w:line="360" w:lineRule="auto"/>
        <w:rPr>
          <w:rFonts w:asciiTheme="minorHAnsi" w:hAnsiTheme="minorHAnsi"/>
        </w:rPr>
      </w:pPr>
      <w:r w:rsidRPr="000A66A1">
        <w:rPr>
          <w:rFonts w:asciiTheme="minorHAnsi" w:hAnsiTheme="minorHAnsi"/>
        </w:rPr>
        <w:lastRenderedPageBreak/>
        <w:t>Jackson A, ‘Goodbye to Ghosh: the UK Supreme Court clarifies the proper test for dishonesty to be applied in criminal proceedings’ (2017) J. Crim. L., 81(6), 448-450</w:t>
      </w:r>
    </w:p>
    <w:p w14:paraId="25D670BA" w14:textId="77777777" w:rsidR="001A4B11" w:rsidRPr="000A66A1" w:rsidRDefault="001A4B11" w:rsidP="000A66A1">
      <w:pPr>
        <w:spacing w:line="360" w:lineRule="auto"/>
        <w:rPr>
          <w:rFonts w:asciiTheme="minorHAnsi" w:hAnsiTheme="minorHAnsi" w:cs="Arial"/>
          <w:color w:val="000000" w:themeColor="text1"/>
          <w:shd w:val="clear" w:color="auto" w:fill="FFFFFF"/>
        </w:rPr>
      </w:pPr>
      <w:r w:rsidRPr="000A66A1">
        <w:rPr>
          <w:rFonts w:asciiTheme="minorHAnsi" w:hAnsiTheme="minorHAnsi" w:cs="Arial"/>
          <w:color w:val="000000" w:themeColor="text1"/>
          <w:shd w:val="clear" w:color="auto" w:fill="FFFFFF"/>
        </w:rPr>
        <w:t xml:space="preserve">McAuley F, 'Majewski down under: A Second View' (1981) 16(1) Irish Jurist (NS) 78 </w:t>
      </w:r>
    </w:p>
    <w:p w14:paraId="2EAF655D" w14:textId="77777777" w:rsidR="001A4B11" w:rsidRPr="000A66A1" w:rsidRDefault="001A4B11" w:rsidP="000A66A1">
      <w:pPr>
        <w:tabs>
          <w:tab w:val="center" w:pos="4150"/>
        </w:tabs>
        <w:spacing w:line="360" w:lineRule="auto"/>
        <w:rPr>
          <w:rFonts w:asciiTheme="minorHAnsi" w:hAnsiTheme="minorHAnsi" w:cs="Arial"/>
          <w:bCs/>
          <w:lang w:val="en-US"/>
        </w:rPr>
      </w:pPr>
      <w:r w:rsidRPr="000A66A1">
        <w:rPr>
          <w:rFonts w:asciiTheme="minorHAnsi" w:hAnsiTheme="minorHAnsi" w:cs="Arial"/>
          <w:bCs/>
          <w:lang w:val="en-US"/>
        </w:rPr>
        <w:t>Orchard G, ‘Surviving</w:t>
      </w:r>
      <w:r w:rsidRPr="000A66A1">
        <w:rPr>
          <w:rFonts w:asciiTheme="minorHAnsi" w:hAnsiTheme="minorHAnsi" w:cs="Arial"/>
          <w:lang w:val="en-US"/>
        </w:rPr>
        <w:t xml:space="preserve"> without </w:t>
      </w:r>
      <w:r w:rsidRPr="000A66A1">
        <w:rPr>
          <w:rFonts w:asciiTheme="minorHAnsi" w:hAnsiTheme="minorHAnsi" w:cs="Arial"/>
          <w:bCs/>
          <w:i/>
          <w:iCs/>
          <w:lang w:val="en-US"/>
        </w:rPr>
        <w:t>Majewski</w:t>
      </w:r>
      <w:r w:rsidRPr="000A66A1">
        <w:rPr>
          <w:rFonts w:asciiTheme="minorHAnsi" w:hAnsiTheme="minorHAnsi" w:cs="Arial"/>
          <w:lang w:val="en-US"/>
        </w:rPr>
        <w:t xml:space="preserve"> Down Under’ [1993] Crim. L.R. 426</w:t>
      </w:r>
    </w:p>
    <w:p w14:paraId="19D079CD" w14:textId="77777777" w:rsidR="001A4B11" w:rsidRPr="000A66A1" w:rsidRDefault="001A4B11" w:rsidP="000A66A1">
      <w:pPr>
        <w:spacing w:line="360" w:lineRule="auto"/>
        <w:rPr>
          <w:rFonts w:asciiTheme="minorHAnsi" w:hAnsiTheme="minorHAnsi"/>
          <w:color w:val="000000" w:themeColor="text1"/>
          <w:shd w:val="clear" w:color="auto" w:fill="FFFFFF"/>
        </w:rPr>
      </w:pPr>
      <w:r w:rsidRPr="000A66A1">
        <w:rPr>
          <w:rFonts w:asciiTheme="minorHAnsi" w:hAnsiTheme="minorHAnsi"/>
          <w:color w:val="000000" w:themeColor="text1"/>
          <w:shd w:val="clear" w:color="auto" w:fill="FFFFFF"/>
        </w:rPr>
        <w:t xml:space="preserve">Rajaratnam S.M.W. and Redman J.R. and </w:t>
      </w:r>
      <w:proofErr w:type="spellStart"/>
      <w:r w:rsidRPr="000A66A1">
        <w:rPr>
          <w:rFonts w:asciiTheme="minorHAnsi" w:hAnsiTheme="minorHAnsi"/>
          <w:color w:val="000000" w:themeColor="text1"/>
          <w:shd w:val="clear" w:color="auto" w:fill="FFFFFF"/>
        </w:rPr>
        <w:t>Lenne</w:t>
      </w:r>
      <w:proofErr w:type="spellEnd"/>
      <w:r w:rsidRPr="000A66A1">
        <w:rPr>
          <w:rFonts w:asciiTheme="minorHAnsi" w:hAnsiTheme="minorHAnsi"/>
          <w:color w:val="000000" w:themeColor="text1"/>
          <w:shd w:val="clear" w:color="auto" w:fill="FFFFFF"/>
        </w:rPr>
        <w:t xml:space="preserve"> M.G, 'Intoxication and Criminal Behaviour' (2000) 7(1) Psychiatry </w:t>
      </w:r>
      <w:proofErr w:type="spellStart"/>
      <w:r w:rsidRPr="000A66A1">
        <w:rPr>
          <w:rFonts w:asciiTheme="minorHAnsi" w:hAnsiTheme="minorHAnsi"/>
          <w:color w:val="000000" w:themeColor="text1"/>
          <w:shd w:val="clear" w:color="auto" w:fill="FFFFFF"/>
        </w:rPr>
        <w:t>Psychol</w:t>
      </w:r>
      <w:proofErr w:type="spellEnd"/>
      <w:r w:rsidRPr="000A66A1">
        <w:rPr>
          <w:rFonts w:asciiTheme="minorHAnsi" w:hAnsiTheme="minorHAnsi"/>
          <w:color w:val="000000" w:themeColor="text1"/>
          <w:shd w:val="clear" w:color="auto" w:fill="FFFFFF"/>
        </w:rPr>
        <w:t xml:space="preserve"> &amp; L 59</w:t>
      </w:r>
    </w:p>
    <w:p w14:paraId="6DDD7F38" w14:textId="77777777" w:rsidR="001A4B11" w:rsidRPr="000A66A1" w:rsidRDefault="001A4B11" w:rsidP="000A66A1">
      <w:pPr>
        <w:pStyle w:val="FootnoteText"/>
        <w:spacing w:line="360" w:lineRule="auto"/>
        <w:rPr>
          <w:rFonts w:asciiTheme="minorHAnsi" w:hAnsiTheme="minorHAnsi" w:cs="Arial"/>
        </w:rPr>
      </w:pPr>
      <w:proofErr w:type="spellStart"/>
      <w:r w:rsidRPr="000A66A1">
        <w:rPr>
          <w:rFonts w:asciiTheme="minorHAnsi" w:hAnsiTheme="minorHAnsi" w:cs="Arial"/>
        </w:rPr>
        <w:t>Simester</w:t>
      </w:r>
      <w:proofErr w:type="spellEnd"/>
      <w:r w:rsidRPr="000A66A1">
        <w:rPr>
          <w:rFonts w:asciiTheme="minorHAnsi" w:hAnsiTheme="minorHAnsi" w:cs="Arial"/>
        </w:rPr>
        <w:t xml:space="preserve"> A.P, ‘Intoxication Is Never A Defence’ (2009) Crim. L.R. 3</w:t>
      </w:r>
    </w:p>
    <w:p w14:paraId="7359C1F3" w14:textId="77777777" w:rsidR="00386CB4" w:rsidRPr="000A66A1" w:rsidRDefault="00386CB4" w:rsidP="000A66A1">
      <w:pPr>
        <w:spacing w:line="360" w:lineRule="auto"/>
        <w:jc w:val="both"/>
        <w:rPr>
          <w:rFonts w:asciiTheme="minorHAnsi" w:hAnsiTheme="minorHAnsi"/>
        </w:rPr>
      </w:pPr>
    </w:p>
    <w:sectPr w:rsidR="00386CB4" w:rsidRPr="000A66A1" w:rsidSect="007E5323">
      <w:footerReference w:type="default" r:id="rId18"/>
      <w:pgSz w:w="11900" w:h="16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74BB1" w14:textId="77777777" w:rsidR="00996F15" w:rsidRDefault="00996F15" w:rsidP="00903FEE">
      <w:r>
        <w:separator/>
      </w:r>
    </w:p>
  </w:endnote>
  <w:endnote w:type="continuationSeparator" w:id="0">
    <w:p w14:paraId="186FF8B8" w14:textId="77777777" w:rsidR="00996F15" w:rsidRDefault="00996F15" w:rsidP="0090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8D624" w14:textId="7DA29E40" w:rsidR="00857EB7" w:rsidRDefault="00857EB7">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6129BB">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6129BB">
      <w:rPr>
        <w:noProof/>
        <w:color w:val="4F81BD" w:themeColor="accent1"/>
      </w:rPr>
      <w:t>50</w:t>
    </w:r>
    <w:r>
      <w:rPr>
        <w:color w:val="4F81BD" w:themeColor="accent1"/>
      </w:rPr>
      <w:fldChar w:fldCharType="end"/>
    </w:r>
  </w:p>
  <w:p w14:paraId="0BE5372B" w14:textId="77777777" w:rsidR="00857EB7" w:rsidRDefault="00857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A8AB9" w14:textId="77777777" w:rsidR="00996F15" w:rsidRDefault="00996F15" w:rsidP="00903FEE">
      <w:r>
        <w:separator/>
      </w:r>
    </w:p>
  </w:footnote>
  <w:footnote w:type="continuationSeparator" w:id="0">
    <w:p w14:paraId="2221EF12" w14:textId="77777777" w:rsidR="00996F15" w:rsidRDefault="00996F15" w:rsidP="00903FEE">
      <w:r>
        <w:continuationSeparator/>
      </w:r>
    </w:p>
  </w:footnote>
  <w:footnote w:id="1">
    <w:p w14:paraId="678C9BF7" w14:textId="4A42EAAA" w:rsidR="00857EB7" w:rsidRPr="000278A6" w:rsidRDefault="00857EB7">
      <w:pPr>
        <w:pStyle w:val="FootnoteText"/>
        <w:rPr>
          <w:sz w:val="20"/>
          <w:szCs w:val="20"/>
        </w:rPr>
      </w:pPr>
      <w:r>
        <w:rPr>
          <w:rStyle w:val="FootnoteReference"/>
        </w:rPr>
        <w:footnoteRef/>
      </w:r>
      <w:r>
        <w:t xml:space="preserve"> </w:t>
      </w:r>
      <w:r w:rsidRPr="000278A6">
        <w:rPr>
          <w:sz w:val="20"/>
          <w:szCs w:val="20"/>
        </w:rPr>
        <w:t xml:space="preserve">Law Commission, </w:t>
      </w:r>
      <w:r w:rsidRPr="000278A6">
        <w:rPr>
          <w:i/>
          <w:sz w:val="20"/>
          <w:szCs w:val="20"/>
        </w:rPr>
        <w:t>Intoxication and Criminal Liability</w:t>
      </w:r>
      <w:r w:rsidRPr="000278A6">
        <w:rPr>
          <w:sz w:val="20"/>
          <w:szCs w:val="20"/>
        </w:rPr>
        <w:t xml:space="preserve"> (Law Com No 314, 2009) para 1.1</w:t>
      </w:r>
    </w:p>
  </w:footnote>
  <w:footnote w:id="2">
    <w:p w14:paraId="403E9F6A" w14:textId="5E56BBDF" w:rsidR="00857EB7" w:rsidRPr="000278A6" w:rsidRDefault="00857EB7" w:rsidP="000278A6">
      <w:pPr>
        <w:rPr>
          <w:sz w:val="20"/>
          <w:szCs w:val="20"/>
        </w:rPr>
      </w:pPr>
      <w:r w:rsidRPr="000278A6">
        <w:rPr>
          <w:rStyle w:val="FootnoteReference"/>
          <w:sz w:val="20"/>
          <w:szCs w:val="20"/>
        </w:rPr>
        <w:footnoteRef/>
      </w:r>
      <w:r w:rsidRPr="000278A6">
        <w:rPr>
          <w:sz w:val="20"/>
          <w:szCs w:val="20"/>
        </w:rPr>
        <w:t xml:space="preserve"> </w:t>
      </w:r>
      <w:r w:rsidRPr="000278A6">
        <w:rPr>
          <w:rFonts w:ascii="Arial" w:hAnsi="Arial" w:cs="Arial"/>
          <w:color w:val="000000" w:themeColor="text1"/>
          <w:sz w:val="20"/>
          <w:szCs w:val="20"/>
          <w:shd w:val="clear" w:color="auto" w:fill="FFFFFF"/>
        </w:rPr>
        <w:t>Eric Colvin, 'Codification and Reform of the Intoxication Defence' (1983) 26(1) Crim LQ 43</w:t>
      </w:r>
    </w:p>
  </w:footnote>
  <w:footnote w:id="3">
    <w:p w14:paraId="1C28A463" w14:textId="255FE4F1" w:rsidR="00857EB7" w:rsidRPr="000278A6" w:rsidRDefault="00857EB7">
      <w:pPr>
        <w:pStyle w:val="FootnoteText"/>
        <w:rPr>
          <w:sz w:val="20"/>
          <w:szCs w:val="20"/>
        </w:rPr>
      </w:pPr>
      <w:r w:rsidRPr="000278A6">
        <w:rPr>
          <w:rStyle w:val="FootnoteReference"/>
          <w:sz w:val="20"/>
          <w:szCs w:val="20"/>
        </w:rPr>
        <w:footnoteRef/>
      </w:r>
      <w:r w:rsidRPr="000278A6">
        <w:rPr>
          <w:sz w:val="20"/>
          <w:szCs w:val="20"/>
        </w:rPr>
        <w:t xml:space="preserve"> John Flatley, ‘</w:t>
      </w:r>
      <w:r w:rsidRPr="00243C6A">
        <w:rPr>
          <w:rFonts w:cs="Arial"/>
          <w:color w:val="000000" w:themeColor="text1"/>
          <w:sz w:val="20"/>
          <w:szCs w:val="20"/>
          <w:lang w:val="en-US"/>
        </w:rPr>
        <w:t>Violent Crime and Sexual Offences - Alcohol-Related Violence’ (</w:t>
      </w:r>
      <w:r w:rsidRPr="00243C6A">
        <w:rPr>
          <w:rFonts w:cs="Arial"/>
          <w:i/>
          <w:color w:val="000000" w:themeColor="text1"/>
          <w:sz w:val="20"/>
          <w:szCs w:val="20"/>
          <w:lang w:val="en-US"/>
        </w:rPr>
        <w:t>Office for National Statistics</w:t>
      </w:r>
      <w:r w:rsidRPr="00243C6A">
        <w:rPr>
          <w:rFonts w:cs="Arial"/>
          <w:color w:val="000000" w:themeColor="text1"/>
          <w:sz w:val="20"/>
          <w:szCs w:val="20"/>
          <w:lang w:val="en-US"/>
        </w:rPr>
        <w:t>, 12</w:t>
      </w:r>
      <w:r w:rsidRPr="00243C6A">
        <w:rPr>
          <w:rFonts w:cs="Arial"/>
          <w:color w:val="000000" w:themeColor="text1"/>
          <w:sz w:val="20"/>
          <w:szCs w:val="20"/>
          <w:vertAlign w:val="superscript"/>
          <w:lang w:val="en-US"/>
        </w:rPr>
        <w:t>th</w:t>
      </w:r>
      <w:r w:rsidRPr="00243C6A">
        <w:rPr>
          <w:rFonts w:cs="Arial"/>
          <w:color w:val="000000" w:themeColor="text1"/>
          <w:sz w:val="20"/>
          <w:szCs w:val="20"/>
          <w:lang w:val="en-US"/>
        </w:rPr>
        <w:t xml:space="preserve"> February 2015) </w:t>
      </w:r>
      <w:r w:rsidRPr="000278A6">
        <w:rPr>
          <w:rFonts w:cs="Arial"/>
          <w:color w:val="323133"/>
          <w:sz w:val="20"/>
          <w:szCs w:val="20"/>
          <w:lang w:val="en-US"/>
        </w:rPr>
        <w:t>&lt;</w:t>
      </w:r>
      <w:hyperlink r:id="rId1" w:history="1">
        <w:r w:rsidRPr="000278A6">
          <w:rPr>
            <w:rStyle w:val="Hyperlink"/>
            <w:rFonts w:cs="Arial"/>
            <w:sz w:val="20"/>
            <w:szCs w:val="20"/>
            <w:lang w:val="en-US"/>
          </w:rPr>
          <w:t>https://www.ons.gov.uk/peoplepopulationandcommunity/crimeandjustice/compendium/focusonviolentcrimeandsexualoffences/2015-02-12/chapter5violentcrimeandsexualoffencesalcoholrelatedviolence</w:t>
        </w:r>
      </w:hyperlink>
      <w:r w:rsidRPr="00243C6A">
        <w:rPr>
          <w:rFonts w:cs="Arial"/>
          <w:color w:val="000000" w:themeColor="text1"/>
          <w:sz w:val="20"/>
          <w:szCs w:val="20"/>
          <w:lang w:val="en-US"/>
        </w:rPr>
        <w:t xml:space="preserve">&gt; accessed 3rd September </w:t>
      </w:r>
      <w:r w:rsidRPr="000278A6">
        <w:rPr>
          <w:rFonts w:cs="Arial"/>
          <w:color w:val="323133"/>
          <w:sz w:val="20"/>
          <w:szCs w:val="20"/>
          <w:lang w:val="en-US"/>
        </w:rPr>
        <w:t xml:space="preserve">2018 </w:t>
      </w:r>
    </w:p>
  </w:footnote>
  <w:footnote w:id="4">
    <w:p w14:paraId="1FFEA29D" w14:textId="3CCF0731" w:rsidR="00857EB7" w:rsidRPr="000278A6" w:rsidRDefault="00857EB7">
      <w:pPr>
        <w:pStyle w:val="FootnoteText"/>
        <w:rPr>
          <w:sz w:val="20"/>
          <w:szCs w:val="20"/>
        </w:rPr>
      </w:pPr>
      <w:r w:rsidRPr="000278A6">
        <w:rPr>
          <w:rStyle w:val="FootnoteReference"/>
          <w:sz w:val="20"/>
          <w:szCs w:val="20"/>
        </w:rPr>
        <w:footnoteRef/>
      </w:r>
      <w:r w:rsidRPr="000278A6">
        <w:rPr>
          <w:sz w:val="20"/>
          <w:szCs w:val="20"/>
        </w:rPr>
        <w:t xml:space="preserve"> ibid</w:t>
      </w:r>
    </w:p>
  </w:footnote>
  <w:footnote w:id="5">
    <w:p w14:paraId="6772F9A5" w14:textId="421DAACF" w:rsidR="00857EB7" w:rsidRPr="000278A6" w:rsidRDefault="00857EB7">
      <w:pPr>
        <w:pStyle w:val="FootnoteText"/>
        <w:rPr>
          <w:sz w:val="20"/>
          <w:szCs w:val="20"/>
        </w:rPr>
      </w:pPr>
      <w:r w:rsidRPr="000278A6">
        <w:rPr>
          <w:rStyle w:val="FootnoteReference"/>
          <w:sz w:val="20"/>
          <w:szCs w:val="20"/>
        </w:rPr>
        <w:footnoteRef/>
      </w:r>
      <w:r w:rsidRPr="000278A6">
        <w:rPr>
          <w:sz w:val="20"/>
          <w:szCs w:val="20"/>
        </w:rPr>
        <w:t xml:space="preserve"> ibid</w:t>
      </w:r>
    </w:p>
  </w:footnote>
  <w:footnote w:id="6">
    <w:p w14:paraId="7927E431" w14:textId="0763BD90" w:rsidR="00857EB7" w:rsidRPr="000278A6" w:rsidRDefault="00857EB7">
      <w:pPr>
        <w:pStyle w:val="FootnoteText"/>
        <w:rPr>
          <w:sz w:val="20"/>
          <w:szCs w:val="20"/>
        </w:rPr>
      </w:pPr>
      <w:r w:rsidRPr="000278A6">
        <w:rPr>
          <w:rStyle w:val="FootnoteReference"/>
          <w:sz w:val="20"/>
          <w:szCs w:val="20"/>
        </w:rPr>
        <w:footnoteRef/>
      </w:r>
      <w:r w:rsidRPr="000278A6">
        <w:rPr>
          <w:sz w:val="20"/>
          <w:szCs w:val="20"/>
        </w:rPr>
        <w:t xml:space="preserve"> ibid</w:t>
      </w:r>
    </w:p>
  </w:footnote>
  <w:footnote w:id="7">
    <w:p w14:paraId="5ACDC738" w14:textId="7D2019EF" w:rsidR="00857EB7" w:rsidRPr="00903FEE" w:rsidRDefault="00857EB7">
      <w:pPr>
        <w:pStyle w:val="FootnoteText"/>
        <w:rPr>
          <w:lang w:val="en-US"/>
        </w:rPr>
      </w:pPr>
      <w:r w:rsidRPr="000278A6">
        <w:rPr>
          <w:rStyle w:val="FootnoteReference"/>
          <w:sz w:val="20"/>
          <w:szCs w:val="20"/>
        </w:rPr>
        <w:footnoteRef/>
      </w:r>
      <w:r w:rsidRPr="000278A6">
        <w:rPr>
          <w:sz w:val="20"/>
          <w:szCs w:val="20"/>
        </w:rPr>
        <w:t xml:space="preserve"> Ibid </w:t>
      </w:r>
    </w:p>
  </w:footnote>
  <w:footnote w:id="8">
    <w:p w14:paraId="289E1700" w14:textId="77777777" w:rsidR="00857EB7" w:rsidRPr="00BF7018" w:rsidRDefault="00857EB7" w:rsidP="004857DB">
      <w:pPr>
        <w:pStyle w:val="FootnoteText"/>
        <w:rPr>
          <w:rFonts w:cs="Arial"/>
          <w:sz w:val="20"/>
          <w:szCs w:val="20"/>
          <w:lang w:val="en-US"/>
        </w:rPr>
      </w:pPr>
      <w:r w:rsidRPr="00BF7018">
        <w:rPr>
          <w:rStyle w:val="FootnoteReference"/>
          <w:rFonts w:cs="Arial"/>
          <w:sz w:val="20"/>
          <w:szCs w:val="20"/>
        </w:rPr>
        <w:footnoteRef/>
      </w:r>
      <w:r w:rsidRPr="00BF7018">
        <w:rPr>
          <w:rFonts w:cs="Arial"/>
          <w:sz w:val="20"/>
          <w:szCs w:val="20"/>
        </w:rPr>
        <w:t xml:space="preserve"> </w:t>
      </w:r>
      <w:r w:rsidRPr="00BF7018">
        <w:rPr>
          <w:rFonts w:cs="Arial"/>
          <w:sz w:val="20"/>
          <w:szCs w:val="20"/>
          <w:lang w:val="en-US"/>
        </w:rPr>
        <w:t>‘Alcohol statistics’ (</w:t>
      </w:r>
      <w:r w:rsidRPr="00BF7018">
        <w:rPr>
          <w:rFonts w:cs="Arial"/>
          <w:i/>
          <w:sz w:val="20"/>
          <w:szCs w:val="20"/>
          <w:lang w:val="en-US"/>
        </w:rPr>
        <w:t xml:space="preserve">Alcohol Concern, </w:t>
      </w:r>
      <w:r w:rsidRPr="00BF7018">
        <w:rPr>
          <w:rFonts w:cs="Arial"/>
          <w:sz w:val="20"/>
          <w:szCs w:val="20"/>
          <w:lang w:val="en-US"/>
        </w:rPr>
        <w:t>4</w:t>
      </w:r>
      <w:r w:rsidRPr="00BF7018">
        <w:rPr>
          <w:rFonts w:cs="Arial"/>
          <w:sz w:val="20"/>
          <w:szCs w:val="20"/>
          <w:vertAlign w:val="superscript"/>
          <w:lang w:val="en-US"/>
        </w:rPr>
        <w:t>th</w:t>
      </w:r>
      <w:r w:rsidRPr="00BF7018">
        <w:rPr>
          <w:rFonts w:cs="Arial"/>
          <w:sz w:val="20"/>
          <w:szCs w:val="20"/>
          <w:lang w:val="en-US"/>
        </w:rPr>
        <w:t xml:space="preserve"> August 2016) &lt;</w:t>
      </w:r>
      <w:hyperlink r:id="rId2" w:history="1">
        <w:r w:rsidRPr="00BF7018">
          <w:rPr>
            <w:rStyle w:val="Hyperlink"/>
            <w:rFonts w:cs="Arial"/>
            <w:sz w:val="20"/>
            <w:szCs w:val="20"/>
            <w:lang w:val="en-US"/>
          </w:rPr>
          <w:t>https://www.alcoholconcern.org.uk/alcohol-statistics</w:t>
        </w:r>
      </w:hyperlink>
      <w:r w:rsidRPr="00BF7018">
        <w:rPr>
          <w:rFonts w:cs="Arial"/>
          <w:sz w:val="20"/>
          <w:szCs w:val="20"/>
          <w:lang w:val="en-US"/>
        </w:rPr>
        <w:t>&gt; accessed 3</w:t>
      </w:r>
      <w:r w:rsidRPr="00BF7018">
        <w:rPr>
          <w:rFonts w:cs="Arial"/>
          <w:sz w:val="20"/>
          <w:szCs w:val="20"/>
          <w:vertAlign w:val="superscript"/>
          <w:lang w:val="en-US"/>
        </w:rPr>
        <w:t>rd</w:t>
      </w:r>
      <w:r w:rsidRPr="00BF7018">
        <w:rPr>
          <w:rFonts w:cs="Arial"/>
          <w:sz w:val="20"/>
          <w:szCs w:val="20"/>
          <w:lang w:val="en-US"/>
        </w:rPr>
        <w:t xml:space="preserve"> September 2018</w:t>
      </w:r>
    </w:p>
  </w:footnote>
  <w:footnote w:id="9">
    <w:p w14:paraId="7FA43F42" w14:textId="6C55D707" w:rsidR="00857EB7" w:rsidRPr="00BF7018" w:rsidRDefault="00857EB7" w:rsidP="004857DB">
      <w:pPr>
        <w:pStyle w:val="FootnoteText"/>
        <w:rPr>
          <w:rFonts w:cs="Arial"/>
          <w:sz w:val="20"/>
          <w:szCs w:val="20"/>
        </w:rPr>
      </w:pPr>
      <w:r w:rsidRPr="00BF7018">
        <w:rPr>
          <w:rStyle w:val="FootnoteReference"/>
          <w:rFonts w:cs="Arial"/>
          <w:sz w:val="20"/>
          <w:szCs w:val="20"/>
        </w:rPr>
        <w:footnoteRef/>
      </w:r>
      <w:r w:rsidRPr="00BF7018">
        <w:rPr>
          <w:rFonts w:cs="Arial"/>
          <w:sz w:val="20"/>
          <w:szCs w:val="20"/>
        </w:rPr>
        <w:t xml:space="preserve"> Law Commission, </w:t>
      </w:r>
      <w:r w:rsidRPr="00BF7018">
        <w:rPr>
          <w:rFonts w:cs="Arial"/>
          <w:i/>
          <w:sz w:val="20"/>
          <w:szCs w:val="20"/>
        </w:rPr>
        <w:t>Intoxication and Criminal Liability</w:t>
      </w:r>
      <w:r w:rsidRPr="00BF7018">
        <w:rPr>
          <w:rFonts w:cs="Arial"/>
          <w:sz w:val="20"/>
          <w:szCs w:val="20"/>
        </w:rPr>
        <w:t xml:space="preserve"> (Law Com No 314, 2009) para 1.15</w:t>
      </w:r>
    </w:p>
  </w:footnote>
  <w:footnote w:id="10">
    <w:p w14:paraId="4D745BE6" w14:textId="2E62AF79" w:rsidR="00857EB7" w:rsidRPr="00BF7018" w:rsidRDefault="00857EB7">
      <w:pPr>
        <w:pStyle w:val="FootnoteText"/>
        <w:rPr>
          <w:rFonts w:cs="Arial"/>
          <w:sz w:val="20"/>
          <w:szCs w:val="20"/>
        </w:rPr>
      </w:pPr>
      <w:r w:rsidRPr="00BF7018">
        <w:rPr>
          <w:rStyle w:val="FootnoteReference"/>
          <w:rFonts w:cs="Arial"/>
          <w:sz w:val="20"/>
          <w:szCs w:val="20"/>
        </w:rPr>
        <w:footnoteRef/>
      </w:r>
      <w:r w:rsidRPr="00BF7018">
        <w:rPr>
          <w:rFonts w:cs="Arial"/>
          <w:sz w:val="20"/>
          <w:szCs w:val="20"/>
        </w:rPr>
        <w:t xml:space="preserve"> A.P. </w:t>
      </w:r>
      <w:proofErr w:type="spellStart"/>
      <w:r w:rsidRPr="00BF7018">
        <w:rPr>
          <w:rFonts w:cs="Arial"/>
          <w:sz w:val="20"/>
          <w:szCs w:val="20"/>
        </w:rPr>
        <w:t>Simester</w:t>
      </w:r>
      <w:proofErr w:type="spellEnd"/>
      <w:r w:rsidRPr="00BF7018">
        <w:rPr>
          <w:rFonts w:cs="Arial"/>
          <w:sz w:val="20"/>
          <w:szCs w:val="20"/>
        </w:rPr>
        <w:t>, ‘Intoxication Is Never A Defence’ (2009) Crim. L.R. 3, 3-14</w:t>
      </w:r>
    </w:p>
  </w:footnote>
  <w:footnote w:id="11">
    <w:p w14:paraId="637821A0" w14:textId="724462E1" w:rsidR="00857EB7" w:rsidRPr="00BF7018" w:rsidRDefault="00857EB7" w:rsidP="004857DB">
      <w:pPr>
        <w:pStyle w:val="FootnoteText"/>
        <w:rPr>
          <w:rFonts w:cs="Arial"/>
          <w:sz w:val="20"/>
          <w:szCs w:val="20"/>
          <w:lang w:val="en-US"/>
        </w:rPr>
      </w:pPr>
      <w:r w:rsidRPr="00BF7018">
        <w:rPr>
          <w:rStyle w:val="FootnoteReference"/>
          <w:rFonts w:cs="Arial"/>
          <w:sz w:val="20"/>
          <w:szCs w:val="20"/>
        </w:rPr>
        <w:footnoteRef/>
      </w:r>
      <w:r w:rsidRPr="00BF7018">
        <w:rPr>
          <w:rFonts w:cs="Arial"/>
          <w:sz w:val="20"/>
          <w:szCs w:val="20"/>
        </w:rPr>
        <w:t xml:space="preserve"> ibid</w:t>
      </w:r>
    </w:p>
  </w:footnote>
  <w:footnote w:id="12">
    <w:p w14:paraId="0528A471" w14:textId="6DB757BE" w:rsidR="00857EB7" w:rsidRPr="00BF7018" w:rsidRDefault="00857EB7">
      <w:pPr>
        <w:pStyle w:val="FootnoteText"/>
        <w:rPr>
          <w:rFonts w:cs="Arial"/>
          <w:sz w:val="20"/>
          <w:szCs w:val="20"/>
          <w:lang w:val="en-US"/>
        </w:rPr>
      </w:pPr>
      <w:r w:rsidRPr="00BF7018">
        <w:rPr>
          <w:rStyle w:val="FootnoteReference"/>
          <w:rFonts w:cs="Arial"/>
          <w:sz w:val="20"/>
          <w:szCs w:val="20"/>
        </w:rPr>
        <w:footnoteRef/>
      </w:r>
      <w:r w:rsidRPr="00BF7018">
        <w:rPr>
          <w:rFonts w:cs="Arial"/>
          <w:sz w:val="20"/>
          <w:szCs w:val="20"/>
        </w:rPr>
        <w:t xml:space="preserve"> Law Commission, </w:t>
      </w:r>
      <w:r w:rsidRPr="00BF7018">
        <w:rPr>
          <w:rFonts w:cs="Arial"/>
          <w:i/>
          <w:sz w:val="20"/>
          <w:szCs w:val="20"/>
        </w:rPr>
        <w:t>Intoxication and Criminal Liability</w:t>
      </w:r>
      <w:r w:rsidRPr="00BF7018">
        <w:rPr>
          <w:rFonts w:cs="Arial"/>
          <w:sz w:val="20"/>
          <w:szCs w:val="20"/>
        </w:rPr>
        <w:t xml:space="preserve"> (Law Com No 314, 2009) para 1.15</w:t>
      </w:r>
    </w:p>
  </w:footnote>
  <w:footnote w:id="13">
    <w:p w14:paraId="40C6C767" w14:textId="500163E9" w:rsidR="00857EB7" w:rsidRPr="00BF7018" w:rsidRDefault="00857EB7" w:rsidP="000278A6">
      <w:pPr>
        <w:rPr>
          <w:rFonts w:ascii="Arial" w:hAnsi="Arial" w:cs="Arial"/>
          <w:sz w:val="20"/>
          <w:szCs w:val="20"/>
        </w:rPr>
      </w:pPr>
      <w:r w:rsidRPr="00BF7018">
        <w:rPr>
          <w:rStyle w:val="FootnoteReference"/>
          <w:rFonts w:ascii="Arial" w:hAnsi="Arial" w:cs="Arial"/>
          <w:sz w:val="20"/>
          <w:szCs w:val="20"/>
        </w:rPr>
        <w:footnoteRef/>
      </w:r>
      <w:r w:rsidRPr="00BF7018">
        <w:rPr>
          <w:rFonts w:ascii="Arial" w:hAnsi="Arial" w:cs="Arial"/>
          <w:sz w:val="20"/>
          <w:szCs w:val="20"/>
        </w:rPr>
        <w:t xml:space="preserve"> </w:t>
      </w:r>
      <w:r w:rsidRPr="00BF7018">
        <w:rPr>
          <w:rFonts w:ascii="Arial" w:hAnsi="Arial" w:cs="Arial"/>
          <w:color w:val="000000" w:themeColor="text1"/>
          <w:sz w:val="20"/>
          <w:szCs w:val="20"/>
          <w:shd w:val="clear" w:color="auto" w:fill="FFFFFF"/>
        </w:rPr>
        <w:t>Martin Friedland, 'Beyond a Reasonable Doubt: Does it Apply to Finding the Law as Well as the Facts' (2015) 62(4) Crim LQ 428</w:t>
      </w:r>
    </w:p>
  </w:footnote>
  <w:footnote w:id="14">
    <w:p w14:paraId="4540A84B" w14:textId="6BD3D835" w:rsidR="00857EB7" w:rsidRPr="00BF7018" w:rsidRDefault="00857EB7" w:rsidP="004857DB">
      <w:pPr>
        <w:pStyle w:val="FootnoteText"/>
        <w:rPr>
          <w:rFonts w:cs="Arial"/>
          <w:sz w:val="20"/>
          <w:szCs w:val="20"/>
        </w:rPr>
      </w:pPr>
      <w:r w:rsidRPr="00BF7018">
        <w:rPr>
          <w:rStyle w:val="FootnoteReference"/>
          <w:rFonts w:cs="Arial"/>
          <w:sz w:val="20"/>
          <w:szCs w:val="20"/>
        </w:rPr>
        <w:footnoteRef/>
      </w:r>
      <w:r w:rsidRPr="00BF7018">
        <w:rPr>
          <w:rFonts w:cs="Arial"/>
          <w:sz w:val="20"/>
          <w:szCs w:val="20"/>
        </w:rPr>
        <w:t xml:space="preserve"> Law Commission, </w:t>
      </w:r>
      <w:r w:rsidRPr="00BF7018">
        <w:rPr>
          <w:rFonts w:cs="Arial"/>
          <w:i/>
          <w:sz w:val="20"/>
          <w:szCs w:val="20"/>
        </w:rPr>
        <w:t>Intoxication and Criminal Liability</w:t>
      </w:r>
      <w:r w:rsidRPr="00BF7018">
        <w:rPr>
          <w:rFonts w:cs="Arial"/>
          <w:sz w:val="20"/>
          <w:szCs w:val="20"/>
        </w:rPr>
        <w:t xml:space="preserve"> (Law Com No 314, 2009) paras 1.19-1.14</w:t>
      </w:r>
    </w:p>
  </w:footnote>
  <w:footnote w:id="15">
    <w:p w14:paraId="617F275F" w14:textId="1CF4C70C" w:rsidR="00857EB7" w:rsidRPr="00BF7018" w:rsidRDefault="00857EB7">
      <w:pPr>
        <w:pStyle w:val="FootnoteText"/>
        <w:rPr>
          <w:rFonts w:cs="Arial"/>
          <w:sz w:val="20"/>
          <w:szCs w:val="20"/>
        </w:rPr>
      </w:pPr>
      <w:r w:rsidRPr="00BF7018">
        <w:rPr>
          <w:rStyle w:val="FootnoteReference"/>
          <w:rFonts w:cs="Arial"/>
          <w:sz w:val="20"/>
          <w:szCs w:val="20"/>
        </w:rPr>
        <w:footnoteRef/>
      </w:r>
      <w:r w:rsidRPr="00BF7018">
        <w:rPr>
          <w:rFonts w:cs="Arial"/>
          <w:sz w:val="20"/>
          <w:szCs w:val="20"/>
        </w:rPr>
        <w:t xml:space="preserve"> R v </w:t>
      </w:r>
      <w:proofErr w:type="spellStart"/>
      <w:r w:rsidRPr="00BF7018">
        <w:rPr>
          <w:rFonts w:cs="Arial"/>
          <w:i/>
          <w:sz w:val="20"/>
          <w:szCs w:val="20"/>
        </w:rPr>
        <w:t>Pittwood</w:t>
      </w:r>
      <w:proofErr w:type="spellEnd"/>
      <w:r w:rsidRPr="00BF7018">
        <w:rPr>
          <w:rFonts w:cs="Arial"/>
          <w:i/>
          <w:sz w:val="20"/>
          <w:szCs w:val="20"/>
        </w:rPr>
        <w:t xml:space="preserve"> </w:t>
      </w:r>
      <w:r w:rsidRPr="00BF7018">
        <w:rPr>
          <w:rFonts w:cs="Arial"/>
          <w:sz w:val="20"/>
          <w:szCs w:val="20"/>
        </w:rPr>
        <w:t xml:space="preserve">[1902] TLR 37 </w:t>
      </w:r>
    </w:p>
  </w:footnote>
  <w:footnote w:id="16">
    <w:p w14:paraId="273F6E56" w14:textId="37B4AC3D" w:rsidR="00857EB7" w:rsidRPr="00BF7018" w:rsidRDefault="00857EB7" w:rsidP="00CA23C7">
      <w:pPr>
        <w:pStyle w:val="FootnoteText"/>
        <w:rPr>
          <w:rFonts w:cs="Arial"/>
          <w:sz w:val="20"/>
          <w:szCs w:val="20"/>
        </w:rPr>
      </w:pPr>
      <w:r w:rsidRPr="00BF7018">
        <w:rPr>
          <w:rStyle w:val="FootnoteReference"/>
          <w:rFonts w:cs="Arial"/>
          <w:sz w:val="20"/>
          <w:szCs w:val="20"/>
        </w:rPr>
        <w:footnoteRef/>
      </w:r>
      <w:r w:rsidRPr="00BF7018">
        <w:rPr>
          <w:rFonts w:cs="Arial"/>
          <w:sz w:val="20"/>
          <w:szCs w:val="20"/>
        </w:rPr>
        <w:t xml:space="preserve"> R v </w:t>
      </w:r>
      <w:r w:rsidRPr="00BF7018">
        <w:rPr>
          <w:rFonts w:cs="Arial"/>
          <w:i/>
          <w:sz w:val="20"/>
          <w:szCs w:val="20"/>
        </w:rPr>
        <w:t>Ireland</w:t>
      </w:r>
      <w:r w:rsidRPr="00BF7018">
        <w:rPr>
          <w:rFonts w:cs="Arial"/>
          <w:sz w:val="20"/>
          <w:szCs w:val="20"/>
        </w:rPr>
        <w:t xml:space="preserve"> [1997] 3 WLR 534 (Steyn LJ)</w:t>
      </w:r>
    </w:p>
  </w:footnote>
  <w:footnote w:id="17">
    <w:p w14:paraId="4778A72B" w14:textId="3ED56FD1" w:rsidR="00857EB7" w:rsidRPr="00BF7018" w:rsidRDefault="00857EB7" w:rsidP="00CA23C7">
      <w:pPr>
        <w:pStyle w:val="FootnoteText"/>
        <w:rPr>
          <w:rFonts w:cs="Arial"/>
          <w:sz w:val="20"/>
          <w:szCs w:val="20"/>
        </w:rPr>
      </w:pPr>
      <w:r w:rsidRPr="00BF7018">
        <w:rPr>
          <w:rStyle w:val="FootnoteReference"/>
          <w:rFonts w:cs="Arial"/>
          <w:sz w:val="20"/>
          <w:szCs w:val="20"/>
        </w:rPr>
        <w:footnoteRef/>
      </w:r>
      <w:r w:rsidRPr="00BF7018">
        <w:rPr>
          <w:rFonts w:cs="Arial"/>
          <w:sz w:val="20"/>
          <w:szCs w:val="20"/>
        </w:rPr>
        <w:t xml:space="preserve"> Sir Edward Coke (Institutes of the Laws of England, 1797), R v Moloney [1985] AC 905</w:t>
      </w:r>
    </w:p>
  </w:footnote>
  <w:footnote w:id="18">
    <w:p w14:paraId="1FC9E41D" w14:textId="5BFFCEE0" w:rsidR="00857EB7" w:rsidRPr="00BF7018" w:rsidRDefault="00857EB7">
      <w:pPr>
        <w:pStyle w:val="FootnoteText"/>
        <w:rPr>
          <w:rFonts w:cs="Arial"/>
          <w:sz w:val="20"/>
          <w:szCs w:val="20"/>
        </w:rPr>
      </w:pPr>
      <w:r w:rsidRPr="00BF7018">
        <w:rPr>
          <w:rStyle w:val="FootnoteReference"/>
          <w:rFonts w:cs="Arial"/>
          <w:sz w:val="20"/>
          <w:szCs w:val="20"/>
        </w:rPr>
        <w:footnoteRef/>
      </w:r>
      <w:r w:rsidRPr="00BF7018">
        <w:rPr>
          <w:rFonts w:cs="Arial"/>
          <w:sz w:val="20"/>
          <w:szCs w:val="20"/>
        </w:rPr>
        <w:t xml:space="preserve"> </w:t>
      </w:r>
      <w:r w:rsidRPr="00E55321">
        <w:rPr>
          <w:color w:val="000000" w:themeColor="text1"/>
          <w:sz w:val="20"/>
          <w:szCs w:val="20"/>
        </w:rPr>
        <w:t>Theft Act 1968, s.1(1)</w:t>
      </w:r>
    </w:p>
  </w:footnote>
  <w:footnote w:id="19">
    <w:p w14:paraId="7AB1F2DC" w14:textId="7E57A8EF" w:rsidR="00857EB7" w:rsidRPr="000278A6" w:rsidRDefault="00857EB7" w:rsidP="00CA23C7">
      <w:pPr>
        <w:pStyle w:val="FootnoteText"/>
        <w:rPr>
          <w:sz w:val="20"/>
          <w:szCs w:val="20"/>
        </w:rPr>
      </w:pPr>
      <w:r w:rsidRPr="00BF7018">
        <w:rPr>
          <w:rStyle w:val="FootnoteReference"/>
          <w:rFonts w:cs="Arial"/>
          <w:sz w:val="20"/>
          <w:szCs w:val="20"/>
        </w:rPr>
        <w:footnoteRef/>
      </w:r>
      <w:r w:rsidRPr="00BF7018">
        <w:rPr>
          <w:rFonts w:cs="Arial"/>
          <w:sz w:val="20"/>
          <w:szCs w:val="20"/>
        </w:rPr>
        <w:t xml:space="preserve"> Law Commission, </w:t>
      </w:r>
      <w:r w:rsidRPr="00BF7018">
        <w:rPr>
          <w:rFonts w:cs="Arial"/>
          <w:i/>
          <w:sz w:val="20"/>
          <w:szCs w:val="20"/>
        </w:rPr>
        <w:t>Intoxication and Criminal Liability</w:t>
      </w:r>
      <w:r w:rsidRPr="00BF7018">
        <w:rPr>
          <w:rFonts w:cs="Arial"/>
          <w:sz w:val="20"/>
          <w:szCs w:val="20"/>
        </w:rPr>
        <w:t xml:space="preserve"> (Law Com No 314, 2009) paras 1.9-1.11</w:t>
      </w:r>
    </w:p>
  </w:footnote>
  <w:footnote w:id="20">
    <w:p w14:paraId="311BC709" w14:textId="091C00DE" w:rsidR="00857EB7" w:rsidRPr="00E55321" w:rsidRDefault="00857EB7">
      <w:pPr>
        <w:pStyle w:val="FootnoteText"/>
        <w:rPr>
          <w:color w:val="000000" w:themeColor="text1"/>
          <w:sz w:val="20"/>
          <w:szCs w:val="20"/>
        </w:rPr>
      </w:pPr>
      <w:r w:rsidRPr="00E55321">
        <w:rPr>
          <w:rStyle w:val="FootnoteReference"/>
          <w:color w:val="000000" w:themeColor="text1"/>
          <w:sz w:val="20"/>
          <w:szCs w:val="20"/>
        </w:rPr>
        <w:footnoteRef/>
      </w:r>
      <w:r w:rsidRPr="00E55321">
        <w:rPr>
          <w:color w:val="000000" w:themeColor="text1"/>
          <w:sz w:val="20"/>
          <w:szCs w:val="20"/>
        </w:rPr>
        <w:t xml:space="preserve"> </w:t>
      </w:r>
      <w:r>
        <w:rPr>
          <w:color w:val="000000" w:themeColor="text1"/>
          <w:sz w:val="20"/>
          <w:szCs w:val="20"/>
        </w:rPr>
        <w:t>Ibid,</w:t>
      </w:r>
      <w:r w:rsidRPr="00E55321">
        <w:rPr>
          <w:color w:val="000000" w:themeColor="text1"/>
          <w:sz w:val="20"/>
          <w:szCs w:val="20"/>
        </w:rPr>
        <w:t xml:space="preserve"> para 1.12</w:t>
      </w:r>
    </w:p>
  </w:footnote>
  <w:footnote w:id="21">
    <w:p w14:paraId="1DE20B6F" w14:textId="547109F4" w:rsidR="00857EB7" w:rsidRPr="00E55321" w:rsidRDefault="00857EB7">
      <w:pPr>
        <w:pStyle w:val="FootnoteText"/>
        <w:rPr>
          <w:color w:val="000000" w:themeColor="text1"/>
          <w:sz w:val="20"/>
          <w:szCs w:val="20"/>
        </w:rPr>
      </w:pPr>
      <w:r w:rsidRPr="00E55321">
        <w:rPr>
          <w:rStyle w:val="FootnoteReference"/>
          <w:color w:val="000000" w:themeColor="text1"/>
          <w:sz w:val="20"/>
          <w:szCs w:val="20"/>
        </w:rPr>
        <w:footnoteRef/>
      </w:r>
      <w:r w:rsidRPr="00E55321">
        <w:rPr>
          <w:color w:val="000000" w:themeColor="text1"/>
          <w:sz w:val="20"/>
          <w:szCs w:val="20"/>
        </w:rPr>
        <w:t xml:space="preserve"> R v </w:t>
      </w:r>
      <w:r w:rsidRPr="0030375E">
        <w:rPr>
          <w:i/>
          <w:color w:val="000000" w:themeColor="text1"/>
          <w:sz w:val="20"/>
          <w:szCs w:val="20"/>
        </w:rPr>
        <w:t xml:space="preserve">Moloney </w:t>
      </w:r>
      <w:r w:rsidRPr="00E55321">
        <w:rPr>
          <w:color w:val="000000" w:themeColor="text1"/>
          <w:sz w:val="20"/>
          <w:szCs w:val="20"/>
        </w:rPr>
        <w:t>[1985] AC 905</w:t>
      </w:r>
    </w:p>
  </w:footnote>
  <w:footnote w:id="22">
    <w:p w14:paraId="2B82F5E5" w14:textId="30941635" w:rsidR="00857EB7" w:rsidRPr="00E55321" w:rsidRDefault="00857EB7">
      <w:pPr>
        <w:pStyle w:val="FootnoteText"/>
        <w:rPr>
          <w:color w:val="000000" w:themeColor="text1"/>
          <w:sz w:val="20"/>
          <w:szCs w:val="20"/>
        </w:rPr>
      </w:pPr>
      <w:r w:rsidRPr="00E55321">
        <w:rPr>
          <w:rStyle w:val="FootnoteReference"/>
          <w:color w:val="000000" w:themeColor="text1"/>
          <w:sz w:val="20"/>
          <w:szCs w:val="20"/>
        </w:rPr>
        <w:footnoteRef/>
      </w:r>
      <w:r w:rsidRPr="00E55321">
        <w:rPr>
          <w:color w:val="000000" w:themeColor="text1"/>
          <w:sz w:val="20"/>
          <w:szCs w:val="20"/>
        </w:rPr>
        <w:t xml:space="preserve"> R v </w:t>
      </w:r>
      <w:r w:rsidRPr="0030375E">
        <w:rPr>
          <w:i/>
          <w:color w:val="000000" w:themeColor="text1"/>
          <w:sz w:val="20"/>
          <w:szCs w:val="20"/>
        </w:rPr>
        <w:t xml:space="preserve">Ireland </w:t>
      </w:r>
      <w:r w:rsidRPr="00E55321">
        <w:rPr>
          <w:color w:val="000000" w:themeColor="text1"/>
          <w:sz w:val="20"/>
          <w:szCs w:val="20"/>
        </w:rPr>
        <w:t>[1997] 3 WLR 534 (Steyn LJ)</w:t>
      </w:r>
    </w:p>
  </w:footnote>
  <w:footnote w:id="23">
    <w:p w14:paraId="19F1AF8A" w14:textId="63589850" w:rsidR="00857EB7" w:rsidRPr="00E55321" w:rsidRDefault="00857EB7">
      <w:pPr>
        <w:pStyle w:val="FootnoteText"/>
        <w:rPr>
          <w:color w:val="000000" w:themeColor="text1"/>
          <w:sz w:val="20"/>
          <w:szCs w:val="20"/>
        </w:rPr>
      </w:pPr>
      <w:r w:rsidRPr="00E55321">
        <w:rPr>
          <w:rStyle w:val="FootnoteReference"/>
          <w:color w:val="000000" w:themeColor="text1"/>
          <w:sz w:val="20"/>
          <w:szCs w:val="20"/>
        </w:rPr>
        <w:footnoteRef/>
      </w:r>
      <w:r w:rsidRPr="00E55321">
        <w:rPr>
          <w:color w:val="000000" w:themeColor="text1"/>
          <w:sz w:val="20"/>
          <w:szCs w:val="20"/>
        </w:rPr>
        <w:t xml:space="preserve"> Sir Edward Coke (Institutes of the Laws of England, 1797), R v Moloney [1985] AC 905</w:t>
      </w:r>
    </w:p>
  </w:footnote>
  <w:footnote w:id="24">
    <w:p w14:paraId="714AB50D" w14:textId="4A1A8EB1" w:rsidR="00857EB7" w:rsidRPr="00E55321" w:rsidRDefault="00857EB7">
      <w:pPr>
        <w:pStyle w:val="FootnoteText"/>
        <w:rPr>
          <w:color w:val="000000" w:themeColor="text1"/>
          <w:sz w:val="20"/>
          <w:szCs w:val="20"/>
        </w:rPr>
      </w:pPr>
      <w:r w:rsidRPr="00E55321">
        <w:rPr>
          <w:rStyle w:val="FootnoteReference"/>
          <w:color w:val="000000" w:themeColor="text1"/>
          <w:sz w:val="20"/>
          <w:szCs w:val="20"/>
        </w:rPr>
        <w:footnoteRef/>
      </w:r>
      <w:r w:rsidRPr="00E55321">
        <w:rPr>
          <w:color w:val="000000" w:themeColor="text1"/>
          <w:sz w:val="20"/>
          <w:szCs w:val="20"/>
        </w:rPr>
        <w:t xml:space="preserve"> R v </w:t>
      </w:r>
      <w:r w:rsidRPr="0030375E">
        <w:rPr>
          <w:i/>
          <w:color w:val="000000" w:themeColor="text1"/>
          <w:sz w:val="20"/>
          <w:szCs w:val="20"/>
        </w:rPr>
        <w:t>Moloney</w:t>
      </w:r>
      <w:r w:rsidRPr="00E55321">
        <w:rPr>
          <w:color w:val="000000" w:themeColor="text1"/>
          <w:sz w:val="20"/>
          <w:szCs w:val="20"/>
        </w:rPr>
        <w:t xml:space="preserve"> [1985] AC 905</w:t>
      </w:r>
    </w:p>
  </w:footnote>
  <w:footnote w:id="25">
    <w:p w14:paraId="6313D8EA" w14:textId="45FCAEDE" w:rsidR="00857EB7" w:rsidRPr="00E55321" w:rsidRDefault="00857EB7">
      <w:pPr>
        <w:pStyle w:val="FootnoteText"/>
        <w:rPr>
          <w:color w:val="000000" w:themeColor="text1"/>
          <w:sz w:val="20"/>
          <w:szCs w:val="20"/>
        </w:rPr>
      </w:pPr>
      <w:r w:rsidRPr="00E55321">
        <w:rPr>
          <w:rStyle w:val="FootnoteReference"/>
          <w:color w:val="000000" w:themeColor="text1"/>
          <w:sz w:val="20"/>
          <w:szCs w:val="20"/>
        </w:rPr>
        <w:footnoteRef/>
      </w:r>
      <w:r w:rsidRPr="00E55321">
        <w:rPr>
          <w:color w:val="000000" w:themeColor="text1"/>
          <w:sz w:val="20"/>
          <w:szCs w:val="20"/>
        </w:rPr>
        <w:t xml:space="preserve"> Theft Act 1968, s.1(1)</w:t>
      </w:r>
    </w:p>
  </w:footnote>
  <w:footnote w:id="26">
    <w:p w14:paraId="71E8DC8B" w14:textId="466BF5A5" w:rsidR="00857EB7" w:rsidRPr="00E55321" w:rsidRDefault="00857EB7" w:rsidP="004857DB">
      <w:pPr>
        <w:pStyle w:val="FootnoteText"/>
        <w:rPr>
          <w:color w:val="000000" w:themeColor="text1"/>
          <w:sz w:val="20"/>
          <w:szCs w:val="20"/>
        </w:rPr>
      </w:pPr>
      <w:r w:rsidRPr="00E55321">
        <w:rPr>
          <w:rStyle w:val="FootnoteReference"/>
          <w:color w:val="000000" w:themeColor="text1"/>
          <w:sz w:val="20"/>
          <w:szCs w:val="20"/>
        </w:rPr>
        <w:footnoteRef/>
      </w:r>
      <w:r w:rsidRPr="00E55321">
        <w:rPr>
          <w:color w:val="000000" w:themeColor="text1"/>
          <w:sz w:val="20"/>
          <w:szCs w:val="20"/>
        </w:rPr>
        <w:t xml:space="preserve"> </w:t>
      </w:r>
      <w:r w:rsidRPr="00E55321">
        <w:rPr>
          <w:rFonts w:ascii="Helvetica Neue" w:hAnsi="Helvetica Neue"/>
          <w:color w:val="000000" w:themeColor="text1"/>
          <w:sz w:val="20"/>
          <w:szCs w:val="20"/>
          <w:shd w:val="clear" w:color="auto" w:fill="FFFFFF"/>
        </w:rPr>
        <w:t>Martin Friedland, 'Beyond a Reasonable Doubt: Does it Apply to Finding the Law as Well as the Facts' (2015) 62(4) Crim LQ 428</w:t>
      </w:r>
    </w:p>
  </w:footnote>
  <w:footnote w:id="27">
    <w:p w14:paraId="5A0E56C6" w14:textId="4739D28D" w:rsidR="00857EB7" w:rsidRDefault="00857EB7">
      <w:pPr>
        <w:pStyle w:val="FootnoteText"/>
      </w:pPr>
      <w:r w:rsidRPr="00E55321">
        <w:rPr>
          <w:rStyle w:val="FootnoteReference"/>
          <w:color w:val="000000" w:themeColor="text1"/>
          <w:sz w:val="20"/>
          <w:szCs w:val="20"/>
        </w:rPr>
        <w:footnoteRef/>
      </w:r>
      <w:r w:rsidRPr="00E55321">
        <w:rPr>
          <w:color w:val="000000" w:themeColor="text1"/>
          <w:sz w:val="20"/>
          <w:szCs w:val="20"/>
        </w:rPr>
        <w:t xml:space="preserve"> </w:t>
      </w:r>
      <w:r w:rsidRPr="0030375E">
        <w:rPr>
          <w:i/>
          <w:color w:val="000000" w:themeColor="text1"/>
          <w:sz w:val="20"/>
          <w:szCs w:val="20"/>
        </w:rPr>
        <w:t>DPP v Majewski</w:t>
      </w:r>
      <w:r w:rsidRPr="00E55321">
        <w:rPr>
          <w:color w:val="000000" w:themeColor="text1"/>
          <w:sz w:val="20"/>
          <w:szCs w:val="20"/>
        </w:rPr>
        <w:t xml:space="preserve"> [1977] AC 443</w:t>
      </w:r>
      <w:r w:rsidRPr="00E55321">
        <w:rPr>
          <w:color w:val="000000" w:themeColor="text1"/>
        </w:rPr>
        <w:t xml:space="preserve"> </w:t>
      </w:r>
    </w:p>
  </w:footnote>
  <w:footnote w:id="28">
    <w:p w14:paraId="248BF274" w14:textId="55932995" w:rsidR="00857EB7" w:rsidRPr="00E55321" w:rsidRDefault="00857EB7">
      <w:pPr>
        <w:pStyle w:val="FootnoteText"/>
        <w:rPr>
          <w:sz w:val="20"/>
          <w:szCs w:val="20"/>
        </w:rPr>
      </w:pPr>
      <w:r>
        <w:rPr>
          <w:rStyle w:val="FootnoteReference"/>
        </w:rPr>
        <w:footnoteRef/>
      </w:r>
      <w:r>
        <w:t xml:space="preserve"> </w:t>
      </w:r>
      <w:r w:rsidRPr="00E55321">
        <w:rPr>
          <w:sz w:val="20"/>
          <w:szCs w:val="20"/>
        </w:rPr>
        <w:t xml:space="preserve">Law Commission, </w:t>
      </w:r>
      <w:r w:rsidRPr="00E55321">
        <w:rPr>
          <w:i/>
          <w:sz w:val="20"/>
          <w:szCs w:val="20"/>
        </w:rPr>
        <w:t>Intoxication and Criminal Liability</w:t>
      </w:r>
      <w:r w:rsidRPr="00E55321">
        <w:rPr>
          <w:sz w:val="20"/>
          <w:szCs w:val="20"/>
        </w:rPr>
        <w:t xml:space="preserve"> (Law Com No 314, 2009) para 2.3</w:t>
      </w:r>
    </w:p>
  </w:footnote>
  <w:footnote w:id="29">
    <w:p w14:paraId="1B366746" w14:textId="2638DED6" w:rsidR="00857EB7" w:rsidRDefault="00857EB7">
      <w:pPr>
        <w:pStyle w:val="FootnoteText"/>
      </w:pPr>
      <w:r w:rsidRPr="00E55321">
        <w:rPr>
          <w:rStyle w:val="FootnoteReference"/>
          <w:sz w:val="20"/>
          <w:szCs w:val="20"/>
        </w:rPr>
        <w:footnoteRef/>
      </w:r>
      <w:r w:rsidRPr="00E55321">
        <w:rPr>
          <w:sz w:val="20"/>
          <w:szCs w:val="20"/>
        </w:rPr>
        <w:t xml:space="preserve"> </w:t>
      </w:r>
      <w:r w:rsidRPr="0030375E">
        <w:rPr>
          <w:i/>
          <w:color w:val="000000" w:themeColor="text1"/>
          <w:sz w:val="20"/>
          <w:szCs w:val="20"/>
        </w:rPr>
        <w:t>DPP v Majewski</w:t>
      </w:r>
      <w:r w:rsidRPr="00E55321">
        <w:rPr>
          <w:color w:val="000000" w:themeColor="text1"/>
          <w:sz w:val="20"/>
          <w:szCs w:val="20"/>
        </w:rPr>
        <w:t xml:space="preserve"> [1977] AC 443</w:t>
      </w:r>
    </w:p>
  </w:footnote>
  <w:footnote w:id="30">
    <w:p w14:paraId="22FF71FF" w14:textId="0EF12532" w:rsidR="00857EB7" w:rsidRPr="00660AC7" w:rsidRDefault="00857EB7">
      <w:pPr>
        <w:pStyle w:val="FootnoteText"/>
        <w:rPr>
          <w:color w:val="000000" w:themeColor="text1"/>
          <w:sz w:val="20"/>
          <w:szCs w:val="20"/>
        </w:rPr>
      </w:pPr>
      <w:r w:rsidRPr="00660AC7">
        <w:rPr>
          <w:rStyle w:val="FootnoteReference"/>
          <w:color w:val="000000" w:themeColor="text1"/>
          <w:sz w:val="20"/>
          <w:szCs w:val="20"/>
        </w:rPr>
        <w:footnoteRef/>
      </w:r>
      <w:r w:rsidRPr="00660AC7">
        <w:rPr>
          <w:color w:val="000000" w:themeColor="text1"/>
          <w:sz w:val="20"/>
          <w:szCs w:val="20"/>
        </w:rPr>
        <w:t xml:space="preserve"> </w:t>
      </w:r>
      <w:r>
        <w:rPr>
          <w:color w:val="000000" w:themeColor="text1"/>
          <w:sz w:val="20"/>
          <w:szCs w:val="20"/>
        </w:rPr>
        <w:t xml:space="preserve">Ibid </w:t>
      </w:r>
    </w:p>
  </w:footnote>
  <w:footnote w:id="31">
    <w:p w14:paraId="08C99E2B" w14:textId="733AB487" w:rsidR="00857EB7" w:rsidRPr="00660AC7" w:rsidRDefault="00857EB7" w:rsidP="004857DB">
      <w:pPr>
        <w:pStyle w:val="FootnoteText"/>
        <w:rPr>
          <w:color w:val="000000" w:themeColor="text1"/>
          <w:sz w:val="20"/>
          <w:szCs w:val="20"/>
        </w:rPr>
      </w:pPr>
      <w:r w:rsidRPr="00660AC7">
        <w:rPr>
          <w:rStyle w:val="FootnoteReference"/>
          <w:color w:val="000000" w:themeColor="text1"/>
          <w:sz w:val="20"/>
          <w:szCs w:val="20"/>
        </w:rPr>
        <w:footnoteRef/>
      </w:r>
      <w:r w:rsidRPr="00660AC7">
        <w:rPr>
          <w:color w:val="000000" w:themeColor="text1"/>
          <w:sz w:val="20"/>
          <w:szCs w:val="20"/>
        </w:rPr>
        <w:t xml:space="preserve"> </w:t>
      </w:r>
      <w:r w:rsidR="00391177" w:rsidRPr="0030375E">
        <w:rPr>
          <w:i/>
          <w:color w:val="000000" w:themeColor="text1"/>
          <w:sz w:val="20"/>
          <w:szCs w:val="20"/>
        </w:rPr>
        <w:t>DPP v Majewski</w:t>
      </w:r>
      <w:r w:rsidR="00391177" w:rsidRPr="00E55321">
        <w:rPr>
          <w:color w:val="000000" w:themeColor="text1"/>
          <w:sz w:val="20"/>
          <w:szCs w:val="20"/>
        </w:rPr>
        <w:t xml:space="preserve"> [1977] AC 443</w:t>
      </w:r>
    </w:p>
  </w:footnote>
  <w:footnote w:id="32">
    <w:p w14:paraId="306E3B7B" w14:textId="61989A74" w:rsidR="00857EB7" w:rsidRPr="00660AC7" w:rsidRDefault="00857EB7" w:rsidP="004857DB">
      <w:pPr>
        <w:pStyle w:val="FootnoteText"/>
        <w:rPr>
          <w:color w:val="000000" w:themeColor="text1"/>
          <w:sz w:val="20"/>
          <w:szCs w:val="20"/>
        </w:rPr>
      </w:pPr>
      <w:r w:rsidRPr="00660AC7">
        <w:rPr>
          <w:rStyle w:val="FootnoteReference"/>
          <w:color w:val="000000" w:themeColor="text1"/>
          <w:sz w:val="20"/>
          <w:szCs w:val="20"/>
        </w:rPr>
        <w:footnoteRef/>
      </w:r>
      <w:r w:rsidRPr="00660AC7">
        <w:rPr>
          <w:color w:val="000000" w:themeColor="text1"/>
          <w:sz w:val="20"/>
          <w:szCs w:val="20"/>
        </w:rPr>
        <w:t xml:space="preserve"> Law Commission, </w:t>
      </w:r>
      <w:r w:rsidRPr="00660AC7">
        <w:rPr>
          <w:i/>
          <w:color w:val="000000" w:themeColor="text1"/>
          <w:sz w:val="20"/>
          <w:szCs w:val="20"/>
        </w:rPr>
        <w:t>Intoxication and Criminal Liability</w:t>
      </w:r>
      <w:r w:rsidRPr="00660AC7">
        <w:rPr>
          <w:color w:val="000000" w:themeColor="text1"/>
          <w:sz w:val="20"/>
          <w:szCs w:val="20"/>
        </w:rPr>
        <w:t xml:space="preserve"> (Law Com No 314, 2009) para 1.74</w:t>
      </w:r>
    </w:p>
  </w:footnote>
  <w:footnote w:id="33">
    <w:p w14:paraId="352369D7" w14:textId="03FB9CB3" w:rsidR="00857EB7" w:rsidRPr="00660AC7" w:rsidRDefault="00857EB7" w:rsidP="004857DB">
      <w:pPr>
        <w:pStyle w:val="FootnoteText"/>
        <w:rPr>
          <w:color w:val="000000" w:themeColor="text1"/>
          <w:sz w:val="20"/>
          <w:szCs w:val="20"/>
        </w:rPr>
      </w:pPr>
      <w:r w:rsidRPr="00660AC7">
        <w:rPr>
          <w:rStyle w:val="FootnoteReference"/>
          <w:color w:val="000000" w:themeColor="text1"/>
          <w:sz w:val="20"/>
          <w:szCs w:val="20"/>
        </w:rPr>
        <w:footnoteRef/>
      </w:r>
      <w:r w:rsidRPr="00660AC7">
        <w:rPr>
          <w:color w:val="000000" w:themeColor="text1"/>
          <w:sz w:val="20"/>
          <w:szCs w:val="20"/>
        </w:rPr>
        <w:t xml:space="preserve"> Ibid, paras 2.4-2.7</w:t>
      </w:r>
    </w:p>
  </w:footnote>
  <w:footnote w:id="34">
    <w:p w14:paraId="2AA030BA" w14:textId="6283D5AC" w:rsidR="00857EB7" w:rsidRPr="00660AC7" w:rsidRDefault="00857EB7" w:rsidP="004857DB">
      <w:pPr>
        <w:pStyle w:val="FootnoteText"/>
        <w:rPr>
          <w:color w:val="000000" w:themeColor="text1"/>
          <w:sz w:val="20"/>
          <w:szCs w:val="20"/>
        </w:rPr>
      </w:pPr>
      <w:r w:rsidRPr="00660AC7">
        <w:rPr>
          <w:rStyle w:val="FootnoteReference"/>
          <w:color w:val="000000" w:themeColor="text1"/>
          <w:sz w:val="20"/>
          <w:szCs w:val="20"/>
        </w:rPr>
        <w:footnoteRef/>
      </w:r>
      <w:r w:rsidRPr="00660AC7">
        <w:rPr>
          <w:color w:val="000000" w:themeColor="text1"/>
          <w:sz w:val="20"/>
          <w:szCs w:val="20"/>
        </w:rPr>
        <w:t xml:space="preserve"> R v Ireland [1997] 3 WLR 534 (Steyn LJ)</w:t>
      </w:r>
    </w:p>
  </w:footnote>
  <w:footnote w:id="35">
    <w:p w14:paraId="5E7A1E52" w14:textId="77777777" w:rsidR="00857EB7" w:rsidRPr="00660AC7" w:rsidRDefault="00857EB7" w:rsidP="004857DB">
      <w:pPr>
        <w:pStyle w:val="FootnoteText"/>
        <w:rPr>
          <w:color w:val="000000" w:themeColor="text1"/>
          <w:sz w:val="20"/>
          <w:szCs w:val="20"/>
          <w:lang w:val="de-DE"/>
        </w:rPr>
      </w:pPr>
      <w:r w:rsidRPr="00660AC7">
        <w:rPr>
          <w:rStyle w:val="FootnoteReference"/>
          <w:color w:val="000000" w:themeColor="text1"/>
          <w:sz w:val="20"/>
          <w:szCs w:val="20"/>
        </w:rPr>
        <w:footnoteRef/>
      </w:r>
      <w:r w:rsidRPr="00660AC7">
        <w:rPr>
          <w:color w:val="000000" w:themeColor="text1"/>
          <w:sz w:val="20"/>
          <w:szCs w:val="20"/>
          <w:lang w:val="de-DE"/>
        </w:rPr>
        <w:t xml:space="preserve"> </w:t>
      </w:r>
      <w:r w:rsidRPr="00660AC7">
        <w:rPr>
          <w:rFonts w:cs="Arial"/>
          <w:bCs/>
          <w:i/>
          <w:color w:val="000000" w:themeColor="text1"/>
          <w:sz w:val="20"/>
          <w:szCs w:val="20"/>
          <w:lang w:val="de-DE"/>
        </w:rPr>
        <w:t xml:space="preserve">R. v Aitken, R. v Bennett, R. v Barson </w:t>
      </w:r>
      <w:r w:rsidRPr="00660AC7">
        <w:rPr>
          <w:rFonts w:cs="Arial"/>
          <w:color w:val="000000" w:themeColor="text1"/>
          <w:sz w:val="20"/>
          <w:szCs w:val="20"/>
          <w:lang w:val="de-DE"/>
        </w:rPr>
        <w:t>[1992] 1 W.L.R. 1006</w:t>
      </w:r>
    </w:p>
  </w:footnote>
  <w:footnote w:id="36">
    <w:p w14:paraId="0DEA05F6" w14:textId="3539FDB1" w:rsidR="00857EB7" w:rsidRPr="00660AC7" w:rsidRDefault="00857EB7" w:rsidP="004857DB">
      <w:pPr>
        <w:pStyle w:val="FootnoteText"/>
        <w:rPr>
          <w:color w:val="000000" w:themeColor="text1"/>
          <w:sz w:val="20"/>
          <w:szCs w:val="20"/>
        </w:rPr>
      </w:pPr>
      <w:r w:rsidRPr="00660AC7">
        <w:rPr>
          <w:rStyle w:val="FootnoteReference"/>
          <w:color w:val="000000" w:themeColor="text1"/>
          <w:sz w:val="20"/>
          <w:szCs w:val="20"/>
        </w:rPr>
        <w:footnoteRef/>
      </w:r>
      <w:r w:rsidRPr="00660AC7">
        <w:rPr>
          <w:color w:val="000000" w:themeColor="text1"/>
          <w:sz w:val="20"/>
          <w:szCs w:val="20"/>
        </w:rPr>
        <w:t xml:space="preserve"> </w:t>
      </w:r>
      <w:r w:rsidRPr="003D1413">
        <w:rPr>
          <w:i/>
          <w:iCs/>
          <w:color w:val="000000" w:themeColor="text1"/>
          <w:sz w:val="20"/>
          <w:szCs w:val="20"/>
        </w:rPr>
        <w:t>DPP v Majewski</w:t>
      </w:r>
      <w:r w:rsidRPr="00660AC7">
        <w:rPr>
          <w:color w:val="000000" w:themeColor="text1"/>
          <w:sz w:val="20"/>
          <w:szCs w:val="20"/>
        </w:rPr>
        <w:t xml:space="preserve"> [1977] AC 443</w:t>
      </w:r>
    </w:p>
  </w:footnote>
  <w:footnote w:id="37">
    <w:p w14:paraId="34EDB910" w14:textId="747BAF18" w:rsidR="00857EB7" w:rsidRPr="00660AC7" w:rsidRDefault="00857EB7">
      <w:pPr>
        <w:pStyle w:val="FootnoteText"/>
        <w:rPr>
          <w:color w:val="000000" w:themeColor="text1"/>
          <w:sz w:val="20"/>
          <w:szCs w:val="20"/>
        </w:rPr>
      </w:pPr>
      <w:r w:rsidRPr="00660AC7">
        <w:rPr>
          <w:rStyle w:val="FootnoteReference"/>
          <w:color w:val="000000" w:themeColor="text1"/>
          <w:sz w:val="20"/>
          <w:szCs w:val="20"/>
        </w:rPr>
        <w:footnoteRef/>
      </w:r>
      <w:r w:rsidRPr="00660AC7">
        <w:rPr>
          <w:color w:val="000000" w:themeColor="text1"/>
          <w:sz w:val="20"/>
          <w:szCs w:val="20"/>
        </w:rPr>
        <w:t xml:space="preserve"> </w:t>
      </w:r>
      <w:r w:rsidRPr="003D1413">
        <w:rPr>
          <w:i/>
          <w:iCs/>
          <w:color w:val="000000" w:themeColor="text1"/>
          <w:sz w:val="20"/>
          <w:szCs w:val="20"/>
        </w:rPr>
        <w:t>DPP v Majewski</w:t>
      </w:r>
      <w:r w:rsidRPr="00660AC7">
        <w:rPr>
          <w:color w:val="000000" w:themeColor="text1"/>
          <w:sz w:val="20"/>
          <w:szCs w:val="20"/>
        </w:rPr>
        <w:t xml:space="preserve"> [1977] AC 443</w:t>
      </w:r>
    </w:p>
  </w:footnote>
  <w:footnote w:id="38">
    <w:p w14:paraId="422F06ED" w14:textId="153FE35D" w:rsidR="00857EB7" w:rsidRPr="00660AC7" w:rsidRDefault="00857EB7" w:rsidP="004857DB">
      <w:pPr>
        <w:pStyle w:val="FootnoteText"/>
        <w:rPr>
          <w:color w:val="000000" w:themeColor="text1"/>
          <w:sz w:val="20"/>
          <w:szCs w:val="20"/>
        </w:rPr>
      </w:pPr>
      <w:r w:rsidRPr="00660AC7">
        <w:rPr>
          <w:rStyle w:val="FootnoteReference"/>
          <w:color w:val="000000" w:themeColor="text1"/>
          <w:sz w:val="20"/>
          <w:szCs w:val="20"/>
        </w:rPr>
        <w:footnoteRef/>
      </w:r>
      <w:r w:rsidRPr="00660AC7">
        <w:rPr>
          <w:color w:val="000000" w:themeColor="text1"/>
          <w:sz w:val="20"/>
          <w:szCs w:val="20"/>
        </w:rPr>
        <w:t xml:space="preserve"> Law Commission, </w:t>
      </w:r>
      <w:r w:rsidRPr="00660AC7">
        <w:rPr>
          <w:i/>
          <w:color w:val="000000" w:themeColor="text1"/>
          <w:sz w:val="20"/>
          <w:szCs w:val="20"/>
        </w:rPr>
        <w:t>Intoxication and Criminal Liability</w:t>
      </w:r>
      <w:r w:rsidRPr="00660AC7">
        <w:rPr>
          <w:color w:val="000000" w:themeColor="text1"/>
          <w:sz w:val="20"/>
          <w:szCs w:val="20"/>
        </w:rPr>
        <w:t xml:space="preserve"> (Law Com No 314, 2009) para 2.8</w:t>
      </w:r>
    </w:p>
  </w:footnote>
  <w:footnote w:id="39">
    <w:p w14:paraId="6648D8D8" w14:textId="77777777" w:rsidR="00857EB7" w:rsidRPr="00660AC7" w:rsidRDefault="00857EB7" w:rsidP="004857DB">
      <w:pPr>
        <w:pStyle w:val="FootnoteText"/>
        <w:rPr>
          <w:color w:val="000000" w:themeColor="text1"/>
          <w:sz w:val="20"/>
          <w:szCs w:val="20"/>
          <w:lang w:val="en-US"/>
        </w:rPr>
      </w:pPr>
      <w:r w:rsidRPr="00660AC7">
        <w:rPr>
          <w:rStyle w:val="FootnoteReference"/>
          <w:color w:val="000000" w:themeColor="text1"/>
          <w:sz w:val="20"/>
          <w:szCs w:val="20"/>
        </w:rPr>
        <w:footnoteRef/>
      </w:r>
      <w:r w:rsidRPr="00660AC7">
        <w:rPr>
          <w:color w:val="000000" w:themeColor="text1"/>
          <w:sz w:val="20"/>
          <w:szCs w:val="20"/>
        </w:rPr>
        <w:t xml:space="preserve"> </w:t>
      </w:r>
      <w:r w:rsidRPr="00660AC7">
        <w:rPr>
          <w:rFonts w:cs="Arial"/>
          <w:bCs/>
          <w:i/>
          <w:color w:val="000000" w:themeColor="text1"/>
          <w:sz w:val="20"/>
          <w:szCs w:val="20"/>
          <w:lang w:val="en-US"/>
        </w:rPr>
        <w:t>DPP v Majewski</w:t>
      </w:r>
      <w:r w:rsidRPr="00660AC7">
        <w:rPr>
          <w:rFonts w:cs="Arial"/>
          <w:bCs/>
          <w:color w:val="000000" w:themeColor="text1"/>
          <w:sz w:val="20"/>
          <w:szCs w:val="20"/>
          <w:lang w:val="en-US"/>
        </w:rPr>
        <w:t xml:space="preserve"> </w:t>
      </w:r>
      <w:hyperlink r:id="rId3" w:history="1">
        <w:r w:rsidRPr="00660AC7">
          <w:rPr>
            <w:rFonts w:cs="Arial"/>
            <w:color w:val="000000" w:themeColor="text1"/>
            <w:sz w:val="20"/>
            <w:szCs w:val="20"/>
            <w:lang w:val="en-US"/>
          </w:rPr>
          <w:t>[1977] A.C. 443</w:t>
        </w:r>
      </w:hyperlink>
    </w:p>
  </w:footnote>
  <w:footnote w:id="40">
    <w:p w14:paraId="2E8A3FDD" w14:textId="77777777" w:rsidR="00857EB7" w:rsidRPr="00660AC7" w:rsidRDefault="00857EB7" w:rsidP="004857DB">
      <w:pPr>
        <w:pStyle w:val="FootnoteText"/>
        <w:rPr>
          <w:color w:val="000000" w:themeColor="text1"/>
          <w:sz w:val="20"/>
          <w:szCs w:val="20"/>
        </w:rPr>
      </w:pPr>
      <w:r w:rsidRPr="00660AC7">
        <w:rPr>
          <w:rStyle w:val="FootnoteReference"/>
          <w:color w:val="000000" w:themeColor="text1"/>
          <w:sz w:val="20"/>
          <w:szCs w:val="20"/>
        </w:rPr>
        <w:footnoteRef/>
      </w:r>
      <w:r w:rsidRPr="00660AC7">
        <w:rPr>
          <w:color w:val="000000" w:themeColor="text1"/>
          <w:sz w:val="20"/>
          <w:szCs w:val="20"/>
        </w:rPr>
        <w:t xml:space="preserve"> </w:t>
      </w:r>
      <w:r w:rsidRPr="00660AC7">
        <w:rPr>
          <w:color w:val="000000" w:themeColor="text1"/>
          <w:sz w:val="20"/>
          <w:szCs w:val="20"/>
          <w:lang w:val="en-US"/>
        </w:rPr>
        <w:t>Theft Act 1968, s 1(1)</w:t>
      </w:r>
    </w:p>
  </w:footnote>
  <w:footnote w:id="41">
    <w:p w14:paraId="435659E6" w14:textId="75AED076" w:rsidR="00857EB7" w:rsidRPr="00035277" w:rsidRDefault="00857EB7" w:rsidP="004857DB">
      <w:pPr>
        <w:pStyle w:val="FootnoteText"/>
        <w:rPr>
          <w:color w:val="000000" w:themeColor="text1"/>
          <w:sz w:val="20"/>
          <w:szCs w:val="20"/>
        </w:rPr>
      </w:pPr>
      <w:r w:rsidRPr="00035277">
        <w:rPr>
          <w:rStyle w:val="FootnoteReference"/>
          <w:color w:val="000000" w:themeColor="text1"/>
          <w:sz w:val="20"/>
          <w:szCs w:val="20"/>
        </w:rPr>
        <w:footnoteRef/>
      </w:r>
      <w:r w:rsidRPr="00035277">
        <w:rPr>
          <w:color w:val="000000" w:themeColor="text1"/>
          <w:sz w:val="20"/>
          <w:szCs w:val="20"/>
        </w:rPr>
        <w:t xml:space="preserve"> </w:t>
      </w:r>
      <w:r>
        <w:rPr>
          <w:color w:val="000000" w:themeColor="text1"/>
          <w:sz w:val="20"/>
          <w:szCs w:val="20"/>
          <w:lang w:val="en-US"/>
        </w:rPr>
        <w:t>Ibid</w:t>
      </w:r>
      <w:r w:rsidRPr="00035277">
        <w:rPr>
          <w:color w:val="000000" w:themeColor="text1"/>
          <w:sz w:val="20"/>
          <w:szCs w:val="20"/>
          <w:lang w:val="en-US"/>
        </w:rPr>
        <w:t>, ss.3, 4 and 5</w:t>
      </w:r>
    </w:p>
  </w:footnote>
  <w:footnote w:id="42">
    <w:p w14:paraId="25365FD3" w14:textId="12A61476" w:rsidR="00857EB7" w:rsidRPr="00035277" w:rsidRDefault="00857EB7">
      <w:pPr>
        <w:pStyle w:val="FootnoteText"/>
        <w:rPr>
          <w:color w:val="000000" w:themeColor="text1"/>
          <w:sz w:val="20"/>
          <w:szCs w:val="20"/>
        </w:rPr>
      </w:pPr>
      <w:r w:rsidRPr="00035277">
        <w:rPr>
          <w:rStyle w:val="FootnoteReference"/>
          <w:color w:val="000000" w:themeColor="text1"/>
          <w:sz w:val="20"/>
          <w:szCs w:val="20"/>
        </w:rPr>
        <w:footnoteRef/>
      </w:r>
      <w:r>
        <w:rPr>
          <w:color w:val="000000" w:themeColor="text1"/>
          <w:sz w:val="20"/>
          <w:szCs w:val="20"/>
          <w:lang w:val="en-US"/>
        </w:rPr>
        <w:t xml:space="preserve"> </w:t>
      </w:r>
      <w:r w:rsidR="00391177" w:rsidRPr="00660AC7">
        <w:rPr>
          <w:color w:val="000000" w:themeColor="text1"/>
          <w:sz w:val="20"/>
          <w:szCs w:val="20"/>
          <w:lang w:val="en-US"/>
        </w:rPr>
        <w:t>Theft Act 1968</w:t>
      </w:r>
      <w:r w:rsidRPr="00035277">
        <w:rPr>
          <w:color w:val="000000" w:themeColor="text1"/>
          <w:sz w:val="20"/>
          <w:szCs w:val="20"/>
          <w:lang w:val="en-US"/>
        </w:rPr>
        <w:t>, ss.3, 4 and 5</w:t>
      </w:r>
    </w:p>
  </w:footnote>
  <w:footnote w:id="43">
    <w:p w14:paraId="2BF9AC89" w14:textId="77777777" w:rsidR="00857EB7" w:rsidRPr="00035277" w:rsidRDefault="00857EB7" w:rsidP="004857DB">
      <w:pPr>
        <w:pStyle w:val="FootnoteText"/>
        <w:rPr>
          <w:color w:val="000000" w:themeColor="text1"/>
          <w:sz w:val="20"/>
          <w:szCs w:val="20"/>
          <w:lang w:val="en-US"/>
        </w:rPr>
      </w:pPr>
      <w:r w:rsidRPr="00035277">
        <w:rPr>
          <w:rStyle w:val="FootnoteReference"/>
          <w:color w:val="000000" w:themeColor="text1"/>
          <w:sz w:val="20"/>
          <w:szCs w:val="20"/>
        </w:rPr>
        <w:footnoteRef/>
      </w:r>
      <w:r w:rsidRPr="00035277">
        <w:rPr>
          <w:color w:val="000000" w:themeColor="text1"/>
          <w:sz w:val="20"/>
          <w:szCs w:val="20"/>
        </w:rPr>
        <w:t xml:space="preserve"> A.P. </w:t>
      </w:r>
      <w:proofErr w:type="spellStart"/>
      <w:r w:rsidRPr="00035277">
        <w:rPr>
          <w:color w:val="000000" w:themeColor="text1"/>
          <w:sz w:val="20"/>
          <w:szCs w:val="20"/>
        </w:rPr>
        <w:t>Simester</w:t>
      </w:r>
      <w:proofErr w:type="spellEnd"/>
      <w:r w:rsidRPr="00035277">
        <w:rPr>
          <w:color w:val="000000" w:themeColor="text1"/>
          <w:sz w:val="20"/>
          <w:szCs w:val="20"/>
        </w:rPr>
        <w:t>, ‘Intoxication Is Never A Defence’ (2009) Crim. L.R. 3, 3-14</w:t>
      </w:r>
    </w:p>
  </w:footnote>
  <w:footnote w:id="44">
    <w:p w14:paraId="0BCD52A2" w14:textId="6FC55DD5" w:rsidR="00857EB7" w:rsidRPr="00035277" w:rsidRDefault="00857EB7">
      <w:pPr>
        <w:pStyle w:val="FootnoteText"/>
        <w:rPr>
          <w:color w:val="000000" w:themeColor="text1"/>
          <w:sz w:val="20"/>
          <w:szCs w:val="20"/>
        </w:rPr>
      </w:pPr>
      <w:r w:rsidRPr="00035277">
        <w:rPr>
          <w:rStyle w:val="FootnoteReference"/>
          <w:color w:val="000000" w:themeColor="text1"/>
          <w:sz w:val="20"/>
          <w:szCs w:val="20"/>
        </w:rPr>
        <w:footnoteRef/>
      </w:r>
      <w:r w:rsidRPr="00035277">
        <w:rPr>
          <w:color w:val="000000" w:themeColor="text1"/>
          <w:sz w:val="20"/>
          <w:szCs w:val="20"/>
        </w:rPr>
        <w:t xml:space="preserve"> </w:t>
      </w:r>
      <w:r w:rsidRPr="00035277">
        <w:rPr>
          <w:rFonts w:cs="Arial"/>
          <w:bCs/>
          <w:i/>
          <w:color w:val="000000" w:themeColor="text1"/>
          <w:sz w:val="20"/>
          <w:szCs w:val="20"/>
          <w:lang w:val="en-US"/>
        </w:rPr>
        <w:t>DPP v Majewski</w:t>
      </w:r>
      <w:r w:rsidRPr="00035277">
        <w:rPr>
          <w:rFonts w:cs="Arial"/>
          <w:bCs/>
          <w:color w:val="000000" w:themeColor="text1"/>
          <w:sz w:val="20"/>
          <w:szCs w:val="20"/>
          <w:lang w:val="en-US"/>
        </w:rPr>
        <w:t xml:space="preserve"> </w:t>
      </w:r>
      <w:hyperlink r:id="rId4" w:history="1">
        <w:r w:rsidRPr="00035277">
          <w:rPr>
            <w:rFonts w:cs="Arial"/>
            <w:color w:val="000000" w:themeColor="text1"/>
            <w:sz w:val="20"/>
            <w:szCs w:val="20"/>
            <w:lang w:val="en-US"/>
          </w:rPr>
          <w:t>[1977] A.C. 443</w:t>
        </w:r>
      </w:hyperlink>
      <w:r w:rsidRPr="00035277">
        <w:rPr>
          <w:rFonts w:cs="Arial"/>
          <w:color w:val="000000" w:themeColor="text1"/>
          <w:sz w:val="20"/>
          <w:szCs w:val="20"/>
          <w:lang w:val="en-US"/>
        </w:rPr>
        <w:t>, 480</w:t>
      </w:r>
    </w:p>
  </w:footnote>
  <w:footnote w:id="45">
    <w:p w14:paraId="5287FECD" w14:textId="08733D2B" w:rsidR="00857EB7" w:rsidRPr="00035277" w:rsidRDefault="00857EB7" w:rsidP="004857DB">
      <w:pPr>
        <w:pStyle w:val="FootnoteText"/>
        <w:rPr>
          <w:color w:val="000000" w:themeColor="text1"/>
          <w:sz w:val="20"/>
          <w:szCs w:val="20"/>
          <w:lang w:val="en-US"/>
        </w:rPr>
      </w:pPr>
      <w:r w:rsidRPr="00035277">
        <w:rPr>
          <w:rStyle w:val="FootnoteReference"/>
          <w:color w:val="000000" w:themeColor="text1"/>
          <w:sz w:val="20"/>
          <w:szCs w:val="20"/>
        </w:rPr>
        <w:footnoteRef/>
      </w:r>
      <w:r w:rsidRPr="00035277">
        <w:rPr>
          <w:color w:val="000000" w:themeColor="text1"/>
          <w:sz w:val="20"/>
          <w:szCs w:val="20"/>
        </w:rPr>
        <w:t xml:space="preserve"> </w:t>
      </w:r>
      <w:r w:rsidRPr="00035277">
        <w:rPr>
          <w:rFonts w:cs="Arial"/>
          <w:bCs/>
          <w:color w:val="000000" w:themeColor="text1"/>
          <w:sz w:val="20"/>
          <w:szCs w:val="20"/>
          <w:lang w:val="en-US"/>
        </w:rPr>
        <w:t>Ibid</w:t>
      </w:r>
      <w:r w:rsidRPr="00035277">
        <w:rPr>
          <w:rFonts w:cs="Arial"/>
          <w:bCs/>
          <w:i/>
          <w:color w:val="000000" w:themeColor="text1"/>
          <w:sz w:val="20"/>
          <w:szCs w:val="20"/>
          <w:lang w:val="en-US"/>
        </w:rPr>
        <w:t>,</w:t>
      </w:r>
      <w:r w:rsidRPr="00035277">
        <w:rPr>
          <w:rFonts w:cs="Arial"/>
          <w:color w:val="000000" w:themeColor="text1"/>
          <w:sz w:val="20"/>
          <w:szCs w:val="20"/>
          <w:lang w:val="en-US"/>
        </w:rPr>
        <w:t xml:space="preserve"> (Simon LJ)</w:t>
      </w:r>
    </w:p>
  </w:footnote>
  <w:footnote w:id="46">
    <w:p w14:paraId="382D0AD7" w14:textId="34D5EADF" w:rsidR="00857EB7" w:rsidRPr="008D515C" w:rsidRDefault="00857EB7" w:rsidP="004857DB">
      <w:pPr>
        <w:pStyle w:val="FootnoteText"/>
        <w:rPr>
          <w:rFonts w:cs="Arial"/>
          <w:color w:val="000000" w:themeColor="text1"/>
          <w:sz w:val="20"/>
          <w:szCs w:val="20"/>
          <w:lang w:val="en-US"/>
        </w:rPr>
      </w:pPr>
      <w:r w:rsidRPr="00035277">
        <w:rPr>
          <w:rStyle w:val="FootnoteReference"/>
          <w:color w:val="000000" w:themeColor="text1"/>
          <w:sz w:val="20"/>
          <w:szCs w:val="20"/>
        </w:rPr>
        <w:footnoteRef/>
      </w:r>
      <w:r w:rsidRPr="00035277">
        <w:rPr>
          <w:color w:val="000000" w:themeColor="text1"/>
          <w:sz w:val="20"/>
          <w:szCs w:val="20"/>
        </w:rPr>
        <w:t xml:space="preserve"> </w:t>
      </w:r>
      <w:r w:rsidRPr="00035277">
        <w:rPr>
          <w:rFonts w:cs="Arial"/>
          <w:bCs/>
          <w:i/>
          <w:color w:val="000000" w:themeColor="text1"/>
          <w:sz w:val="20"/>
          <w:szCs w:val="20"/>
          <w:lang w:val="en-US"/>
        </w:rPr>
        <w:t>R. v Cunningham</w:t>
      </w:r>
      <w:r w:rsidRPr="00035277">
        <w:rPr>
          <w:rFonts w:cs="Arial"/>
          <w:bCs/>
          <w:color w:val="000000" w:themeColor="text1"/>
          <w:sz w:val="20"/>
          <w:szCs w:val="20"/>
          <w:lang w:val="en-US"/>
        </w:rPr>
        <w:t xml:space="preserve"> </w:t>
      </w:r>
      <w:hyperlink r:id="rId5" w:history="1">
        <w:r w:rsidRPr="00035277">
          <w:rPr>
            <w:rFonts w:cs="Arial"/>
            <w:color w:val="000000" w:themeColor="text1"/>
            <w:sz w:val="20"/>
            <w:szCs w:val="20"/>
            <w:lang w:val="en-US"/>
          </w:rPr>
          <w:t>[</w:t>
        </w:r>
        <w:r w:rsidRPr="00035277">
          <w:rPr>
            <w:rFonts w:cs="Arial"/>
            <w:bCs/>
            <w:color w:val="000000" w:themeColor="text1"/>
            <w:sz w:val="20"/>
            <w:szCs w:val="20"/>
            <w:lang w:val="en-US"/>
          </w:rPr>
          <w:t>1982</w:t>
        </w:r>
        <w:r w:rsidRPr="00035277">
          <w:rPr>
            <w:rFonts w:cs="Arial"/>
            <w:color w:val="000000" w:themeColor="text1"/>
            <w:sz w:val="20"/>
            <w:szCs w:val="20"/>
            <w:lang w:val="en-US"/>
          </w:rPr>
          <w:t xml:space="preserve">] </w:t>
        </w:r>
        <w:r w:rsidRPr="00035277">
          <w:rPr>
            <w:rFonts w:cs="Arial"/>
            <w:bCs/>
            <w:color w:val="000000" w:themeColor="text1"/>
            <w:sz w:val="20"/>
            <w:szCs w:val="20"/>
            <w:lang w:val="en-US"/>
          </w:rPr>
          <w:t>A.C</w:t>
        </w:r>
        <w:r w:rsidRPr="00035277">
          <w:rPr>
            <w:rFonts w:cs="Arial"/>
            <w:color w:val="000000" w:themeColor="text1"/>
            <w:sz w:val="20"/>
            <w:szCs w:val="20"/>
            <w:lang w:val="en-US"/>
          </w:rPr>
          <w:t xml:space="preserve">. </w:t>
        </w:r>
        <w:r w:rsidRPr="00035277">
          <w:rPr>
            <w:rFonts w:cs="Arial"/>
            <w:bCs/>
            <w:color w:val="000000" w:themeColor="text1"/>
            <w:sz w:val="20"/>
            <w:szCs w:val="20"/>
            <w:lang w:val="en-US"/>
          </w:rPr>
          <w:t>566</w:t>
        </w:r>
      </w:hyperlink>
      <w:r>
        <w:rPr>
          <w:rFonts w:cs="Arial"/>
          <w:color w:val="000000" w:themeColor="text1"/>
          <w:sz w:val="20"/>
          <w:szCs w:val="20"/>
          <w:lang w:val="en-US"/>
        </w:rPr>
        <w:t xml:space="preserve">, </w:t>
      </w:r>
      <w:r w:rsidRPr="00035277">
        <w:rPr>
          <w:rFonts w:cs="Arial"/>
          <w:color w:val="000000" w:themeColor="text1"/>
          <w:sz w:val="20"/>
          <w:szCs w:val="20"/>
          <w:lang w:val="en-US"/>
        </w:rPr>
        <w:t>Homicide Act 1957, s1(1)</w:t>
      </w:r>
    </w:p>
  </w:footnote>
  <w:footnote w:id="47">
    <w:p w14:paraId="69FD8EBB" w14:textId="2AE531CA" w:rsidR="00857EB7" w:rsidRPr="00035277" w:rsidRDefault="00857EB7" w:rsidP="004857DB">
      <w:pPr>
        <w:pStyle w:val="FootnoteText"/>
        <w:rPr>
          <w:color w:val="000000" w:themeColor="text1"/>
          <w:sz w:val="20"/>
          <w:szCs w:val="20"/>
        </w:rPr>
      </w:pPr>
      <w:r w:rsidRPr="00035277">
        <w:rPr>
          <w:rStyle w:val="FootnoteReference"/>
          <w:color w:val="000000" w:themeColor="text1"/>
          <w:sz w:val="20"/>
          <w:szCs w:val="20"/>
        </w:rPr>
        <w:footnoteRef/>
      </w:r>
      <w:r w:rsidRPr="00035277">
        <w:rPr>
          <w:color w:val="000000" w:themeColor="text1"/>
          <w:sz w:val="20"/>
          <w:szCs w:val="20"/>
        </w:rPr>
        <w:t xml:space="preserve"> </w:t>
      </w:r>
      <w:r w:rsidRPr="00035277">
        <w:rPr>
          <w:rFonts w:cs="Arial"/>
          <w:bCs/>
          <w:i/>
          <w:color w:val="000000" w:themeColor="text1"/>
          <w:sz w:val="20"/>
          <w:szCs w:val="20"/>
          <w:lang w:val="en-US"/>
        </w:rPr>
        <w:t>DPP v Majewski</w:t>
      </w:r>
      <w:r w:rsidRPr="00035277">
        <w:rPr>
          <w:rFonts w:cs="Arial"/>
          <w:bCs/>
          <w:color w:val="000000" w:themeColor="text1"/>
          <w:sz w:val="20"/>
          <w:szCs w:val="20"/>
          <w:lang w:val="en-US"/>
        </w:rPr>
        <w:t xml:space="preserve"> </w:t>
      </w:r>
      <w:hyperlink r:id="rId6" w:history="1">
        <w:r w:rsidRPr="00035277">
          <w:rPr>
            <w:rFonts w:cs="Arial"/>
            <w:color w:val="000000" w:themeColor="text1"/>
            <w:sz w:val="20"/>
            <w:szCs w:val="20"/>
            <w:lang w:val="en-US"/>
          </w:rPr>
          <w:t>[1977] A.C. 443</w:t>
        </w:r>
      </w:hyperlink>
      <w:r w:rsidRPr="00035277">
        <w:rPr>
          <w:rFonts w:cs="Arial"/>
          <w:color w:val="000000" w:themeColor="text1"/>
          <w:sz w:val="20"/>
          <w:szCs w:val="20"/>
          <w:lang w:val="en-US"/>
        </w:rPr>
        <w:t>, 480</w:t>
      </w:r>
    </w:p>
  </w:footnote>
  <w:footnote w:id="48">
    <w:p w14:paraId="09D69AE2" w14:textId="77777777" w:rsidR="00857EB7" w:rsidRPr="00035277" w:rsidRDefault="00857EB7" w:rsidP="004857DB">
      <w:pPr>
        <w:pStyle w:val="FootnoteText"/>
        <w:rPr>
          <w:color w:val="000000" w:themeColor="text1"/>
          <w:sz w:val="20"/>
          <w:szCs w:val="20"/>
          <w:lang w:val="en-US"/>
        </w:rPr>
      </w:pPr>
      <w:r w:rsidRPr="00035277">
        <w:rPr>
          <w:rStyle w:val="FootnoteReference"/>
          <w:color w:val="000000" w:themeColor="text1"/>
          <w:sz w:val="20"/>
          <w:szCs w:val="20"/>
        </w:rPr>
        <w:footnoteRef/>
      </w:r>
      <w:r w:rsidRPr="00035277">
        <w:rPr>
          <w:color w:val="000000" w:themeColor="text1"/>
          <w:sz w:val="20"/>
          <w:szCs w:val="20"/>
        </w:rPr>
        <w:t xml:space="preserve"> A.P. </w:t>
      </w:r>
      <w:proofErr w:type="spellStart"/>
      <w:r w:rsidRPr="00035277">
        <w:rPr>
          <w:color w:val="000000" w:themeColor="text1"/>
          <w:sz w:val="20"/>
          <w:szCs w:val="20"/>
        </w:rPr>
        <w:t>Simester</w:t>
      </w:r>
      <w:proofErr w:type="spellEnd"/>
      <w:r w:rsidRPr="00035277">
        <w:rPr>
          <w:color w:val="000000" w:themeColor="text1"/>
          <w:sz w:val="20"/>
          <w:szCs w:val="20"/>
        </w:rPr>
        <w:t>, ‘Intoxication Is Never A Defence’ (2009) Crim. L.R. 3, 3-14</w:t>
      </w:r>
    </w:p>
  </w:footnote>
  <w:footnote w:id="49">
    <w:p w14:paraId="286886FC" w14:textId="44495046" w:rsidR="00857EB7" w:rsidRPr="00035277" w:rsidRDefault="00857EB7">
      <w:pPr>
        <w:pStyle w:val="FootnoteText"/>
        <w:rPr>
          <w:color w:val="000000" w:themeColor="text1"/>
          <w:sz w:val="20"/>
          <w:szCs w:val="20"/>
        </w:rPr>
      </w:pPr>
      <w:r w:rsidRPr="00035277">
        <w:rPr>
          <w:rStyle w:val="FootnoteReference"/>
          <w:color w:val="000000" w:themeColor="text1"/>
          <w:sz w:val="20"/>
          <w:szCs w:val="20"/>
        </w:rPr>
        <w:footnoteRef/>
      </w:r>
      <w:r w:rsidRPr="00035277">
        <w:rPr>
          <w:color w:val="000000" w:themeColor="text1"/>
          <w:sz w:val="20"/>
          <w:szCs w:val="20"/>
        </w:rPr>
        <w:t xml:space="preserve"> Offences Against the Person Act 1861, s.18</w:t>
      </w:r>
    </w:p>
  </w:footnote>
  <w:footnote w:id="50">
    <w:p w14:paraId="2F78A780" w14:textId="5E620F41" w:rsidR="00857EB7" w:rsidRDefault="00857EB7">
      <w:pPr>
        <w:pStyle w:val="FootnoteText"/>
      </w:pPr>
      <w:r w:rsidRPr="00035277">
        <w:rPr>
          <w:rStyle w:val="FootnoteReference"/>
          <w:color w:val="000000" w:themeColor="text1"/>
          <w:sz w:val="20"/>
          <w:szCs w:val="20"/>
        </w:rPr>
        <w:footnoteRef/>
      </w:r>
      <w:r w:rsidRPr="00035277">
        <w:rPr>
          <w:color w:val="000000" w:themeColor="text1"/>
          <w:sz w:val="20"/>
          <w:szCs w:val="20"/>
        </w:rPr>
        <w:t xml:space="preserve"> </w:t>
      </w:r>
      <w:r>
        <w:rPr>
          <w:color w:val="000000" w:themeColor="text1"/>
          <w:sz w:val="20"/>
          <w:szCs w:val="20"/>
        </w:rPr>
        <w:t>ibid</w:t>
      </w:r>
      <w:r w:rsidRPr="00035277">
        <w:rPr>
          <w:color w:val="000000" w:themeColor="text1"/>
          <w:sz w:val="20"/>
          <w:szCs w:val="20"/>
        </w:rPr>
        <w:t>, s.20</w:t>
      </w:r>
    </w:p>
  </w:footnote>
  <w:footnote w:id="51">
    <w:p w14:paraId="3223E629" w14:textId="50501E36" w:rsidR="00857EB7" w:rsidRPr="00B35207" w:rsidRDefault="00857EB7" w:rsidP="004857DB">
      <w:pPr>
        <w:pStyle w:val="FootnoteText"/>
        <w:rPr>
          <w:color w:val="000000" w:themeColor="text1"/>
          <w:sz w:val="20"/>
          <w:szCs w:val="20"/>
        </w:rPr>
      </w:pPr>
      <w:r w:rsidRPr="00B35207">
        <w:rPr>
          <w:rStyle w:val="FootnoteReference"/>
          <w:color w:val="000000" w:themeColor="text1"/>
          <w:sz w:val="20"/>
          <w:szCs w:val="20"/>
        </w:rPr>
        <w:footnoteRef/>
      </w:r>
      <w:r w:rsidRPr="00B35207">
        <w:rPr>
          <w:color w:val="000000" w:themeColor="text1"/>
          <w:sz w:val="20"/>
          <w:szCs w:val="20"/>
        </w:rPr>
        <w:t xml:space="preserve"> </w:t>
      </w:r>
      <w:r>
        <w:rPr>
          <w:color w:val="000000" w:themeColor="text1"/>
          <w:sz w:val="20"/>
          <w:szCs w:val="20"/>
        </w:rPr>
        <w:t>ibid</w:t>
      </w:r>
      <w:r w:rsidRPr="00B35207">
        <w:rPr>
          <w:color w:val="000000" w:themeColor="text1"/>
          <w:sz w:val="20"/>
          <w:szCs w:val="20"/>
        </w:rPr>
        <w:t>, ss.18 and 20</w:t>
      </w:r>
    </w:p>
  </w:footnote>
  <w:footnote w:id="52">
    <w:p w14:paraId="5780C182" w14:textId="0C93227C" w:rsidR="00857EB7" w:rsidRPr="00B35207" w:rsidRDefault="00857EB7">
      <w:pPr>
        <w:pStyle w:val="FootnoteText"/>
        <w:rPr>
          <w:color w:val="000000" w:themeColor="text1"/>
          <w:sz w:val="20"/>
          <w:szCs w:val="20"/>
        </w:rPr>
      </w:pPr>
      <w:r w:rsidRPr="00B35207">
        <w:rPr>
          <w:rStyle w:val="FootnoteReference"/>
          <w:color w:val="000000" w:themeColor="text1"/>
          <w:sz w:val="20"/>
          <w:szCs w:val="20"/>
        </w:rPr>
        <w:footnoteRef/>
      </w:r>
      <w:r w:rsidRPr="00B35207">
        <w:rPr>
          <w:color w:val="000000" w:themeColor="text1"/>
          <w:sz w:val="20"/>
          <w:szCs w:val="20"/>
        </w:rPr>
        <w:t xml:space="preserve"> Sir Edward Coke (Institutes of the Laws of England, 1797)</w:t>
      </w:r>
    </w:p>
  </w:footnote>
  <w:footnote w:id="53">
    <w:p w14:paraId="209AD086" w14:textId="3FC2A5DA" w:rsidR="00857EB7" w:rsidRPr="000A66A1" w:rsidRDefault="00857EB7" w:rsidP="004857DB">
      <w:pPr>
        <w:pStyle w:val="FootnoteText"/>
        <w:rPr>
          <w:color w:val="000000" w:themeColor="text1"/>
          <w:sz w:val="20"/>
          <w:szCs w:val="20"/>
          <w:lang w:val="es-ES"/>
        </w:rPr>
      </w:pPr>
      <w:r w:rsidRPr="00B35207">
        <w:rPr>
          <w:rStyle w:val="FootnoteReference"/>
          <w:color w:val="000000" w:themeColor="text1"/>
          <w:sz w:val="20"/>
          <w:szCs w:val="20"/>
        </w:rPr>
        <w:footnoteRef/>
      </w:r>
      <w:r w:rsidRPr="000A66A1">
        <w:rPr>
          <w:color w:val="000000" w:themeColor="text1"/>
          <w:sz w:val="20"/>
          <w:szCs w:val="20"/>
          <w:lang w:val="es-ES"/>
        </w:rPr>
        <w:t xml:space="preserve"> </w:t>
      </w:r>
      <w:r w:rsidRPr="000A66A1">
        <w:rPr>
          <w:i/>
          <w:color w:val="000000" w:themeColor="text1"/>
          <w:sz w:val="20"/>
          <w:szCs w:val="20"/>
          <w:lang w:val="es-ES"/>
        </w:rPr>
        <w:t xml:space="preserve">R v </w:t>
      </w:r>
      <w:proofErr w:type="spellStart"/>
      <w:r w:rsidRPr="000A66A1">
        <w:rPr>
          <w:i/>
          <w:color w:val="000000" w:themeColor="text1"/>
          <w:sz w:val="20"/>
          <w:szCs w:val="20"/>
          <w:lang w:val="es-ES"/>
        </w:rPr>
        <w:t>Fenton</w:t>
      </w:r>
      <w:proofErr w:type="spellEnd"/>
      <w:r w:rsidRPr="000A66A1">
        <w:rPr>
          <w:color w:val="000000" w:themeColor="text1"/>
          <w:sz w:val="20"/>
          <w:szCs w:val="20"/>
          <w:lang w:val="es-ES"/>
        </w:rPr>
        <w:t xml:space="preserve"> (1830) 1 </w:t>
      </w:r>
      <w:proofErr w:type="spellStart"/>
      <w:r w:rsidRPr="000A66A1">
        <w:rPr>
          <w:color w:val="000000" w:themeColor="text1"/>
          <w:sz w:val="20"/>
          <w:szCs w:val="20"/>
          <w:lang w:val="es-ES"/>
        </w:rPr>
        <w:t>Lew</w:t>
      </w:r>
      <w:proofErr w:type="spellEnd"/>
      <w:r w:rsidRPr="000A66A1">
        <w:rPr>
          <w:color w:val="000000" w:themeColor="text1"/>
          <w:sz w:val="20"/>
          <w:szCs w:val="20"/>
          <w:lang w:val="es-ES"/>
        </w:rPr>
        <w:t xml:space="preserve"> CC 179</w:t>
      </w:r>
    </w:p>
  </w:footnote>
  <w:footnote w:id="54">
    <w:p w14:paraId="5DD97290" w14:textId="10A056E4" w:rsidR="00857EB7" w:rsidRPr="00B35207" w:rsidRDefault="00857EB7">
      <w:pPr>
        <w:pStyle w:val="FootnoteText"/>
        <w:rPr>
          <w:color w:val="000000" w:themeColor="text1"/>
          <w:sz w:val="20"/>
          <w:szCs w:val="20"/>
        </w:rPr>
      </w:pPr>
      <w:r w:rsidRPr="00B35207">
        <w:rPr>
          <w:rStyle w:val="FootnoteReference"/>
          <w:color w:val="000000" w:themeColor="text1"/>
          <w:sz w:val="20"/>
          <w:szCs w:val="20"/>
        </w:rPr>
        <w:footnoteRef/>
      </w:r>
      <w:r w:rsidRPr="00B35207">
        <w:rPr>
          <w:color w:val="000000" w:themeColor="text1"/>
          <w:sz w:val="20"/>
          <w:szCs w:val="20"/>
        </w:rPr>
        <w:t xml:space="preserve"> Offences Against the Person Act 1861, s.20</w:t>
      </w:r>
    </w:p>
  </w:footnote>
  <w:footnote w:id="55">
    <w:p w14:paraId="28A1D534" w14:textId="4F613B3C" w:rsidR="00857EB7" w:rsidRPr="00B35207" w:rsidRDefault="00857EB7">
      <w:pPr>
        <w:pStyle w:val="FootnoteText"/>
        <w:rPr>
          <w:color w:val="000000" w:themeColor="text1"/>
          <w:sz w:val="20"/>
          <w:szCs w:val="20"/>
        </w:rPr>
      </w:pPr>
      <w:r w:rsidRPr="00B35207">
        <w:rPr>
          <w:rStyle w:val="FootnoteReference"/>
          <w:color w:val="000000" w:themeColor="text1"/>
          <w:sz w:val="20"/>
          <w:szCs w:val="20"/>
        </w:rPr>
        <w:footnoteRef/>
      </w:r>
      <w:r w:rsidRPr="00B35207">
        <w:rPr>
          <w:color w:val="000000" w:themeColor="text1"/>
          <w:sz w:val="20"/>
          <w:szCs w:val="20"/>
        </w:rPr>
        <w:t xml:space="preserve"> Ibid </w:t>
      </w:r>
    </w:p>
  </w:footnote>
  <w:footnote w:id="56">
    <w:p w14:paraId="2220004C" w14:textId="314AB2F4" w:rsidR="00857EB7" w:rsidRDefault="00857EB7">
      <w:pPr>
        <w:pStyle w:val="FootnoteText"/>
      </w:pPr>
      <w:r w:rsidRPr="00B35207">
        <w:rPr>
          <w:rStyle w:val="FootnoteReference"/>
          <w:color w:val="000000" w:themeColor="text1"/>
          <w:sz w:val="20"/>
          <w:szCs w:val="20"/>
        </w:rPr>
        <w:footnoteRef/>
      </w:r>
      <w:r w:rsidRPr="00B35207">
        <w:rPr>
          <w:color w:val="000000" w:themeColor="text1"/>
          <w:sz w:val="20"/>
          <w:szCs w:val="20"/>
        </w:rPr>
        <w:t xml:space="preserve"> </w:t>
      </w:r>
      <w:r w:rsidRPr="00B35207">
        <w:rPr>
          <w:i/>
          <w:color w:val="000000" w:themeColor="text1"/>
          <w:sz w:val="20"/>
          <w:szCs w:val="20"/>
        </w:rPr>
        <w:t>Ivey v Genting Casinos UK Ltd (t/a Crockfords Club)</w:t>
      </w:r>
      <w:r w:rsidRPr="00B35207">
        <w:rPr>
          <w:color w:val="000000" w:themeColor="text1"/>
          <w:sz w:val="20"/>
          <w:szCs w:val="20"/>
        </w:rPr>
        <w:t xml:space="preserve"> [2018] A.C. 391</w:t>
      </w:r>
    </w:p>
  </w:footnote>
  <w:footnote w:id="57">
    <w:p w14:paraId="5C57CC43" w14:textId="56DA7D06" w:rsidR="00857EB7" w:rsidRPr="00B35207" w:rsidRDefault="00857EB7">
      <w:pPr>
        <w:pStyle w:val="FootnoteText"/>
        <w:rPr>
          <w:color w:val="000000" w:themeColor="text1"/>
          <w:sz w:val="20"/>
          <w:szCs w:val="20"/>
        </w:rPr>
      </w:pPr>
      <w:r w:rsidRPr="00B35207">
        <w:rPr>
          <w:rStyle w:val="FootnoteReference"/>
          <w:color w:val="000000" w:themeColor="text1"/>
          <w:sz w:val="20"/>
          <w:szCs w:val="20"/>
        </w:rPr>
        <w:footnoteRef/>
      </w:r>
      <w:r w:rsidRPr="00B35207">
        <w:rPr>
          <w:color w:val="000000" w:themeColor="text1"/>
          <w:sz w:val="20"/>
          <w:szCs w:val="20"/>
        </w:rPr>
        <w:t xml:space="preserve"> Law Commission, </w:t>
      </w:r>
      <w:r w:rsidRPr="00B35207">
        <w:rPr>
          <w:i/>
          <w:color w:val="000000" w:themeColor="text1"/>
          <w:sz w:val="20"/>
          <w:szCs w:val="20"/>
        </w:rPr>
        <w:t>Intoxication and Criminal Liability</w:t>
      </w:r>
      <w:r w:rsidRPr="00B35207">
        <w:rPr>
          <w:color w:val="000000" w:themeColor="text1"/>
          <w:sz w:val="20"/>
          <w:szCs w:val="20"/>
        </w:rPr>
        <w:t xml:space="preserve"> (Law Com No 314, 2009) </w:t>
      </w:r>
    </w:p>
  </w:footnote>
  <w:footnote w:id="58">
    <w:p w14:paraId="4BC0646E" w14:textId="0B0C4689" w:rsidR="00857EB7" w:rsidRPr="00B35207" w:rsidRDefault="00857EB7">
      <w:pPr>
        <w:pStyle w:val="FootnoteText"/>
        <w:rPr>
          <w:color w:val="000000" w:themeColor="text1"/>
          <w:sz w:val="20"/>
          <w:szCs w:val="20"/>
        </w:rPr>
      </w:pPr>
      <w:r w:rsidRPr="00B35207">
        <w:rPr>
          <w:rStyle w:val="FootnoteReference"/>
          <w:color w:val="000000" w:themeColor="text1"/>
          <w:sz w:val="20"/>
          <w:szCs w:val="20"/>
        </w:rPr>
        <w:footnoteRef/>
      </w:r>
      <w:r w:rsidRPr="00B35207">
        <w:rPr>
          <w:color w:val="000000" w:themeColor="text1"/>
          <w:sz w:val="20"/>
          <w:szCs w:val="20"/>
        </w:rPr>
        <w:t xml:space="preserve"> </w:t>
      </w:r>
      <w:r w:rsidR="00391177" w:rsidRPr="00B35207">
        <w:rPr>
          <w:color w:val="000000" w:themeColor="text1"/>
          <w:sz w:val="20"/>
          <w:szCs w:val="20"/>
        </w:rPr>
        <w:t xml:space="preserve">Law Commission, </w:t>
      </w:r>
      <w:r w:rsidR="00391177" w:rsidRPr="00B35207">
        <w:rPr>
          <w:i/>
          <w:color w:val="000000" w:themeColor="text1"/>
          <w:sz w:val="20"/>
          <w:szCs w:val="20"/>
        </w:rPr>
        <w:t>Intoxication and Criminal Liability</w:t>
      </w:r>
      <w:r w:rsidR="00391177" w:rsidRPr="00B35207">
        <w:rPr>
          <w:color w:val="000000" w:themeColor="text1"/>
          <w:sz w:val="20"/>
          <w:szCs w:val="20"/>
        </w:rPr>
        <w:t xml:space="preserve"> (Law Com No 314, 2009)</w:t>
      </w:r>
      <w:r>
        <w:rPr>
          <w:color w:val="000000" w:themeColor="text1"/>
          <w:sz w:val="20"/>
          <w:szCs w:val="20"/>
        </w:rPr>
        <w:t>,</w:t>
      </w:r>
      <w:r w:rsidRPr="00B35207">
        <w:rPr>
          <w:color w:val="000000" w:themeColor="text1"/>
          <w:sz w:val="20"/>
          <w:szCs w:val="20"/>
        </w:rPr>
        <w:t xml:space="preserve"> para 3.8</w:t>
      </w:r>
    </w:p>
  </w:footnote>
  <w:footnote w:id="59">
    <w:p w14:paraId="1E01FA07" w14:textId="778F4D46" w:rsidR="00857EB7" w:rsidRPr="000A66A1" w:rsidRDefault="00857EB7">
      <w:pPr>
        <w:pStyle w:val="FootnoteText"/>
        <w:rPr>
          <w:color w:val="000000" w:themeColor="text1"/>
          <w:sz w:val="20"/>
          <w:szCs w:val="20"/>
          <w:lang w:val="es-ES"/>
        </w:rPr>
      </w:pPr>
      <w:r w:rsidRPr="00B35207">
        <w:rPr>
          <w:rStyle w:val="FootnoteReference"/>
          <w:color w:val="000000" w:themeColor="text1"/>
          <w:sz w:val="20"/>
          <w:szCs w:val="20"/>
        </w:rPr>
        <w:footnoteRef/>
      </w:r>
      <w:r w:rsidRPr="000A66A1">
        <w:rPr>
          <w:color w:val="000000" w:themeColor="text1"/>
          <w:sz w:val="20"/>
          <w:szCs w:val="20"/>
          <w:lang w:val="es-ES"/>
        </w:rPr>
        <w:t xml:space="preserve"> </w:t>
      </w:r>
      <w:proofErr w:type="spellStart"/>
      <w:r w:rsidRPr="000A66A1">
        <w:rPr>
          <w:i/>
          <w:color w:val="000000" w:themeColor="text1"/>
          <w:sz w:val="20"/>
          <w:szCs w:val="20"/>
          <w:lang w:val="es-ES"/>
        </w:rPr>
        <w:t>Fagan</w:t>
      </w:r>
      <w:proofErr w:type="spellEnd"/>
      <w:r w:rsidRPr="000A66A1">
        <w:rPr>
          <w:i/>
          <w:color w:val="000000" w:themeColor="text1"/>
          <w:sz w:val="20"/>
          <w:szCs w:val="20"/>
          <w:lang w:val="es-ES"/>
        </w:rPr>
        <w:t xml:space="preserve"> v MPC</w:t>
      </w:r>
      <w:r w:rsidRPr="000A66A1">
        <w:rPr>
          <w:color w:val="000000" w:themeColor="text1"/>
          <w:sz w:val="20"/>
          <w:szCs w:val="20"/>
          <w:lang w:val="es-ES"/>
        </w:rPr>
        <w:t xml:space="preserve"> [1969] 1 Q.B. 439</w:t>
      </w:r>
    </w:p>
  </w:footnote>
  <w:footnote w:id="60">
    <w:p w14:paraId="1AB2A7F9" w14:textId="1FEF6859" w:rsidR="00857EB7" w:rsidRPr="000A66A1" w:rsidRDefault="00857EB7">
      <w:pPr>
        <w:pStyle w:val="FootnoteText"/>
        <w:rPr>
          <w:color w:val="000000" w:themeColor="text1"/>
          <w:sz w:val="20"/>
          <w:szCs w:val="20"/>
          <w:lang w:val="de-DE"/>
        </w:rPr>
      </w:pPr>
      <w:r w:rsidRPr="00B35207">
        <w:rPr>
          <w:rStyle w:val="FootnoteReference"/>
          <w:color w:val="000000" w:themeColor="text1"/>
          <w:sz w:val="20"/>
          <w:szCs w:val="20"/>
        </w:rPr>
        <w:footnoteRef/>
      </w:r>
      <w:r w:rsidRPr="000A66A1">
        <w:rPr>
          <w:color w:val="000000" w:themeColor="text1"/>
          <w:sz w:val="20"/>
          <w:szCs w:val="20"/>
          <w:lang w:val="de-DE"/>
        </w:rPr>
        <w:t xml:space="preserve"> </w:t>
      </w:r>
      <w:r w:rsidRPr="000A66A1">
        <w:rPr>
          <w:i/>
          <w:color w:val="000000" w:themeColor="text1"/>
          <w:sz w:val="20"/>
          <w:szCs w:val="20"/>
          <w:lang w:val="de-DE"/>
        </w:rPr>
        <w:t>R v Ireland</w:t>
      </w:r>
      <w:r w:rsidRPr="000A66A1">
        <w:rPr>
          <w:color w:val="000000" w:themeColor="text1"/>
          <w:sz w:val="20"/>
          <w:szCs w:val="20"/>
          <w:lang w:val="de-DE"/>
        </w:rPr>
        <w:t xml:space="preserve"> [1997] 3 WLR 534 (Steyn LJ)</w:t>
      </w:r>
    </w:p>
  </w:footnote>
  <w:footnote w:id="61">
    <w:p w14:paraId="481343BF" w14:textId="40A205F6" w:rsidR="00857EB7" w:rsidRPr="000A66A1" w:rsidRDefault="00857EB7">
      <w:pPr>
        <w:pStyle w:val="FootnoteText"/>
        <w:rPr>
          <w:lang w:val="de-DE"/>
        </w:rPr>
      </w:pPr>
      <w:r w:rsidRPr="00B35207">
        <w:rPr>
          <w:rStyle w:val="FootnoteReference"/>
          <w:color w:val="000000" w:themeColor="text1"/>
          <w:sz w:val="20"/>
          <w:szCs w:val="20"/>
        </w:rPr>
        <w:footnoteRef/>
      </w:r>
      <w:r w:rsidRPr="000A66A1">
        <w:rPr>
          <w:color w:val="000000" w:themeColor="text1"/>
          <w:sz w:val="20"/>
          <w:szCs w:val="20"/>
          <w:lang w:val="de-DE"/>
        </w:rPr>
        <w:t xml:space="preserve"> </w:t>
      </w:r>
      <w:r w:rsidRPr="000A66A1">
        <w:rPr>
          <w:i/>
          <w:color w:val="000000" w:themeColor="text1"/>
          <w:sz w:val="20"/>
          <w:szCs w:val="20"/>
          <w:lang w:val="de-DE"/>
        </w:rPr>
        <w:t>Faulkner v Talbot</w:t>
      </w:r>
      <w:r w:rsidRPr="000A66A1">
        <w:rPr>
          <w:color w:val="000000" w:themeColor="text1"/>
          <w:sz w:val="20"/>
          <w:szCs w:val="20"/>
          <w:lang w:val="de-DE"/>
        </w:rPr>
        <w:t xml:space="preserve"> [1981] 3 All ER 468 (Lane LJ)</w:t>
      </w:r>
    </w:p>
  </w:footnote>
  <w:footnote w:id="62">
    <w:p w14:paraId="70204590" w14:textId="654A66C2" w:rsidR="00857EB7" w:rsidRPr="006D0739" w:rsidRDefault="00857EB7" w:rsidP="00205D38">
      <w:pPr>
        <w:pStyle w:val="FootnoteText"/>
        <w:rPr>
          <w:color w:val="000000" w:themeColor="text1"/>
          <w:sz w:val="20"/>
          <w:szCs w:val="20"/>
          <w:lang w:val="en-US"/>
        </w:rPr>
      </w:pPr>
      <w:r w:rsidRPr="006D0739">
        <w:rPr>
          <w:rStyle w:val="FootnoteReference"/>
          <w:color w:val="000000" w:themeColor="text1"/>
          <w:sz w:val="20"/>
          <w:szCs w:val="20"/>
        </w:rPr>
        <w:footnoteRef/>
      </w:r>
      <w:r w:rsidRPr="006D0739">
        <w:rPr>
          <w:color w:val="000000" w:themeColor="text1"/>
          <w:sz w:val="20"/>
          <w:szCs w:val="20"/>
        </w:rPr>
        <w:t xml:space="preserve"> Law Commission, </w:t>
      </w:r>
      <w:r w:rsidRPr="006D0739">
        <w:rPr>
          <w:i/>
          <w:color w:val="000000" w:themeColor="text1"/>
          <w:sz w:val="20"/>
          <w:szCs w:val="20"/>
        </w:rPr>
        <w:t>Intoxication and Criminal Liability</w:t>
      </w:r>
      <w:r w:rsidRPr="006D0739">
        <w:rPr>
          <w:color w:val="000000" w:themeColor="text1"/>
          <w:sz w:val="20"/>
          <w:szCs w:val="20"/>
        </w:rPr>
        <w:t xml:space="preserve"> (Law Com No 314, 2009) para 1.43</w:t>
      </w:r>
    </w:p>
  </w:footnote>
  <w:footnote w:id="63">
    <w:p w14:paraId="3950C93F" w14:textId="0F9F96C0" w:rsidR="00857EB7" w:rsidRPr="006D0739" w:rsidRDefault="00857EB7">
      <w:pPr>
        <w:pStyle w:val="FootnoteText"/>
        <w:rPr>
          <w:color w:val="000000" w:themeColor="text1"/>
          <w:sz w:val="20"/>
          <w:szCs w:val="20"/>
        </w:rPr>
      </w:pPr>
      <w:r w:rsidRPr="006D0739">
        <w:rPr>
          <w:rStyle w:val="FootnoteReference"/>
          <w:color w:val="000000" w:themeColor="text1"/>
          <w:sz w:val="20"/>
          <w:szCs w:val="20"/>
        </w:rPr>
        <w:footnoteRef/>
      </w:r>
      <w:r w:rsidRPr="006D0739">
        <w:rPr>
          <w:color w:val="000000" w:themeColor="text1"/>
          <w:sz w:val="20"/>
          <w:szCs w:val="20"/>
        </w:rPr>
        <w:t xml:space="preserve"> </w:t>
      </w:r>
      <w:r w:rsidRPr="006D0739">
        <w:rPr>
          <w:i/>
          <w:color w:val="000000" w:themeColor="text1"/>
          <w:sz w:val="20"/>
          <w:szCs w:val="20"/>
        </w:rPr>
        <w:t xml:space="preserve">R v Caldwell </w:t>
      </w:r>
      <w:r w:rsidRPr="006D0739">
        <w:rPr>
          <w:color w:val="000000" w:themeColor="text1"/>
          <w:sz w:val="20"/>
          <w:szCs w:val="20"/>
        </w:rPr>
        <w:t xml:space="preserve">[1981] 1 All ER 961 </w:t>
      </w:r>
    </w:p>
  </w:footnote>
  <w:footnote w:id="64">
    <w:p w14:paraId="1F180E9E" w14:textId="16CF9DB1" w:rsidR="00857EB7" w:rsidRPr="006D0739" w:rsidRDefault="00857EB7">
      <w:pPr>
        <w:pStyle w:val="FootnoteText"/>
        <w:rPr>
          <w:color w:val="000000" w:themeColor="text1"/>
          <w:sz w:val="20"/>
          <w:szCs w:val="20"/>
        </w:rPr>
      </w:pPr>
      <w:r w:rsidRPr="006D0739">
        <w:rPr>
          <w:rStyle w:val="FootnoteReference"/>
          <w:color w:val="000000" w:themeColor="text1"/>
          <w:sz w:val="20"/>
          <w:szCs w:val="20"/>
        </w:rPr>
        <w:footnoteRef/>
      </w:r>
      <w:r w:rsidRPr="006D0739">
        <w:rPr>
          <w:color w:val="000000" w:themeColor="text1"/>
          <w:sz w:val="20"/>
          <w:szCs w:val="20"/>
        </w:rPr>
        <w:t xml:space="preserve"> </w:t>
      </w:r>
      <w:r w:rsidRPr="006D0739">
        <w:rPr>
          <w:i/>
          <w:color w:val="000000" w:themeColor="text1"/>
          <w:sz w:val="20"/>
          <w:szCs w:val="20"/>
        </w:rPr>
        <w:t>R v Parmenter</w:t>
      </w:r>
      <w:r w:rsidRPr="006D0739">
        <w:rPr>
          <w:color w:val="000000" w:themeColor="text1"/>
          <w:sz w:val="20"/>
          <w:szCs w:val="20"/>
        </w:rPr>
        <w:t xml:space="preserve"> [1991] 94 Cr App R 193</w:t>
      </w:r>
    </w:p>
  </w:footnote>
  <w:footnote w:id="65">
    <w:p w14:paraId="3370BC1C" w14:textId="09FD80F0" w:rsidR="00857EB7" w:rsidRPr="006D0739" w:rsidRDefault="00857EB7">
      <w:pPr>
        <w:pStyle w:val="FootnoteText"/>
        <w:rPr>
          <w:color w:val="000000" w:themeColor="text1"/>
          <w:sz w:val="20"/>
          <w:szCs w:val="20"/>
        </w:rPr>
      </w:pPr>
      <w:r w:rsidRPr="006D0739">
        <w:rPr>
          <w:rStyle w:val="FootnoteReference"/>
          <w:color w:val="000000" w:themeColor="text1"/>
          <w:sz w:val="20"/>
          <w:szCs w:val="20"/>
        </w:rPr>
        <w:footnoteRef/>
      </w:r>
      <w:r w:rsidRPr="006D0739">
        <w:rPr>
          <w:color w:val="000000" w:themeColor="text1"/>
          <w:sz w:val="20"/>
          <w:szCs w:val="20"/>
        </w:rPr>
        <w:t xml:space="preserve"> Offences Against the Person Act 1861, s.47</w:t>
      </w:r>
    </w:p>
  </w:footnote>
  <w:footnote w:id="66">
    <w:p w14:paraId="49876447" w14:textId="05BC1B91" w:rsidR="00857EB7" w:rsidRPr="000A66A1" w:rsidRDefault="00857EB7">
      <w:pPr>
        <w:pStyle w:val="FootnoteText"/>
        <w:rPr>
          <w:color w:val="000000" w:themeColor="text1"/>
          <w:sz w:val="20"/>
          <w:szCs w:val="20"/>
          <w:lang w:val="de-DE"/>
        </w:rPr>
      </w:pPr>
      <w:r w:rsidRPr="006D0739">
        <w:rPr>
          <w:rStyle w:val="FootnoteReference"/>
          <w:color w:val="000000" w:themeColor="text1"/>
          <w:sz w:val="20"/>
          <w:szCs w:val="20"/>
        </w:rPr>
        <w:footnoteRef/>
      </w:r>
      <w:r w:rsidRPr="000A66A1">
        <w:rPr>
          <w:color w:val="000000" w:themeColor="text1"/>
          <w:sz w:val="20"/>
          <w:szCs w:val="20"/>
          <w:lang w:val="de-DE"/>
        </w:rPr>
        <w:t xml:space="preserve"> ibid</w:t>
      </w:r>
    </w:p>
  </w:footnote>
  <w:footnote w:id="67">
    <w:p w14:paraId="14811B7B" w14:textId="0E8E90EF" w:rsidR="00857EB7" w:rsidRPr="000A66A1" w:rsidRDefault="00857EB7">
      <w:pPr>
        <w:pStyle w:val="FootnoteText"/>
        <w:rPr>
          <w:color w:val="000000" w:themeColor="text1"/>
          <w:sz w:val="20"/>
          <w:szCs w:val="20"/>
          <w:lang w:val="de-DE"/>
        </w:rPr>
      </w:pPr>
      <w:r w:rsidRPr="006D0739">
        <w:rPr>
          <w:rStyle w:val="FootnoteReference"/>
          <w:color w:val="000000" w:themeColor="text1"/>
          <w:sz w:val="20"/>
          <w:szCs w:val="20"/>
        </w:rPr>
        <w:footnoteRef/>
      </w:r>
      <w:r w:rsidRPr="000A66A1">
        <w:rPr>
          <w:color w:val="000000" w:themeColor="text1"/>
          <w:sz w:val="20"/>
          <w:szCs w:val="20"/>
          <w:lang w:val="de-DE"/>
        </w:rPr>
        <w:t xml:space="preserve"> </w:t>
      </w:r>
      <w:r w:rsidRPr="000A66A1">
        <w:rPr>
          <w:i/>
          <w:color w:val="000000" w:themeColor="text1"/>
          <w:sz w:val="20"/>
          <w:szCs w:val="20"/>
          <w:lang w:val="de-DE"/>
        </w:rPr>
        <w:t>R v Miller</w:t>
      </w:r>
      <w:r w:rsidRPr="000A66A1">
        <w:rPr>
          <w:color w:val="000000" w:themeColor="text1"/>
          <w:sz w:val="20"/>
          <w:szCs w:val="20"/>
          <w:lang w:val="de-DE"/>
        </w:rPr>
        <w:t xml:space="preserve"> [1954] 2 All ER 529</w:t>
      </w:r>
    </w:p>
  </w:footnote>
  <w:footnote w:id="68">
    <w:p w14:paraId="344124D3" w14:textId="6338407D" w:rsidR="00857EB7" w:rsidRPr="000A66A1" w:rsidRDefault="00857EB7">
      <w:pPr>
        <w:pStyle w:val="FootnoteText"/>
        <w:rPr>
          <w:color w:val="000000" w:themeColor="text1"/>
          <w:sz w:val="20"/>
          <w:szCs w:val="20"/>
          <w:lang w:val="fr-FR"/>
        </w:rPr>
      </w:pPr>
      <w:r w:rsidRPr="006D0739">
        <w:rPr>
          <w:rStyle w:val="FootnoteReference"/>
          <w:color w:val="000000" w:themeColor="text1"/>
          <w:sz w:val="20"/>
          <w:szCs w:val="20"/>
        </w:rPr>
        <w:footnoteRef/>
      </w:r>
      <w:r w:rsidRPr="000A66A1">
        <w:rPr>
          <w:color w:val="000000" w:themeColor="text1"/>
          <w:sz w:val="20"/>
          <w:szCs w:val="20"/>
          <w:lang w:val="fr-FR"/>
        </w:rPr>
        <w:t xml:space="preserve"> </w:t>
      </w:r>
      <w:r w:rsidRPr="000A66A1">
        <w:rPr>
          <w:i/>
          <w:color w:val="000000" w:themeColor="text1"/>
          <w:sz w:val="20"/>
          <w:szCs w:val="20"/>
          <w:lang w:val="fr-FR"/>
        </w:rPr>
        <w:t>R v Roberts</w:t>
      </w:r>
      <w:r w:rsidRPr="000A66A1">
        <w:rPr>
          <w:color w:val="000000" w:themeColor="text1"/>
          <w:sz w:val="20"/>
          <w:szCs w:val="20"/>
          <w:lang w:val="fr-FR"/>
        </w:rPr>
        <w:t xml:space="preserve"> [1971] EWCA </w:t>
      </w:r>
      <w:proofErr w:type="spellStart"/>
      <w:r w:rsidRPr="000A66A1">
        <w:rPr>
          <w:color w:val="000000" w:themeColor="text1"/>
          <w:sz w:val="20"/>
          <w:szCs w:val="20"/>
          <w:lang w:val="fr-FR"/>
        </w:rPr>
        <w:t>Crim</w:t>
      </w:r>
      <w:proofErr w:type="spellEnd"/>
      <w:r w:rsidRPr="000A66A1">
        <w:rPr>
          <w:color w:val="000000" w:themeColor="text1"/>
          <w:sz w:val="20"/>
          <w:szCs w:val="20"/>
          <w:lang w:val="fr-FR"/>
        </w:rPr>
        <w:t xml:space="preserve"> 4 </w:t>
      </w:r>
    </w:p>
  </w:footnote>
  <w:footnote w:id="69">
    <w:p w14:paraId="673A7502" w14:textId="6FD01C3C" w:rsidR="00857EB7" w:rsidRPr="006D0739" w:rsidRDefault="00857EB7">
      <w:pPr>
        <w:pStyle w:val="FootnoteText"/>
        <w:rPr>
          <w:color w:val="000000" w:themeColor="text1"/>
          <w:sz w:val="20"/>
          <w:szCs w:val="20"/>
        </w:rPr>
      </w:pPr>
      <w:r w:rsidRPr="006D0739">
        <w:rPr>
          <w:rStyle w:val="FootnoteReference"/>
          <w:color w:val="000000" w:themeColor="text1"/>
          <w:sz w:val="20"/>
          <w:szCs w:val="20"/>
        </w:rPr>
        <w:footnoteRef/>
      </w:r>
      <w:r w:rsidRPr="006D0739">
        <w:rPr>
          <w:color w:val="000000" w:themeColor="text1"/>
          <w:sz w:val="20"/>
          <w:szCs w:val="20"/>
        </w:rPr>
        <w:t xml:space="preserve"> </w:t>
      </w:r>
      <w:r w:rsidRPr="006D0739">
        <w:rPr>
          <w:i/>
          <w:color w:val="000000" w:themeColor="text1"/>
          <w:sz w:val="20"/>
          <w:szCs w:val="20"/>
        </w:rPr>
        <w:t>R v Spratt</w:t>
      </w:r>
      <w:r w:rsidRPr="006D0739">
        <w:rPr>
          <w:color w:val="000000" w:themeColor="text1"/>
          <w:sz w:val="20"/>
          <w:szCs w:val="20"/>
        </w:rPr>
        <w:t xml:space="preserve"> [1990] 1 WLR 1073</w:t>
      </w:r>
    </w:p>
  </w:footnote>
  <w:footnote w:id="70">
    <w:p w14:paraId="3C34BEF3" w14:textId="61D112BA" w:rsidR="00857EB7" w:rsidRPr="006D0739" w:rsidRDefault="00857EB7">
      <w:pPr>
        <w:pStyle w:val="FootnoteText"/>
        <w:rPr>
          <w:color w:val="000000" w:themeColor="text1"/>
          <w:sz w:val="20"/>
          <w:szCs w:val="20"/>
        </w:rPr>
      </w:pPr>
      <w:r w:rsidRPr="006D0739">
        <w:rPr>
          <w:rStyle w:val="FootnoteReference"/>
          <w:color w:val="000000" w:themeColor="text1"/>
          <w:sz w:val="20"/>
          <w:szCs w:val="20"/>
        </w:rPr>
        <w:footnoteRef/>
      </w:r>
      <w:r w:rsidRPr="006D0739">
        <w:rPr>
          <w:color w:val="000000" w:themeColor="text1"/>
          <w:sz w:val="20"/>
          <w:szCs w:val="20"/>
        </w:rPr>
        <w:t xml:space="preserve"> Offences Against the Person Act 1861, s.20</w:t>
      </w:r>
    </w:p>
  </w:footnote>
  <w:footnote w:id="71">
    <w:p w14:paraId="4D4067F8" w14:textId="155BA001" w:rsidR="00857EB7" w:rsidRPr="006D0739" w:rsidRDefault="00857EB7">
      <w:pPr>
        <w:pStyle w:val="FootnoteText"/>
        <w:rPr>
          <w:color w:val="000000" w:themeColor="text1"/>
          <w:sz w:val="20"/>
          <w:szCs w:val="20"/>
        </w:rPr>
      </w:pPr>
      <w:r w:rsidRPr="006D0739">
        <w:rPr>
          <w:rStyle w:val="FootnoteReference"/>
          <w:color w:val="000000" w:themeColor="text1"/>
          <w:sz w:val="20"/>
          <w:szCs w:val="20"/>
        </w:rPr>
        <w:footnoteRef/>
      </w:r>
      <w:r w:rsidRPr="006D0739">
        <w:rPr>
          <w:color w:val="000000" w:themeColor="text1"/>
          <w:sz w:val="20"/>
          <w:szCs w:val="20"/>
        </w:rPr>
        <w:t xml:space="preserve"> ibid</w:t>
      </w:r>
    </w:p>
  </w:footnote>
  <w:footnote w:id="72">
    <w:p w14:paraId="3AC09EC2" w14:textId="627DFFEE" w:rsidR="00857EB7" w:rsidRPr="006D0739" w:rsidRDefault="00857EB7" w:rsidP="00205D38">
      <w:pPr>
        <w:pStyle w:val="FootnoteText"/>
        <w:rPr>
          <w:color w:val="000000" w:themeColor="text1"/>
          <w:sz w:val="20"/>
          <w:szCs w:val="20"/>
        </w:rPr>
      </w:pPr>
      <w:r w:rsidRPr="006D0739">
        <w:rPr>
          <w:rStyle w:val="FootnoteReference"/>
          <w:color w:val="000000" w:themeColor="text1"/>
          <w:sz w:val="20"/>
          <w:szCs w:val="20"/>
        </w:rPr>
        <w:footnoteRef/>
      </w:r>
      <w:r w:rsidRPr="006D0739">
        <w:rPr>
          <w:color w:val="000000" w:themeColor="text1"/>
          <w:sz w:val="20"/>
          <w:szCs w:val="20"/>
        </w:rPr>
        <w:t xml:space="preserve"> Offences Against the Person Act 1861, s.20</w:t>
      </w:r>
    </w:p>
  </w:footnote>
  <w:footnote w:id="73">
    <w:p w14:paraId="51014770" w14:textId="77777777" w:rsidR="00857EB7" w:rsidRPr="000A66A1" w:rsidRDefault="00857EB7" w:rsidP="00205D38">
      <w:pPr>
        <w:pStyle w:val="FootnoteText"/>
        <w:rPr>
          <w:color w:val="000000" w:themeColor="text1"/>
          <w:sz w:val="20"/>
          <w:szCs w:val="20"/>
          <w:lang w:val="fr-FR"/>
        </w:rPr>
      </w:pPr>
      <w:r w:rsidRPr="006D0739">
        <w:rPr>
          <w:rStyle w:val="FootnoteReference"/>
          <w:color w:val="000000" w:themeColor="text1"/>
          <w:sz w:val="20"/>
          <w:szCs w:val="20"/>
        </w:rPr>
        <w:footnoteRef/>
      </w:r>
      <w:r w:rsidRPr="000A66A1">
        <w:rPr>
          <w:color w:val="000000" w:themeColor="text1"/>
          <w:sz w:val="20"/>
          <w:szCs w:val="20"/>
          <w:lang w:val="fr-FR"/>
        </w:rPr>
        <w:t xml:space="preserve"> </w:t>
      </w:r>
      <w:r w:rsidRPr="000A66A1">
        <w:rPr>
          <w:i/>
          <w:color w:val="000000" w:themeColor="text1"/>
          <w:sz w:val="20"/>
          <w:szCs w:val="20"/>
          <w:lang w:val="fr-FR"/>
        </w:rPr>
        <w:t xml:space="preserve">R v Savage </w:t>
      </w:r>
      <w:r w:rsidRPr="000A66A1">
        <w:rPr>
          <w:color w:val="000000" w:themeColor="text1"/>
          <w:sz w:val="20"/>
          <w:szCs w:val="20"/>
          <w:lang w:val="fr-FR"/>
        </w:rPr>
        <w:t>[1991] 94 Cr App R 193</w:t>
      </w:r>
    </w:p>
  </w:footnote>
  <w:footnote w:id="74">
    <w:p w14:paraId="026BCA71" w14:textId="706AE284" w:rsidR="00857EB7" w:rsidRPr="000A66A1" w:rsidRDefault="00857EB7">
      <w:pPr>
        <w:pStyle w:val="FootnoteText"/>
        <w:rPr>
          <w:lang w:val="fr-FR"/>
        </w:rPr>
      </w:pPr>
      <w:r w:rsidRPr="006D0739">
        <w:rPr>
          <w:rStyle w:val="FootnoteReference"/>
          <w:color w:val="000000" w:themeColor="text1"/>
          <w:sz w:val="20"/>
          <w:szCs w:val="20"/>
        </w:rPr>
        <w:footnoteRef/>
      </w:r>
      <w:r w:rsidRPr="000A66A1">
        <w:rPr>
          <w:color w:val="000000" w:themeColor="text1"/>
          <w:sz w:val="20"/>
          <w:szCs w:val="20"/>
          <w:lang w:val="fr-FR"/>
        </w:rPr>
        <w:t xml:space="preserve"> </w:t>
      </w:r>
      <w:r w:rsidRPr="000A66A1">
        <w:rPr>
          <w:i/>
          <w:color w:val="000000" w:themeColor="text1"/>
          <w:sz w:val="20"/>
          <w:szCs w:val="20"/>
          <w:lang w:val="fr-FR"/>
        </w:rPr>
        <w:t xml:space="preserve">R v </w:t>
      </w:r>
      <w:proofErr w:type="spellStart"/>
      <w:r w:rsidRPr="000A66A1">
        <w:rPr>
          <w:i/>
          <w:color w:val="000000" w:themeColor="text1"/>
          <w:sz w:val="20"/>
          <w:szCs w:val="20"/>
          <w:lang w:val="fr-FR"/>
        </w:rPr>
        <w:t>Parmenter</w:t>
      </w:r>
      <w:proofErr w:type="spellEnd"/>
      <w:r w:rsidRPr="000A66A1">
        <w:rPr>
          <w:color w:val="000000" w:themeColor="text1"/>
          <w:sz w:val="20"/>
          <w:szCs w:val="20"/>
          <w:lang w:val="fr-FR"/>
        </w:rPr>
        <w:t xml:space="preserve"> [1991] 94 Cr App R 193</w:t>
      </w:r>
    </w:p>
  </w:footnote>
  <w:footnote w:id="75">
    <w:p w14:paraId="10506E12" w14:textId="635D5476" w:rsidR="00857EB7" w:rsidRDefault="00857EB7">
      <w:pPr>
        <w:pStyle w:val="FootnoteText"/>
      </w:pPr>
      <w:r w:rsidRPr="006D0739">
        <w:rPr>
          <w:rStyle w:val="FootnoteReference"/>
          <w:sz w:val="20"/>
        </w:rPr>
        <w:footnoteRef/>
      </w:r>
      <w:r w:rsidRPr="006D0739">
        <w:rPr>
          <w:sz w:val="20"/>
        </w:rPr>
        <w:t xml:space="preserve"> Offences Against the Person Act 1861, s.20</w:t>
      </w:r>
    </w:p>
  </w:footnote>
  <w:footnote w:id="76">
    <w:p w14:paraId="51B2B983" w14:textId="27F6A554" w:rsidR="00857EB7" w:rsidRPr="00757531" w:rsidRDefault="00857EB7">
      <w:pPr>
        <w:pStyle w:val="FootnoteText"/>
        <w:rPr>
          <w:i/>
          <w:sz w:val="20"/>
          <w:szCs w:val="20"/>
        </w:rPr>
      </w:pPr>
      <w:r w:rsidRPr="00757531">
        <w:rPr>
          <w:rStyle w:val="FootnoteReference"/>
          <w:i/>
          <w:sz w:val="20"/>
          <w:szCs w:val="20"/>
        </w:rPr>
        <w:footnoteRef/>
      </w:r>
      <w:r w:rsidRPr="00757531">
        <w:rPr>
          <w:i/>
          <w:sz w:val="20"/>
          <w:szCs w:val="20"/>
        </w:rPr>
        <w:t xml:space="preserve"> </w:t>
      </w:r>
      <w:r>
        <w:rPr>
          <w:color w:val="000000" w:themeColor="text1"/>
          <w:sz w:val="20"/>
          <w:szCs w:val="20"/>
        </w:rPr>
        <w:t xml:space="preserve">Ibid </w:t>
      </w:r>
    </w:p>
  </w:footnote>
  <w:footnote w:id="77">
    <w:p w14:paraId="1A5B4A67" w14:textId="08EC6D69" w:rsidR="00857EB7" w:rsidRPr="00757531" w:rsidRDefault="00857EB7" w:rsidP="00205D38">
      <w:pPr>
        <w:pStyle w:val="FootnoteText"/>
        <w:rPr>
          <w:i/>
          <w:sz w:val="20"/>
          <w:szCs w:val="20"/>
        </w:rPr>
      </w:pPr>
      <w:r w:rsidRPr="00757531">
        <w:rPr>
          <w:rStyle w:val="FootnoteReference"/>
          <w:i/>
          <w:sz w:val="20"/>
          <w:szCs w:val="20"/>
        </w:rPr>
        <w:footnoteRef/>
      </w:r>
      <w:r w:rsidRPr="00757531">
        <w:rPr>
          <w:i/>
          <w:sz w:val="20"/>
          <w:szCs w:val="20"/>
        </w:rPr>
        <w:t xml:space="preserve"> ‘Offences Against the Person, Incorporating the Charging Standard’ (CPS, 12 November 2018) &lt; </w:t>
      </w:r>
      <w:hyperlink r:id="rId7" w:history="1">
        <w:r w:rsidRPr="00757531">
          <w:rPr>
            <w:rStyle w:val="Hyperlink"/>
            <w:i/>
            <w:sz w:val="20"/>
            <w:szCs w:val="20"/>
          </w:rPr>
          <w:t>https://www.cps.gov.uk/legal-guidance/offences-against-person-incorporating-charging-standard</w:t>
        </w:r>
      </w:hyperlink>
      <w:r w:rsidRPr="00757531">
        <w:rPr>
          <w:i/>
          <w:sz w:val="20"/>
          <w:szCs w:val="20"/>
        </w:rPr>
        <w:t>&gt; accessed 10 January 2019</w:t>
      </w:r>
    </w:p>
  </w:footnote>
  <w:footnote w:id="78">
    <w:p w14:paraId="7DD26EF9" w14:textId="59CB9E7A" w:rsidR="00857EB7" w:rsidRPr="00757531" w:rsidRDefault="00857EB7" w:rsidP="00205D38">
      <w:pPr>
        <w:pStyle w:val="FootnoteText"/>
        <w:rPr>
          <w:i/>
          <w:sz w:val="20"/>
          <w:szCs w:val="20"/>
        </w:rPr>
      </w:pPr>
      <w:r w:rsidRPr="00757531">
        <w:rPr>
          <w:rStyle w:val="FootnoteReference"/>
          <w:i/>
          <w:sz w:val="20"/>
          <w:szCs w:val="20"/>
        </w:rPr>
        <w:footnoteRef/>
      </w:r>
      <w:r w:rsidRPr="00757531">
        <w:rPr>
          <w:i/>
          <w:sz w:val="20"/>
          <w:szCs w:val="20"/>
        </w:rPr>
        <w:t xml:space="preserve"> Criminal Justice Act 1988, s.39</w:t>
      </w:r>
    </w:p>
  </w:footnote>
  <w:footnote w:id="79">
    <w:p w14:paraId="41E3D8B9" w14:textId="77777777" w:rsidR="00857EB7" w:rsidRPr="00757531" w:rsidRDefault="00857EB7" w:rsidP="00205D38">
      <w:pPr>
        <w:pStyle w:val="FootnoteText"/>
        <w:rPr>
          <w:i/>
          <w:sz w:val="20"/>
          <w:szCs w:val="20"/>
        </w:rPr>
      </w:pPr>
      <w:r w:rsidRPr="00757531">
        <w:rPr>
          <w:rStyle w:val="FootnoteReference"/>
          <w:i/>
          <w:sz w:val="20"/>
          <w:szCs w:val="20"/>
        </w:rPr>
        <w:footnoteRef/>
      </w:r>
      <w:r w:rsidRPr="00757531">
        <w:rPr>
          <w:i/>
          <w:sz w:val="20"/>
          <w:szCs w:val="20"/>
        </w:rPr>
        <w:t xml:space="preserve"> R v Cato [1976] 1 WLR 110</w:t>
      </w:r>
    </w:p>
  </w:footnote>
  <w:footnote w:id="80">
    <w:p w14:paraId="7750F8E3" w14:textId="77777777" w:rsidR="00857EB7" w:rsidRPr="00757531" w:rsidRDefault="00857EB7" w:rsidP="00205D38">
      <w:pPr>
        <w:pStyle w:val="FootnoteText"/>
        <w:rPr>
          <w:i/>
          <w:sz w:val="20"/>
          <w:szCs w:val="20"/>
        </w:rPr>
      </w:pPr>
      <w:r w:rsidRPr="00757531">
        <w:rPr>
          <w:rStyle w:val="FootnoteReference"/>
          <w:i/>
          <w:sz w:val="20"/>
          <w:szCs w:val="20"/>
        </w:rPr>
        <w:footnoteRef/>
      </w:r>
      <w:r w:rsidRPr="00757531">
        <w:rPr>
          <w:i/>
          <w:sz w:val="20"/>
          <w:szCs w:val="20"/>
        </w:rPr>
        <w:t xml:space="preserve"> R v Lamb [1967] 2 QB 981</w:t>
      </w:r>
    </w:p>
  </w:footnote>
  <w:footnote w:id="81">
    <w:p w14:paraId="0CB18B2C" w14:textId="6E95FCE2" w:rsidR="00857EB7" w:rsidRPr="00757531" w:rsidRDefault="00857EB7">
      <w:pPr>
        <w:pStyle w:val="FootnoteText"/>
        <w:rPr>
          <w:i/>
          <w:sz w:val="20"/>
          <w:szCs w:val="20"/>
        </w:rPr>
      </w:pPr>
      <w:r w:rsidRPr="00757531">
        <w:rPr>
          <w:rStyle w:val="FootnoteReference"/>
          <w:i/>
          <w:sz w:val="20"/>
          <w:szCs w:val="20"/>
        </w:rPr>
        <w:footnoteRef/>
      </w:r>
      <w:r w:rsidRPr="00757531">
        <w:rPr>
          <w:i/>
          <w:sz w:val="20"/>
          <w:szCs w:val="20"/>
        </w:rPr>
        <w:t xml:space="preserve"> R v Church [1965] 2 WLR 1220 (Edmund-Davies LJ)</w:t>
      </w:r>
    </w:p>
  </w:footnote>
  <w:footnote w:id="82">
    <w:p w14:paraId="76F9CDA3" w14:textId="77777777" w:rsidR="00857EB7" w:rsidRPr="00757531" w:rsidRDefault="00857EB7" w:rsidP="00CE54D8">
      <w:pPr>
        <w:pStyle w:val="FootnoteText"/>
        <w:rPr>
          <w:i/>
          <w:sz w:val="20"/>
          <w:szCs w:val="20"/>
        </w:rPr>
      </w:pPr>
      <w:r w:rsidRPr="00757531">
        <w:rPr>
          <w:rStyle w:val="FootnoteReference"/>
          <w:i/>
          <w:sz w:val="20"/>
          <w:szCs w:val="20"/>
        </w:rPr>
        <w:footnoteRef/>
      </w:r>
      <w:r w:rsidRPr="00757531">
        <w:rPr>
          <w:i/>
          <w:sz w:val="20"/>
          <w:szCs w:val="20"/>
        </w:rPr>
        <w:t xml:space="preserve"> DPP v Newbury [1977] AC 500</w:t>
      </w:r>
    </w:p>
  </w:footnote>
  <w:footnote w:id="83">
    <w:p w14:paraId="024B367A" w14:textId="544E375A" w:rsidR="00857EB7" w:rsidRPr="00757531" w:rsidRDefault="00857EB7">
      <w:pPr>
        <w:pStyle w:val="FootnoteText"/>
        <w:rPr>
          <w:i/>
          <w:sz w:val="20"/>
          <w:szCs w:val="20"/>
        </w:rPr>
      </w:pPr>
      <w:r w:rsidRPr="00757531">
        <w:rPr>
          <w:rStyle w:val="FootnoteReference"/>
          <w:i/>
          <w:sz w:val="20"/>
          <w:szCs w:val="20"/>
        </w:rPr>
        <w:footnoteRef/>
      </w:r>
      <w:r w:rsidRPr="00757531">
        <w:rPr>
          <w:i/>
          <w:sz w:val="20"/>
          <w:szCs w:val="20"/>
        </w:rPr>
        <w:t xml:space="preserve"> ‘Homicide: Murder and Manslaughter’ (CPS, 18 March 2019) </w:t>
      </w:r>
      <w:r>
        <w:rPr>
          <w:i/>
          <w:sz w:val="20"/>
          <w:szCs w:val="20"/>
        </w:rPr>
        <w:t>&lt;</w:t>
      </w:r>
      <w:r w:rsidRPr="00757531">
        <w:rPr>
          <w:i/>
          <w:sz w:val="20"/>
          <w:szCs w:val="20"/>
        </w:rPr>
        <w:t xml:space="preserve"> </w:t>
      </w:r>
      <w:hyperlink r:id="rId8" w:history="1">
        <w:r w:rsidRPr="00757531">
          <w:rPr>
            <w:rStyle w:val="Hyperlink"/>
            <w:i/>
            <w:sz w:val="20"/>
            <w:szCs w:val="20"/>
          </w:rPr>
          <w:t>https://www.cps.gov.uk/legal-guidance/homicide-murder-and-manslaughter</w:t>
        </w:r>
      </w:hyperlink>
      <w:r w:rsidRPr="00757531">
        <w:rPr>
          <w:i/>
          <w:sz w:val="20"/>
          <w:szCs w:val="20"/>
        </w:rPr>
        <w:t xml:space="preserve">&gt; accessed 15 April 2019 </w:t>
      </w:r>
    </w:p>
  </w:footnote>
  <w:footnote w:id="84">
    <w:p w14:paraId="0FA46654" w14:textId="6CECA7CA" w:rsidR="00857EB7" w:rsidRPr="00757531" w:rsidRDefault="00857EB7" w:rsidP="00205D38">
      <w:pPr>
        <w:pStyle w:val="FootnoteText"/>
        <w:rPr>
          <w:sz w:val="20"/>
          <w:szCs w:val="20"/>
        </w:rPr>
      </w:pPr>
      <w:r w:rsidRPr="00757531">
        <w:rPr>
          <w:rStyle w:val="FootnoteReference"/>
          <w:sz w:val="20"/>
          <w:szCs w:val="20"/>
        </w:rPr>
        <w:footnoteRef/>
      </w:r>
      <w:r w:rsidRPr="00757531">
        <w:rPr>
          <w:sz w:val="20"/>
          <w:szCs w:val="20"/>
        </w:rPr>
        <w:t xml:space="preserve"> Law Commission, </w:t>
      </w:r>
      <w:r w:rsidRPr="00757531">
        <w:rPr>
          <w:i/>
          <w:sz w:val="20"/>
          <w:szCs w:val="20"/>
        </w:rPr>
        <w:t>Intoxication and Criminal Liability</w:t>
      </w:r>
      <w:r w:rsidRPr="00757531">
        <w:rPr>
          <w:sz w:val="20"/>
          <w:szCs w:val="20"/>
        </w:rPr>
        <w:t xml:space="preserve"> (Law Com No 314, 2009) paras 1.16-1.20</w:t>
      </w:r>
    </w:p>
  </w:footnote>
  <w:footnote w:id="85">
    <w:p w14:paraId="408E3AE7" w14:textId="4934F5A4" w:rsidR="00857EB7" w:rsidRDefault="00857EB7">
      <w:pPr>
        <w:pStyle w:val="FootnoteText"/>
      </w:pPr>
      <w:r w:rsidRPr="00757531">
        <w:rPr>
          <w:rStyle w:val="FootnoteReference"/>
          <w:sz w:val="20"/>
          <w:szCs w:val="20"/>
        </w:rPr>
        <w:footnoteRef/>
      </w:r>
      <w:r w:rsidRPr="00757531">
        <w:rPr>
          <w:sz w:val="20"/>
          <w:szCs w:val="20"/>
        </w:rPr>
        <w:t xml:space="preserve"> </w:t>
      </w:r>
      <w:r w:rsidRPr="00757531">
        <w:rPr>
          <w:rFonts w:cs="Arial"/>
          <w:bCs/>
          <w:i/>
          <w:color w:val="000000" w:themeColor="text1"/>
          <w:sz w:val="20"/>
          <w:szCs w:val="20"/>
          <w:lang w:val="en-US"/>
        </w:rPr>
        <w:t>DPP v Majewski</w:t>
      </w:r>
      <w:r w:rsidRPr="00757531">
        <w:rPr>
          <w:rFonts w:cs="Arial"/>
          <w:bCs/>
          <w:color w:val="000000" w:themeColor="text1"/>
          <w:sz w:val="20"/>
          <w:szCs w:val="20"/>
          <w:lang w:val="en-US"/>
        </w:rPr>
        <w:t xml:space="preserve"> </w:t>
      </w:r>
      <w:hyperlink r:id="rId9" w:history="1">
        <w:r w:rsidRPr="00757531">
          <w:rPr>
            <w:rFonts w:cs="Arial"/>
            <w:color w:val="000000" w:themeColor="text1"/>
            <w:sz w:val="20"/>
            <w:szCs w:val="20"/>
            <w:lang w:val="en-US"/>
          </w:rPr>
          <w:t>[1977] A.C. 443</w:t>
        </w:r>
      </w:hyperlink>
    </w:p>
  </w:footnote>
  <w:footnote w:id="86">
    <w:p w14:paraId="652F1E65" w14:textId="79E1F606" w:rsidR="00857EB7" w:rsidRPr="00757531" w:rsidRDefault="00857EB7">
      <w:pPr>
        <w:pStyle w:val="FootnoteText"/>
        <w:rPr>
          <w:sz w:val="20"/>
          <w:szCs w:val="20"/>
        </w:rPr>
      </w:pPr>
      <w:r w:rsidRPr="00757531">
        <w:rPr>
          <w:rStyle w:val="FootnoteReference"/>
          <w:sz w:val="20"/>
          <w:szCs w:val="20"/>
        </w:rPr>
        <w:footnoteRef/>
      </w:r>
      <w:r w:rsidRPr="00757531">
        <w:rPr>
          <w:sz w:val="20"/>
          <w:szCs w:val="20"/>
        </w:rPr>
        <w:t xml:space="preserve"> Law Commission, </w:t>
      </w:r>
      <w:r w:rsidRPr="00757531">
        <w:rPr>
          <w:i/>
          <w:sz w:val="20"/>
          <w:szCs w:val="20"/>
        </w:rPr>
        <w:t>Intoxication and Criminal Liability</w:t>
      </w:r>
      <w:r w:rsidRPr="00757531">
        <w:rPr>
          <w:sz w:val="20"/>
          <w:szCs w:val="20"/>
        </w:rPr>
        <w:t xml:space="preserve"> (Law Com No 314, 2009) para 1.17</w:t>
      </w:r>
    </w:p>
  </w:footnote>
  <w:footnote w:id="87">
    <w:p w14:paraId="399C5A95" w14:textId="64F599AE" w:rsidR="00857EB7" w:rsidRPr="00757531" w:rsidRDefault="00857EB7">
      <w:pPr>
        <w:pStyle w:val="FootnoteText"/>
        <w:rPr>
          <w:sz w:val="20"/>
          <w:szCs w:val="20"/>
        </w:rPr>
      </w:pPr>
      <w:r w:rsidRPr="00757531">
        <w:rPr>
          <w:rStyle w:val="FootnoteReference"/>
          <w:sz w:val="20"/>
          <w:szCs w:val="20"/>
        </w:rPr>
        <w:footnoteRef/>
      </w:r>
      <w:r w:rsidRPr="00757531">
        <w:rPr>
          <w:sz w:val="20"/>
          <w:szCs w:val="20"/>
        </w:rPr>
        <w:t xml:space="preserve"> </w:t>
      </w:r>
      <w:r w:rsidRPr="00757531">
        <w:rPr>
          <w:rFonts w:cs="Arial"/>
          <w:bCs/>
          <w:i/>
          <w:color w:val="000000" w:themeColor="text1"/>
          <w:sz w:val="20"/>
          <w:szCs w:val="20"/>
          <w:lang w:val="en-US"/>
        </w:rPr>
        <w:t>DPP v Majewski</w:t>
      </w:r>
      <w:r w:rsidRPr="00757531">
        <w:rPr>
          <w:rFonts w:cs="Arial"/>
          <w:bCs/>
          <w:color w:val="000000" w:themeColor="text1"/>
          <w:sz w:val="20"/>
          <w:szCs w:val="20"/>
          <w:lang w:val="en-US"/>
        </w:rPr>
        <w:t xml:space="preserve"> </w:t>
      </w:r>
      <w:hyperlink r:id="rId10" w:history="1">
        <w:r w:rsidRPr="00757531">
          <w:rPr>
            <w:rFonts w:cs="Arial"/>
            <w:color w:val="000000" w:themeColor="text1"/>
            <w:sz w:val="20"/>
            <w:szCs w:val="20"/>
            <w:lang w:val="en-US"/>
          </w:rPr>
          <w:t>[1977] A.C. 443</w:t>
        </w:r>
      </w:hyperlink>
    </w:p>
  </w:footnote>
  <w:footnote w:id="88">
    <w:p w14:paraId="29C7C870" w14:textId="41127A34" w:rsidR="00857EB7" w:rsidRPr="00757531" w:rsidRDefault="00857EB7">
      <w:pPr>
        <w:pStyle w:val="FootnoteText"/>
        <w:rPr>
          <w:sz w:val="20"/>
          <w:szCs w:val="20"/>
        </w:rPr>
      </w:pPr>
      <w:r w:rsidRPr="00757531">
        <w:rPr>
          <w:rStyle w:val="FootnoteReference"/>
          <w:sz w:val="20"/>
          <w:szCs w:val="20"/>
        </w:rPr>
        <w:footnoteRef/>
      </w:r>
      <w:r w:rsidRPr="00757531">
        <w:rPr>
          <w:sz w:val="20"/>
          <w:szCs w:val="20"/>
        </w:rPr>
        <w:t xml:space="preserve"> Law Commission, </w:t>
      </w:r>
      <w:r w:rsidRPr="00757531">
        <w:rPr>
          <w:i/>
          <w:sz w:val="20"/>
          <w:szCs w:val="20"/>
        </w:rPr>
        <w:t>Intoxication and Criminal Liability</w:t>
      </w:r>
      <w:r w:rsidRPr="00757531">
        <w:rPr>
          <w:sz w:val="20"/>
          <w:szCs w:val="20"/>
        </w:rPr>
        <w:t xml:space="preserve"> (Law Com No 314, 2009) para 1.17</w:t>
      </w:r>
    </w:p>
  </w:footnote>
  <w:footnote w:id="89">
    <w:p w14:paraId="224F60A5" w14:textId="7EF81B34" w:rsidR="00857EB7" w:rsidRPr="00757531" w:rsidRDefault="00857EB7">
      <w:pPr>
        <w:pStyle w:val="FootnoteText"/>
        <w:rPr>
          <w:sz w:val="20"/>
          <w:szCs w:val="20"/>
        </w:rPr>
      </w:pPr>
      <w:r w:rsidRPr="00757531">
        <w:rPr>
          <w:rStyle w:val="FootnoteReference"/>
          <w:sz w:val="20"/>
          <w:szCs w:val="20"/>
        </w:rPr>
        <w:footnoteRef/>
      </w:r>
      <w:r w:rsidRPr="00757531">
        <w:rPr>
          <w:sz w:val="20"/>
          <w:szCs w:val="20"/>
        </w:rPr>
        <w:t xml:space="preserve"> </w:t>
      </w:r>
      <w:r w:rsidRPr="00757531">
        <w:rPr>
          <w:i/>
          <w:sz w:val="20"/>
          <w:szCs w:val="20"/>
        </w:rPr>
        <w:t>R v Richardson</w:t>
      </w:r>
      <w:r w:rsidRPr="00757531">
        <w:rPr>
          <w:sz w:val="20"/>
          <w:szCs w:val="20"/>
        </w:rPr>
        <w:t xml:space="preserve"> [1999] 1 Cr. App. R. 392</w:t>
      </w:r>
    </w:p>
  </w:footnote>
  <w:footnote w:id="90">
    <w:p w14:paraId="1B2E15EC" w14:textId="1DD22D28" w:rsidR="00857EB7" w:rsidRPr="00757531" w:rsidRDefault="00857EB7">
      <w:pPr>
        <w:pStyle w:val="FootnoteText"/>
        <w:rPr>
          <w:sz w:val="20"/>
          <w:szCs w:val="20"/>
        </w:rPr>
      </w:pPr>
      <w:r w:rsidRPr="00757531">
        <w:rPr>
          <w:rStyle w:val="FootnoteReference"/>
          <w:sz w:val="20"/>
          <w:szCs w:val="20"/>
        </w:rPr>
        <w:footnoteRef/>
      </w:r>
      <w:r w:rsidRPr="00757531">
        <w:rPr>
          <w:sz w:val="20"/>
          <w:szCs w:val="20"/>
        </w:rPr>
        <w:t xml:space="preserve"> </w:t>
      </w:r>
      <w:r w:rsidRPr="00757531">
        <w:rPr>
          <w:rFonts w:cs="Arial"/>
          <w:bCs/>
          <w:i/>
          <w:color w:val="000000" w:themeColor="text1"/>
          <w:sz w:val="20"/>
          <w:szCs w:val="20"/>
          <w:lang w:val="en-US"/>
        </w:rPr>
        <w:t>DPP v Majewski</w:t>
      </w:r>
      <w:r w:rsidRPr="00757531">
        <w:rPr>
          <w:rFonts w:cs="Arial"/>
          <w:bCs/>
          <w:color w:val="000000" w:themeColor="text1"/>
          <w:sz w:val="20"/>
          <w:szCs w:val="20"/>
          <w:lang w:val="en-US"/>
        </w:rPr>
        <w:t xml:space="preserve"> </w:t>
      </w:r>
      <w:hyperlink r:id="rId11" w:history="1">
        <w:r w:rsidRPr="00757531">
          <w:rPr>
            <w:rFonts w:cs="Arial"/>
            <w:color w:val="000000" w:themeColor="text1"/>
            <w:sz w:val="20"/>
            <w:szCs w:val="20"/>
            <w:lang w:val="en-US"/>
          </w:rPr>
          <w:t>[1977] A.C. 443</w:t>
        </w:r>
      </w:hyperlink>
    </w:p>
  </w:footnote>
  <w:footnote w:id="91">
    <w:p w14:paraId="6FDF48AF" w14:textId="7EBDCC19" w:rsidR="00857EB7" w:rsidRPr="00757531" w:rsidRDefault="00857EB7" w:rsidP="007B1B92">
      <w:pPr>
        <w:pStyle w:val="FootnoteText"/>
        <w:rPr>
          <w:sz w:val="20"/>
          <w:szCs w:val="20"/>
        </w:rPr>
      </w:pPr>
      <w:r w:rsidRPr="00757531">
        <w:rPr>
          <w:rStyle w:val="FootnoteReference"/>
          <w:sz w:val="20"/>
          <w:szCs w:val="20"/>
        </w:rPr>
        <w:footnoteRef/>
      </w:r>
      <w:r w:rsidRPr="00757531">
        <w:rPr>
          <w:sz w:val="20"/>
          <w:szCs w:val="20"/>
        </w:rPr>
        <w:t xml:space="preserve"> </w:t>
      </w:r>
      <w:r>
        <w:rPr>
          <w:rFonts w:cs="Arial"/>
          <w:bCs/>
          <w:iCs/>
          <w:color w:val="000000" w:themeColor="text1"/>
          <w:sz w:val="20"/>
          <w:szCs w:val="20"/>
          <w:lang w:val="en-US"/>
        </w:rPr>
        <w:t>I</w:t>
      </w:r>
      <w:r w:rsidRPr="00F0322D">
        <w:rPr>
          <w:rFonts w:cs="Arial"/>
          <w:bCs/>
          <w:iCs/>
          <w:color w:val="000000" w:themeColor="text1"/>
          <w:sz w:val="20"/>
          <w:szCs w:val="20"/>
          <w:lang w:val="en-US"/>
        </w:rPr>
        <w:t>bid</w:t>
      </w:r>
      <w:r w:rsidRPr="00F0322D">
        <w:rPr>
          <w:rFonts w:cs="Arial"/>
          <w:iCs/>
          <w:color w:val="000000" w:themeColor="text1"/>
          <w:sz w:val="20"/>
          <w:szCs w:val="20"/>
          <w:lang w:val="en-US"/>
        </w:rPr>
        <w:t>,</w:t>
      </w:r>
      <w:r w:rsidRPr="00757531">
        <w:rPr>
          <w:rFonts w:cs="Arial"/>
          <w:color w:val="000000" w:themeColor="text1"/>
          <w:sz w:val="20"/>
          <w:szCs w:val="20"/>
          <w:lang w:val="en-US"/>
        </w:rPr>
        <w:t xml:space="preserve"> 498,</w:t>
      </w:r>
      <w:r w:rsidRPr="00757531">
        <w:rPr>
          <w:i/>
          <w:sz w:val="20"/>
          <w:szCs w:val="20"/>
        </w:rPr>
        <w:t xml:space="preserve"> </w:t>
      </w:r>
      <w:r w:rsidRPr="00757531">
        <w:rPr>
          <w:sz w:val="20"/>
          <w:szCs w:val="20"/>
        </w:rPr>
        <w:t xml:space="preserve">Law Commission, </w:t>
      </w:r>
      <w:r w:rsidRPr="00757531">
        <w:rPr>
          <w:i/>
          <w:sz w:val="20"/>
          <w:szCs w:val="20"/>
        </w:rPr>
        <w:t>Intoxication and Criminal Liability</w:t>
      </w:r>
      <w:r w:rsidRPr="00757531">
        <w:rPr>
          <w:sz w:val="20"/>
          <w:szCs w:val="20"/>
        </w:rPr>
        <w:t xml:space="preserve"> (Law Com No 314, 2009) paras 2.35-2.38</w:t>
      </w:r>
    </w:p>
  </w:footnote>
  <w:footnote w:id="92">
    <w:p w14:paraId="10EF0333" w14:textId="292CB091" w:rsidR="00857EB7" w:rsidRPr="00757531" w:rsidRDefault="00857EB7">
      <w:pPr>
        <w:pStyle w:val="FootnoteText"/>
        <w:rPr>
          <w:sz w:val="20"/>
          <w:szCs w:val="20"/>
        </w:rPr>
      </w:pPr>
      <w:r w:rsidRPr="00757531">
        <w:rPr>
          <w:rStyle w:val="FootnoteReference"/>
          <w:sz w:val="20"/>
          <w:szCs w:val="20"/>
        </w:rPr>
        <w:footnoteRef/>
      </w:r>
      <w:r w:rsidRPr="00757531">
        <w:rPr>
          <w:sz w:val="20"/>
          <w:szCs w:val="20"/>
        </w:rPr>
        <w:t xml:space="preserve"> A.P. </w:t>
      </w:r>
      <w:proofErr w:type="spellStart"/>
      <w:r w:rsidRPr="00757531">
        <w:rPr>
          <w:sz w:val="20"/>
          <w:szCs w:val="20"/>
        </w:rPr>
        <w:t>Simester</w:t>
      </w:r>
      <w:proofErr w:type="spellEnd"/>
      <w:r w:rsidRPr="00757531">
        <w:rPr>
          <w:sz w:val="20"/>
          <w:szCs w:val="20"/>
        </w:rPr>
        <w:t>, ‘Intoxication Is Never A Defence’ (2009) Crim. L.R. 3, 3-14</w:t>
      </w:r>
    </w:p>
  </w:footnote>
  <w:footnote w:id="93">
    <w:p w14:paraId="081F4EA9" w14:textId="4EE26013" w:rsidR="00857EB7" w:rsidRPr="00757531" w:rsidRDefault="00857EB7" w:rsidP="00205D38">
      <w:pPr>
        <w:pStyle w:val="FootnoteText"/>
        <w:rPr>
          <w:sz w:val="20"/>
          <w:szCs w:val="20"/>
        </w:rPr>
      </w:pPr>
      <w:r w:rsidRPr="00757531">
        <w:rPr>
          <w:rStyle w:val="FootnoteReference"/>
          <w:sz w:val="20"/>
          <w:szCs w:val="20"/>
        </w:rPr>
        <w:footnoteRef/>
      </w:r>
      <w:r w:rsidRPr="00757531">
        <w:rPr>
          <w:sz w:val="20"/>
          <w:szCs w:val="20"/>
        </w:rPr>
        <w:t xml:space="preserve"> Law Commission, </w:t>
      </w:r>
      <w:r w:rsidRPr="00757531">
        <w:rPr>
          <w:i/>
          <w:sz w:val="20"/>
          <w:szCs w:val="20"/>
        </w:rPr>
        <w:t>Intoxication and Criminal Liability</w:t>
      </w:r>
      <w:r w:rsidRPr="00757531">
        <w:rPr>
          <w:sz w:val="20"/>
          <w:szCs w:val="20"/>
        </w:rPr>
        <w:t xml:space="preserve"> (Law Com No 314, 2009) paras 1.21, 1.39, 1.49-1.52, 1.58-1.62, 2.29-2.33</w:t>
      </w:r>
    </w:p>
  </w:footnote>
  <w:footnote w:id="94">
    <w:p w14:paraId="1FAAA14C" w14:textId="6AA6C7F6" w:rsidR="00857EB7" w:rsidRDefault="00857EB7">
      <w:pPr>
        <w:pStyle w:val="FootnoteText"/>
      </w:pPr>
      <w:r w:rsidRPr="00757531">
        <w:rPr>
          <w:rStyle w:val="FootnoteReference"/>
          <w:sz w:val="20"/>
          <w:szCs w:val="20"/>
        </w:rPr>
        <w:footnoteRef/>
      </w:r>
      <w:r w:rsidRPr="00757531">
        <w:rPr>
          <w:sz w:val="20"/>
          <w:szCs w:val="20"/>
        </w:rPr>
        <w:t xml:space="preserve"> </w:t>
      </w:r>
      <w:r>
        <w:rPr>
          <w:sz w:val="20"/>
          <w:szCs w:val="20"/>
        </w:rPr>
        <w:t xml:space="preserve">Ibid, </w:t>
      </w:r>
      <w:r w:rsidRPr="00757531">
        <w:rPr>
          <w:sz w:val="20"/>
          <w:szCs w:val="20"/>
        </w:rPr>
        <w:t>paras 1.21, 1.39, 1.49-1.52, 1.58-1.62, 2.29-2.33</w:t>
      </w:r>
    </w:p>
  </w:footnote>
  <w:footnote w:id="95">
    <w:p w14:paraId="1BF2850F" w14:textId="5FFFCBA3" w:rsidR="00857EB7" w:rsidRPr="00757531" w:rsidRDefault="00857EB7">
      <w:pPr>
        <w:pStyle w:val="FootnoteText"/>
        <w:rPr>
          <w:sz w:val="20"/>
          <w:szCs w:val="20"/>
        </w:rPr>
      </w:pPr>
      <w:r w:rsidRPr="00757531">
        <w:rPr>
          <w:rStyle w:val="FootnoteReference"/>
          <w:sz w:val="20"/>
          <w:szCs w:val="20"/>
        </w:rPr>
        <w:footnoteRef/>
      </w:r>
      <w:r w:rsidRPr="00757531">
        <w:rPr>
          <w:sz w:val="20"/>
          <w:szCs w:val="20"/>
        </w:rPr>
        <w:t xml:space="preserve"> </w:t>
      </w:r>
      <w:r w:rsidR="00391177" w:rsidRPr="00757531">
        <w:rPr>
          <w:sz w:val="20"/>
          <w:szCs w:val="20"/>
        </w:rPr>
        <w:t xml:space="preserve">Law Commission, </w:t>
      </w:r>
      <w:r w:rsidR="00391177" w:rsidRPr="00757531">
        <w:rPr>
          <w:i/>
          <w:sz w:val="20"/>
          <w:szCs w:val="20"/>
        </w:rPr>
        <w:t>Intoxication and Criminal Liability</w:t>
      </w:r>
      <w:r w:rsidR="00391177" w:rsidRPr="00757531">
        <w:rPr>
          <w:sz w:val="20"/>
          <w:szCs w:val="20"/>
        </w:rPr>
        <w:t xml:space="preserve"> (Law Com No 314, 2009)</w:t>
      </w:r>
      <w:r w:rsidRPr="00757531">
        <w:rPr>
          <w:sz w:val="20"/>
          <w:szCs w:val="20"/>
        </w:rPr>
        <w:t xml:space="preserve"> </w:t>
      </w:r>
      <w:r>
        <w:rPr>
          <w:sz w:val="20"/>
          <w:szCs w:val="20"/>
        </w:rPr>
        <w:t xml:space="preserve">para </w:t>
      </w:r>
      <w:r w:rsidRPr="00757531">
        <w:rPr>
          <w:sz w:val="20"/>
          <w:szCs w:val="20"/>
        </w:rPr>
        <w:t>1.58</w:t>
      </w:r>
    </w:p>
  </w:footnote>
  <w:footnote w:id="96">
    <w:p w14:paraId="42B9B440" w14:textId="5F22A672" w:rsidR="00857EB7" w:rsidRPr="00946DEE" w:rsidRDefault="00857EB7">
      <w:pPr>
        <w:pStyle w:val="FootnoteText"/>
        <w:rPr>
          <w:sz w:val="20"/>
          <w:szCs w:val="20"/>
        </w:rPr>
      </w:pPr>
      <w:r w:rsidRPr="00946DEE">
        <w:rPr>
          <w:rStyle w:val="FootnoteReference"/>
          <w:sz w:val="20"/>
          <w:szCs w:val="20"/>
        </w:rPr>
        <w:footnoteRef/>
      </w:r>
      <w:r w:rsidRPr="00946DEE">
        <w:rPr>
          <w:sz w:val="20"/>
          <w:szCs w:val="20"/>
        </w:rPr>
        <w:t xml:space="preserve"> ‘Offences Against the Person, Incorporating the Charging Standard’ (</w:t>
      </w:r>
      <w:r w:rsidRPr="00946DEE">
        <w:rPr>
          <w:i/>
          <w:sz w:val="20"/>
          <w:szCs w:val="20"/>
        </w:rPr>
        <w:t>CPS</w:t>
      </w:r>
      <w:r w:rsidRPr="00946DEE">
        <w:rPr>
          <w:sz w:val="20"/>
          <w:szCs w:val="20"/>
        </w:rPr>
        <w:t>, 12 November 2018) &lt;</w:t>
      </w:r>
      <w:hyperlink r:id="rId12" w:history="1">
        <w:r w:rsidRPr="00946DEE">
          <w:rPr>
            <w:rStyle w:val="Hyperlink"/>
            <w:sz w:val="20"/>
            <w:szCs w:val="20"/>
          </w:rPr>
          <w:t>https://www.cps.gov.uk/legal-guidance/offences-against-person-incorporating-charging-standard</w:t>
        </w:r>
      </w:hyperlink>
      <w:r w:rsidRPr="00946DEE">
        <w:rPr>
          <w:sz w:val="20"/>
          <w:szCs w:val="20"/>
        </w:rPr>
        <w:t>&gt; accessed 19 January 2019</w:t>
      </w:r>
    </w:p>
  </w:footnote>
  <w:footnote w:id="97">
    <w:p w14:paraId="1445B469" w14:textId="2329C7A8" w:rsidR="00857EB7" w:rsidRPr="00946DEE" w:rsidRDefault="00857EB7">
      <w:pPr>
        <w:pStyle w:val="FootnoteText"/>
        <w:rPr>
          <w:sz w:val="20"/>
          <w:szCs w:val="20"/>
        </w:rPr>
      </w:pPr>
      <w:r w:rsidRPr="00946DEE">
        <w:rPr>
          <w:rStyle w:val="FootnoteReference"/>
          <w:sz w:val="20"/>
          <w:szCs w:val="20"/>
        </w:rPr>
        <w:footnoteRef/>
      </w:r>
      <w:r w:rsidRPr="00946DEE">
        <w:rPr>
          <w:sz w:val="20"/>
          <w:szCs w:val="20"/>
        </w:rPr>
        <w:t xml:space="preserve"> </w:t>
      </w:r>
      <w:r w:rsidRPr="00946DEE">
        <w:rPr>
          <w:color w:val="000000" w:themeColor="text1"/>
          <w:sz w:val="20"/>
          <w:szCs w:val="20"/>
        </w:rPr>
        <w:t>Offences Against the Person Act 1861, s.18</w:t>
      </w:r>
    </w:p>
  </w:footnote>
  <w:footnote w:id="98">
    <w:p w14:paraId="1DFD8777" w14:textId="19AAE310" w:rsidR="00857EB7" w:rsidRPr="00946DEE" w:rsidRDefault="00857EB7">
      <w:pPr>
        <w:pStyle w:val="FootnoteText"/>
        <w:rPr>
          <w:sz w:val="20"/>
          <w:szCs w:val="20"/>
        </w:rPr>
      </w:pPr>
      <w:r w:rsidRPr="00946DEE">
        <w:rPr>
          <w:rStyle w:val="FootnoteReference"/>
          <w:sz w:val="20"/>
          <w:szCs w:val="20"/>
        </w:rPr>
        <w:footnoteRef/>
      </w:r>
      <w:r w:rsidRPr="00946DEE">
        <w:rPr>
          <w:sz w:val="20"/>
          <w:szCs w:val="20"/>
        </w:rPr>
        <w:t xml:space="preserve"> Sir Edward Coke (Institutes of the Laws of England, 1797</w:t>
      </w:r>
      <w:r>
        <w:rPr>
          <w:sz w:val="20"/>
          <w:szCs w:val="20"/>
        </w:rPr>
        <w:t>)</w:t>
      </w:r>
    </w:p>
  </w:footnote>
  <w:footnote w:id="99">
    <w:p w14:paraId="55C34E3F" w14:textId="11831B4B" w:rsidR="00857EB7" w:rsidRPr="00946DEE" w:rsidRDefault="00857EB7" w:rsidP="007B1B92">
      <w:pPr>
        <w:pStyle w:val="FootnoteText"/>
        <w:rPr>
          <w:sz w:val="20"/>
          <w:szCs w:val="20"/>
        </w:rPr>
      </w:pPr>
      <w:r w:rsidRPr="00946DEE">
        <w:rPr>
          <w:rStyle w:val="FootnoteReference"/>
          <w:sz w:val="20"/>
          <w:szCs w:val="20"/>
        </w:rPr>
        <w:footnoteRef/>
      </w:r>
      <w:r w:rsidRPr="00946DEE">
        <w:rPr>
          <w:sz w:val="20"/>
          <w:szCs w:val="20"/>
        </w:rPr>
        <w:t xml:space="preserve"> </w:t>
      </w:r>
      <w:r w:rsidRPr="00946DEE">
        <w:rPr>
          <w:i/>
          <w:sz w:val="20"/>
          <w:szCs w:val="20"/>
        </w:rPr>
        <w:t>R v Cunningham</w:t>
      </w:r>
      <w:r w:rsidRPr="00946DEE">
        <w:rPr>
          <w:sz w:val="20"/>
          <w:szCs w:val="20"/>
        </w:rPr>
        <w:t xml:space="preserve"> [1982] AC 566, </w:t>
      </w:r>
      <w:r w:rsidRPr="00946DEE">
        <w:rPr>
          <w:color w:val="000000" w:themeColor="text1"/>
          <w:sz w:val="20"/>
          <w:szCs w:val="20"/>
        </w:rPr>
        <w:t>Offences Against the Person Act 1861, s.18</w:t>
      </w:r>
    </w:p>
  </w:footnote>
  <w:footnote w:id="100">
    <w:p w14:paraId="0CB1DD9A" w14:textId="0A7E58EC" w:rsidR="00857EB7" w:rsidRPr="00946DEE" w:rsidRDefault="00857EB7" w:rsidP="00205D38">
      <w:pPr>
        <w:pStyle w:val="FootnoteText"/>
        <w:rPr>
          <w:sz w:val="20"/>
          <w:szCs w:val="20"/>
        </w:rPr>
      </w:pPr>
      <w:r w:rsidRPr="00946DEE">
        <w:rPr>
          <w:rStyle w:val="FootnoteReference"/>
          <w:sz w:val="20"/>
          <w:szCs w:val="20"/>
        </w:rPr>
        <w:footnoteRef/>
      </w:r>
      <w:r w:rsidRPr="00946DEE">
        <w:rPr>
          <w:sz w:val="20"/>
          <w:szCs w:val="20"/>
        </w:rPr>
        <w:t xml:space="preserve"> </w:t>
      </w:r>
      <w:r w:rsidRPr="00946DEE">
        <w:rPr>
          <w:i/>
          <w:sz w:val="20"/>
          <w:szCs w:val="20"/>
        </w:rPr>
        <w:t>‘</w:t>
      </w:r>
      <w:r w:rsidRPr="007344F9">
        <w:rPr>
          <w:sz w:val="20"/>
          <w:szCs w:val="20"/>
        </w:rPr>
        <w:t>Homicide: Murder and Manslaughter’</w:t>
      </w:r>
      <w:r w:rsidRPr="00946DEE">
        <w:rPr>
          <w:i/>
          <w:sz w:val="20"/>
          <w:szCs w:val="20"/>
        </w:rPr>
        <w:t xml:space="preserve"> (CPS, 18 March 2019) &lt; </w:t>
      </w:r>
      <w:hyperlink r:id="rId13" w:history="1">
        <w:r w:rsidRPr="00946DEE">
          <w:rPr>
            <w:rStyle w:val="Hyperlink"/>
            <w:i/>
            <w:sz w:val="20"/>
            <w:szCs w:val="20"/>
          </w:rPr>
          <w:t>https://www.cps.gov.uk/legal-guidance/homicide-murder-and-manslaughter</w:t>
        </w:r>
      </w:hyperlink>
      <w:r w:rsidRPr="00946DEE">
        <w:rPr>
          <w:i/>
          <w:sz w:val="20"/>
          <w:szCs w:val="20"/>
        </w:rPr>
        <w:t>&gt; accessed 15 April 2019</w:t>
      </w:r>
    </w:p>
  </w:footnote>
  <w:footnote w:id="101">
    <w:p w14:paraId="1D973913" w14:textId="4E7C9040" w:rsidR="00857EB7" w:rsidRPr="00946DEE" w:rsidRDefault="00857EB7" w:rsidP="00205D38">
      <w:pPr>
        <w:pStyle w:val="FootnoteText"/>
        <w:rPr>
          <w:sz w:val="20"/>
          <w:szCs w:val="20"/>
        </w:rPr>
      </w:pPr>
      <w:r w:rsidRPr="00946DEE">
        <w:rPr>
          <w:rStyle w:val="FootnoteReference"/>
          <w:sz w:val="20"/>
          <w:szCs w:val="20"/>
        </w:rPr>
        <w:footnoteRef/>
      </w:r>
      <w:r w:rsidRPr="00946DEE">
        <w:rPr>
          <w:sz w:val="20"/>
          <w:szCs w:val="20"/>
        </w:rPr>
        <w:t xml:space="preserve"> ‘Sentencing – Mandatory Life Sentences in Murder Cases’ (</w:t>
      </w:r>
      <w:r w:rsidRPr="00946DEE">
        <w:rPr>
          <w:i/>
          <w:sz w:val="20"/>
          <w:szCs w:val="20"/>
        </w:rPr>
        <w:t>CPS</w:t>
      </w:r>
      <w:r w:rsidRPr="00946DEE">
        <w:rPr>
          <w:sz w:val="20"/>
          <w:szCs w:val="20"/>
        </w:rPr>
        <w:t>) &lt;</w:t>
      </w:r>
      <w:hyperlink r:id="rId14" w:history="1">
        <w:r w:rsidRPr="00946DEE">
          <w:rPr>
            <w:rStyle w:val="Hyperlink"/>
            <w:sz w:val="20"/>
            <w:szCs w:val="20"/>
          </w:rPr>
          <w:t>https://www.cps.gov.uk/legal-guidance/sentencing-mandatory-life-sentences-murder-cases</w:t>
        </w:r>
      </w:hyperlink>
      <w:r w:rsidRPr="00946DEE">
        <w:rPr>
          <w:sz w:val="20"/>
          <w:szCs w:val="20"/>
        </w:rPr>
        <w:t>&gt;  accessed 12 January 2019</w:t>
      </w:r>
    </w:p>
  </w:footnote>
  <w:footnote w:id="102">
    <w:p w14:paraId="2282C484" w14:textId="1F87C0AC" w:rsidR="00857EB7" w:rsidRPr="00946DEE" w:rsidRDefault="00857EB7">
      <w:pPr>
        <w:pStyle w:val="FootnoteText"/>
        <w:rPr>
          <w:sz w:val="20"/>
          <w:szCs w:val="20"/>
        </w:rPr>
      </w:pPr>
      <w:r w:rsidRPr="00946DEE">
        <w:rPr>
          <w:rStyle w:val="FootnoteReference"/>
          <w:sz w:val="20"/>
          <w:szCs w:val="20"/>
        </w:rPr>
        <w:footnoteRef/>
      </w:r>
      <w:r w:rsidRPr="00946DEE">
        <w:rPr>
          <w:sz w:val="20"/>
          <w:szCs w:val="20"/>
        </w:rPr>
        <w:t xml:space="preserve"> </w:t>
      </w:r>
      <w:r w:rsidRPr="00946DEE">
        <w:rPr>
          <w:color w:val="000000" w:themeColor="text1"/>
          <w:sz w:val="20"/>
          <w:szCs w:val="20"/>
        </w:rPr>
        <w:t>Offences Against the Person Act 1861, s.18</w:t>
      </w:r>
    </w:p>
  </w:footnote>
  <w:footnote w:id="103">
    <w:p w14:paraId="704AE339" w14:textId="25F4F168" w:rsidR="00857EB7" w:rsidRPr="00946DEE" w:rsidRDefault="00857EB7" w:rsidP="00205D38">
      <w:pPr>
        <w:pStyle w:val="FootnoteText"/>
        <w:rPr>
          <w:i/>
          <w:sz w:val="20"/>
          <w:szCs w:val="20"/>
        </w:rPr>
      </w:pPr>
      <w:r w:rsidRPr="00946DEE">
        <w:rPr>
          <w:rStyle w:val="FootnoteReference"/>
          <w:sz w:val="20"/>
          <w:szCs w:val="20"/>
        </w:rPr>
        <w:footnoteRef/>
      </w:r>
      <w:r w:rsidRPr="00946DEE">
        <w:rPr>
          <w:sz w:val="20"/>
          <w:szCs w:val="20"/>
        </w:rPr>
        <w:t xml:space="preserve"> </w:t>
      </w:r>
      <w:r w:rsidRPr="00946DEE">
        <w:rPr>
          <w:rFonts w:cs="Arial"/>
          <w:bCs/>
          <w:i/>
          <w:color w:val="000000" w:themeColor="text1"/>
          <w:sz w:val="20"/>
          <w:szCs w:val="20"/>
          <w:lang w:val="en-US"/>
        </w:rPr>
        <w:t>DPP v Majewski</w:t>
      </w:r>
      <w:r w:rsidRPr="00946DEE">
        <w:rPr>
          <w:rFonts w:cs="Arial"/>
          <w:bCs/>
          <w:color w:val="000000" w:themeColor="text1"/>
          <w:sz w:val="20"/>
          <w:szCs w:val="20"/>
          <w:lang w:val="en-US"/>
        </w:rPr>
        <w:t xml:space="preserve"> </w:t>
      </w:r>
      <w:hyperlink r:id="rId15" w:history="1">
        <w:r w:rsidRPr="00946DEE">
          <w:rPr>
            <w:rFonts w:cs="Arial"/>
            <w:color w:val="000000" w:themeColor="text1"/>
            <w:sz w:val="20"/>
            <w:szCs w:val="20"/>
            <w:lang w:val="en-US"/>
          </w:rPr>
          <w:t>[1977] A.C. 443</w:t>
        </w:r>
      </w:hyperlink>
      <w:r w:rsidRPr="00946DEE">
        <w:rPr>
          <w:rFonts w:cs="Arial"/>
          <w:color w:val="000000" w:themeColor="text1"/>
          <w:sz w:val="20"/>
          <w:szCs w:val="20"/>
          <w:lang w:val="en-US"/>
        </w:rPr>
        <w:t>, 480</w:t>
      </w:r>
    </w:p>
  </w:footnote>
  <w:footnote w:id="104">
    <w:p w14:paraId="7E08A4C0" w14:textId="680FCF81" w:rsidR="00857EB7" w:rsidRDefault="00857EB7" w:rsidP="007B1B92">
      <w:pPr>
        <w:pStyle w:val="FootnoteText"/>
      </w:pPr>
      <w:r w:rsidRPr="00946DEE">
        <w:rPr>
          <w:rStyle w:val="FootnoteReference"/>
          <w:sz w:val="20"/>
          <w:szCs w:val="20"/>
        </w:rPr>
        <w:footnoteRef/>
      </w:r>
      <w:r w:rsidRPr="00946DEE">
        <w:rPr>
          <w:sz w:val="20"/>
          <w:szCs w:val="20"/>
        </w:rPr>
        <w:t xml:space="preserve"> Law Commission, </w:t>
      </w:r>
      <w:r w:rsidRPr="00946DEE">
        <w:rPr>
          <w:i/>
          <w:sz w:val="20"/>
          <w:szCs w:val="20"/>
        </w:rPr>
        <w:t>Intoxication and Criminal Liability</w:t>
      </w:r>
      <w:r w:rsidRPr="00946DEE">
        <w:rPr>
          <w:sz w:val="20"/>
          <w:szCs w:val="20"/>
        </w:rPr>
        <w:t xml:space="preserve"> (Law Com No 314, 2009) para 2.30</w:t>
      </w:r>
    </w:p>
  </w:footnote>
  <w:footnote w:id="105">
    <w:p w14:paraId="2CA55B4D" w14:textId="5D39D8B8" w:rsidR="00857EB7" w:rsidRDefault="00857EB7" w:rsidP="007B1B92">
      <w:pPr>
        <w:pStyle w:val="FootnoteText"/>
      </w:pPr>
      <w:r>
        <w:rPr>
          <w:rStyle w:val="FootnoteReference"/>
        </w:rPr>
        <w:footnoteRef/>
      </w:r>
      <w:r>
        <w:t xml:space="preserve"> </w:t>
      </w:r>
      <w:r w:rsidRPr="00B35207">
        <w:rPr>
          <w:rFonts w:cs="Arial"/>
          <w:bCs/>
          <w:i/>
          <w:color w:val="000000" w:themeColor="text1"/>
          <w:sz w:val="20"/>
          <w:szCs w:val="20"/>
          <w:lang w:val="en-US"/>
        </w:rPr>
        <w:t>DPP v Majewski</w:t>
      </w:r>
      <w:r w:rsidRPr="00B35207">
        <w:rPr>
          <w:rFonts w:cs="Arial"/>
          <w:bCs/>
          <w:color w:val="000000" w:themeColor="text1"/>
          <w:sz w:val="20"/>
          <w:szCs w:val="20"/>
          <w:lang w:val="en-US"/>
        </w:rPr>
        <w:t xml:space="preserve"> </w:t>
      </w:r>
      <w:hyperlink r:id="rId16" w:history="1">
        <w:r w:rsidRPr="00B35207">
          <w:rPr>
            <w:rFonts w:cs="Arial"/>
            <w:color w:val="000000" w:themeColor="text1"/>
            <w:sz w:val="20"/>
            <w:szCs w:val="20"/>
            <w:lang w:val="en-US"/>
          </w:rPr>
          <w:t>[1977] A.C. 443</w:t>
        </w:r>
      </w:hyperlink>
      <w:r>
        <w:rPr>
          <w:rFonts w:cs="Arial"/>
          <w:color w:val="000000" w:themeColor="text1"/>
          <w:sz w:val="20"/>
          <w:szCs w:val="20"/>
          <w:lang w:val="en-US"/>
        </w:rPr>
        <w:t>, 499</w:t>
      </w:r>
    </w:p>
  </w:footnote>
  <w:footnote w:id="106">
    <w:p w14:paraId="5EAC750F" w14:textId="77777777" w:rsidR="00857EB7" w:rsidRPr="00094595" w:rsidRDefault="00857EB7" w:rsidP="007B1B92">
      <w:pPr>
        <w:pStyle w:val="FootnoteText"/>
        <w:rPr>
          <w:sz w:val="20"/>
          <w:szCs w:val="20"/>
        </w:rPr>
      </w:pPr>
      <w:r w:rsidRPr="00094595">
        <w:rPr>
          <w:rStyle w:val="FootnoteReference"/>
          <w:sz w:val="20"/>
          <w:szCs w:val="20"/>
        </w:rPr>
        <w:footnoteRef/>
      </w:r>
      <w:r w:rsidRPr="00094595">
        <w:rPr>
          <w:sz w:val="20"/>
          <w:szCs w:val="20"/>
        </w:rPr>
        <w:t xml:space="preserve"> </w:t>
      </w:r>
      <w:r w:rsidRPr="00094595">
        <w:rPr>
          <w:i/>
          <w:sz w:val="20"/>
          <w:szCs w:val="20"/>
        </w:rPr>
        <w:t>Sheehan</w:t>
      </w:r>
      <w:r w:rsidRPr="00094595">
        <w:rPr>
          <w:sz w:val="20"/>
          <w:szCs w:val="20"/>
        </w:rPr>
        <w:t xml:space="preserve"> [1975] 1 WLR 739</w:t>
      </w:r>
    </w:p>
  </w:footnote>
  <w:footnote w:id="107">
    <w:p w14:paraId="1913A35B" w14:textId="55234D5B" w:rsidR="00857EB7" w:rsidRPr="00094595" w:rsidRDefault="00857EB7" w:rsidP="007B1B92">
      <w:pPr>
        <w:pStyle w:val="FootnoteText"/>
        <w:rPr>
          <w:sz w:val="20"/>
          <w:szCs w:val="20"/>
        </w:rPr>
      </w:pPr>
      <w:r w:rsidRPr="00094595">
        <w:rPr>
          <w:rStyle w:val="FootnoteReference"/>
          <w:sz w:val="20"/>
          <w:szCs w:val="20"/>
        </w:rPr>
        <w:footnoteRef/>
      </w:r>
      <w:r w:rsidRPr="00094595">
        <w:rPr>
          <w:sz w:val="20"/>
          <w:szCs w:val="20"/>
        </w:rPr>
        <w:t xml:space="preserve"> </w:t>
      </w:r>
      <w:proofErr w:type="spellStart"/>
      <w:r w:rsidRPr="00094595">
        <w:rPr>
          <w:i/>
          <w:sz w:val="20"/>
          <w:szCs w:val="20"/>
        </w:rPr>
        <w:t>Woolmington</w:t>
      </w:r>
      <w:proofErr w:type="spellEnd"/>
      <w:r w:rsidRPr="00094595">
        <w:rPr>
          <w:i/>
          <w:sz w:val="20"/>
          <w:szCs w:val="20"/>
        </w:rPr>
        <w:t xml:space="preserve"> v DPP </w:t>
      </w:r>
      <w:r w:rsidRPr="00094595">
        <w:rPr>
          <w:sz w:val="20"/>
          <w:szCs w:val="20"/>
        </w:rPr>
        <w:t>[1935] UKHL 1</w:t>
      </w:r>
    </w:p>
  </w:footnote>
  <w:footnote w:id="108">
    <w:p w14:paraId="189FAF01" w14:textId="2DE15A4B" w:rsidR="00857EB7" w:rsidRPr="00094595" w:rsidRDefault="00857EB7">
      <w:pPr>
        <w:pStyle w:val="FootnoteText"/>
        <w:rPr>
          <w:sz w:val="20"/>
          <w:szCs w:val="20"/>
        </w:rPr>
      </w:pPr>
      <w:r w:rsidRPr="00094595">
        <w:rPr>
          <w:rStyle w:val="FootnoteReference"/>
          <w:sz w:val="20"/>
          <w:szCs w:val="20"/>
        </w:rPr>
        <w:footnoteRef/>
      </w:r>
      <w:r w:rsidRPr="00094595">
        <w:rPr>
          <w:sz w:val="20"/>
          <w:szCs w:val="20"/>
        </w:rPr>
        <w:t xml:space="preserve"> </w:t>
      </w:r>
      <w:r w:rsidRPr="00094595">
        <w:rPr>
          <w:color w:val="000000" w:themeColor="text1"/>
          <w:sz w:val="20"/>
          <w:szCs w:val="20"/>
        </w:rPr>
        <w:t>Offences Against the Person Act 1861, s.18</w:t>
      </w:r>
    </w:p>
  </w:footnote>
  <w:footnote w:id="109">
    <w:p w14:paraId="66EFA875" w14:textId="472D22D0" w:rsidR="00857EB7" w:rsidRPr="00094595" w:rsidRDefault="00857EB7">
      <w:pPr>
        <w:pStyle w:val="FootnoteText"/>
        <w:rPr>
          <w:sz w:val="20"/>
          <w:szCs w:val="20"/>
        </w:rPr>
      </w:pPr>
      <w:r w:rsidRPr="00094595">
        <w:rPr>
          <w:rStyle w:val="FootnoteReference"/>
          <w:sz w:val="20"/>
          <w:szCs w:val="20"/>
        </w:rPr>
        <w:footnoteRef/>
      </w:r>
      <w:r w:rsidRPr="00094595">
        <w:rPr>
          <w:sz w:val="20"/>
          <w:szCs w:val="20"/>
        </w:rPr>
        <w:t xml:space="preserve"> Ibid, s.20</w:t>
      </w:r>
    </w:p>
  </w:footnote>
  <w:footnote w:id="110">
    <w:p w14:paraId="0709F70B" w14:textId="71542B33" w:rsidR="00857EB7" w:rsidRPr="00094595" w:rsidRDefault="00857EB7">
      <w:pPr>
        <w:pStyle w:val="FootnoteText"/>
        <w:rPr>
          <w:sz w:val="20"/>
          <w:szCs w:val="20"/>
        </w:rPr>
      </w:pPr>
      <w:r w:rsidRPr="00094595">
        <w:rPr>
          <w:rStyle w:val="FootnoteReference"/>
          <w:sz w:val="20"/>
          <w:szCs w:val="20"/>
        </w:rPr>
        <w:footnoteRef/>
      </w:r>
      <w:r w:rsidRPr="00094595">
        <w:rPr>
          <w:sz w:val="20"/>
          <w:szCs w:val="20"/>
        </w:rPr>
        <w:t xml:space="preserve"> </w:t>
      </w:r>
      <w:r w:rsidRPr="00094595">
        <w:rPr>
          <w:color w:val="000000" w:themeColor="text1"/>
          <w:sz w:val="20"/>
          <w:szCs w:val="20"/>
        </w:rPr>
        <w:t>Offences Against the Person Act 1861</w:t>
      </w:r>
      <w:r w:rsidRPr="00094595">
        <w:rPr>
          <w:sz w:val="20"/>
          <w:szCs w:val="20"/>
        </w:rPr>
        <w:t xml:space="preserve">, s.20 </w:t>
      </w:r>
    </w:p>
  </w:footnote>
  <w:footnote w:id="111">
    <w:p w14:paraId="5E9BE65A" w14:textId="271F8051" w:rsidR="00857EB7" w:rsidRPr="00094595" w:rsidRDefault="00857EB7">
      <w:pPr>
        <w:pStyle w:val="FootnoteText"/>
        <w:rPr>
          <w:sz w:val="20"/>
          <w:szCs w:val="20"/>
        </w:rPr>
      </w:pPr>
      <w:r w:rsidRPr="00094595">
        <w:rPr>
          <w:rStyle w:val="FootnoteReference"/>
          <w:sz w:val="20"/>
          <w:szCs w:val="20"/>
        </w:rPr>
        <w:footnoteRef/>
      </w:r>
      <w:r w:rsidRPr="00094595">
        <w:rPr>
          <w:sz w:val="20"/>
          <w:szCs w:val="20"/>
        </w:rPr>
        <w:t xml:space="preserve"> Ibid, s.18</w:t>
      </w:r>
    </w:p>
  </w:footnote>
  <w:footnote w:id="112">
    <w:p w14:paraId="4121D81F" w14:textId="77777777" w:rsidR="00857EB7" w:rsidRPr="00094595" w:rsidRDefault="00857EB7" w:rsidP="007B1B92">
      <w:pPr>
        <w:pStyle w:val="FootnoteText"/>
        <w:rPr>
          <w:sz w:val="20"/>
          <w:szCs w:val="20"/>
        </w:rPr>
      </w:pPr>
      <w:r w:rsidRPr="00094595">
        <w:rPr>
          <w:rStyle w:val="FootnoteReference"/>
          <w:sz w:val="20"/>
          <w:szCs w:val="20"/>
        </w:rPr>
        <w:footnoteRef/>
      </w:r>
      <w:r w:rsidRPr="00094595">
        <w:rPr>
          <w:sz w:val="20"/>
          <w:szCs w:val="20"/>
        </w:rPr>
        <w:t xml:space="preserve"> Ashworth, Principles of Criminal Law (5</w:t>
      </w:r>
      <w:r w:rsidRPr="00094595">
        <w:rPr>
          <w:sz w:val="20"/>
          <w:szCs w:val="20"/>
          <w:vertAlign w:val="superscript"/>
        </w:rPr>
        <w:t>th</w:t>
      </w:r>
      <w:r w:rsidRPr="00094595">
        <w:rPr>
          <w:sz w:val="20"/>
          <w:szCs w:val="20"/>
        </w:rPr>
        <w:t xml:space="preserve"> ed, 2006) p 212</w:t>
      </w:r>
    </w:p>
  </w:footnote>
  <w:footnote w:id="113">
    <w:p w14:paraId="587B65B6" w14:textId="4F1F20D3" w:rsidR="00857EB7" w:rsidRPr="00391177" w:rsidRDefault="00857EB7" w:rsidP="00391177">
      <w:pPr>
        <w:pStyle w:val="NoSpacing"/>
        <w:rPr>
          <w:rFonts w:ascii="Arial" w:hAnsi="Arial" w:cs="Arial"/>
          <w:sz w:val="20"/>
          <w:szCs w:val="20"/>
        </w:rPr>
      </w:pPr>
      <w:r w:rsidRPr="00391177">
        <w:rPr>
          <w:rStyle w:val="FootnoteReference"/>
          <w:rFonts w:ascii="Arial" w:hAnsi="Arial" w:cs="Arial"/>
          <w:sz w:val="20"/>
          <w:szCs w:val="20"/>
        </w:rPr>
        <w:footnoteRef/>
      </w:r>
      <w:r w:rsidRPr="00391177">
        <w:rPr>
          <w:rFonts w:ascii="Arial" w:hAnsi="Arial" w:cs="Arial"/>
          <w:sz w:val="20"/>
          <w:szCs w:val="20"/>
        </w:rPr>
        <w:t xml:space="preserve"> Law Commission, </w:t>
      </w:r>
      <w:r w:rsidRPr="00391177">
        <w:rPr>
          <w:rFonts w:ascii="Arial" w:hAnsi="Arial" w:cs="Arial"/>
          <w:i/>
          <w:iCs/>
          <w:sz w:val="20"/>
          <w:szCs w:val="20"/>
        </w:rPr>
        <w:t>Intoxication and Criminal Liability</w:t>
      </w:r>
      <w:r w:rsidRPr="00391177">
        <w:rPr>
          <w:rFonts w:ascii="Arial" w:hAnsi="Arial" w:cs="Arial"/>
          <w:sz w:val="20"/>
          <w:szCs w:val="20"/>
        </w:rPr>
        <w:t xml:space="preserve"> (Law Com No 127, 1993) paras 4.47, 5.1, 5.24, 7.4</w:t>
      </w:r>
    </w:p>
  </w:footnote>
  <w:footnote w:id="114">
    <w:p w14:paraId="7C89352E" w14:textId="554D7976" w:rsidR="00857EB7" w:rsidRPr="00391177" w:rsidRDefault="00857EB7" w:rsidP="00391177">
      <w:pPr>
        <w:pStyle w:val="NoSpacing"/>
        <w:rPr>
          <w:rFonts w:ascii="Arial" w:hAnsi="Arial" w:cs="Arial"/>
          <w:sz w:val="20"/>
          <w:szCs w:val="20"/>
        </w:rPr>
      </w:pPr>
      <w:r w:rsidRPr="00391177">
        <w:rPr>
          <w:rStyle w:val="FootnoteReference"/>
          <w:rFonts w:ascii="Arial" w:hAnsi="Arial" w:cs="Arial"/>
          <w:sz w:val="20"/>
          <w:szCs w:val="20"/>
        </w:rPr>
        <w:footnoteRef/>
      </w:r>
      <w:r w:rsidRPr="00391177">
        <w:rPr>
          <w:rFonts w:ascii="Arial" w:hAnsi="Arial" w:cs="Arial"/>
          <w:sz w:val="20"/>
          <w:szCs w:val="20"/>
        </w:rPr>
        <w:t xml:space="preserve"> </w:t>
      </w:r>
      <w:r w:rsidR="00925560">
        <w:rPr>
          <w:rFonts w:ascii="Arial" w:hAnsi="Arial" w:cs="Arial"/>
          <w:sz w:val="20"/>
          <w:szCs w:val="20"/>
        </w:rPr>
        <w:t xml:space="preserve">Ibid </w:t>
      </w:r>
      <w:r w:rsidR="00391177" w:rsidRPr="00391177">
        <w:rPr>
          <w:rFonts w:ascii="Arial" w:hAnsi="Arial" w:cs="Arial"/>
          <w:sz w:val="20"/>
          <w:szCs w:val="20"/>
        </w:rPr>
        <w:t xml:space="preserve"> </w:t>
      </w:r>
    </w:p>
  </w:footnote>
  <w:footnote w:id="115">
    <w:p w14:paraId="4E862426" w14:textId="3463D87F" w:rsidR="00857EB7" w:rsidRPr="00391177" w:rsidRDefault="00857EB7" w:rsidP="00391177">
      <w:pPr>
        <w:pStyle w:val="NoSpacing"/>
        <w:rPr>
          <w:rFonts w:ascii="Arial" w:hAnsi="Arial" w:cs="Arial"/>
          <w:sz w:val="20"/>
          <w:szCs w:val="20"/>
        </w:rPr>
      </w:pPr>
      <w:r w:rsidRPr="00391177">
        <w:rPr>
          <w:rStyle w:val="FootnoteReference"/>
          <w:rFonts w:ascii="Arial" w:hAnsi="Arial" w:cs="Arial"/>
          <w:sz w:val="20"/>
          <w:szCs w:val="20"/>
        </w:rPr>
        <w:footnoteRef/>
      </w:r>
      <w:r w:rsidRPr="00391177">
        <w:rPr>
          <w:rFonts w:ascii="Arial" w:hAnsi="Arial" w:cs="Arial"/>
          <w:sz w:val="20"/>
          <w:szCs w:val="20"/>
        </w:rPr>
        <w:t xml:space="preserve"> Law Commission, </w:t>
      </w:r>
      <w:r w:rsidRPr="00391177">
        <w:rPr>
          <w:rFonts w:ascii="Arial" w:hAnsi="Arial" w:cs="Arial"/>
          <w:i/>
          <w:sz w:val="20"/>
          <w:szCs w:val="20"/>
        </w:rPr>
        <w:t>Intoxication and Criminal Liability</w:t>
      </w:r>
      <w:r w:rsidRPr="00391177">
        <w:rPr>
          <w:rFonts w:ascii="Arial" w:hAnsi="Arial" w:cs="Arial"/>
          <w:sz w:val="20"/>
          <w:szCs w:val="20"/>
        </w:rPr>
        <w:t xml:space="preserve"> (Law Com No 314, 2009) paras 1.59-1.62</w:t>
      </w:r>
    </w:p>
  </w:footnote>
  <w:footnote w:id="116">
    <w:p w14:paraId="142948DA" w14:textId="513F6CBD" w:rsidR="00857EB7" w:rsidRPr="000A66A1" w:rsidRDefault="00857EB7" w:rsidP="00391177">
      <w:pPr>
        <w:pStyle w:val="NoSpacing"/>
        <w:rPr>
          <w:rFonts w:ascii="Arial" w:hAnsi="Arial" w:cs="Arial"/>
          <w:sz w:val="20"/>
          <w:szCs w:val="20"/>
          <w:lang w:val="es-ES"/>
        </w:rPr>
      </w:pPr>
      <w:r w:rsidRPr="00391177">
        <w:rPr>
          <w:rStyle w:val="FootnoteReference"/>
          <w:rFonts w:ascii="Arial" w:hAnsi="Arial" w:cs="Arial"/>
          <w:sz w:val="20"/>
          <w:szCs w:val="20"/>
        </w:rPr>
        <w:footnoteRef/>
      </w:r>
      <w:r w:rsidRPr="000A66A1">
        <w:rPr>
          <w:rFonts w:ascii="Arial" w:hAnsi="Arial" w:cs="Arial"/>
          <w:sz w:val="20"/>
          <w:szCs w:val="20"/>
          <w:lang w:val="es-ES"/>
        </w:rPr>
        <w:t xml:space="preserve"> </w:t>
      </w:r>
      <w:proofErr w:type="spellStart"/>
      <w:r w:rsidRPr="000A66A1">
        <w:rPr>
          <w:rFonts w:ascii="Arial" w:hAnsi="Arial" w:cs="Arial"/>
          <w:sz w:val="20"/>
          <w:szCs w:val="20"/>
          <w:lang w:val="es-ES"/>
        </w:rPr>
        <w:t>ibid</w:t>
      </w:r>
      <w:proofErr w:type="spellEnd"/>
      <w:r w:rsidRPr="000A66A1">
        <w:rPr>
          <w:rFonts w:ascii="Arial" w:hAnsi="Arial" w:cs="Arial"/>
          <w:sz w:val="20"/>
          <w:szCs w:val="20"/>
          <w:lang w:val="es-ES"/>
        </w:rPr>
        <w:t>, paras 1.53-1.59</w:t>
      </w:r>
    </w:p>
  </w:footnote>
  <w:footnote w:id="117">
    <w:p w14:paraId="5EAE6176" w14:textId="6224A27B" w:rsidR="00857EB7" w:rsidRPr="000A66A1" w:rsidRDefault="00857EB7" w:rsidP="00391177">
      <w:pPr>
        <w:pStyle w:val="NoSpacing"/>
        <w:rPr>
          <w:rFonts w:ascii="Arial" w:hAnsi="Arial" w:cs="Arial"/>
          <w:sz w:val="20"/>
          <w:szCs w:val="20"/>
          <w:lang w:val="es-ES"/>
        </w:rPr>
      </w:pPr>
      <w:r w:rsidRPr="00391177">
        <w:rPr>
          <w:rStyle w:val="FootnoteReference"/>
          <w:rFonts w:ascii="Arial" w:hAnsi="Arial" w:cs="Arial"/>
          <w:sz w:val="20"/>
          <w:szCs w:val="20"/>
        </w:rPr>
        <w:footnoteRef/>
      </w:r>
      <w:r w:rsidRPr="000A66A1">
        <w:rPr>
          <w:rFonts w:ascii="Arial" w:hAnsi="Arial" w:cs="Arial"/>
          <w:sz w:val="20"/>
          <w:szCs w:val="20"/>
          <w:lang w:val="es-ES"/>
        </w:rPr>
        <w:t xml:space="preserve"> </w:t>
      </w:r>
      <w:proofErr w:type="spellStart"/>
      <w:r w:rsidRPr="000A66A1">
        <w:rPr>
          <w:rFonts w:ascii="Arial" w:hAnsi="Arial" w:cs="Arial"/>
          <w:sz w:val="20"/>
          <w:szCs w:val="20"/>
          <w:lang w:val="es-ES"/>
        </w:rPr>
        <w:t>Ibid</w:t>
      </w:r>
      <w:proofErr w:type="spellEnd"/>
      <w:r w:rsidRPr="000A66A1">
        <w:rPr>
          <w:rFonts w:ascii="Arial" w:hAnsi="Arial" w:cs="Arial"/>
          <w:sz w:val="20"/>
          <w:szCs w:val="20"/>
          <w:lang w:val="es-ES"/>
        </w:rPr>
        <w:t>, para 2.31</w:t>
      </w:r>
    </w:p>
  </w:footnote>
  <w:footnote w:id="118">
    <w:p w14:paraId="1FE7F274" w14:textId="6DA94BEC" w:rsidR="00857EB7" w:rsidRPr="000A66A1" w:rsidRDefault="00857EB7" w:rsidP="00391177">
      <w:pPr>
        <w:pStyle w:val="NoSpacing"/>
        <w:rPr>
          <w:rFonts w:ascii="Arial" w:hAnsi="Arial" w:cs="Arial"/>
          <w:lang w:val="es-ES"/>
        </w:rPr>
      </w:pPr>
      <w:r w:rsidRPr="00391177">
        <w:rPr>
          <w:rStyle w:val="FootnoteReference"/>
          <w:rFonts w:ascii="Arial" w:hAnsi="Arial" w:cs="Arial"/>
          <w:sz w:val="20"/>
          <w:szCs w:val="20"/>
        </w:rPr>
        <w:footnoteRef/>
      </w:r>
      <w:r w:rsidRPr="000A66A1">
        <w:rPr>
          <w:rFonts w:ascii="Arial" w:hAnsi="Arial" w:cs="Arial"/>
          <w:sz w:val="20"/>
          <w:szCs w:val="20"/>
          <w:lang w:val="es-ES"/>
        </w:rPr>
        <w:t xml:space="preserve"> </w:t>
      </w:r>
      <w:proofErr w:type="spellStart"/>
      <w:r w:rsidRPr="000A66A1">
        <w:rPr>
          <w:rFonts w:ascii="Arial" w:hAnsi="Arial" w:cs="Arial"/>
          <w:sz w:val="20"/>
          <w:szCs w:val="20"/>
          <w:lang w:val="es-ES"/>
        </w:rPr>
        <w:t>Ibid</w:t>
      </w:r>
      <w:proofErr w:type="spellEnd"/>
      <w:r w:rsidRPr="000A66A1">
        <w:rPr>
          <w:rFonts w:ascii="Arial" w:hAnsi="Arial" w:cs="Arial"/>
          <w:sz w:val="20"/>
          <w:szCs w:val="20"/>
          <w:lang w:val="es-ES"/>
        </w:rPr>
        <w:t>, para 2.33</w:t>
      </w:r>
    </w:p>
  </w:footnote>
  <w:footnote w:id="119">
    <w:p w14:paraId="3AA5D712" w14:textId="77777777" w:rsidR="00857EB7" w:rsidRPr="001F79F3" w:rsidRDefault="00857EB7" w:rsidP="00621E6A">
      <w:pPr>
        <w:pStyle w:val="FootnoteText"/>
        <w:rPr>
          <w:lang w:val="en-US"/>
        </w:rPr>
      </w:pPr>
      <w:r w:rsidRPr="00094595">
        <w:rPr>
          <w:rStyle w:val="FootnoteReference"/>
          <w:sz w:val="20"/>
          <w:szCs w:val="20"/>
        </w:rPr>
        <w:footnoteRef/>
      </w:r>
      <w:r w:rsidRPr="00094595">
        <w:rPr>
          <w:sz w:val="20"/>
          <w:szCs w:val="20"/>
        </w:rPr>
        <w:t xml:space="preserve"> </w:t>
      </w:r>
      <w:r w:rsidRPr="00094595">
        <w:rPr>
          <w:i/>
          <w:sz w:val="20"/>
          <w:szCs w:val="20"/>
          <w:lang w:val="en-US"/>
        </w:rPr>
        <w:t>Criminal Law Review</w:t>
      </w:r>
      <w:r w:rsidRPr="00094595">
        <w:rPr>
          <w:sz w:val="20"/>
          <w:szCs w:val="20"/>
          <w:lang w:val="en-US"/>
        </w:rPr>
        <w:t xml:space="preserve"> [1975] 574</w:t>
      </w:r>
    </w:p>
  </w:footnote>
  <w:footnote w:id="120">
    <w:p w14:paraId="603C053D" w14:textId="1DE9AA5B" w:rsidR="00857EB7" w:rsidRPr="00094595" w:rsidRDefault="00857EB7">
      <w:pPr>
        <w:pStyle w:val="FootnoteText"/>
        <w:rPr>
          <w:color w:val="000000" w:themeColor="text1"/>
          <w:sz w:val="20"/>
          <w:szCs w:val="20"/>
        </w:rPr>
      </w:pPr>
      <w:r w:rsidRPr="00094595">
        <w:rPr>
          <w:rStyle w:val="FootnoteReference"/>
          <w:color w:val="000000" w:themeColor="text1"/>
          <w:sz w:val="20"/>
          <w:szCs w:val="20"/>
        </w:rPr>
        <w:footnoteRef/>
      </w:r>
      <w:r w:rsidRPr="00094595">
        <w:rPr>
          <w:color w:val="000000" w:themeColor="text1"/>
          <w:sz w:val="20"/>
          <w:szCs w:val="20"/>
        </w:rPr>
        <w:t xml:space="preserve"> Law Commission, </w:t>
      </w:r>
      <w:r w:rsidRPr="00094595">
        <w:rPr>
          <w:i/>
          <w:color w:val="000000" w:themeColor="text1"/>
          <w:sz w:val="20"/>
          <w:szCs w:val="20"/>
        </w:rPr>
        <w:t>Intoxication and Criminal Liability</w:t>
      </w:r>
      <w:r w:rsidRPr="00094595">
        <w:rPr>
          <w:color w:val="000000" w:themeColor="text1"/>
          <w:sz w:val="20"/>
          <w:szCs w:val="20"/>
        </w:rPr>
        <w:t xml:space="preserve"> (Law Com No 314, 2009) para 1.54</w:t>
      </w:r>
    </w:p>
  </w:footnote>
  <w:footnote w:id="121">
    <w:p w14:paraId="56650B17" w14:textId="77777777" w:rsidR="00857EB7" w:rsidRPr="00094595" w:rsidRDefault="00857EB7" w:rsidP="00C3248A">
      <w:pPr>
        <w:pStyle w:val="FootnoteText"/>
        <w:rPr>
          <w:color w:val="000000" w:themeColor="text1"/>
          <w:sz w:val="20"/>
          <w:szCs w:val="20"/>
          <w:lang w:val="en-US"/>
        </w:rPr>
      </w:pPr>
      <w:r w:rsidRPr="00094595">
        <w:rPr>
          <w:rStyle w:val="FootnoteReference"/>
          <w:color w:val="000000" w:themeColor="text1"/>
          <w:sz w:val="20"/>
          <w:szCs w:val="20"/>
        </w:rPr>
        <w:footnoteRef/>
      </w:r>
      <w:r w:rsidRPr="00094595">
        <w:rPr>
          <w:color w:val="000000" w:themeColor="text1"/>
          <w:sz w:val="20"/>
          <w:szCs w:val="20"/>
        </w:rPr>
        <w:t xml:space="preserve"> </w:t>
      </w:r>
      <w:r w:rsidRPr="00094595">
        <w:rPr>
          <w:color w:val="000000" w:themeColor="text1"/>
          <w:sz w:val="20"/>
          <w:szCs w:val="20"/>
          <w:lang w:val="en-US"/>
        </w:rPr>
        <w:t xml:space="preserve">G. Williams, </w:t>
      </w:r>
      <w:r w:rsidRPr="00094595">
        <w:rPr>
          <w:i/>
          <w:color w:val="000000" w:themeColor="text1"/>
          <w:sz w:val="20"/>
          <w:szCs w:val="20"/>
          <w:lang w:val="en-US"/>
        </w:rPr>
        <w:t>Textbook of Criminal Law</w:t>
      </w:r>
      <w:r w:rsidRPr="00094595">
        <w:rPr>
          <w:color w:val="000000" w:themeColor="text1"/>
          <w:sz w:val="20"/>
          <w:szCs w:val="20"/>
          <w:lang w:val="en-US"/>
        </w:rPr>
        <w:t xml:space="preserve"> (2</w:t>
      </w:r>
      <w:r w:rsidRPr="00094595">
        <w:rPr>
          <w:color w:val="000000" w:themeColor="text1"/>
          <w:sz w:val="20"/>
          <w:szCs w:val="20"/>
          <w:vertAlign w:val="superscript"/>
          <w:lang w:val="en-US"/>
        </w:rPr>
        <w:t>nd</w:t>
      </w:r>
      <w:r w:rsidRPr="00094595">
        <w:rPr>
          <w:color w:val="000000" w:themeColor="text1"/>
          <w:sz w:val="20"/>
          <w:szCs w:val="20"/>
          <w:lang w:val="en-US"/>
        </w:rPr>
        <w:t xml:space="preserve"> ed, 1983) p 466</w:t>
      </w:r>
    </w:p>
  </w:footnote>
  <w:footnote w:id="122">
    <w:p w14:paraId="3B10D499" w14:textId="215D728E" w:rsidR="00857EB7" w:rsidRPr="00094595" w:rsidRDefault="00857EB7">
      <w:pPr>
        <w:pStyle w:val="FootnoteText"/>
        <w:rPr>
          <w:color w:val="000000" w:themeColor="text1"/>
          <w:sz w:val="20"/>
          <w:szCs w:val="20"/>
        </w:rPr>
      </w:pPr>
      <w:r w:rsidRPr="00094595">
        <w:rPr>
          <w:rStyle w:val="FootnoteReference"/>
          <w:color w:val="000000" w:themeColor="text1"/>
          <w:sz w:val="20"/>
          <w:szCs w:val="20"/>
        </w:rPr>
        <w:footnoteRef/>
      </w:r>
      <w:r w:rsidRPr="00094595">
        <w:rPr>
          <w:color w:val="000000" w:themeColor="text1"/>
          <w:sz w:val="20"/>
          <w:szCs w:val="20"/>
        </w:rPr>
        <w:t xml:space="preserve"> </w:t>
      </w:r>
      <w:r w:rsidRPr="00094595">
        <w:rPr>
          <w:rFonts w:cs="Arial"/>
          <w:bCs/>
          <w:i/>
          <w:color w:val="000000" w:themeColor="text1"/>
          <w:sz w:val="20"/>
          <w:szCs w:val="20"/>
          <w:lang w:val="en-US"/>
        </w:rPr>
        <w:t>DPP v Majewski</w:t>
      </w:r>
      <w:r w:rsidRPr="00094595">
        <w:rPr>
          <w:rFonts w:cs="Arial"/>
          <w:bCs/>
          <w:color w:val="000000" w:themeColor="text1"/>
          <w:sz w:val="20"/>
          <w:szCs w:val="20"/>
          <w:lang w:val="en-US"/>
        </w:rPr>
        <w:t xml:space="preserve"> </w:t>
      </w:r>
      <w:hyperlink r:id="rId17" w:history="1">
        <w:r w:rsidRPr="00094595">
          <w:rPr>
            <w:rFonts w:cs="Arial"/>
            <w:color w:val="000000" w:themeColor="text1"/>
            <w:sz w:val="20"/>
            <w:szCs w:val="20"/>
            <w:lang w:val="en-US"/>
          </w:rPr>
          <w:t>[1977] A.C. 443</w:t>
        </w:r>
      </w:hyperlink>
      <w:r w:rsidRPr="00094595">
        <w:rPr>
          <w:rFonts w:cs="Arial"/>
          <w:color w:val="000000" w:themeColor="text1"/>
          <w:sz w:val="20"/>
          <w:szCs w:val="20"/>
          <w:lang w:val="en-US"/>
        </w:rPr>
        <w:t xml:space="preserve">, 476 (Simon LJ) </w:t>
      </w:r>
    </w:p>
  </w:footnote>
  <w:footnote w:id="123">
    <w:p w14:paraId="4DEF8225" w14:textId="132515E2" w:rsidR="00857EB7" w:rsidRPr="00094595" w:rsidRDefault="00857EB7">
      <w:pPr>
        <w:pStyle w:val="FootnoteText"/>
        <w:rPr>
          <w:color w:val="000000" w:themeColor="text1"/>
          <w:sz w:val="20"/>
          <w:szCs w:val="20"/>
        </w:rPr>
      </w:pPr>
      <w:r w:rsidRPr="00094595">
        <w:rPr>
          <w:rStyle w:val="FootnoteReference"/>
          <w:color w:val="000000" w:themeColor="text1"/>
          <w:sz w:val="20"/>
          <w:szCs w:val="20"/>
        </w:rPr>
        <w:footnoteRef/>
      </w:r>
      <w:r w:rsidRPr="00094595">
        <w:rPr>
          <w:color w:val="000000" w:themeColor="text1"/>
          <w:sz w:val="20"/>
          <w:szCs w:val="20"/>
        </w:rPr>
        <w:t xml:space="preserve"> </w:t>
      </w:r>
      <w:r>
        <w:rPr>
          <w:rFonts w:cs="Arial"/>
          <w:bCs/>
          <w:color w:val="000000" w:themeColor="text1"/>
          <w:sz w:val="20"/>
          <w:szCs w:val="20"/>
          <w:lang w:val="en-US"/>
        </w:rPr>
        <w:t>I</w:t>
      </w:r>
      <w:r w:rsidRPr="00094595">
        <w:rPr>
          <w:rFonts w:cs="Arial"/>
          <w:bCs/>
          <w:color w:val="000000" w:themeColor="text1"/>
          <w:sz w:val="20"/>
          <w:szCs w:val="20"/>
          <w:lang w:val="en-US"/>
        </w:rPr>
        <w:t>bid</w:t>
      </w:r>
    </w:p>
  </w:footnote>
  <w:footnote w:id="124">
    <w:p w14:paraId="31F8B623" w14:textId="2B59C28E" w:rsidR="00857EB7" w:rsidRDefault="00857EB7">
      <w:pPr>
        <w:pStyle w:val="FootnoteText"/>
      </w:pPr>
      <w:r w:rsidRPr="00094595">
        <w:rPr>
          <w:rStyle w:val="FootnoteReference"/>
          <w:color w:val="000000" w:themeColor="text1"/>
          <w:sz w:val="20"/>
          <w:szCs w:val="20"/>
        </w:rPr>
        <w:footnoteRef/>
      </w:r>
      <w:r w:rsidRPr="00094595">
        <w:rPr>
          <w:color w:val="000000" w:themeColor="text1"/>
          <w:sz w:val="20"/>
          <w:szCs w:val="20"/>
        </w:rPr>
        <w:t xml:space="preserve"> </w:t>
      </w:r>
      <w:r w:rsidRPr="00051DA1">
        <w:rPr>
          <w:rFonts w:cs="Arial"/>
          <w:bCs/>
          <w:iCs/>
          <w:color w:val="000000" w:themeColor="text1"/>
          <w:sz w:val="20"/>
          <w:szCs w:val="20"/>
          <w:lang w:val="en-US"/>
        </w:rPr>
        <w:t>Ibid,</w:t>
      </w:r>
      <w:r>
        <w:rPr>
          <w:rFonts w:cs="Arial"/>
          <w:bCs/>
          <w:i/>
          <w:color w:val="000000" w:themeColor="text1"/>
          <w:sz w:val="20"/>
          <w:szCs w:val="20"/>
          <w:lang w:val="en-US"/>
        </w:rPr>
        <w:t xml:space="preserve"> </w:t>
      </w:r>
      <w:r w:rsidRPr="00051DA1">
        <w:rPr>
          <w:rFonts w:cs="Arial"/>
          <w:bCs/>
          <w:iCs/>
          <w:color w:val="000000" w:themeColor="text1"/>
          <w:sz w:val="20"/>
          <w:szCs w:val="20"/>
          <w:lang w:val="en-US"/>
        </w:rPr>
        <w:t>(</w:t>
      </w:r>
      <w:r w:rsidRPr="00094595">
        <w:rPr>
          <w:rFonts w:cs="Arial"/>
          <w:color w:val="000000" w:themeColor="text1"/>
          <w:sz w:val="20"/>
          <w:szCs w:val="20"/>
          <w:lang w:val="en-US"/>
        </w:rPr>
        <w:t>Russell LJ)</w:t>
      </w:r>
    </w:p>
  </w:footnote>
  <w:footnote w:id="125">
    <w:p w14:paraId="6452451D" w14:textId="4E5497CB" w:rsidR="00857EB7" w:rsidRPr="00094595" w:rsidRDefault="00857EB7">
      <w:pPr>
        <w:pStyle w:val="FootnoteText"/>
        <w:rPr>
          <w:sz w:val="20"/>
          <w:szCs w:val="20"/>
        </w:rPr>
      </w:pPr>
      <w:r w:rsidRPr="00094595">
        <w:rPr>
          <w:rStyle w:val="FootnoteReference"/>
          <w:sz w:val="20"/>
          <w:szCs w:val="20"/>
        </w:rPr>
        <w:footnoteRef/>
      </w:r>
      <w:r w:rsidRPr="00094595">
        <w:rPr>
          <w:sz w:val="20"/>
          <w:szCs w:val="20"/>
        </w:rPr>
        <w:t xml:space="preserve"> Law Commission, </w:t>
      </w:r>
      <w:r w:rsidRPr="00094595">
        <w:rPr>
          <w:i/>
          <w:sz w:val="20"/>
          <w:szCs w:val="20"/>
        </w:rPr>
        <w:t>Intoxication and Criminal Liability</w:t>
      </w:r>
      <w:r w:rsidRPr="00094595">
        <w:rPr>
          <w:sz w:val="20"/>
          <w:szCs w:val="20"/>
        </w:rPr>
        <w:t xml:space="preserve"> (Law Com No 314, 2009) paras 1.56-1.61</w:t>
      </w:r>
    </w:p>
  </w:footnote>
  <w:footnote w:id="126">
    <w:p w14:paraId="7D675AC7" w14:textId="3975FF97" w:rsidR="00857EB7" w:rsidRPr="004B7CD6" w:rsidRDefault="00857EB7" w:rsidP="00C3248A">
      <w:pPr>
        <w:pStyle w:val="FootnoteText"/>
        <w:rPr>
          <w:lang w:val="en-US"/>
        </w:rPr>
      </w:pPr>
      <w:r w:rsidRPr="00094595">
        <w:rPr>
          <w:rStyle w:val="FootnoteReference"/>
          <w:sz w:val="20"/>
          <w:szCs w:val="20"/>
        </w:rPr>
        <w:footnoteRef/>
      </w:r>
      <w:r w:rsidRPr="00094595">
        <w:rPr>
          <w:sz w:val="20"/>
          <w:szCs w:val="20"/>
        </w:rPr>
        <w:t xml:space="preserve"> Law Commission, </w:t>
      </w:r>
      <w:r w:rsidRPr="00094595">
        <w:rPr>
          <w:i/>
          <w:sz w:val="20"/>
          <w:szCs w:val="20"/>
        </w:rPr>
        <w:t>Intoxication and Criminal Liability</w:t>
      </w:r>
      <w:r w:rsidRPr="00094595">
        <w:rPr>
          <w:sz w:val="20"/>
          <w:szCs w:val="20"/>
        </w:rPr>
        <w:t xml:space="preserve"> (Law Com No 314, 2009) paras 1.56-1.59</w:t>
      </w:r>
    </w:p>
  </w:footnote>
  <w:footnote w:id="127">
    <w:p w14:paraId="350215EA" w14:textId="087FD15F" w:rsidR="00857EB7" w:rsidRPr="00094595" w:rsidRDefault="00857EB7">
      <w:pPr>
        <w:pStyle w:val="FootnoteText"/>
        <w:rPr>
          <w:sz w:val="20"/>
          <w:szCs w:val="20"/>
        </w:rPr>
      </w:pPr>
      <w:r w:rsidRPr="00094595">
        <w:rPr>
          <w:rStyle w:val="FootnoteReference"/>
          <w:sz w:val="20"/>
          <w:szCs w:val="20"/>
        </w:rPr>
        <w:footnoteRef/>
      </w:r>
      <w:r w:rsidRPr="00094595">
        <w:rPr>
          <w:sz w:val="20"/>
          <w:szCs w:val="20"/>
        </w:rPr>
        <w:t xml:space="preserve"> </w:t>
      </w:r>
      <w:r w:rsidRPr="00094595">
        <w:rPr>
          <w:rFonts w:cs="Arial"/>
          <w:bCs/>
          <w:i/>
          <w:color w:val="000000" w:themeColor="text1"/>
          <w:sz w:val="20"/>
          <w:szCs w:val="20"/>
          <w:lang w:val="en-US"/>
        </w:rPr>
        <w:t>DPP v Majewski</w:t>
      </w:r>
      <w:r w:rsidRPr="00094595">
        <w:rPr>
          <w:rFonts w:cs="Arial"/>
          <w:bCs/>
          <w:color w:val="000000" w:themeColor="text1"/>
          <w:sz w:val="20"/>
          <w:szCs w:val="20"/>
          <w:lang w:val="en-US"/>
        </w:rPr>
        <w:t xml:space="preserve"> </w:t>
      </w:r>
      <w:hyperlink r:id="rId18" w:history="1">
        <w:r w:rsidRPr="00094595">
          <w:rPr>
            <w:rFonts w:cs="Arial"/>
            <w:color w:val="000000" w:themeColor="text1"/>
            <w:sz w:val="20"/>
            <w:szCs w:val="20"/>
            <w:lang w:val="en-US"/>
          </w:rPr>
          <w:t>[1977] A.C. 443</w:t>
        </w:r>
      </w:hyperlink>
      <w:r w:rsidRPr="00094595">
        <w:rPr>
          <w:rFonts w:cs="Arial"/>
          <w:color w:val="000000" w:themeColor="text1"/>
          <w:sz w:val="20"/>
          <w:szCs w:val="20"/>
          <w:lang w:val="en-US"/>
        </w:rPr>
        <w:t>, 480 (Simon LJ)</w:t>
      </w:r>
    </w:p>
  </w:footnote>
  <w:footnote w:id="128">
    <w:p w14:paraId="01128AF1" w14:textId="7253E91A" w:rsidR="00857EB7" w:rsidRPr="00094595" w:rsidRDefault="00857EB7" w:rsidP="00C3248A">
      <w:pPr>
        <w:pStyle w:val="FootnoteText"/>
        <w:rPr>
          <w:sz w:val="20"/>
          <w:szCs w:val="20"/>
          <w:lang w:val="en-US"/>
        </w:rPr>
      </w:pPr>
      <w:r w:rsidRPr="00094595">
        <w:rPr>
          <w:rStyle w:val="FootnoteReference"/>
          <w:sz w:val="20"/>
          <w:szCs w:val="20"/>
        </w:rPr>
        <w:footnoteRef/>
      </w:r>
      <w:r w:rsidRPr="00094595">
        <w:rPr>
          <w:sz w:val="20"/>
          <w:szCs w:val="20"/>
        </w:rPr>
        <w:t xml:space="preserve"> </w:t>
      </w:r>
      <w:r w:rsidRPr="00051DA1">
        <w:rPr>
          <w:rFonts w:cs="Arial"/>
          <w:bCs/>
          <w:iCs/>
          <w:color w:val="000000" w:themeColor="text1"/>
          <w:sz w:val="20"/>
          <w:szCs w:val="20"/>
          <w:lang w:val="en-US"/>
        </w:rPr>
        <w:t xml:space="preserve">Ibid </w:t>
      </w:r>
    </w:p>
  </w:footnote>
  <w:footnote w:id="129">
    <w:p w14:paraId="3F6902C3" w14:textId="77777777" w:rsidR="00857EB7" w:rsidRPr="00094595" w:rsidRDefault="00857EB7" w:rsidP="00C3248A">
      <w:pPr>
        <w:pStyle w:val="FootnoteText"/>
        <w:rPr>
          <w:sz w:val="20"/>
          <w:szCs w:val="20"/>
          <w:lang w:val="en-US"/>
        </w:rPr>
      </w:pPr>
      <w:r w:rsidRPr="00094595">
        <w:rPr>
          <w:rStyle w:val="FootnoteReference"/>
          <w:sz w:val="20"/>
          <w:szCs w:val="20"/>
        </w:rPr>
        <w:footnoteRef/>
      </w:r>
      <w:r w:rsidRPr="00094595">
        <w:rPr>
          <w:sz w:val="20"/>
          <w:szCs w:val="20"/>
        </w:rPr>
        <w:t xml:space="preserve"> A.P. </w:t>
      </w:r>
      <w:proofErr w:type="spellStart"/>
      <w:r w:rsidRPr="00094595">
        <w:rPr>
          <w:sz w:val="20"/>
          <w:szCs w:val="20"/>
        </w:rPr>
        <w:t>Simester</w:t>
      </w:r>
      <w:proofErr w:type="spellEnd"/>
      <w:r w:rsidRPr="00094595">
        <w:rPr>
          <w:sz w:val="20"/>
          <w:szCs w:val="20"/>
        </w:rPr>
        <w:t>, ‘Intoxication Is Never A Defence’ (2009) Crim. L.R. 3, 3-14</w:t>
      </w:r>
    </w:p>
  </w:footnote>
  <w:footnote w:id="130">
    <w:p w14:paraId="2E7461C9" w14:textId="2E6B3B28" w:rsidR="00857EB7" w:rsidRPr="00094595" w:rsidRDefault="00857EB7">
      <w:pPr>
        <w:pStyle w:val="FootnoteText"/>
        <w:rPr>
          <w:sz w:val="20"/>
          <w:szCs w:val="20"/>
        </w:rPr>
      </w:pPr>
      <w:r w:rsidRPr="00094595">
        <w:rPr>
          <w:rStyle w:val="FootnoteReference"/>
          <w:sz w:val="20"/>
          <w:szCs w:val="20"/>
        </w:rPr>
        <w:footnoteRef/>
      </w:r>
      <w:r w:rsidRPr="00094595">
        <w:rPr>
          <w:sz w:val="20"/>
          <w:szCs w:val="20"/>
        </w:rPr>
        <w:t xml:space="preserve"> </w:t>
      </w:r>
      <w:r w:rsidRPr="00094595">
        <w:rPr>
          <w:i/>
          <w:sz w:val="20"/>
          <w:szCs w:val="20"/>
        </w:rPr>
        <w:t>R v Richardson</w:t>
      </w:r>
      <w:r w:rsidRPr="00094595">
        <w:rPr>
          <w:sz w:val="20"/>
          <w:szCs w:val="20"/>
        </w:rPr>
        <w:t xml:space="preserve"> [1999] 1 Cr. App. R. 392</w:t>
      </w:r>
    </w:p>
  </w:footnote>
  <w:footnote w:id="131">
    <w:p w14:paraId="772D7529" w14:textId="50165CDE" w:rsidR="00857EB7" w:rsidRPr="00094595" w:rsidRDefault="00857EB7">
      <w:pPr>
        <w:pStyle w:val="FootnoteText"/>
        <w:rPr>
          <w:sz w:val="20"/>
          <w:szCs w:val="20"/>
        </w:rPr>
      </w:pPr>
      <w:r w:rsidRPr="00094595">
        <w:rPr>
          <w:rStyle w:val="FootnoteReference"/>
          <w:sz w:val="20"/>
          <w:szCs w:val="20"/>
        </w:rPr>
        <w:footnoteRef/>
      </w:r>
      <w:r w:rsidRPr="00094595">
        <w:rPr>
          <w:sz w:val="20"/>
          <w:szCs w:val="20"/>
        </w:rPr>
        <w:t xml:space="preserve"> </w:t>
      </w:r>
      <w:r w:rsidRPr="00094595">
        <w:rPr>
          <w:rFonts w:cs="Arial"/>
          <w:bCs/>
          <w:i/>
          <w:color w:val="000000" w:themeColor="text1"/>
          <w:sz w:val="20"/>
          <w:szCs w:val="20"/>
          <w:lang w:val="en-US"/>
        </w:rPr>
        <w:t>DPP v Majewski</w:t>
      </w:r>
      <w:r w:rsidRPr="00094595">
        <w:rPr>
          <w:rFonts w:cs="Arial"/>
          <w:bCs/>
          <w:color w:val="000000" w:themeColor="text1"/>
          <w:sz w:val="20"/>
          <w:szCs w:val="20"/>
          <w:lang w:val="en-US"/>
        </w:rPr>
        <w:t xml:space="preserve"> </w:t>
      </w:r>
      <w:hyperlink r:id="rId19" w:history="1">
        <w:r w:rsidRPr="00094595">
          <w:rPr>
            <w:rFonts w:cs="Arial"/>
            <w:color w:val="000000" w:themeColor="text1"/>
            <w:sz w:val="20"/>
            <w:szCs w:val="20"/>
            <w:lang w:val="en-US"/>
          </w:rPr>
          <w:t>[1977] A.C. 443</w:t>
        </w:r>
      </w:hyperlink>
      <w:r w:rsidRPr="00094595">
        <w:rPr>
          <w:rFonts w:cs="Arial"/>
          <w:color w:val="000000" w:themeColor="text1"/>
          <w:sz w:val="20"/>
          <w:szCs w:val="20"/>
          <w:lang w:val="en-US"/>
        </w:rPr>
        <w:t>, 475 (Elwyn-Jones LJ)</w:t>
      </w:r>
    </w:p>
  </w:footnote>
  <w:footnote w:id="132">
    <w:p w14:paraId="0D30E14D" w14:textId="100A1A5E" w:rsidR="00857EB7" w:rsidRPr="00094595" w:rsidRDefault="00857EB7" w:rsidP="00B7788C">
      <w:pPr>
        <w:pStyle w:val="FootnoteText"/>
        <w:rPr>
          <w:sz w:val="20"/>
          <w:szCs w:val="20"/>
        </w:rPr>
      </w:pPr>
      <w:r w:rsidRPr="00094595">
        <w:rPr>
          <w:rStyle w:val="FootnoteReference"/>
          <w:sz w:val="20"/>
          <w:szCs w:val="20"/>
        </w:rPr>
        <w:footnoteRef/>
      </w:r>
      <w:r w:rsidRPr="00094595">
        <w:rPr>
          <w:sz w:val="20"/>
          <w:szCs w:val="20"/>
        </w:rPr>
        <w:t xml:space="preserve"> Ibid </w:t>
      </w:r>
    </w:p>
  </w:footnote>
  <w:footnote w:id="133">
    <w:p w14:paraId="1A863558" w14:textId="7534C649" w:rsidR="00857EB7" w:rsidRPr="00094595" w:rsidRDefault="00857EB7">
      <w:pPr>
        <w:pStyle w:val="FootnoteText"/>
        <w:rPr>
          <w:sz w:val="20"/>
          <w:szCs w:val="20"/>
        </w:rPr>
      </w:pPr>
      <w:r w:rsidRPr="00094595">
        <w:rPr>
          <w:rStyle w:val="FootnoteReference"/>
          <w:sz w:val="20"/>
          <w:szCs w:val="20"/>
        </w:rPr>
        <w:footnoteRef/>
      </w:r>
      <w:r w:rsidRPr="00094595">
        <w:rPr>
          <w:sz w:val="20"/>
          <w:szCs w:val="20"/>
        </w:rPr>
        <w:t xml:space="preserve"> </w:t>
      </w:r>
      <w:r w:rsidRPr="00094595">
        <w:rPr>
          <w:i/>
          <w:sz w:val="20"/>
          <w:szCs w:val="20"/>
        </w:rPr>
        <w:t>R v Richardson</w:t>
      </w:r>
      <w:r w:rsidRPr="00094595">
        <w:rPr>
          <w:sz w:val="20"/>
          <w:szCs w:val="20"/>
        </w:rPr>
        <w:t xml:space="preserve"> [1999] 1 Cr. App. R. 392</w:t>
      </w:r>
    </w:p>
  </w:footnote>
  <w:footnote w:id="134">
    <w:p w14:paraId="23E2332C" w14:textId="0226D1B7" w:rsidR="00857EB7" w:rsidRPr="00094595" w:rsidRDefault="00857EB7">
      <w:pPr>
        <w:pStyle w:val="FootnoteText"/>
        <w:rPr>
          <w:sz w:val="20"/>
          <w:szCs w:val="20"/>
        </w:rPr>
      </w:pPr>
      <w:r w:rsidRPr="00094595">
        <w:rPr>
          <w:rStyle w:val="FootnoteReference"/>
          <w:sz w:val="20"/>
          <w:szCs w:val="20"/>
        </w:rPr>
        <w:footnoteRef/>
      </w:r>
      <w:r w:rsidRPr="00094595">
        <w:rPr>
          <w:sz w:val="20"/>
          <w:szCs w:val="20"/>
        </w:rPr>
        <w:t xml:space="preserve"> </w:t>
      </w:r>
      <w:r w:rsidRPr="00094595">
        <w:rPr>
          <w:rFonts w:cs="Arial"/>
          <w:bCs/>
          <w:i/>
          <w:color w:val="000000" w:themeColor="text1"/>
          <w:sz w:val="20"/>
          <w:szCs w:val="20"/>
          <w:lang w:val="en-US"/>
        </w:rPr>
        <w:t>DPP v Majewski</w:t>
      </w:r>
      <w:r w:rsidRPr="00094595">
        <w:rPr>
          <w:rFonts w:cs="Arial"/>
          <w:bCs/>
          <w:color w:val="000000" w:themeColor="text1"/>
          <w:sz w:val="20"/>
          <w:szCs w:val="20"/>
          <w:lang w:val="en-US"/>
        </w:rPr>
        <w:t xml:space="preserve"> </w:t>
      </w:r>
      <w:hyperlink r:id="rId20" w:history="1">
        <w:r w:rsidRPr="00094595">
          <w:rPr>
            <w:rFonts w:cs="Arial"/>
            <w:color w:val="000000" w:themeColor="text1"/>
            <w:sz w:val="20"/>
            <w:szCs w:val="20"/>
            <w:lang w:val="en-US"/>
          </w:rPr>
          <w:t>[1977] A.C. 443</w:t>
        </w:r>
      </w:hyperlink>
      <w:r w:rsidRPr="00094595">
        <w:rPr>
          <w:rFonts w:cs="Arial"/>
          <w:color w:val="000000" w:themeColor="text1"/>
          <w:sz w:val="20"/>
          <w:szCs w:val="20"/>
          <w:lang w:val="en-US"/>
        </w:rPr>
        <w:t>, 495 (Elwyn-Jones LJ)</w:t>
      </w:r>
    </w:p>
  </w:footnote>
  <w:footnote w:id="135">
    <w:p w14:paraId="3A9BCA0F" w14:textId="39A2698C" w:rsidR="00857EB7" w:rsidRPr="008A60ED" w:rsidRDefault="00857EB7" w:rsidP="00C3248A">
      <w:pPr>
        <w:pStyle w:val="FootnoteText"/>
        <w:rPr>
          <w:lang w:val="en-US"/>
        </w:rPr>
      </w:pPr>
      <w:r w:rsidRPr="00094595">
        <w:rPr>
          <w:rStyle w:val="FootnoteReference"/>
          <w:sz w:val="20"/>
          <w:szCs w:val="20"/>
        </w:rPr>
        <w:footnoteRef/>
      </w:r>
      <w:r w:rsidRPr="00094595">
        <w:rPr>
          <w:sz w:val="20"/>
          <w:szCs w:val="20"/>
        </w:rPr>
        <w:t xml:space="preserve"> </w:t>
      </w:r>
      <w:r w:rsidRPr="00094595">
        <w:rPr>
          <w:rFonts w:cs="Arial"/>
          <w:bCs/>
          <w:color w:val="000000" w:themeColor="text1"/>
          <w:sz w:val="20"/>
          <w:szCs w:val="20"/>
          <w:lang w:val="en-US"/>
        </w:rPr>
        <w:t>Ibid, 496</w:t>
      </w:r>
    </w:p>
  </w:footnote>
  <w:footnote w:id="136">
    <w:p w14:paraId="245D7C70" w14:textId="5EF2B07A" w:rsidR="00857EB7" w:rsidRPr="00094595" w:rsidRDefault="00857EB7">
      <w:pPr>
        <w:pStyle w:val="FootnoteText"/>
        <w:rPr>
          <w:sz w:val="20"/>
          <w:szCs w:val="20"/>
        </w:rPr>
      </w:pPr>
      <w:r w:rsidRPr="00094595">
        <w:rPr>
          <w:rStyle w:val="FootnoteReference"/>
          <w:sz w:val="20"/>
          <w:szCs w:val="20"/>
        </w:rPr>
        <w:footnoteRef/>
      </w:r>
      <w:r w:rsidRPr="00094595">
        <w:rPr>
          <w:sz w:val="20"/>
          <w:szCs w:val="20"/>
        </w:rPr>
        <w:t xml:space="preserve"> Law Commission, </w:t>
      </w:r>
      <w:r w:rsidRPr="00094595">
        <w:rPr>
          <w:i/>
          <w:sz w:val="20"/>
          <w:szCs w:val="20"/>
        </w:rPr>
        <w:t>Intoxication and Criminal Liability</w:t>
      </w:r>
      <w:r w:rsidRPr="00094595">
        <w:rPr>
          <w:sz w:val="20"/>
          <w:szCs w:val="20"/>
        </w:rPr>
        <w:t xml:space="preserve"> (Law Com No 314, 2009) para 1.58</w:t>
      </w:r>
    </w:p>
  </w:footnote>
  <w:footnote w:id="137">
    <w:p w14:paraId="691C21A3" w14:textId="477E1988" w:rsidR="00857EB7" w:rsidRPr="00F8156C" w:rsidRDefault="00857EB7">
      <w:pPr>
        <w:pStyle w:val="FootnoteText"/>
        <w:rPr>
          <w:sz w:val="20"/>
          <w:szCs w:val="20"/>
        </w:rPr>
      </w:pPr>
      <w:r w:rsidRPr="00F8156C">
        <w:rPr>
          <w:rStyle w:val="FootnoteReference"/>
          <w:sz w:val="20"/>
          <w:szCs w:val="20"/>
        </w:rPr>
        <w:footnoteRef/>
      </w:r>
      <w:r w:rsidRPr="00F8156C">
        <w:rPr>
          <w:sz w:val="20"/>
          <w:szCs w:val="20"/>
        </w:rPr>
        <w:t xml:space="preserve"> </w:t>
      </w:r>
      <w:r w:rsidRPr="00F8156C">
        <w:rPr>
          <w:i/>
          <w:sz w:val="20"/>
          <w:szCs w:val="20"/>
        </w:rPr>
        <w:t>R v Hatton</w:t>
      </w:r>
      <w:r w:rsidRPr="00F8156C">
        <w:rPr>
          <w:sz w:val="20"/>
          <w:szCs w:val="20"/>
        </w:rPr>
        <w:t xml:space="preserve"> [2006] 1 Cr App R 16, </w:t>
      </w:r>
      <w:r w:rsidRPr="00F8156C">
        <w:rPr>
          <w:i/>
          <w:sz w:val="20"/>
          <w:szCs w:val="20"/>
        </w:rPr>
        <w:t>R v O’Grady</w:t>
      </w:r>
      <w:r w:rsidRPr="00F8156C">
        <w:rPr>
          <w:sz w:val="20"/>
          <w:szCs w:val="20"/>
        </w:rPr>
        <w:t xml:space="preserve"> [1987] QB 995, </w:t>
      </w:r>
      <w:r w:rsidRPr="00F8156C">
        <w:rPr>
          <w:i/>
          <w:sz w:val="20"/>
          <w:szCs w:val="20"/>
        </w:rPr>
        <w:t xml:space="preserve">R v O’Connor </w:t>
      </w:r>
      <w:r w:rsidRPr="00F8156C">
        <w:rPr>
          <w:sz w:val="20"/>
          <w:szCs w:val="20"/>
        </w:rPr>
        <w:t>[1991] Crim LR 135</w:t>
      </w:r>
    </w:p>
  </w:footnote>
  <w:footnote w:id="138">
    <w:p w14:paraId="47B90910" w14:textId="0AF1DD0E" w:rsidR="00857EB7" w:rsidRPr="00F8156C" w:rsidRDefault="00857EB7">
      <w:pPr>
        <w:pStyle w:val="FootnoteText"/>
        <w:rPr>
          <w:sz w:val="20"/>
          <w:szCs w:val="20"/>
        </w:rPr>
      </w:pPr>
      <w:r w:rsidRPr="00F8156C">
        <w:rPr>
          <w:rStyle w:val="FootnoteReference"/>
          <w:sz w:val="20"/>
          <w:szCs w:val="20"/>
        </w:rPr>
        <w:footnoteRef/>
      </w:r>
      <w:r w:rsidRPr="00F8156C">
        <w:rPr>
          <w:sz w:val="20"/>
          <w:szCs w:val="20"/>
        </w:rPr>
        <w:t xml:space="preserve"> </w:t>
      </w:r>
      <w:r w:rsidRPr="00F8156C">
        <w:rPr>
          <w:rFonts w:cs="Arial"/>
          <w:bCs/>
          <w:i/>
          <w:color w:val="000000" w:themeColor="text1"/>
          <w:sz w:val="20"/>
          <w:szCs w:val="20"/>
          <w:lang w:val="en-US"/>
        </w:rPr>
        <w:t>DPP v Majewski</w:t>
      </w:r>
      <w:r w:rsidRPr="00F8156C">
        <w:rPr>
          <w:rFonts w:cs="Arial"/>
          <w:bCs/>
          <w:color w:val="000000" w:themeColor="text1"/>
          <w:sz w:val="20"/>
          <w:szCs w:val="20"/>
          <w:lang w:val="en-US"/>
        </w:rPr>
        <w:t xml:space="preserve"> </w:t>
      </w:r>
      <w:hyperlink r:id="rId21" w:history="1">
        <w:r w:rsidRPr="00F8156C">
          <w:rPr>
            <w:rFonts w:cs="Arial"/>
            <w:color w:val="000000" w:themeColor="text1"/>
            <w:sz w:val="20"/>
            <w:szCs w:val="20"/>
            <w:lang w:val="en-US"/>
          </w:rPr>
          <w:t>[1977] A.C. 443</w:t>
        </w:r>
      </w:hyperlink>
      <w:r w:rsidRPr="00F8156C">
        <w:rPr>
          <w:rFonts w:cs="Arial"/>
          <w:color w:val="000000" w:themeColor="text1"/>
          <w:sz w:val="20"/>
          <w:szCs w:val="20"/>
          <w:lang w:val="en-US"/>
        </w:rPr>
        <w:t xml:space="preserve">, </w:t>
      </w:r>
      <w:r w:rsidRPr="00F8156C">
        <w:rPr>
          <w:sz w:val="20"/>
          <w:szCs w:val="20"/>
        </w:rPr>
        <w:t>484 (Salmon LJ)</w:t>
      </w:r>
    </w:p>
  </w:footnote>
  <w:footnote w:id="139">
    <w:p w14:paraId="10E45CD1" w14:textId="270DFF29" w:rsidR="00857EB7" w:rsidRPr="00FE36B0" w:rsidRDefault="00857EB7" w:rsidP="00782766">
      <w:pPr>
        <w:rPr>
          <w:rFonts w:ascii="Arial" w:hAnsi="Arial" w:cs="Arial"/>
          <w:color w:val="000000" w:themeColor="text1"/>
          <w:sz w:val="20"/>
          <w:szCs w:val="20"/>
        </w:rPr>
      </w:pPr>
      <w:r w:rsidRPr="00FE36B0">
        <w:rPr>
          <w:rStyle w:val="FootnoteReference"/>
          <w:rFonts w:ascii="Arial" w:hAnsi="Arial" w:cs="Arial"/>
          <w:color w:val="000000" w:themeColor="text1"/>
          <w:sz w:val="20"/>
          <w:szCs w:val="20"/>
        </w:rPr>
        <w:footnoteRef/>
      </w:r>
      <w:r w:rsidRPr="00FE36B0">
        <w:rPr>
          <w:rFonts w:ascii="Arial" w:hAnsi="Arial" w:cs="Arial"/>
          <w:color w:val="000000" w:themeColor="text1"/>
          <w:sz w:val="20"/>
          <w:szCs w:val="20"/>
        </w:rPr>
        <w:t xml:space="preserve"> </w:t>
      </w:r>
      <w:r w:rsidRPr="00FE36B0">
        <w:rPr>
          <w:rStyle w:val="Emphasis"/>
          <w:rFonts w:ascii="Arial" w:hAnsi="Arial" w:cs="Arial"/>
          <w:bCs/>
          <w:color w:val="000000" w:themeColor="text1"/>
          <w:sz w:val="20"/>
          <w:szCs w:val="20"/>
        </w:rPr>
        <w:t xml:space="preserve">Ivey v Genting Casinos (UK) Ltd (trading as Crockfords Club) </w:t>
      </w:r>
      <w:r w:rsidRPr="00FE36B0">
        <w:rPr>
          <w:rStyle w:val="Emphasis"/>
          <w:rFonts w:ascii="Arial" w:hAnsi="Arial" w:cs="Arial"/>
          <w:bCs/>
          <w:i w:val="0"/>
          <w:color w:val="000000" w:themeColor="text1"/>
          <w:sz w:val="20"/>
          <w:szCs w:val="20"/>
        </w:rPr>
        <w:t>[2018] A.C. 391</w:t>
      </w:r>
      <w:r w:rsidRPr="00FE36B0">
        <w:rPr>
          <w:rFonts w:ascii="Arial" w:hAnsi="Arial" w:cs="Arial"/>
          <w:color w:val="000000" w:themeColor="text1"/>
          <w:sz w:val="20"/>
          <w:szCs w:val="20"/>
        </w:rPr>
        <w:t xml:space="preserve"> </w:t>
      </w:r>
    </w:p>
  </w:footnote>
  <w:footnote w:id="140">
    <w:p w14:paraId="0F3CEC9C" w14:textId="2139CC9C" w:rsidR="00857EB7" w:rsidRPr="00FE36B0" w:rsidRDefault="00857EB7">
      <w:pPr>
        <w:pStyle w:val="FootnoteText"/>
        <w:rPr>
          <w:rFonts w:cs="Arial"/>
          <w:color w:val="000000" w:themeColor="text1"/>
          <w:sz w:val="20"/>
          <w:szCs w:val="20"/>
        </w:rPr>
      </w:pPr>
      <w:r w:rsidRPr="00FE36B0">
        <w:rPr>
          <w:rStyle w:val="FootnoteReference"/>
          <w:rFonts w:cs="Arial"/>
          <w:color w:val="000000" w:themeColor="text1"/>
          <w:sz w:val="20"/>
          <w:szCs w:val="20"/>
        </w:rPr>
        <w:footnoteRef/>
      </w:r>
      <w:r w:rsidRPr="00FE36B0">
        <w:rPr>
          <w:rFonts w:cs="Arial"/>
          <w:color w:val="000000" w:themeColor="text1"/>
          <w:sz w:val="20"/>
          <w:szCs w:val="20"/>
        </w:rPr>
        <w:t xml:space="preserve"> </w:t>
      </w:r>
      <w:r w:rsidR="00391177" w:rsidRPr="00FE36B0">
        <w:rPr>
          <w:rStyle w:val="Emphasis"/>
          <w:rFonts w:cs="Arial"/>
          <w:bCs/>
          <w:color w:val="000000" w:themeColor="text1"/>
          <w:sz w:val="20"/>
          <w:szCs w:val="20"/>
        </w:rPr>
        <w:t xml:space="preserve">Ivey v Genting Casinos (UK) Ltd (trading as Crockfords Club) </w:t>
      </w:r>
      <w:r w:rsidR="00391177" w:rsidRPr="00FE36B0">
        <w:rPr>
          <w:rStyle w:val="Emphasis"/>
          <w:rFonts w:cs="Arial"/>
          <w:bCs/>
          <w:i w:val="0"/>
          <w:color w:val="000000" w:themeColor="text1"/>
          <w:sz w:val="20"/>
          <w:szCs w:val="20"/>
        </w:rPr>
        <w:t>[2018] A.C.</w:t>
      </w:r>
      <w:r w:rsidRPr="00FE36B0">
        <w:rPr>
          <w:rFonts w:cs="Arial"/>
          <w:color w:val="000000" w:themeColor="text1"/>
          <w:sz w:val="20"/>
          <w:szCs w:val="20"/>
        </w:rPr>
        <w:t xml:space="preserve"> 411</w:t>
      </w:r>
    </w:p>
  </w:footnote>
  <w:footnote w:id="141">
    <w:p w14:paraId="52442B81" w14:textId="1C776A22" w:rsidR="00857EB7" w:rsidRPr="00FE36B0" w:rsidRDefault="00857EB7" w:rsidP="00FE36B0">
      <w:pPr>
        <w:rPr>
          <w:rFonts w:ascii="Arial" w:hAnsi="Arial" w:cs="Arial"/>
          <w:color w:val="000000" w:themeColor="text1"/>
          <w:sz w:val="20"/>
          <w:szCs w:val="20"/>
        </w:rPr>
      </w:pPr>
      <w:r w:rsidRPr="00FE36B0">
        <w:rPr>
          <w:rStyle w:val="FootnoteReference"/>
          <w:rFonts w:ascii="Arial" w:hAnsi="Arial" w:cs="Arial"/>
          <w:color w:val="000000" w:themeColor="text1"/>
          <w:sz w:val="20"/>
          <w:szCs w:val="20"/>
        </w:rPr>
        <w:footnoteRef/>
      </w:r>
      <w:r w:rsidRPr="00FE36B0">
        <w:rPr>
          <w:rFonts w:ascii="Arial" w:hAnsi="Arial" w:cs="Arial"/>
          <w:color w:val="000000" w:themeColor="text1"/>
          <w:sz w:val="20"/>
          <w:szCs w:val="20"/>
        </w:rPr>
        <w:t xml:space="preserve"> </w:t>
      </w:r>
      <w:r w:rsidRPr="00FE36B0">
        <w:rPr>
          <w:rFonts w:ascii="Arial" w:hAnsi="Arial" w:cs="Arial"/>
          <w:color w:val="000000" w:themeColor="text1"/>
          <w:sz w:val="20"/>
          <w:szCs w:val="20"/>
          <w:shd w:val="clear" w:color="auto" w:fill="FFFFFF"/>
        </w:rPr>
        <w:t>Eric Colvin, 'Codification and Reform of the Intoxication Defence' (1983) 26(1) Crim LQ 43, 53</w:t>
      </w:r>
    </w:p>
  </w:footnote>
  <w:footnote w:id="142">
    <w:p w14:paraId="7E937750" w14:textId="182A30D9" w:rsidR="00857EB7" w:rsidRPr="00FE36B0" w:rsidRDefault="00857EB7">
      <w:pPr>
        <w:pStyle w:val="FootnoteText"/>
        <w:rPr>
          <w:rFonts w:cs="Arial"/>
          <w:color w:val="000000" w:themeColor="text1"/>
          <w:sz w:val="20"/>
          <w:szCs w:val="20"/>
        </w:rPr>
      </w:pPr>
      <w:r w:rsidRPr="00FE36B0">
        <w:rPr>
          <w:rStyle w:val="FootnoteReference"/>
          <w:rFonts w:cs="Arial"/>
          <w:color w:val="000000" w:themeColor="text1"/>
          <w:sz w:val="20"/>
          <w:szCs w:val="20"/>
        </w:rPr>
        <w:footnoteRef/>
      </w:r>
      <w:r w:rsidRPr="00FE36B0">
        <w:rPr>
          <w:rFonts w:cs="Arial"/>
          <w:color w:val="000000" w:themeColor="text1"/>
          <w:sz w:val="20"/>
          <w:szCs w:val="20"/>
        </w:rPr>
        <w:t xml:space="preserve"> </w:t>
      </w:r>
      <w:r w:rsidRPr="00FE36B0">
        <w:rPr>
          <w:rFonts w:cs="Arial"/>
          <w:bCs/>
          <w:i/>
          <w:color w:val="000000" w:themeColor="text1"/>
          <w:sz w:val="20"/>
          <w:szCs w:val="20"/>
          <w:lang w:val="en-US"/>
        </w:rPr>
        <w:t>DPP v Majewski</w:t>
      </w:r>
      <w:r w:rsidRPr="00FE36B0">
        <w:rPr>
          <w:rFonts w:cs="Arial"/>
          <w:bCs/>
          <w:color w:val="000000" w:themeColor="text1"/>
          <w:sz w:val="20"/>
          <w:szCs w:val="20"/>
          <w:lang w:val="en-US"/>
        </w:rPr>
        <w:t xml:space="preserve"> </w:t>
      </w:r>
      <w:hyperlink r:id="rId22" w:history="1">
        <w:r w:rsidRPr="00FE36B0">
          <w:rPr>
            <w:rFonts w:cs="Arial"/>
            <w:color w:val="000000" w:themeColor="text1"/>
            <w:sz w:val="20"/>
            <w:szCs w:val="20"/>
            <w:lang w:val="en-US"/>
          </w:rPr>
          <w:t>[1977] A.C. 443</w:t>
        </w:r>
      </w:hyperlink>
      <w:r w:rsidRPr="00FE36B0">
        <w:rPr>
          <w:rFonts w:cs="Arial"/>
          <w:color w:val="000000" w:themeColor="text1"/>
          <w:sz w:val="20"/>
          <w:szCs w:val="20"/>
          <w:lang w:val="en-US"/>
        </w:rPr>
        <w:t>, 460</w:t>
      </w:r>
    </w:p>
  </w:footnote>
  <w:footnote w:id="143">
    <w:p w14:paraId="5445A4FD" w14:textId="56CD0BB3" w:rsidR="00857EB7" w:rsidRDefault="00857EB7">
      <w:pPr>
        <w:pStyle w:val="FootnoteText"/>
      </w:pPr>
      <w:r>
        <w:rPr>
          <w:rStyle w:val="FootnoteReference"/>
        </w:rPr>
        <w:footnoteRef/>
      </w:r>
      <w:r>
        <w:t xml:space="preserve"> </w:t>
      </w:r>
      <w:r w:rsidRPr="00FE36B0">
        <w:rPr>
          <w:rFonts w:cs="Arial"/>
          <w:color w:val="000000" w:themeColor="text1"/>
          <w:sz w:val="20"/>
          <w:szCs w:val="20"/>
        </w:rPr>
        <w:t>Theft Act 1968, s.1</w:t>
      </w:r>
    </w:p>
  </w:footnote>
  <w:footnote w:id="144">
    <w:p w14:paraId="33293315" w14:textId="25BB055C" w:rsidR="00857EB7" w:rsidRDefault="00857EB7">
      <w:pPr>
        <w:pStyle w:val="FootnoteText"/>
      </w:pPr>
      <w:r w:rsidRPr="00FE36B0">
        <w:rPr>
          <w:rStyle w:val="FootnoteReference"/>
          <w:rFonts w:cs="Arial"/>
          <w:color w:val="000000" w:themeColor="text1"/>
          <w:sz w:val="20"/>
          <w:szCs w:val="20"/>
        </w:rPr>
        <w:footnoteRef/>
      </w:r>
      <w:r w:rsidRPr="00FE36B0">
        <w:rPr>
          <w:rFonts w:cs="Arial"/>
          <w:color w:val="000000" w:themeColor="text1"/>
          <w:sz w:val="20"/>
          <w:szCs w:val="20"/>
        </w:rPr>
        <w:t xml:space="preserve"> </w:t>
      </w:r>
      <w:r>
        <w:rPr>
          <w:rFonts w:cs="Arial"/>
          <w:color w:val="000000" w:themeColor="text1"/>
          <w:sz w:val="20"/>
          <w:szCs w:val="20"/>
        </w:rPr>
        <w:t>ibid</w:t>
      </w:r>
    </w:p>
  </w:footnote>
  <w:footnote w:id="145">
    <w:p w14:paraId="6A3C3B15" w14:textId="1D8FD1A9"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w:t>
      </w:r>
      <w:r w:rsidRPr="007344F9">
        <w:rPr>
          <w:rFonts w:cs="Arial"/>
          <w:bCs/>
          <w:i/>
          <w:color w:val="000000" w:themeColor="text1"/>
          <w:sz w:val="20"/>
          <w:szCs w:val="20"/>
          <w:lang w:val="en-US"/>
        </w:rPr>
        <w:t>DPP v Majewski</w:t>
      </w:r>
      <w:r w:rsidRPr="007344F9">
        <w:rPr>
          <w:rFonts w:cs="Arial"/>
          <w:bCs/>
          <w:color w:val="000000" w:themeColor="text1"/>
          <w:sz w:val="20"/>
          <w:szCs w:val="20"/>
          <w:lang w:val="en-US"/>
        </w:rPr>
        <w:t xml:space="preserve"> </w:t>
      </w:r>
      <w:hyperlink r:id="rId23" w:history="1">
        <w:r w:rsidRPr="007344F9">
          <w:rPr>
            <w:rFonts w:cs="Arial"/>
            <w:color w:val="000000" w:themeColor="text1"/>
            <w:sz w:val="20"/>
            <w:szCs w:val="20"/>
            <w:lang w:val="en-US"/>
          </w:rPr>
          <w:t>[1977] A.C. 443</w:t>
        </w:r>
      </w:hyperlink>
      <w:r w:rsidRPr="007344F9">
        <w:rPr>
          <w:rFonts w:cs="Arial"/>
          <w:color w:val="000000" w:themeColor="text1"/>
          <w:sz w:val="20"/>
          <w:szCs w:val="20"/>
          <w:lang w:val="en-US"/>
        </w:rPr>
        <w:t>, 460</w:t>
      </w:r>
    </w:p>
  </w:footnote>
  <w:footnote w:id="146">
    <w:p w14:paraId="23170D88" w14:textId="1E6A1B5D"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‘Theft Act Offences’ (</w:t>
      </w:r>
      <w:r w:rsidRPr="007344F9">
        <w:rPr>
          <w:i/>
          <w:sz w:val="20"/>
          <w:szCs w:val="20"/>
        </w:rPr>
        <w:t>CPS)</w:t>
      </w:r>
      <w:r w:rsidRPr="007344F9">
        <w:rPr>
          <w:sz w:val="20"/>
          <w:szCs w:val="20"/>
        </w:rPr>
        <w:t xml:space="preserve"> &lt; </w:t>
      </w:r>
      <w:hyperlink r:id="rId24" w:history="1">
        <w:r w:rsidRPr="007344F9">
          <w:rPr>
            <w:rStyle w:val="Hyperlink"/>
            <w:sz w:val="20"/>
            <w:szCs w:val="20"/>
          </w:rPr>
          <w:t>https://www.cps.gov.uk/legal-guidance/theft-act-offences</w:t>
        </w:r>
      </w:hyperlink>
      <w:r w:rsidRPr="007344F9">
        <w:rPr>
          <w:sz w:val="20"/>
          <w:szCs w:val="20"/>
        </w:rPr>
        <w:t>&gt; accessed 15 April 2019</w:t>
      </w:r>
    </w:p>
  </w:footnote>
  <w:footnote w:id="147">
    <w:p w14:paraId="1C5DC1DE" w14:textId="269333E6" w:rsidR="00857EB7" w:rsidRPr="000A66A1" w:rsidRDefault="00857EB7">
      <w:pPr>
        <w:pStyle w:val="FootnoteText"/>
        <w:rPr>
          <w:sz w:val="20"/>
          <w:szCs w:val="20"/>
          <w:lang w:val="es-ES"/>
        </w:rPr>
      </w:pPr>
      <w:r w:rsidRPr="007344F9">
        <w:rPr>
          <w:rStyle w:val="FootnoteReference"/>
          <w:sz w:val="20"/>
          <w:szCs w:val="20"/>
        </w:rPr>
        <w:footnoteRef/>
      </w:r>
      <w:r w:rsidRPr="000A66A1">
        <w:rPr>
          <w:sz w:val="20"/>
          <w:szCs w:val="20"/>
          <w:lang w:val="es-ES"/>
        </w:rPr>
        <w:t xml:space="preserve"> </w:t>
      </w:r>
      <w:proofErr w:type="spellStart"/>
      <w:r w:rsidRPr="000A66A1">
        <w:rPr>
          <w:sz w:val="20"/>
          <w:szCs w:val="20"/>
          <w:lang w:val="es-ES"/>
        </w:rPr>
        <w:t>ibid</w:t>
      </w:r>
      <w:proofErr w:type="spellEnd"/>
    </w:p>
  </w:footnote>
  <w:footnote w:id="148">
    <w:p w14:paraId="6EFD29CC" w14:textId="747AD8CB" w:rsidR="00857EB7" w:rsidRPr="000A66A1" w:rsidRDefault="00857EB7">
      <w:pPr>
        <w:pStyle w:val="FootnoteText"/>
        <w:rPr>
          <w:sz w:val="20"/>
          <w:szCs w:val="20"/>
          <w:lang w:val="es-ES"/>
        </w:rPr>
      </w:pPr>
      <w:r w:rsidRPr="007344F9">
        <w:rPr>
          <w:rStyle w:val="FootnoteReference"/>
          <w:sz w:val="20"/>
          <w:szCs w:val="20"/>
        </w:rPr>
        <w:footnoteRef/>
      </w:r>
      <w:r w:rsidRPr="000A66A1">
        <w:rPr>
          <w:sz w:val="20"/>
          <w:szCs w:val="20"/>
          <w:lang w:val="es-ES"/>
        </w:rPr>
        <w:t xml:space="preserve"> </w:t>
      </w:r>
      <w:r w:rsidRPr="000A66A1">
        <w:rPr>
          <w:i/>
          <w:sz w:val="20"/>
          <w:szCs w:val="20"/>
          <w:lang w:val="es-ES"/>
        </w:rPr>
        <w:t>R v Robinson</w:t>
      </w:r>
      <w:r w:rsidRPr="000A66A1">
        <w:rPr>
          <w:sz w:val="20"/>
          <w:szCs w:val="20"/>
          <w:lang w:val="es-ES"/>
        </w:rPr>
        <w:t xml:space="preserve"> [1977] </w:t>
      </w:r>
      <w:proofErr w:type="spellStart"/>
      <w:r w:rsidRPr="000A66A1">
        <w:rPr>
          <w:sz w:val="20"/>
          <w:szCs w:val="20"/>
          <w:lang w:val="es-ES"/>
        </w:rPr>
        <w:t>Crim</w:t>
      </w:r>
      <w:proofErr w:type="spellEnd"/>
      <w:r w:rsidRPr="000A66A1">
        <w:rPr>
          <w:sz w:val="20"/>
          <w:szCs w:val="20"/>
          <w:lang w:val="es-ES"/>
        </w:rPr>
        <w:t xml:space="preserve"> LR 173</w:t>
      </w:r>
    </w:p>
  </w:footnote>
  <w:footnote w:id="149">
    <w:p w14:paraId="3A86B9C9" w14:textId="5F5302C7"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Theft Act 1968, s.8</w:t>
      </w:r>
    </w:p>
  </w:footnote>
  <w:footnote w:id="150">
    <w:p w14:paraId="05942B35" w14:textId="57EC48D2"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w:t>
      </w:r>
      <w:r w:rsidRPr="007344F9">
        <w:rPr>
          <w:i/>
          <w:sz w:val="20"/>
          <w:szCs w:val="20"/>
        </w:rPr>
        <w:t>R v Lockley</w:t>
      </w:r>
      <w:r w:rsidRPr="007344F9">
        <w:rPr>
          <w:sz w:val="20"/>
          <w:szCs w:val="20"/>
        </w:rPr>
        <w:t xml:space="preserve"> [1995] Crim LR 656</w:t>
      </w:r>
    </w:p>
  </w:footnote>
  <w:footnote w:id="151">
    <w:p w14:paraId="79C2DA0A" w14:textId="6436C7A5"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w:t>
      </w:r>
      <w:r w:rsidRPr="00094595">
        <w:rPr>
          <w:rFonts w:cs="Arial"/>
          <w:bCs/>
          <w:i/>
          <w:color w:val="191C1F"/>
          <w:sz w:val="20"/>
          <w:szCs w:val="20"/>
          <w:lang w:val="en-US"/>
        </w:rPr>
        <w:t>R v Dawson</w:t>
      </w:r>
      <w:r w:rsidRPr="00094595">
        <w:rPr>
          <w:rFonts w:cs="Arial"/>
          <w:bCs/>
          <w:color w:val="191C1F"/>
          <w:sz w:val="20"/>
          <w:szCs w:val="20"/>
          <w:lang w:val="en-US"/>
        </w:rPr>
        <w:t xml:space="preserve"> [1985] 81 Cr App R 150</w:t>
      </w:r>
    </w:p>
  </w:footnote>
  <w:footnote w:id="152">
    <w:p w14:paraId="4677E9AC" w14:textId="30E9F700"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Theft Act 1968, s.9(1)(a)</w:t>
      </w:r>
    </w:p>
  </w:footnote>
  <w:footnote w:id="153">
    <w:p w14:paraId="4391A87A" w14:textId="2ECB309F"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w:t>
      </w:r>
      <w:r w:rsidRPr="007344F9">
        <w:rPr>
          <w:i/>
          <w:sz w:val="20"/>
          <w:szCs w:val="20"/>
        </w:rPr>
        <w:t xml:space="preserve">R v Collins </w:t>
      </w:r>
      <w:r w:rsidRPr="007344F9">
        <w:rPr>
          <w:sz w:val="20"/>
          <w:szCs w:val="20"/>
        </w:rPr>
        <w:t>[1973] 3 WLR 243</w:t>
      </w:r>
    </w:p>
  </w:footnote>
  <w:footnote w:id="154">
    <w:p w14:paraId="5F75C88D" w14:textId="35E60DC3" w:rsidR="00857EB7" w:rsidRDefault="00857EB7">
      <w:pPr>
        <w:pStyle w:val="FootnoteText"/>
      </w:pPr>
      <w:r w:rsidRPr="007344F9">
        <w:rPr>
          <w:rStyle w:val="FootnoteReference"/>
          <w:sz w:val="20"/>
          <w:szCs w:val="20"/>
        </w:rPr>
        <w:footnoteRef/>
      </w:r>
      <w:r w:rsidRPr="007344F9">
        <w:rPr>
          <w:sz w:val="20"/>
          <w:szCs w:val="20"/>
        </w:rPr>
        <w:t xml:space="preserve"> Theft Act 1968, s.9(1)(b)</w:t>
      </w:r>
    </w:p>
  </w:footnote>
  <w:footnote w:id="155">
    <w:p w14:paraId="27A1EFB9" w14:textId="789A1982"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w:t>
      </w:r>
      <w:r w:rsidRPr="007344F9">
        <w:rPr>
          <w:i/>
          <w:sz w:val="20"/>
          <w:szCs w:val="20"/>
        </w:rPr>
        <w:t>R v Collins</w:t>
      </w:r>
      <w:r w:rsidRPr="007344F9">
        <w:rPr>
          <w:sz w:val="20"/>
          <w:szCs w:val="20"/>
        </w:rPr>
        <w:t xml:space="preserve"> [1973] 3 WLR 243</w:t>
      </w:r>
    </w:p>
  </w:footnote>
  <w:footnote w:id="156">
    <w:p w14:paraId="3516CEB1" w14:textId="544F1F1E" w:rsidR="00857EB7" w:rsidRDefault="00857EB7">
      <w:pPr>
        <w:pStyle w:val="FootnoteText"/>
      </w:pPr>
      <w:r w:rsidRPr="007344F9">
        <w:rPr>
          <w:rStyle w:val="FootnoteReference"/>
          <w:sz w:val="20"/>
          <w:szCs w:val="20"/>
        </w:rPr>
        <w:footnoteRef/>
      </w:r>
      <w:r w:rsidRPr="007344F9">
        <w:rPr>
          <w:sz w:val="20"/>
          <w:szCs w:val="20"/>
        </w:rPr>
        <w:t xml:space="preserve"> ‘Theft Act Offences’ (</w:t>
      </w:r>
      <w:r w:rsidRPr="007344F9">
        <w:rPr>
          <w:i/>
          <w:sz w:val="20"/>
          <w:szCs w:val="20"/>
        </w:rPr>
        <w:t>CPS)</w:t>
      </w:r>
      <w:r w:rsidRPr="007344F9">
        <w:rPr>
          <w:sz w:val="20"/>
          <w:szCs w:val="20"/>
        </w:rPr>
        <w:t xml:space="preserve"> &lt; </w:t>
      </w:r>
      <w:hyperlink r:id="rId25" w:history="1">
        <w:r w:rsidRPr="007344F9">
          <w:rPr>
            <w:rStyle w:val="Hyperlink"/>
            <w:sz w:val="20"/>
            <w:szCs w:val="20"/>
          </w:rPr>
          <w:t>https://www.cps.gov.uk/legal-guidance/theft-act-offences</w:t>
        </w:r>
      </w:hyperlink>
      <w:r w:rsidRPr="007344F9">
        <w:rPr>
          <w:sz w:val="20"/>
          <w:szCs w:val="20"/>
        </w:rPr>
        <w:t>&gt; accessed 15 April 2019</w:t>
      </w:r>
    </w:p>
  </w:footnote>
  <w:footnote w:id="157">
    <w:p w14:paraId="327256AD" w14:textId="3FCAF8D7"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Theft Act 1968, s.10</w:t>
      </w:r>
    </w:p>
  </w:footnote>
  <w:footnote w:id="158">
    <w:p w14:paraId="76CA7952" w14:textId="58EFFC29"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Ibid, s.9(1)(a) </w:t>
      </w:r>
    </w:p>
  </w:footnote>
  <w:footnote w:id="159">
    <w:p w14:paraId="0099C66B" w14:textId="75EA866E"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Ibid, s.9(1)(b)</w:t>
      </w:r>
    </w:p>
  </w:footnote>
  <w:footnote w:id="160">
    <w:p w14:paraId="0D1FC87D" w14:textId="58738E32"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w:t>
      </w:r>
      <w:r w:rsidRPr="007344F9">
        <w:rPr>
          <w:i/>
          <w:sz w:val="20"/>
          <w:szCs w:val="20"/>
        </w:rPr>
        <w:t>R v Stones</w:t>
      </w:r>
      <w:r w:rsidRPr="007344F9">
        <w:rPr>
          <w:sz w:val="20"/>
          <w:szCs w:val="20"/>
        </w:rPr>
        <w:t xml:space="preserve"> [1989] 1 WLR 156</w:t>
      </w:r>
    </w:p>
  </w:footnote>
  <w:footnote w:id="161">
    <w:p w14:paraId="427E7E06" w14:textId="3B1C0CEF" w:rsidR="00857EB7" w:rsidRPr="007344F9" w:rsidRDefault="00857EB7">
      <w:pPr>
        <w:pStyle w:val="FootnoteText"/>
        <w:rPr>
          <w:sz w:val="20"/>
          <w:szCs w:val="20"/>
        </w:rPr>
      </w:pPr>
      <w:r w:rsidRPr="007344F9">
        <w:rPr>
          <w:rStyle w:val="FootnoteReference"/>
          <w:sz w:val="20"/>
          <w:szCs w:val="20"/>
        </w:rPr>
        <w:footnoteRef/>
      </w:r>
      <w:r w:rsidRPr="007344F9">
        <w:rPr>
          <w:sz w:val="20"/>
          <w:szCs w:val="20"/>
        </w:rPr>
        <w:t xml:space="preserve"> </w:t>
      </w:r>
      <w:r w:rsidRPr="007344F9">
        <w:rPr>
          <w:i/>
          <w:sz w:val="20"/>
          <w:szCs w:val="20"/>
        </w:rPr>
        <w:t>R v O’Leary</w:t>
      </w:r>
      <w:r w:rsidRPr="007344F9">
        <w:rPr>
          <w:sz w:val="20"/>
          <w:szCs w:val="20"/>
        </w:rPr>
        <w:t xml:space="preserve"> (1986) 82 Cr App R 341</w:t>
      </w:r>
    </w:p>
  </w:footnote>
  <w:footnote w:id="162">
    <w:p w14:paraId="3B8A2EDB" w14:textId="1E6FD78D" w:rsidR="00857EB7" w:rsidRDefault="00857EB7">
      <w:pPr>
        <w:pStyle w:val="FootnoteText"/>
      </w:pPr>
      <w:r w:rsidRPr="007344F9">
        <w:rPr>
          <w:rStyle w:val="FootnoteReference"/>
          <w:sz w:val="20"/>
          <w:szCs w:val="20"/>
        </w:rPr>
        <w:footnoteRef/>
      </w:r>
      <w:r w:rsidRPr="007344F9">
        <w:rPr>
          <w:sz w:val="20"/>
          <w:szCs w:val="20"/>
        </w:rPr>
        <w:t xml:space="preserve"> ‘Theft Act Offences’ (</w:t>
      </w:r>
      <w:r w:rsidRPr="007344F9">
        <w:rPr>
          <w:i/>
          <w:sz w:val="20"/>
          <w:szCs w:val="20"/>
        </w:rPr>
        <w:t>CPS)</w:t>
      </w:r>
      <w:r w:rsidRPr="007344F9">
        <w:rPr>
          <w:sz w:val="20"/>
          <w:szCs w:val="20"/>
        </w:rPr>
        <w:t xml:space="preserve"> &lt; </w:t>
      </w:r>
      <w:hyperlink r:id="rId26" w:history="1">
        <w:r w:rsidRPr="007344F9">
          <w:rPr>
            <w:rStyle w:val="Hyperlink"/>
            <w:sz w:val="20"/>
            <w:szCs w:val="20"/>
          </w:rPr>
          <w:t>https://www.cps.gov.uk/legal-guidance/theft-act-offences</w:t>
        </w:r>
      </w:hyperlink>
      <w:r w:rsidRPr="007344F9">
        <w:rPr>
          <w:sz w:val="20"/>
          <w:szCs w:val="20"/>
        </w:rPr>
        <w:t>&gt; accessed 15 April 2019</w:t>
      </w:r>
    </w:p>
  </w:footnote>
  <w:footnote w:id="163">
    <w:p w14:paraId="6F214922" w14:textId="48521369" w:rsidR="00857EB7" w:rsidRPr="00F34D68" w:rsidRDefault="00857EB7">
      <w:pPr>
        <w:pStyle w:val="FootnoteText"/>
        <w:rPr>
          <w:sz w:val="20"/>
          <w:szCs w:val="20"/>
        </w:rPr>
      </w:pPr>
      <w:r w:rsidRPr="00F34D68">
        <w:rPr>
          <w:rStyle w:val="FootnoteReference"/>
          <w:sz w:val="20"/>
          <w:szCs w:val="20"/>
        </w:rPr>
        <w:footnoteRef/>
      </w:r>
      <w:r w:rsidRPr="00F34D68">
        <w:rPr>
          <w:sz w:val="20"/>
          <w:szCs w:val="20"/>
        </w:rPr>
        <w:t xml:space="preserve"> </w:t>
      </w:r>
      <w:r w:rsidRPr="00F34D68">
        <w:rPr>
          <w:i/>
          <w:sz w:val="20"/>
          <w:szCs w:val="20"/>
        </w:rPr>
        <w:t>R v Ghosh</w:t>
      </w:r>
      <w:r w:rsidRPr="00F34D68">
        <w:rPr>
          <w:sz w:val="20"/>
          <w:szCs w:val="20"/>
        </w:rPr>
        <w:t xml:space="preserve"> [1982] EWCA Crim 2</w:t>
      </w:r>
    </w:p>
  </w:footnote>
  <w:footnote w:id="164">
    <w:p w14:paraId="585AE6D0" w14:textId="49C01BA5" w:rsidR="00857EB7" w:rsidRPr="00F34D68" w:rsidRDefault="00857EB7">
      <w:pPr>
        <w:pStyle w:val="FootnoteText"/>
        <w:rPr>
          <w:sz w:val="20"/>
          <w:szCs w:val="20"/>
        </w:rPr>
      </w:pPr>
      <w:r w:rsidRPr="00F34D68">
        <w:rPr>
          <w:rStyle w:val="FootnoteReference"/>
          <w:sz w:val="20"/>
          <w:szCs w:val="20"/>
        </w:rPr>
        <w:footnoteRef/>
      </w:r>
      <w:r w:rsidRPr="00F34D68">
        <w:rPr>
          <w:sz w:val="20"/>
          <w:szCs w:val="20"/>
        </w:rPr>
        <w:t xml:space="preserve"> Ibid, Q.B. 1053, 1064</w:t>
      </w:r>
    </w:p>
  </w:footnote>
  <w:footnote w:id="165">
    <w:p w14:paraId="4B4F7578" w14:textId="624E3BCF" w:rsidR="00857EB7" w:rsidRDefault="00857EB7" w:rsidP="009F1794">
      <w:r w:rsidRPr="00F34D68">
        <w:rPr>
          <w:rStyle w:val="FootnoteReference"/>
          <w:sz w:val="20"/>
          <w:szCs w:val="20"/>
        </w:rPr>
        <w:footnoteRef/>
      </w:r>
      <w:r w:rsidRPr="00F34D68">
        <w:rPr>
          <w:sz w:val="20"/>
          <w:szCs w:val="20"/>
        </w:rPr>
        <w:t xml:space="preserve"> </w:t>
      </w:r>
      <w:r w:rsidRPr="00F34D68">
        <w:rPr>
          <w:rFonts w:ascii="Helvetica Neue" w:hAnsi="Helvetica Neue"/>
          <w:color w:val="000000" w:themeColor="text1"/>
          <w:sz w:val="20"/>
          <w:szCs w:val="20"/>
          <w:shd w:val="clear" w:color="auto" w:fill="FFFFFF"/>
        </w:rPr>
        <w:t>Kenneth Campbell, 'The Test of Dishonesty in R. v. Ghosh' (1984) 43(2) Cambridge LJ 349, 351</w:t>
      </w:r>
    </w:p>
  </w:footnote>
  <w:footnote w:id="166">
    <w:p w14:paraId="67885EC8" w14:textId="78FE7F9E" w:rsidR="00857EB7" w:rsidRPr="00396C45" w:rsidRDefault="00857EB7">
      <w:pPr>
        <w:pStyle w:val="FootnoteText"/>
        <w:rPr>
          <w:color w:val="000000" w:themeColor="text1"/>
          <w:sz w:val="20"/>
          <w:szCs w:val="20"/>
        </w:rPr>
      </w:pPr>
      <w:r w:rsidRPr="00396C45">
        <w:rPr>
          <w:rStyle w:val="FootnoteReference"/>
          <w:color w:val="000000" w:themeColor="text1"/>
          <w:sz w:val="20"/>
          <w:szCs w:val="20"/>
        </w:rPr>
        <w:footnoteRef/>
      </w:r>
      <w:r w:rsidRPr="00396C45">
        <w:rPr>
          <w:color w:val="000000" w:themeColor="text1"/>
          <w:sz w:val="20"/>
          <w:szCs w:val="20"/>
        </w:rPr>
        <w:t xml:space="preserve"> </w:t>
      </w:r>
      <w:r w:rsidRPr="00396C45">
        <w:rPr>
          <w:rStyle w:val="Emphasis"/>
          <w:rFonts w:cs="Arial"/>
          <w:bCs/>
          <w:color w:val="000000" w:themeColor="text1"/>
          <w:sz w:val="20"/>
          <w:szCs w:val="20"/>
        </w:rPr>
        <w:t xml:space="preserve">Ivey v Genting Casinos (UK) Ltd (trading as Crockfords Club) </w:t>
      </w:r>
      <w:r w:rsidRPr="00396C45">
        <w:rPr>
          <w:rStyle w:val="Emphasis"/>
          <w:rFonts w:cs="Arial"/>
          <w:bCs/>
          <w:i w:val="0"/>
          <w:color w:val="000000" w:themeColor="text1"/>
          <w:sz w:val="20"/>
          <w:szCs w:val="20"/>
        </w:rPr>
        <w:t>[2018] A.C. 391</w:t>
      </w:r>
    </w:p>
  </w:footnote>
  <w:footnote w:id="167">
    <w:p w14:paraId="7DE8228E" w14:textId="39A02943" w:rsidR="00857EB7" w:rsidRPr="00396C45" w:rsidRDefault="00857EB7">
      <w:pPr>
        <w:pStyle w:val="FootnoteText"/>
        <w:rPr>
          <w:color w:val="000000" w:themeColor="text1"/>
          <w:sz w:val="20"/>
          <w:szCs w:val="20"/>
        </w:rPr>
      </w:pPr>
      <w:r w:rsidRPr="00396C45">
        <w:rPr>
          <w:rStyle w:val="FootnoteReference"/>
          <w:color w:val="000000" w:themeColor="text1"/>
          <w:sz w:val="20"/>
          <w:szCs w:val="20"/>
        </w:rPr>
        <w:footnoteRef/>
      </w:r>
      <w:r w:rsidRPr="00396C45">
        <w:rPr>
          <w:color w:val="000000" w:themeColor="text1"/>
          <w:sz w:val="20"/>
          <w:szCs w:val="20"/>
        </w:rPr>
        <w:t xml:space="preserve"> ibid</w:t>
      </w:r>
    </w:p>
  </w:footnote>
  <w:footnote w:id="168">
    <w:p w14:paraId="5DD7047C" w14:textId="7039D11A" w:rsidR="00857EB7" w:rsidRPr="00396C45" w:rsidRDefault="00857EB7">
      <w:pPr>
        <w:pStyle w:val="FootnoteText"/>
        <w:rPr>
          <w:color w:val="000000" w:themeColor="text1"/>
          <w:sz w:val="20"/>
          <w:szCs w:val="20"/>
        </w:rPr>
      </w:pPr>
      <w:r w:rsidRPr="00396C45">
        <w:rPr>
          <w:rStyle w:val="FootnoteReference"/>
          <w:color w:val="000000" w:themeColor="text1"/>
          <w:sz w:val="20"/>
          <w:szCs w:val="20"/>
        </w:rPr>
        <w:footnoteRef/>
      </w:r>
      <w:r w:rsidRPr="00396C45">
        <w:rPr>
          <w:color w:val="000000" w:themeColor="text1"/>
          <w:sz w:val="20"/>
          <w:szCs w:val="20"/>
        </w:rPr>
        <w:t xml:space="preserve"> </w:t>
      </w:r>
      <w:r w:rsidRPr="00396C45">
        <w:rPr>
          <w:i/>
          <w:color w:val="000000" w:themeColor="text1"/>
          <w:sz w:val="20"/>
          <w:szCs w:val="20"/>
        </w:rPr>
        <w:t>R v Ghosh</w:t>
      </w:r>
      <w:r w:rsidRPr="00396C45">
        <w:rPr>
          <w:color w:val="000000" w:themeColor="text1"/>
          <w:sz w:val="20"/>
          <w:szCs w:val="20"/>
        </w:rPr>
        <w:t xml:space="preserve"> [1982] Q.B. 1053</w:t>
      </w:r>
    </w:p>
  </w:footnote>
  <w:footnote w:id="169">
    <w:p w14:paraId="0A69C2A8" w14:textId="4B66FAB3" w:rsidR="00857EB7" w:rsidRPr="00396C45" w:rsidRDefault="00857EB7">
      <w:pPr>
        <w:pStyle w:val="FootnoteText"/>
        <w:rPr>
          <w:color w:val="000000" w:themeColor="text1"/>
          <w:sz w:val="20"/>
          <w:szCs w:val="20"/>
        </w:rPr>
      </w:pPr>
      <w:r w:rsidRPr="00396C45">
        <w:rPr>
          <w:rStyle w:val="FootnoteReference"/>
          <w:color w:val="000000" w:themeColor="text1"/>
          <w:sz w:val="20"/>
          <w:szCs w:val="20"/>
        </w:rPr>
        <w:footnoteRef/>
      </w:r>
      <w:r w:rsidRPr="00396C45">
        <w:rPr>
          <w:color w:val="000000" w:themeColor="text1"/>
          <w:sz w:val="20"/>
          <w:szCs w:val="20"/>
        </w:rPr>
        <w:t xml:space="preserve"> </w:t>
      </w:r>
      <w:r w:rsidRPr="00396C45">
        <w:rPr>
          <w:rStyle w:val="Emphasis"/>
          <w:rFonts w:cs="Arial"/>
          <w:bCs/>
          <w:color w:val="000000" w:themeColor="text1"/>
          <w:sz w:val="20"/>
          <w:szCs w:val="20"/>
        </w:rPr>
        <w:t xml:space="preserve">Ivey v Genting Casinos (UK) Ltd (trading as Crockfords Club) </w:t>
      </w:r>
      <w:r w:rsidRPr="00396C45">
        <w:rPr>
          <w:rStyle w:val="Emphasis"/>
          <w:rFonts w:cs="Arial"/>
          <w:bCs/>
          <w:i w:val="0"/>
          <w:color w:val="000000" w:themeColor="text1"/>
          <w:sz w:val="20"/>
          <w:szCs w:val="20"/>
        </w:rPr>
        <w:t>[2018] A.C. 391, 417</w:t>
      </w:r>
    </w:p>
  </w:footnote>
  <w:footnote w:id="170">
    <w:p w14:paraId="3F3A7CD2" w14:textId="106C7B89" w:rsidR="00857EB7" w:rsidRPr="00396C45" w:rsidRDefault="00857EB7" w:rsidP="00E71440">
      <w:pPr>
        <w:rPr>
          <w:color w:val="000000" w:themeColor="text1"/>
          <w:sz w:val="20"/>
          <w:szCs w:val="20"/>
        </w:rPr>
      </w:pPr>
      <w:r w:rsidRPr="00396C45">
        <w:rPr>
          <w:rStyle w:val="FootnoteReference"/>
          <w:color w:val="000000" w:themeColor="text1"/>
          <w:sz w:val="20"/>
          <w:szCs w:val="20"/>
        </w:rPr>
        <w:footnoteRef/>
      </w:r>
      <w:r w:rsidRPr="00396C45">
        <w:rPr>
          <w:color w:val="000000" w:themeColor="text1"/>
          <w:sz w:val="20"/>
          <w:szCs w:val="20"/>
        </w:rPr>
        <w:t xml:space="preserve"> </w:t>
      </w:r>
      <w:r w:rsidRPr="00396C45">
        <w:rPr>
          <w:rFonts w:ascii="Helvetica Neue" w:hAnsi="Helvetica Neue"/>
          <w:color w:val="000000" w:themeColor="text1"/>
          <w:sz w:val="20"/>
          <w:szCs w:val="20"/>
          <w:shd w:val="clear" w:color="auto" w:fill="FFFFFF"/>
        </w:rPr>
        <w:t>Kenneth Campbell, 'The Test of Dishonesty in R. v. Ghosh' (1984) 43(2) Cambridge LJ 349, 357</w:t>
      </w:r>
    </w:p>
  </w:footnote>
  <w:footnote w:id="171">
    <w:p w14:paraId="06E6D38C" w14:textId="4B0209B0" w:rsidR="00857EB7" w:rsidRPr="00396C45" w:rsidRDefault="00857EB7">
      <w:pPr>
        <w:pStyle w:val="FootnoteText"/>
        <w:rPr>
          <w:color w:val="000000" w:themeColor="text1"/>
          <w:sz w:val="20"/>
          <w:szCs w:val="20"/>
        </w:rPr>
      </w:pPr>
      <w:r w:rsidRPr="00396C45">
        <w:rPr>
          <w:rStyle w:val="FootnoteReference"/>
          <w:color w:val="000000" w:themeColor="text1"/>
          <w:sz w:val="20"/>
          <w:szCs w:val="20"/>
        </w:rPr>
        <w:footnoteRef/>
      </w:r>
      <w:r w:rsidRPr="00396C45">
        <w:rPr>
          <w:color w:val="000000" w:themeColor="text1"/>
          <w:sz w:val="20"/>
          <w:szCs w:val="20"/>
        </w:rPr>
        <w:t xml:space="preserve"> </w:t>
      </w:r>
      <w:r w:rsidRPr="00396C45">
        <w:rPr>
          <w:rStyle w:val="Emphasis"/>
          <w:rFonts w:cs="Arial"/>
          <w:bCs/>
          <w:color w:val="000000" w:themeColor="text1"/>
          <w:sz w:val="20"/>
          <w:szCs w:val="20"/>
        </w:rPr>
        <w:t xml:space="preserve">Ivey v Genting Casinos (UK) Ltd (trading as Crockfords Club) </w:t>
      </w:r>
      <w:r w:rsidRPr="00396C45">
        <w:rPr>
          <w:rStyle w:val="Emphasis"/>
          <w:rFonts w:cs="Arial"/>
          <w:bCs/>
          <w:i w:val="0"/>
          <w:color w:val="000000" w:themeColor="text1"/>
          <w:sz w:val="20"/>
          <w:szCs w:val="20"/>
        </w:rPr>
        <w:t>[2018] A.C. 391, 411</w:t>
      </w:r>
    </w:p>
  </w:footnote>
  <w:footnote w:id="172">
    <w:p w14:paraId="7AD819B2" w14:textId="3F4F9BDA" w:rsidR="00857EB7" w:rsidRPr="00396C45" w:rsidRDefault="00857EB7">
      <w:pPr>
        <w:pStyle w:val="FootnoteText"/>
        <w:rPr>
          <w:color w:val="000000" w:themeColor="text1"/>
          <w:sz w:val="20"/>
          <w:szCs w:val="20"/>
        </w:rPr>
      </w:pPr>
      <w:r w:rsidRPr="00396C45">
        <w:rPr>
          <w:rStyle w:val="FootnoteReference"/>
          <w:color w:val="000000" w:themeColor="text1"/>
          <w:sz w:val="20"/>
          <w:szCs w:val="20"/>
        </w:rPr>
        <w:footnoteRef/>
      </w:r>
      <w:r w:rsidRPr="00396C45">
        <w:rPr>
          <w:color w:val="000000" w:themeColor="text1"/>
          <w:sz w:val="20"/>
          <w:szCs w:val="20"/>
        </w:rPr>
        <w:t xml:space="preserve"> Ibid</w:t>
      </w:r>
    </w:p>
  </w:footnote>
  <w:footnote w:id="173">
    <w:p w14:paraId="7538A97A" w14:textId="1F7C6E49" w:rsidR="00857EB7" w:rsidRPr="00396C45" w:rsidRDefault="00857EB7">
      <w:pPr>
        <w:pStyle w:val="FootnoteText"/>
        <w:rPr>
          <w:color w:val="000000" w:themeColor="text1"/>
          <w:sz w:val="20"/>
          <w:szCs w:val="20"/>
        </w:rPr>
      </w:pPr>
      <w:r w:rsidRPr="00396C45">
        <w:rPr>
          <w:rStyle w:val="FootnoteReference"/>
          <w:color w:val="000000" w:themeColor="text1"/>
          <w:sz w:val="20"/>
          <w:szCs w:val="20"/>
        </w:rPr>
        <w:footnoteRef/>
      </w:r>
      <w:r w:rsidRPr="00396C45">
        <w:rPr>
          <w:color w:val="000000" w:themeColor="text1"/>
          <w:sz w:val="20"/>
          <w:szCs w:val="20"/>
        </w:rPr>
        <w:t xml:space="preserve"> Ibid, 409 </w:t>
      </w:r>
    </w:p>
  </w:footnote>
  <w:footnote w:id="174">
    <w:p w14:paraId="09CAEE92" w14:textId="114A1210" w:rsidR="00857EB7" w:rsidRPr="00396C45" w:rsidRDefault="00857EB7" w:rsidP="00396C45">
      <w:pPr>
        <w:rPr>
          <w:color w:val="000000" w:themeColor="text1"/>
          <w:sz w:val="20"/>
          <w:szCs w:val="20"/>
        </w:rPr>
      </w:pPr>
      <w:r w:rsidRPr="00396C45">
        <w:rPr>
          <w:rStyle w:val="FootnoteReference"/>
          <w:color w:val="000000" w:themeColor="text1"/>
          <w:sz w:val="20"/>
          <w:szCs w:val="20"/>
        </w:rPr>
        <w:footnoteRef/>
      </w:r>
      <w:r w:rsidRPr="00396C45">
        <w:rPr>
          <w:color w:val="000000" w:themeColor="text1"/>
          <w:sz w:val="20"/>
          <w:szCs w:val="20"/>
        </w:rPr>
        <w:t xml:space="preserve"> </w:t>
      </w:r>
      <w:r w:rsidRPr="00396C45">
        <w:rPr>
          <w:rFonts w:ascii="Helvetica Neue" w:hAnsi="Helvetica Neue"/>
          <w:color w:val="000000" w:themeColor="text1"/>
          <w:sz w:val="20"/>
          <w:szCs w:val="20"/>
          <w:shd w:val="clear" w:color="auto" w:fill="FFFFFF"/>
        </w:rPr>
        <w:t xml:space="preserve">Muhammad </w:t>
      </w:r>
      <w:proofErr w:type="spellStart"/>
      <w:r w:rsidRPr="00396C45">
        <w:rPr>
          <w:rFonts w:ascii="Helvetica Neue" w:hAnsi="Helvetica Neue"/>
          <w:color w:val="000000" w:themeColor="text1"/>
          <w:sz w:val="20"/>
          <w:szCs w:val="20"/>
          <w:shd w:val="clear" w:color="auto" w:fill="FFFFFF"/>
        </w:rPr>
        <w:t>Hasif</w:t>
      </w:r>
      <w:proofErr w:type="spellEnd"/>
      <w:r w:rsidRPr="00396C45">
        <w:rPr>
          <w:rFonts w:ascii="Helvetica Neue" w:hAnsi="Helvetica Neue"/>
          <w:color w:val="000000" w:themeColor="text1"/>
          <w:sz w:val="20"/>
          <w:szCs w:val="20"/>
          <w:shd w:val="clear" w:color="auto" w:fill="FFFFFF"/>
        </w:rPr>
        <w:t>, 'Ivey v Casinos: Reform to the Dishonest Principle' (2018) 2018 Sing Comp L Rev 108, 109</w:t>
      </w:r>
    </w:p>
  </w:footnote>
  <w:footnote w:id="175">
    <w:p w14:paraId="47C7C02E" w14:textId="27A02ACB" w:rsidR="00857EB7" w:rsidRDefault="00857EB7">
      <w:pPr>
        <w:pStyle w:val="FootnoteText"/>
      </w:pPr>
      <w:r w:rsidRPr="00396C45">
        <w:rPr>
          <w:rStyle w:val="FootnoteReference"/>
          <w:color w:val="000000" w:themeColor="text1"/>
          <w:sz w:val="20"/>
          <w:szCs w:val="20"/>
        </w:rPr>
        <w:footnoteRef/>
      </w:r>
      <w:r w:rsidRPr="00396C45">
        <w:rPr>
          <w:color w:val="000000" w:themeColor="text1"/>
          <w:sz w:val="20"/>
          <w:szCs w:val="20"/>
        </w:rPr>
        <w:t xml:space="preserve"> </w:t>
      </w:r>
      <w:r w:rsidRPr="00396C45">
        <w:rPr>
          <w:rStyle w:val="Emphasis"/>
          <w:rFonts w:cs="Arial"/>
          <w:bCs/>
          <w:color w:val="000000" w:themeColor="text1"/>
          <w:sz w:val="20"/>
          <w:szCs w:val="20"/>
        </w:rPr>
        <w:t xml:space="preserve">Ivey v Genting Casinos (UK) Ltd (trading as Crockfords Club) </w:t>
      </w:r>
      <w:r w:rsidRPr="00396C45">
        <w:rPr>
          <w:rStyle w:val="Emphasis"/>
          <w:rFonts w:cs="Arial"/>
          <w:bCs/>
          <w:i w:val="0"/>
          <w:color w:val="000000" w:themeColor="text1"/>
          <w:sz w:val="20"/>
          <w:szCs w:val="20"/>
        </w:rPr>
        <w:t>[2018] A.C. 391, 410</w:t>
      </w:r>
    </w:p>
  </w:footnote>
  <w:footnote w:id="176">
    <w:p w14:paraId="4F22A9AA" w14:textId="23BAED2A" w:rsidR="00857EB7" w:rsidRPr="00396C45" w:rsidRDefault="00857EB7">
      <w:pPr>
        <w:pStyle w:val="FootnoteText"/>
        <w:rPr>
          <w:sz w:val="20"/>
          <w:szCs w:val="20"/>
        </w:rPr>
      </w:pPr>
      <w:r w:rsidRPr="00396C45">
        <w:rPr>
          <w:rStyle w:val="FootnoteReference"/>
          <w:sz w:val="20"/>
          <w:szCs w:val="20"/>
        </w:rPr>
        <w:footnoteRef/>
      </w:r>
      <w:r w:rsidRPr="00396C45">
        <w:rPr>
          <w:sz w:val="20"/>
          <w:szCs w:val="20"/>
        </w:rPr>
        <w:t xml:space="preserve"> </w:t>
      </w:r>
      <w:r w:rsidRPr="00396C45">
        <w:rPr>
          <w:rStyle w:val="Emphasis"/>
          <w:rFonts w:cs="Arial"/>
          <w:bCs/>
          <w:color w:val="000000" w:themeColor="text1"/>
          <w:sz w:val="20"/>
          <w:szCs w:val="20"/>
        </w:rPr>
        <w:t xml:space="preserve">Ivey v Genting Casinos (UK) Ltd (trading as Crockfords Club) </w:t>
      </w:r>
      <w:r w:rsidRPr="00396C45">
        <w:rPr>
          <w:rStyle w:val="Emphasis"/>
          <w:rFonts w:cs="Arial"/>
          <w:bCs/>
          <w:i w:val="0"/>
          <w:color w:val="000000" w:themeColor="text1"/>
          <w:sz w:val="20"/>
          <w:szCs w:val="20"/>
        </w:rPr>
        <w:t xml:space="preserve">[2018] A.C. 391 </w:t>
      </w:r>
    </w:p>
  </w:footnote>
  <w:footnote w:id="177">
    <w:p w14:paraId="23B4B2C7" w14:textId="5A172932" w:rsidR="00857EB7" w:rsidRDefault="00857EB7">
      <w:pPr>
        <w:pStyle w:val="FootnoteText"/>
      </w:pPr>
      <w:r w:rsidRPr="00396C45">
        <w:rPr>
          <w:rStyle w:val="FootnoteReference"/>
          <w:sz w:val="20"/>
          <w:szCs w:val="20"/>
        </w:rPr>
        <w:footnoteRef/>
      </w:r>
      <w:r w:rsidRPr="00396C45">
        <w:rPr>
          <w:sz w:val="20"/>
          <w:szCs w:val="20"/>
        </w:rPr>
        <w:t xml:space="preserve"> Ibid, 416</w:t>
      </w:r>
    </w:p>
  </w:footnote>
  <w:footnote w:id="178">
    <w:p w14:paraId="711C61AE" w14:textId="096FBE61" w:rsidR="00857EB7" w:rsidRPr="00272AC6" w:rsidRDefault="00857EB7">
      <w:pPr>
        <w:pStyle w:val="FootnoteText"/>
        <w:rPr>
          <w:sz w:val="20"/>
          <w:szCs w:val="20"/>
        </w:rPr>
      </w:pPr>
      <w:r w:rsidRPr="00272AC6">
        <w:rPr>
          <w:rStyle w:val="FootnoteReference"/>
          <w:sz w:val="20"/>
          <w:szCs w:val="20"/>
        </w:rPr>
        <w:footnoteRef/>
      </w:r>
      <w:r w:rsidRPr="00272AC6">
        <w:rPr>
          <w:sz w:val="20"/>
          <w:szCs w:val="20"/>
        </w:rPr>
        <w:t xml:space="preserve"> </w:t>
      </w:r>
      <w:r w:rsidRPr="00272AC6">
        <w:rPr>
          <w:i/>
          <w:sz w:val="20"/>
          <w:szCs w:val="20"/>
        </w:rPr>
        <w:t>R v Coffey</w:t>
      </w:r>
      <w:r w:rsidRPr="00272AC6">
        <w:rPr>
          <w:sz w:val="20"/>
          <w:szCs w:val="20"/>
        </w:rPr>
        <w:t xml:space="preserve"> [1987] Crim LR 498, CA</w:t>
      </w:r>
    </w:p>
  </w:footnote>
  <w:footnote w:id="179">
    <w:p w14:paraId="7391E8CE" w14:textId="4A659C03" w:rsidR="00857EB7" w:rsidRPr="00272AC6" w:rsidRDefault="00857EB7">
      <w:pPr>
        <w:pStyle w:val="FootnoteText"/>
        <w:rPr>
          <w:sz w:val="20"/>
          <w:szCs w:val="20"/>
        </w:rPr>
      </w:pPr>
      <w:r w:rsidRPr="00272AC6">
        <w:rPr>
          <w:rStyle w:val="FootnoteReference"/>
          <w:sz w:val="20"/>
          <w:szCs w:val="20"/>
        </w:rPr>
        <w:footnoteRef/>
      </w:r>
      <w:r w:rsidRPr="00272AC6">
        <w:rPr>
          <w:sz w:val="20"/>
          <w:szCs w:val="20"/>
        </w:rPr>
        <w:t xml:space="preserve"> </w:t>
      </w:r>
      <w:r w:rsidRPr="009A024D">
        <w:rPr>
          <w:i/>
          <w:sz w:val="20"/>
          <w:szCs w:val="20"/>
        </w:rPr>
        <w:t xml:space="preserve">R v Lloyd, R v </w:t>
      </w:r>
      <w:proofErr w:type="spellStart"/>
      <w:r w:rsidRPr="009A024D">
        <w:rPr>
          <w:i/>
          <w:sz w:val="20"/>
          <w:szCs w:val="20"/>
        </w:rPr>
        <w:t>Bhuee</w:t>
      </w:r>
      <w:proofErr w:type="spellEnd"/>
      <w:r w:rsidRPr="009A024D">
        <w:rPr>
          <w:i/>
          <w:sz w:val="20"/>
          <w:szCs w:val="20"/>
        </w:rPr>
        <w:t>, R v Ali</w:t>
      </w:r>
      <w:r w:rsidRPr="00272AC6">
        <w:rPr>
          <w:sz w:val="20"/>
          <w:szCs w:val="20"/>
        </w:rPr>
        <w:t xml:space="preserve"> [1985] QB 829, 830</w:t>
      </w:r>
    </w:p>
  </w:footnote>
  <w:footnote w:id="180">
    <w:p w14:paraId="1341E5DD" w14:textId="4B78018B" w:rsidR="00857EB7" w:rsidRPr="00272AC6" w:rsidRDefault="00857EB7">
      <w:pPr>
        <w:pStyle w:val="FootnoteText"/>
        <w:rPr>
          <w:sz w:val="20"/>
          <w:szCs w:val="20"/>
        </w:rPr>
      </w:pPr>
      <w:r w:rsidRPr="00272AC6">
        <w:rPr>
          <w:rStyle w:val="FootnoteReference"/>
          <w:sz w:val="20"/>
          <w:szCs w:val="20"/>
        </w:rPr>
        <w:footnoteRef/>
      </w:r>
      <w:r w:rsidRPr="00272AC6">
        <w:rPr>
          <w:sz w:val="20"/>
          <w:szCs w:val="20"/>
        </w:rPr>
        <w:t xml:space="preserve"> Ibid</w:t>
      </w:r>
    </w:p>
  </w:footnote>
  <w:footnote w:id="181">
    <w:p w14:paraId="07A82FA6" w14:textId="691E35F8" w:rsidR="00857EB7" w:rsidRPr="00272AC6" w:rsidRDefault="00857EB7">
      <w:pPr>
        <w:pStyle w:val="FootnoteText"/>
        <w:rPr>
          <w:sz w:val="20"/>
          <w:szCs w:val="20"/>
        </w:rPr>
      </w:pPr>
      <w:r w:rsidRPr="00272AC6">
        <w:rPr>
          <w:rStyle w:val="FootnoteReference"/>
          <w:sz w:val="20"/>
          <w:szCs w:val="20"/>
        </w:rPr>
        <w:footnoteRef/>
      </w:r>
      <w:r w:rsidRPr="00272AC6">
        <w:rPr>
          <w:sz w:val="20"/>
          <w:szCs w:val="20"/>
        </w:rPr>
        <w:t xml:space="preserve"> Ibid</w:t>
      </w:r>
    </w:p>
  </w:footnote>
  <w:footnote w:id="182">
    <w:p w14:paraId="46D8A0C6" w14:textId="3F584232" w:rsidR="00857EB7" w:rsidRDefault="00857EB7">
      <w:pPr>
        <w:pStyle w:val="FootnoteText"/>
      </w:pPr>
      <w:r w:rsidRPr="00272AC6">
        <w:rPr>
          <w:rStyle w:val="FootnoteReference"/>
          <w:sz w:val="20"/>
          <w:szCs w:val="20"/>
        </w:rPr>
        <w:footnoteRef/>
      </w:r>
      <w:r w:rsidRPr="00272AC6">
        <w:rPr>
          <w:sz w:val="20"/>
          <w:szCs w:val="20"/>
        </w:rPr>
        <w:t xml:space="preserve"> Theft Act 1968, s.1(1)</w:t>
      </w:r>
    </w:p>
  </w:footnote>
  <w:footnote w:id="183">
    <w:p w14:paraId="4E09E459" w14:textId="508D75E9" w:rsidR="00857EB7" w:rsidRPr="009A024D" w:rsidRDefault="00857EB7">
      <w:pPr>
        <w:pStyle w:val="FootnoteText"/>
        <w:rPr>
          <w:sz w:val="20"/>
          <w:szCs w:val="20"/>
        </w:rPr>
      </w:pPr>
      <w:r w:rsidRPr="009A024D">
        <w:rPr>
          <w:rStyle w:val="FootnoteReference"/>
          <w:sz w:val="20"/>
          <w:szCs w:val="20"/>
        </w:rPr>
        <w:footnoteRef/>
      </w:r>
      <w:r w:rsidRPr="009A024D">
        <w:rPr>
          <w:sz w:val="20"/>
          <w:szCs w:val="20"/>
        </w:rPr>
        <w:t xml:space="preserve"> </w:t>
      </w:r>
      <w:r w:rsidRPr="00272AC6">
        <w:rPr>
          <w:sz w:val="20"/>
          <w:szCs w:val="20"/>
        </w:rPr>
        <w:t>Theft Act 1968</w:t>
      </w:r>
      <w:r w:rsidRPr="009A024D">
        <w:rPr>
          <w:sz w:val="20"/>
          <w:szCs w:val="20"/>
        </w:rPr>
        <w:t>, s.6(1)</w:t>
      </w:r>
    </w:p>
  </w:footnote>
  <w:footnote w:id="184">
    <w:p w14:paraId="4BA09DCF" w14:textId="74B4050A" w:rsidR="00857EB7" w:rsidRPr="00F9312A" w:rsidRDefault="00857EB7">
      <w:pPr>
        <w:pStyle w:val="FootnoteText"/>
        <w:rPr>
          <w:sz w:val="20"/>
          <w:szCs w:val="20"/>
        </w:rPr>
      </w:pPr>
      <w:r w:rsidRPr="00F9312A">
        <w:rPr>
          <w:rStyle w:val="FootnoteReference"/>
          <w:sz w:val="20"/>
          <w:szCs w:val="20"/>
        </w:rPr>
        <w:footnoteRef/>
      </w:r>
      <w:r w:rsidRPr="00F9312A">
        <w:rPr>
          <w:sz w:val="20"/>
          <w:szCs w:val="20"/>
        </w:rPr>
        <w:t xml:space="preserve"> Theft Act 1968, 9(1)(a)</w:t>
      </w:r>
    </w:p>
  </w:footnote>
  <w:footnote w:id="185">
    <w:p w14:paraId="58A51BA2" w14:textId="65CDB988" w:rsidR="00857EB7" w:rsidRPr="00F9312A" w:rsidRDefault="00857EB7">
      <w:pPr>
        <w:pStyle w:val="FootnoteText"/>
        <w:rPr>
          <w:sz w:val="20"/>
          <w:szCs w:val="20"/>
        </w:rPr>
      </w:pPr>
      <w:r w:rsidRPr="00F9312A">
        <w:rPr>
          <w:rStyle w:val="FootnoteReference"/>
          <w:sz w:val="20"/>
          <w:szCs w:val="20"/>
        </w:rPr>
        <w:footnoteRef/>
      </w:r>
      <w:r w:rsidRPr="00F9312A">
        <w:rPr>
          <w:sz w:val="20"/>
          <w:szCs w:val="20"/>
        </w:rPr>
        <w:t xml:space="preserve"> </w:t>
      </w:r>
      <w:r w:rsidRPr="00F9312A">
        <w:rPr>
          <w:i/>
          <w:sz w:val="20"/>
          <w:szCs w:val="20"/>
        </w:rPr>
        <w:t xml:space="preserve">R v Collins </w:t>
      </w:r>
      <w:r w:rsidRPr="00F9312A">
        <w:rPr>
          <w:sz w:val="20"/>
          <w:szCs w:val="20"/>
        </w:rPr>
        <w:t>[1973] 2 WLR 243</w:t>
      </w:r>
    </w:p>
  </w:footnote>
  <w:footnote w:id="186">
    <w:p w14:paraId="5832F563" w14:textId="69A5662C" w:rsidR="00857EB7" w:rsidRPr="00F9312A" w:rsidRDefault="00857EB7">
      <w:pPr>
        <w:pStyle w:val="FootnoteText"/>
        <w:rPr>
          <w:sz w:val="20"/>
          <w:szCs w:val="20"/>
        </w:rPr>
      </w:pPr>
      <w:r w:rsidRPr="00F9312A">
        <w:rPr>
          <w:rStyle w:val="FootnoteReference"/>
          <w:sz w:val="20"/>
          <w:szCs w:val="20"/>
        </w:rPr>
        <w:footnoteRef/>
      </w:r>
      <w:r w:rsidRPr="00F9312A">
        <w:rPr>
          <w:sz w:val="20"/>
          <w:szCs w:val="20"/>
        </w:rPr>
        <w:t xml:space="preserve"> </w:t>
      </w:r>
      <w:r w:rsidRPr="00F9312A">
        <w:rPr>
          <w:i/>
          <w:sz w:val="20"/>
          <w:szCs w:val="20"/>
        </w:rPr>
        <w:t>R v Jones &amp; Smith</w:t>
      </w:r>
      <w:r w:rsidRPr="00F9312A">
        <w:rPr>
          <w:sz w:val="20"/>
          <w:szCs w:val="20"/>
        </w:rPr>
        <w:t xml:space="preserve"> [1976] 1 WLR 672</w:t>
      </w:r>
    </w:p>
  </w:footnote>
  <w:footnote w:id="187">
    <w:p w14:paraId="4F72EC78" w14:textId="0A5B566F" w:rsidR="00857EB7" w:rsidRDefault="00857EB7">
      <w:pPr>
        <w:pStyle w:val="FootnoteText"/>
      </w:pPr>
      <w:r w:rsidRPr="00F9312A">
        <w:rPr>
          <w:rStyle w:val="FootnoteReference"/>
          <w:sz w:val="20"/>
          <w:szCs w:val="20"/>
        </w:rPr>
        <w:footnoteRef/>
      </w:r>
      <w:r w:rsidRPr="00F9312A">
        <w:rPr>
          <w:sz w:val="20"/>
          <w:szCs w:val="20"/>
        </w:rPr>
        <w:t xml:space="preserve"> ibid</w:t>
      </w:r>
    </w:p>
  </w:footnote>
  <w:footnote w:id="188">
    <w:p w14:paraId="78CC0BD3" w14:textId="429FCDA1" w:rsidR="00857EB7" w:rsidRPr="00F9312A" w:rsidRDefault="00857EB7">
      <w:pPr>
        <w:pStyle w:val="FootnoteText"/>
        <w:rPr>
          <w:sz w:val="20"/>
          <w:szCs w:val="20"/>
        </w:rPr>
      </w:pPr>
      <w:r w:rsidRPr="00F9312A">
        <w:rPr>
          <w:rStyle w:val="FootnoteReference"/>
          <w:sz w:val="20"/>
          <w:szCs w:val="20"/>
        </w:rPr>
        <w:footnoteRef/>
      </w:r>
      <w:r w:rsidRPr="00F9312A">
        <w:rPr>
          <w:sz w:val="20"/>
          <w:szCs w:val="20"/>
        </w:rPr>
        <w:t xml:space="preserve"> Theft Act 1968, s.9(1)(b)</w:t>
      </w:r>
    </w:p>
  </w:footnote>
  <w:footnote w:id="189">
    <w:p w14:paraId="608C89A5" w14:textId="311F515B" w:rsidR="00857EB7" w:rsidRDefault="00857EB7">
      <w:pPr>
        <w:pStyle w:val="FootnoteText"/>
      </w:pPr>
      <w:r w:rsidRPr="00F9312A">
        <w:rPr>
          <w:rStyle w:val="FootnoteReference"/>
          <w:sz w:val="20"/>
          <w:szCs w:val="20"/>
        </w:rPr>
        <w:footnoteRef/>
      </w:r>
      <w:r w:rsidRPr="00F9312A">
        <w:rPr>
          <w:sz w:val="20"/>
          <w:szCs w:val="20"/>
        </w:rPr>
        <w:t xml:space="preserve"> </w:t>
      </w:r>
      <w:r w:rsidRPr="00F9312A">
        <w:rPr>
          <w:i/>
          <w:sz w:val="20"/>
          <w:szCs w:val="20"/>
        </w:rPr>
        <w:t>R v Jones &amp; Smith</w:t>
      </w:r>
      <w:r w:rsidRPr="00F9312A">
        <w:rPr>
          <w:sz w:val="20"/>
          <w:szCs w:val="20"/>
        </w:rPr>
        <w:t xml:space="preserve"> [1976] 1 WLR 672</w:t>
      </w:r>
    </w:p>
  </w:footnote>
  <w:footnote w:id="190">
    <w:p w14:paraId="2370F7E3" w14:textId="735A9BCC"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Law Commission, </w:t>
      </w:r>
      <w:r w:rsidRPr="00B96C41">
        <w:rPr>
          <w:i/>
          <w:sz w:val="20"/>
          <w:szCs w:val="20"/>
        </w:rPr>
        <w:t>Intoxication and Criminal Liability</w:t>
      </w:r>
      <w:r w:rsidRPr="00B96C41">
        <w:rPr>
          <w:sz w:val="20"/>
          <w:szCs w:val="20"/>
        </w:rPr>
        <w:t xml:space="preserve"> (Law Com No 314, 2009)  para 3.11</w:t>
      </w:r>
    </w:p>
  </w:footnote>
  <w:footnote w:id="191">
    <w:p w14:paraId="147B921C" w14:textId="1898E5A8"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S Gough, “Intoxication and Criminal Liability: The Law Commission’s Proposed Reforms” (1996) 112 Law Quarterly Review 335, 337</w:t>
      </w:r>
    </w:p>
  </w:footnote>
  <w:footnote w:id="192">
    <w:p w14:paraId="30AB6088" w14:textId="318383E9"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Law Commission, </w:t>
      </w:r>
      <w:r w:rsidRPr="00B96C41">
        <w:rPr>
          <w:i/>
          <w:sz w:val="20"/>
          <w:szCs w:val="20"/>
        </w:rPr>
        <w:t>Intoxication and Criminal Liability</w:t>
      </w:r>
      <w:r w:rsidRPr="00B96C41">
        <w:rPr>
          <w:sz w:val="20"/>
          <w:szCs w:val="20"/>
        </w:rPr>
        <w:t xml:space="preserve"> (Law Com No 314, 2009) paras 1.48-1.62</w:t>
      </w:r>
    </w:p>
  </w:footnote>
  <w:footnote w:id="193">
    <w:p w14:paraId="5777DBDB" w14:textId="2C3CC895" w:rsidR="00857EB7" w:rsidRPr="000A66A1" w:rsidRDefault="00857EB7">
      <w:pPr>
        <w:pStyle w:val="FootnoteText"/>
        <w:rPr>
          <w:lang w:val="es-ES"/>
        </w:rPr>
      </w:pPr>
      <w:r w:rsidRPr="00B96C41">
        <w:rPr>
          <w:rStyle w:val="FootnoteReference"/>
          <w:sz w:val="20"/>
          <w:szCs w:val="20"/>
        </w:rPr>
        <w:footnoteRef/>
      </w:r>
      <w:r w:rsidRPr="000A66A1">
        <w:rPr>
          <w:sz w:val="20"/>
          <w:szCs w:val="20"/>
          <w:lang w:val="es-ES"/>
        </w:rPr>
        <w:t xml:space="preserve"> </w:t>
      </w:r>
      <w:proofErr w:type="spellStart"/>
      <w:r w:rsidRPr="000A66A1">
        <w:rPr>
          <w:sz w:val="20"/>
          <w:szCs w:val="20"/>
          <w:lang w:val="es-ES"/>
        </w:rPr>
        <w:t>Ibid</w:t>
      </w:r>
      <w:proofErr w:type="spellEnd"/>
      <w:r w:rsidRPr="000A66A1">
        <w:rPr>
          <w:sz w:val="20"/>
          <w:szCs w:val="20"/>
          <w:lang w:val="es-ES"/>
        </w:rPr>
        <w:t>, para 3.18</w:t>
      </w:r>
      <w:r w:rsidRPr="000A66A1">
        <w:rPr>
          <w:lang w:val="es-ES"/>
        </w:rPr>
        <w:t xml:space="preserve"> </w:t>
      </w:r>
    </w:p>
  </w:footnote>
  <w:footnote w:id="194">
    <w:p w14:paraId="6699D1CD" w14:textId="5FEC1114" w:rsidR="00857EB7" w:rsidRPr="000A66A1" w:rsidRDefault="00857EB7">
      <w:pPr>
        <w:pStyle w:val="FootnoteText"/>
        <w:rPr>
          <w:sz w:val="20"/>
          <w:szCs w:val="20"/>
          <w:lang w:val="es-ES"/>
        </w:rPr>
      </w:pPr>
      <w:r w:rsidRPr="00B96C41">
        <w:rPr>
          <w:rStyle w:val="FootnoteReference"/>
          <w:sz w:val="20"/>
          <w:szCs w:val="20"/>
        </w:rPr>
        <w:footnoteRef/>
      </w:r>
      <w:r w:rsidRPr="000A66A1">
        <w:rPr>
          <w:sz w:val="20"/>
          <w:szCs w:val="20"/>
          <w:lang w:val="es-ES"/>
        </w:rPr>
        <w:t xml:space="preserve"> </w:t>
      </w:r>
      <w:proofErr w:type="spellStart"/>
      <w:r w:rsidRPr="000A66A1">
        <w:rPr>
          <w:sz w:val="20"/>
          <w:szCs w:val="20"/>
          <w:lang w:val="es-ES"/>
        </w:rPr>
        <w:t>Ibid</w:t>
      </w:r>
      <w:proofErr w:type="spellEnd"/>
      <w:r w:rsidRPr="000A66A1">
        <w:rPr>
          <w:sz w:val="20"/>
          <w:szCs w:val="20"/>
          <w:lang w:val="es-ES"/>
        </w:rPr>
        <w:t>, para 3.22</w:t>
      </w:r>
    </w:p>
  </w:footnote>
  <w:footnote w:id="195">
    <w:p w14:paraId="2F277830" w14:textId="405E4A56" w:rsidR="00857EB7" w:rsidRPr="000A66A1" w:rsidRDefault="00857EB7">
      <w:pPr>
        <w:pStyle w:val="FootnoteText"/>
        <w:rPr>
          <w:sz w:val="20"/>
          <w:szCs w:val="20"/>
          <w:lang w:val="es-ES"/>
        </w:rPr>
      </w:pPr>
      <w:r w:rsidRPr="00B96C41">
        <w:rPr>
          <w:rStyle w:val="FootnoteReference"/>
          <w:sz w:val="20"/>
          <w:szCs w:val="20"/>
        </w:rPr>
        <w:footnoteRef/>
      </w:r>
      <w:r w:rsidRPr="000A66A1">
        <w:rPr>
          <w:sz w:val="20"/>
          <w:szCs w:val="20"/>
          <w:lang w:val="es-ES"/>
        </w:rPr>
        <w:t xml:space="preserve"> </w:t>
      </w:r>
      <w:proofErr w:type="spellStart"/>
      <w:r w:rsidRPr="000A66A1">
        <w:rPr>
          <w:sz w:val="20"/>
          <w:szCs w:val="20"/>
          <w:lang w:val="es-ES"/>
        </w:rPr>
        <w:t>Ibid</w:t>
      </w:r>
      <w:proofErr w:type="spellEnd"/>
      <w:r w:rsidRPr="000A66A1">
        <w:rPr>
          <w:sz w:val="20"/>
          <w:szCs w:val="20"/>
          <w:lang w:val="es-ES"/>
        </w:rPr>
        <w:t>, para 3.23</w:t>
      </w:r>
    </w:p>
  </w:footnote>
  <w:footnote w:id="196">
    <w:p w14:paraId="3763E94F" w14:textId="22BD1B82"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Ibid, para 3.24</w:t>
      </w:r>
    </w:p>
  </w:footnote>
  <w:footnote w:id="197">
    <w:p w14:paraId="4B4EB84A" w14:textId="0BCA8E16"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Law Commission, </w:t>
      </w:r>
      <w:r w:rsidRPr="00B96C41">
        <w:rPr>
          <w:i/>
          <w:sz w:val="20"/>
          <w:szCs w:val="20"/>
        </w:rPr>
        <w:t>Intoxication and Criminal Liability</w:t>
      </w:r>
      <w:r w:rsidRPr="00B96C41">
        <w:rPr>
          <w:sz w:val="20"/>
          <w:szCs w:val="20"/>
        </w:rPr>
        <w:t xml:space="preserve"> (Law Com No 314, 2009</w:t>
      </w:r>
      <w:r>
        <w:rPr>
          <w:sz w:val="20"/>
          <w:szCs w:val="20"/>
        </w:rPr>
        <w:t>)</w:t>
      </w:r>
      <w:r w:rsidRPr="00B96C41">
        <w:rPr>
          <w:sz w:val="20"/>
          <w:szCs w:val="20"/>
        </w:rPr>
        <w:t xml:space="preserve"> para 3.31</w:t>
      </w:r>
    </w:p>
  </w:footnote>
  <w:footnote w:id="198">
    <w:p w14:paraId="379530E8" w14:textId="0FF0863E" w:rsidR="00857EB7" w:rsidRPr="000A66A1" w:rsidRDefault="00857EB7">
      <w:pPr>
        <w:pStyle w:val="FootnoteText"/>
        <w:rPr>
          <w:sz w:val="20"/>
          <w:szCs w:val="20"/>
          <w:lang w:val="es-ES"/>
        </w:rPr>
      </w:pPr>
      <w:r w:rsidRPr="00B96C41">
        <w:rPr>
          <w:rStyle w:val="FootnoteReference"/>
          <w:sz w:val="20"/>
          <w:szCs w:val="20"/>
        </w:rPr>
        <w:footnoteRef/>
      </w:r>
      <w:r w:rsidRPr="000A66A1">
        <w:rPr>
          <w:sz w:val="20"/>
          <w:szCs w:val="20"/>
          <w:lang w:val="es-ES"/>
        </w:rPr>
        <w:t xml:space="preserve"> </w:t>
      </w:r>
      <w:proofErr w:type="spellStart"/>
      <w:r w:rsidRPr="000A66A1">
        <w:rPr>
          <w:sz w:val="20"/>
          <w:szCs w:val="20"/>
          <w:lang w:val="es-ES"/>
        </w:rPr>
        <w:t>Ibid</w:t>
      </w:r>
      <w:proofErr w:type="spellEnd"/>
      <w:r w:rsidRPr="000A66A1">
        <w:rPr>
          <w:sz w:val="20"/>
          <w:szCs w:val="20"/>
          <w:lang w:val="es-ES"/>
        </w:rPr>
        <w:t xml:space="preserve">, </w:t>
      </w:r>
      <w:proofErr w:type="spellStart"/>
      <w:r w:rsidRPr="000A66A1">
        <w:rPr>
          <w:sz w:val="20"/>
          <w:szCs w:val="20"/>
          <w:lang w:val="es-ES"/>
        </w:rPr>
        <w:t>Appendix</w:t>
      </w:r>
      <w:proofErr w:type="spellEnd"/>
      <w:r w:rsidRPr="000A66A1">
        <w:rPr>
          <w:sz w:val="20"/>
          <w:szCs w:val="20"/>
          <w:lang w:val="es-ES"/>
        </w:rPr>
        <w:t xml:space="preserve"> A</w:t>
      </w:r>
    </w:p>
  </w:footnote>
  <w:footnote w:id="199">
    <w:p w14:paraId="65D16583" w14:textId="0B4973BA" w:rsidR="00857EB7" w:rsidRPr="000A66A1" w:rsidRDefault="00857EB7">
      <w:pPr>
        <w:pStyle w:val="FootnoteText"/>
        <w:rPr>
          <w:lang w:val="es-ES"/>
        </w:rPr>
      </w:pPr>
      <w:r w:rsidRPr="00B96C41">
        <w:rPr>
          <w:rStyle w:val="FootnoteReference"/>
          <w:sz w:val="20"/>
          <w:szCs w:val="20"/>
        </w:rPr>
        <w:footnoteRef/>
      </w:r>
      <w:r w:rsidRPr="000A66A1">
        <w:rPr>
          <w:sz w:val="20"/>
          <w:szCs w:val="20"/>
          <w:lang w:val="es-ES"/>
        </w:rPr>
        <w:t xml:space="preserve"> </w:t>
      </w:r>
      <w:proofErr w:type="spellStart"/>
      <w:r w:rsidRPr="000A66A1">
        <w:rPr>
          <w:sz w:val="20"/>
          <w:szCs w:val="20"/>
          <w:lang w:val="es-ES"/>
        </w:rPr>
        <w:t>Ibid</w:t>
      </w:r>
      <w:proofErr w:type="spellEnd"/>
      <w:r w:rsidRPr="000A66A1">
        <w:rPr>
          <w:sz w:val="20"/>
          <w:szCs w:val="20"/>
          <w:lang w:val="es-ES"/>
        </w:rPr>
        <w:t>, para 3.33</w:t>
      </w:r>
    </w:p>
  </w:footnote>
  <w:footnote w:id="200">
    <w:p w14:paraId="11F3C7A0" w14:textId="7EC40818" w:rsidR="00857EB7" w:rsidRPr="000A66A1" w:rsidRDefault="00857EB7">
      <w:pPr>
        <w:pStyle w:val="FootnoteText"/>
        <w:rPr>
          <w:sz w:val="20"/>
          <w:szCs w:val="20"/>
          <w:lang w:val="es-ES"/>
        </w:rPr>
      </w:pPr>
      <w:r w:rsidRPr="00B96C41">
        <w:rPr>
          <w:rStyle w:val="FootnoteReference"/>
          <w:sz w:val="20"/>
          <w:szCs w:val="20"/>
        </w:rPr>
        <w:footnoteRef/>
      </w:r>
      <w:r w:rsidRPr="000A66A1">
        <w:rPr>
          <w:sz w:val="20"/>
          <w:szCs w:val="20"/>
          <w:lang w:val="es-ES"/>
        </w:rPr>
        <w:t xml:space="preserve"> </w:t>
      </w:r>
      <w:proofErr w:type="spellStart"/>
      <w:r w:rsidRPr="000A66A1">
        <w:rPr>
          <w:sz w:val="20"/>
          <w:szCs w:val="20"/>
          <w:lang w:val="es-ES"/>
        </w:rPr>
        <w:t>Ibid</w:t>
      </w:r>
      <w:proofErr w:type="spellEnd"/>
      <w:r w:rsidRPr="000A66A1">
        <w:rPr>
          <w:sz w:val="20"/>
          <w:szCs w:val="20"/>
          <w:lang w:val="es-ES"/>
        </w:rPr>
        <w:t>, para, 3.34</w:t>
      </w:r>
    </w:p>
  </w:footnote>
  <w:footnote w:id="201">
    <w:p w14:paraId="19BE94C3" w14:textId="3977A2A9" w:rsidR="00857EB7" w:rsidRPr="000A66A1" w:rsidRDefault="00857EB7">
      <w:pPr>
        <w:pStyle w:val="FootnoteText"/>
        <w:rPr>
          <w:sz w:val="20"/>
          <w:szCs w:val="20"/>
          <w:lang w:val="es-ES"/>
        </w:rPr>
      </w:pPr>
      <w:r w:rsidRPr="00B96C41">
        <w:rPr>
          <w:rStyle w:val="FootnoteReference"/>
          <w:sz w:val="20"/>
          <w:szCs w:val="20"/>
        </w:rPr>
        <w:footnoteRef/>
      </w:r>
      <w:r w:rsidRPr="000A66A1">
        <w:rPr>
          <w:sz w:val="20"/>
          <w:szCs w:val="20"/>
          <w:lang w:val="es-ES"/>
        </w:rPr>
        <w:t xml:space="preserve"> </w:t>
      </w:r>
      <w:proofErr w:type="spellStart"/>
      <w:r w:rsidRPr="000A66A1">
        <w:rPr>
          <w:sz w:val="20"/>
          <w:szCs w:val="20"/>
          <w:lang w:val="es-ES"/>
        </w:rPr>
        <w:t>Ibid</w:t>
      </w:r>
      <w:proofErr w:type="spellEnd"/>
      <w:r w:rsidRPr="000A66A1">
        <w:rPr>
          <w:sz w:val="20"/>
          <w:szCs w:val="20"/>
          <w:lang w:val="es-ES"/>
        </w:rPr>
        <w:t>, para 3.35</w:t>
      </w:r>
    </w:p>
  </w:footnote>
  <w:footnote w:id="202">
    <w:p w14:paraId="20B66D8E" w14:textId="6F1B63D1" w:rsidR="00857EB7" w:rsidRPr="000A66A1" w:rsidRDefault="00857EB7">
      <w:pPr>
        <w:pStyle w:val="FootnoteText"/>
        <w:rPr>
          <w:sz w:val="20"/>
          <w:szCs w:val="20"/>
          <w:lang w:val="es-ES"/>
        </w:rPr>
      </w:pPr>
      <w:r w:rsidRPr="00B96C41">
        <w:rPr>
          <w:rStyle w:val="FootnoteReference"/>
          <w:sz w:val="20"/>
          <w:szCs w:val="20"/>
        </w:rPr>
        <w:footnoteRef/>
      </w:r>
      <w:r w:rsidRPr="000A66A1">
        <w:rPr>
          <w:sz w:val="20"/>
          <w:szCs w:val="20"/>
          <w:lang w:val="es-ES"/>
        </w:rPr>
        <w:t xml:space="preserve"> </w:t>
      </w:r>
      <w:proofErr w:type="spellStart"/>
      <w:r w:rsidRPr="000A66A1">
        <w:rPr>
          <w:sz w:val="20"/>
          <w:szCs w:val="20"/>
          <w:lang w:val="es-ES"/>
        </w:rPr>
        <w:t>Ibid</w:t>
      </w:r>
      <w:proofErr w:type="spellEnd"/>
      <w:r w:rsidRPr="000A66A1">
        <w:rPr>
          <w:sz w:val="20"/>
          <w:szCs w:val="20"/>
          <w:lang w:val="es-ES"/>
        </w:rPr>
        <w:t>, para 3.36</w:t>
      </w:r>
    </w:p>
  </w:footnote>
  <w:footnote w:id="203">
    <w:p w14:paraId="736C0750" w14:textId="4E0398EE" w:rsidR="00857EB7" w:rsidRPr="000A66A1" w:rsidRDefault="00857EB7">
      <w:pPr>
        <w:pStyle w:val="FootnoteText"/>
        <w:rPr>
          <w:sz w:val="20"/>
          <w:szCs w:val="20"/>
          <w:lang w:val="es-ES"/>
        </w:rPr>
      </w:pPr>
      <w:r w:rsidRPr="00B96C41">
        <w:rPr>
          <w:rStyle w:val="FootnoteReference"/>
          <w:sz w:val="20"/>
          <w:szCs w:val="20"/>
        </w:rPr>
        <w:footnoteRef/>
      </w:r>
      <w:r w:rsidRPr="000A66A1">
        <w:rPr>
          <w:sz w:val="20"/>
          <w:szCs w:val="20"/>
          <w:lang w:val="es-ES"/>
        </w:rPr>
        <w:t xml:space="preserve"> </w:t>
      </w:r>
      <w:proofErr w:type="spellStart"/>
      <w:r w:rsidRPr="000A66A1">
        <w:rPr>
          <w:sz w:val="20"/>
          <w:szCs w:val="20"/>
          <w:lang w:val="es-ES"/>
        </w:rPr>
        <w:t>Ibid</w:t>
      </w:r>
      <w:proofErr w:type="spellEnd"/>
      <w:r w:rsidRPr="000A66A1">
        <w:rPr>
          <w:sz w:val="20"/>
          <w:szCs w:val="20"/>
          <w:lang w:val="es-ES"/>
        </w:rPr>
        <w:t>, para 3.42</w:t>
      </w:r>
    </w:p>
  </w:footnote>
  <w:footnote w:id="204">
    <w:p w14:paraId="54AB4D12" w14:textId="24DD25C1"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Law Commission, </w:t>
      </w:r>
      <w:r w:rsidRPr="00B96C41">
        <w:rPr>
          <w:i/>
          <w:sz w:val="20"/>
          <w:szCs w:val="20"/>
        </w:rPr>
        <w:t>Intoxication and Criminal Liability</w:t>
      </w:r>
      <w:r w:rsidRPr="00B96C41">
        <w:rPr>
          <w:sz w:val="20"/>
          <w:szCs w:val="20"/>
        </w:rPr>
        <w:t xml:space="preserve"> (Law Com No 314, 2009)  para 3.44</w:t>
      </w:r>
    </w:p>
  </w:footnote>
  <w:footnote w:id="205">
    <w:p w14:paraId="72D32472" w14:textId="4445647C" w:rsidR="00857EB7" w:rsidRDefault="00857EB7">
      <w:pPr>
        <w:pStyle w:val="FootnoteText"/>
      </w:pPr>
      <w:r w:rsidRPr="00B96C41">
        <w:rPr>
          <w:rStyle w:val="FootnoteReference"/>
          <w:sz w:val="20"/>
          <w:szCs w:val="20"/>
        </w:rPr>
        <w:footnoteRef/>
      </w:r>
      <w:r w:rsidRPr="00B96C41">
        <w:rPr>
          <w:sz w:val="20"/>
          <w:szCs w:val="20"/>
        </w:rPr>
        <w:t xml:space="preserve"> </w:t>
      </w:r>
      <w:r w:rsidRPr="00B96C41">
        <w:rPr>
          <w:rStyle w:val="Emphasis"/>
          <w:rFonts w:cs="Arial"/>
          <w:bCs/>
          <w:color w:val="000000" w:themeColor="text1"/>
          <w:sz w:val="20"/>
          <w:szCs w:val="20"/>
        </w:rPr>
        <w:t xml:space="preserve">Ivey v Genting Casinos (UK) Ltd (trading as Crockfords Club) </w:t>
      </w:r>
      <w:r w:rsidRPr="00B96C41">
        <w:rPr>
          <w:rStyle w:val="Emphasis"/>
          <w:rFonts w:cs="Arial"/>
          <w:bCs/>
          <w:i w:val="0"/>
          <w:color w:val="000000" w:themeColor="text1"/>
          <w:sz w:val="20"/>
          <w:szCs w:val="20"/>
        </w:rPr>
        <w:t>[2018] A.C. 391</w:t>
      </w:r>
    </w:p>
  </w:footnote>
  <w:footnote w:id="206">
    <w:p w14:paraId="085B4FE8" w14:textId="6A1E2422"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Law Commission, </w:t>
      </w:r>
      <w:r w:rsidRPr="00B96C41">
        <w:rPr>
          <w:i/>
          <w:sz w:val="20"/>
          <w:szCs w:val="20"/>
        </w:rPr>
        <w:t>Intoxication and Criminal Liability</w:t>
      </w:r>
      <w:r w:rsidRPr="00B96C41">
        <w:rPr>
          <w:sz w:val="20"/>
          <w:szCs w:val="20"/>
        </w:rPr>
        <w:t xml:space="preserve"> (Law Com No 314, 2009) para 3.35</w:t>
      </w:r>
    </w:p>
  </w:footnote>
  <w:footnote w:id="207">
    <w:p w14:paraId="756EFBA0" w14:textId="32FE23C8"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Theft Act 1968, s.9(1)(a)</w:t>
      </w:r>
    </w:p>
  </w:footnote>
  <w:footnote w:id="208">
    <w:p w14:paraId="2C4C866F" w14:textId="7D2A7538"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w:t>
      </w:r>
      <w:r w:rsidRPr="00B96C41">
        <w:rPr>
          <w:i/>
          <w:sz w:val="20"/>
          <w:szCs w:val="20"/>
        </w:rPr>
        <w:t>R v Smith</w:t>
      </w:r>
      <w:r w:rsidRPr="00B96C41">
        <w:rPr>
          <w:sz w:val="20"/>
          <w:szCs w:val="20"/>
        </w:rPr>
        <w:t xml:space="preserve"> [1974] QB 354</w:t>
      </w:r>
    </w:p>
  </w:footnote>
  <w:footnote w:id="209">
    <w:p w14:paraId="4A81E7A8" w14:textId="71B17AA3" w:rsidR="00857EB7" w:rsidRDefault="00857EB7">
      <w:pPr>
        <w:pStyle w:val="FootnoteText"/>
      </w:pPr>
      <w:r w:rsidRPr="00B96C41">
        <w:rPr>
          <w:rStyle w:val="FootnoteReference"/>
          <w:sz w:val="20"/>
          <w:szCs w:val="20"/>
        </w:rPr>
        <w:footnoteRef/>
      </w:r>
      <w:r w:rsidRPr="00B96C41">
        <w:rPr>
          <w:sz w:val="20"/>
          <w:szCs w:val="20"/>
        </w:rPr>
        <w:t xml:space="preserve"> </w:t>
      </w:r>
      <w:r w:rsidRPr="00B96C41">
        <w:rPr>
          <w:i/>
          <w:sz w:val="20"/>
          <w:szCs w:val="20"/>
        </w:rPr>
        <w:t xml:space="preserve">R v Stephenson </w:t>
      </w:r>
      <w:r w:rsidRPr="00B96C41">
        <w:rPr>
          <w:sz w:val="20"/>
          <w:szCs w:val="20"/>
        </w:rPr>
        <w:t>[1979] QB 695</w:t>
      </w:r>
    </w:p>
  </w:footnote>
  <w:footnote w:id="210">
    <w:p w14:paraId="4D04A493" w14:textId="57FB9BFF"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Theft Act 1968, s.9(1)(b)</w:t>
      </w:r>
    </w:p>
  </w:footnote>
  <w:footnote w:id="211">
    <w:p w14:paraId="4E85F47F" w14:textId="0C26061C"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w:t>
      </w:r>
      <w:r w:rsidRPr="00B96C41">
        <w:rPr>
          <w:color w:val="000000" w:themeColor="text1"/>
          <w:sz w:val="20"/>
          <w:szCs w:val="20"/>
        </w:rPr>
        <w:t>Offences Against the Person Act 1861, s.20,</w:t>
      </w:r>
      <w:r w:rsidRPr="00B96C41">
        <w:rPr>
          <w:sz w:val="20"/>
          <w:szCs w:val="20"/>
        </w:rPr>
        <w:t xml:space="preserve"> Theft Act 1968, s. 9(1)(b)</w:t>
      </w:r>
    </w:p>
  </w:footnote>
  <w:footnote w:id="212">
    <w:p w14:paraId="3EBC4ECA" w14:textId="51E99F3D" w:rsidR="00857EB7" w:rsidRDefault="00857EB7">
      <w:pPr>
        <w:pStyle w:val="FootnoteText"/>
      </w:pPr>
      <w:r w:rsidRPr="00B96C41">
        <w:rPr>
          <w:rStyle w:val="FootnoteReference"/>
          <w:sz w:val="20"/>
          <w:szCs w:val="20"/>
        </w:rPr>
        <w:footnoteRef/>
      </w:r>
      <w:r w:rsidRPr="00B96C41">
        <w:rPr>
          <w:sz w:val="20"/>
          <w:szCs w:val="20"/>
        </w:rPr>
        <w:t xml:space="preserve"> Theft Act 1968, s.9(1)(a) and s.9(1)(b)</w:t>
      </w:r>
    </w:p>
  </w:footnote>
  <w:footnote w:id="213">
    <w:p w14:paraId="09CB05AA" w14:textId="44CD43E6" w:rsidR="00857EB7" w:rsidRPr="00B96C41" w:rsidRDefault="00857EB7">
      <w:pPr>
        <w:pStyle w:val="FootnoteText"/>
        <w:rPr>
          <w:sz w:val="20"/>
          <w:szCs w:val="20"/>
        </w:rPr>
      </w:pPr>
      <w:r w:rsidRPr="00B96C41">
        <w:rPr>
          <w:rStyle w:val="FootnoteReference"/>
          <w:sz w:val="20"/>
          <w:szCs w:val="20"/>
        </w:rPr>
        <w:footnoteRef/>
      </w:r>
      <w:r w:rsidRPr="00B96C41">
        <w:rPr>
          <w:sz w:val="20"/>
          <w:szCs w:val="20"/>
        </w:rPr>
        <w:t xml:space="preserve"> Law Commission, </w:t>
      </w:r>
      <w:r w:rsidRPr="00B96C41">
        <w:rPr>
          <w:i/>
          <w:sz w:val="20"/>
          <w:szCs w:val="20"/>
        </w:rPr>
        <w:t>Intoxication and Criminal Liability</w:t>
      </w:r>
      <w:r w:rsidRPr="00B96C41">
        <w:rPr>
          <w:sz w:val="20"/>
          <w:szCs w:val="20"/>
        </w:rPr>
        <w:t xml:space="preserve"> (Law Com No 314, 2009) para 3.51</w:t>
      </w:r>
    </w:p>
  </w:footnote>
  <w:footnote w:id="214">
    <w:p w14:paraId="5FD9E343" w14:textId="4350659B" w:rsidR="00857EB7" w:rsidRPr="005B2565" w:rsidRDefault="00857EB7">
      <w:pPr>
        <w:pStyle w:val="FootnoteText"/>
        <w:rPr>
          <w:sz w:val="20"/>
          <w:szCs w:val="20"/>
        </w:rPr>
      </w:pPr>
      <w:r w:rsidRPr="005B2565">
        <w:rPr>
          <w:rStyle w:val="FootnoteReference"/>
          <w:sz w:val="20"/>
          <w:szCs w:val="20"/>
        </w:rPr>
        <w:footnoteRef/>
      </w:r>
      <w:r w:rsidRPr="005B2565">
        <w:rPr>
          <w:sz w:val="20"/>
          <w:szCs w:val="20"/>
        </w:rPr>
        <w:t xml:space="preserve"> </w:t>
      </w:r>
      <w:r w:rsidRPr="005B2565">
        <w:rPr>
          <w:rFonts w:cs="Arial"/>
          <w:bCs/>
          <w:i/>
          <w:color w:val="000000" w:themeColor="text1"/>
          <w:sz w:val="20"/>
          <w:szCs w:val="20"/>
          <w:lang w:val="en-US"/>
        </w:rPr>
        <w:t>DPP v Majewski</w:t>
      </w:r>
      <w:r w:rsidRPr="005B2565">
        <w:rPr>
          <w:rFonts w:cs="Arial"/>
          <w:bCs/>
          <w:color w:val="000000" w:themeColor="text1"/>
          <w:sz w:val="20"/>
          <w:szCs w:val="20"/>
          <w:lang w:val="en-US"/>
        </w:rPr>
        <w:t xml:space="preserve"> </w:t>
      </w:r>
      <w:hyperlink r:id="rId27" w:history="1">
        <w:r w:rsidRPr="005B2565">
          <w:rPr>
            <w:rFonts w:cs="Arial"/>
            <w:color w:val="000000" w:themeColor="text1"/>
            <w:sz w:val="20"/>
            <w:szCs w:val="20"/>
            <w:lang w:val="en-US"/>
          </w:rPr>
          <w:t>[1977] A.C. 443</w:t>
        </w:r>
      </w:hyperlink>
    </w:p>
  </w:footnote>
  <w:footnote w:id="215">
    <w:p w14:paraId="380CFADA" w14:textId="1881D137" w:rsidR="00857EB7" w:rsidRPr="005B2565" w:rsidRDefault="00857EB7">
      <w:pPr>
        <w:pStyle w:val="FootnoteText"/>
        <w:rPr>
          <w:sz w:val="20"/>
          <w:szCs w:val="20"/>
        </w:rPr>
      </w:pPr>
      <w:r w:rsidRPr="005B2565">
        <w:rPr>
          <w:rStyle w:val="FootnoteReference"/>
          <w:sz w:val="20"/>
          <w:szCs w:val="20"/>
        </w:rPr>
        <w:footnoteRef/>
      </w:r>
      <w:r w:rsidRPr="005B2565">
        <w:rPr>
          <w:sz w:val="20"/>
          <w:szCs w:val="20"/>
        </w:rPr>
        <w:t xml:space="preserve"> Ibid </w:t>
      </w:r>
    </w:p>
  </w:footnote>
  <w:footnote w:id="216">
    <w:p w14:paraId="12387A7D" w14:textId="78EDFB18" w:rsidR="00857EB7" w:rsidRPr="005B2565" w:rsidRDefault="00857EB7">
      <w:pPr>
        <w:pStyle w:val="FootnoteText"/>
        <w:rPr>
          <w:sz w:val="20"/>
          <w:szCs w:val="20"/>
        </w:rPr>
      </w:pPr>
      <w:r w:rsidRPr="005B2565">
        <w:rPr>
          <w:rStyle w:val="FootnoteReference"/>
          <w:sz w:val="20"/>
          <w:szCs w:val="20"/>
        </w:rPr>
        <w:footnoteRef/>
      </w:r>
      <w:r w:rsidRPr="005B2565">
        <w:rPr>
          <w:sz w:val="20"/>
          <w:szCs w:val="20"/>
        </w:rPr>
        <w:t xml:space="preserve"> Ibid </w:t>
      </w:r>
    </w:p>
  </w:footnote>
  <w:footnote w:id="217">
    <w:p w14:paraId="15DBFA09" w14:textId="5E1339FA" w:rsidR="00857EB7" w:rsidRPr="00BF7018" w:rsidRDefault="00857EB7">
      <w:pPr>
        <w:pStyle w:val="FootnoteText"/>
        <w:rPr>
          <w:sz w:val="20"/>
          <w:szCs w:val="20"/>
        </w:rPr>
      </w:pPr>
      <w:r w:rsidRPr="005B2565">
        <w:rPr>
          <w:rStyle w:val="FootnoteReference"/>
          <w:sz w:val="20"/>
          <w:szCs w:val="20"/>
        </w:rPr>
        <w:footnoteRef/>
      </w:r>
      <w:r w:rsidRPr="005B2565">
        <w:rPr>
          <w:sz w:val="20"/>
          <w:szCs w:val="20"/>
        </w:rPr>
        <w:t xml:space="preserve"> </w:t>
      </w:r>
      <w:r w:rsidRPr="005B2565">
        <w:rPr>
          <w:i/>
          <w:sz w:val="20"/>
          <w:szCs w:val="20"/>
        </w:rPr>
        <w:t>R v Richardson</w:t>
      </w:r>
      <w:r w:rsidRPr="005B2565">
        <w:rPr>
          <w:sz w:val="20"/>
          <w:szCs w:val="20"/>
        </w:rPr>
        <w:t xml:space="preserve"> [1999] 1 Cr. App. R. 392</w:t>
      </w:r>
    </w:p>
  </w:footnote>
  <w:footnote w:id="218">
    <w:p w14:paraId="517A7446" w14:textId="2E022C49" w:rsidR="00857EB7" w:rsidRPr="005B2565" w:rsidRDefault="00857EB7">
      <w:pPr>
        <w:pStyle w:val="FootnoteText"/>
        <w:rPr>
          <w:sz w:val="20"/>
          <w:szCs w:val="20"/>
        </w:rPr>
      </w:pPr>
      <w:r w:rsidRPr="005B2565">
        <w:rPr>
          <w:rStyle w:val="FootnoteReference"/>
          <w:sz w:val="20"/>
          <w:szCs w:val="20"/>
        </w:rPr>
        <w:footnoteRef/>
      </w:r>
      <w:r w:rsidRPr="005B2565">
        <w:rPr>
          <w:sz w:val="20"/>
          <w:szCs w:val="20"/>
        </w:rPr>
        <w:t xml:space="preserve"> </w:t>
      </w:r>
      <w:r w:rsidRPr="005B2565">
        <w:rPr>
          <w:rFonts w:cs="Arial"/>
          <w:bCs/>
          <w:i/>
          <w:color w:val="000000" w:themeColor="text1"/>
          <w:sz w:val="20"/>
          <w:szCs w:val="20"/>
          <w:lang w:val="en-US"/>
        </w:rPr>
        <w:t>DPP v Majewski</w:t>
      </w:r>
      <w:r w:rsidRPr="005B2565">
        <w:rPr>
          <w:rFonts w:cs="Arial"/>
          <w:bCs/>
          <w:color w:val="000000" w:themeColor="text1"/>
          <w:sz w:val="20"/>
          <w:szCs w:val="20"/>
          <w:lang w:val="en-US"/>
        </w:rPr>
        <w:t xml:space="preserve"> </w:t>
      </w:r>
      <w:hyperlink r:id="rId28" w:history="1">
        <w:r w:rsidRPr="005B2565">
          <w:rPr>
            <w:rFonts w:cs="Arial"/>
            <w:color w:val="000000" w:themeColor="text1"/>
            <w:sz w:val="20"/>
            <w:szCs w:val="20"/>
            <w:lang w:val="en-US"/>
          </w:rPr>
          <w:t>[1977] A.C. 443</w:t>
        </w:r>
      </w:hyperlink>
    </w:p>
  </w:footnote>
  <w:footnote w:id="219">
    <w:p w14:paraId="1DF5943B" w14:textId="1489E379" w:rsidR="00857EB7" w:rsidRPr="005B2565" w:rsidRDefault="00857EB7">
      <w:pPr>
        <w:pStyle w:val="FootnoteText"/>
        <w:rPr>
          <w:sz w:val="20"/>
          <w:szCs w:val="20"/>
        </w:rPr>
      </w:pPr>
      <w:r w:rsidRPr="005B2565">
        <w:rPr>
          <w:rStyle w:val="FootnoteReference"/>
          <w:sz w:val="20"/>
          <w:szCs w:val="20"/>
        </w:rPr>
        <w:footnoteRef/>
      </w:r>
      <w:r w:rsidRPr="005B2565">
        <w:rPr>
          <w:sz w:val="20"/>
          <w:szCs w:val="20"/>
        </w:rPr>
        <w:t xml:space="preserve"> Ibid </w:t>
      </w:r>
    </w:p>
  </w:footnote>
  <w:footnote w:id="220">
    <w:p w14:paraId="5161C029" w14:textId="1C6D4420" w:rsidR="00857EB7" w:rsidRPr="005B2565" w:rsidRDefault="00857EB7">
      <w:pPr>
        <w:pStyle w:val="FootnoteText"/>
        <w:rPr>
          <w:sz w:val="20"/>
          <w:szCs w:val="20"/>
        </w:rPr>
      </w:pPr>
      <w:r w:rsidRPr="005B2565">
        <w:rPr>
          <w:rStyle w:val="FootnoteReference"/>
          <w:sz w:val="20"/>
          <w:szCs w:val="20"/>
        </w:rPr>
        <w:footnoteRef/>
      </w:r>
      <w:r w:rsidRPr="005B2565">
        <w:rPr>
          <w:sz w:val="20"/>
          <w:szCs w:val="20"/>
        </w:rPr>
        <w:t xml:space="preserve"> ibid</w:t>
      </w:r>
    </w:p>
  </w:footnote>
  <w:footnote w:id="221">
    <w:p w14:paraId="459FB773" w14:textId="052B91D3" w:rsidR="00857EB7" w:rsidRPr="005B2565" w:rsidRDefault="00857EB7">
      <w:pPr>
        <w:pStyle w:val="FootnoteText"/>
        <w:rPr>
          <w:sz w:val="20"/>
          <w:szCs w:val="20"/>
        </w:rPr>
      </w:pPr>
      <w:r w:rsidRPr="005B2565">
        <w:rPr>
          <w:rStyle w:val="FootnoteReference"/>
          <w:sz w:val="20"/>
          <w:szCs w:val="20"/>
        </w:rPr>
        <w:footnoteRef/>
      </w:r>
      <w:r w:rsidRPr="005B2565">
        <w:rPr>
          <w:sz w:val="20"/>
          <w:szCs w:val="20"/>
        </w:rPr>
        <w:t xml:space="preserve"> </w:t>
      </w:r>
      <w:r w:rsidR="00391177" w:rsidRPr="005B2565">
        <w:rPr>
          <w:rFonts w:cs="Arial"/>
          <w:bCs/>
          <w:i/>
          <w:color w:val="000000" w:themeColor="text1"/>
          <w:sz w:val="20"/>
          <w:szCs w:val="20"/>
          <w:lang w:val="en-US"/>
        </w:rPr>
        <w:t>DPP v Majewski</w:t>
      </w:r>
      <w:r w:rsidR="00391177" w:rsidRPr="005B2565">
        <w:rPr>
          <w:rFonts w:cs="Arial"/>
          <w:bCs/>
          <w:color w:val="000000" w:themeColor="text1"/>
          <w:sz w:val="20"/>
          <w:szCs w:val="20"/>
          <w:lang w:val="en-US"/>
        </w:rPr>
        <w:t xml:space="preserve"> </w:t>
      </w:r>
      <w:hyperlink r:id="rId29" w:history="1">
        <w:r w:rsidR="00391177" w:rsidRPr="005B2565">
          <w:rPr>
            <w:rFonts w:cs="Arial"/>
            <w:color w:val="000000" w:themeColor="text1"/>
            <w:sz w:val="20"/>
            <w:szCs w:val="20"/>
            <w:lang w:val="en-US"/>
          </w:rPr>
          <w:t>[1977] A.C. 443</w:t>
        </w:r>
      </w:hyperlink>
    </w:p>
  </w:footnote>
  <w:footnote w:id="222">
    <w:p w14:paraId="655C4A16" w14:textId="20D691D1" w:rsidR="00857EB7" w:rsidRDefault="00857EB7">
      <w:pPr>
        <w:pStyle w:val="FootnoteText"/>
      </w:pPr>
      <w:r w:rsidRPr="005B2565">
        <w:rPr>
          <w:rStyle w:val="FootnoteReference"/>
          <w:sz w:val="20"/>
          <w:szCs w:val="20"/>
        </w:rPr>
        <w:footnoteRef/>
      </w:r>
      <w:r w:rsidRPr="005B2565">
        <w:rPr>
          <w:sz w:val="20"/>
          <w:szCs w:val="20"/>
        </w:rPr>
        <w:t xml:space="preserve"> ibid</w:t>
      </w:r>
    </w:p>
  </w:footnote>
  <w:footnote w:id="223">
    <w:p w14:paraId="3D00AE89" w14:textId="2D1B0D5D" w:rsidR="00857EB7" w:rsidRDefault="00857EB7">
      <w:pPr>
        <w:pStyle w:val="FootnoteText"/>
      </w:pPr>
      <w:r w:rsidRPr="00BF7018">
        <w:rPr>
          <w:rStyle w:val="FootnoteReference"/>
          <w:sz w:val="20"/>
          <w:szCs w:val="20"/>
        </w:rPr>
        <w:footnoteRef/>
      </w:r>
      <w:r w:rsidRPr="00BF7018">
        <w:rPr>
          <w:sz w:val="20"/>
          <w:szCs w:val="20"/>
        </w:rPr>
        <w:t xml:space="preserve"> </w:t>
      </w:r>
      <w:r w:rsidRPr="00BF7018">
        <w:rPr>
          <w:i/>
          <w:sz w:val="20"/>
          <w:szCs w:val="20"/>
        </w:rPr>
        <w:t xml:space="preserve">Kingston </w:t>
      </w:r>
      <w:r w:rsidRPr="00BF7018">
        <w:rPr>
          <w:sz w:val="20"/>
          <w:szCs w:val="20"/>
        </w:rPr>
        <w:t>[1995] 2 AC 355</w:t>
      </w:r>
    </w:p>
  </w:footnote>
  <w:footnote w:id="224">
    <w:p w14:paraId="47EC1F41" w14:textId="64922314" w:rsidR="00857EB7" w:rsidRDefault="00857EB7">
      <w:pPr>
        <w:pStyle w:val="FootnoteText"/>
      </w:pPr>
      <w:r>
        <w:rPr>
          <w:rStyle w:val="FootnoteReference"/>
        </w:rPr>
        <w:footnoteRef/>
      </w:r>
      <w:r>
        <w:t xml:space="preserve"> </w:t>
      </w:r>
      <w:r w:rsidRPr="00272AC6">
        <w:rPr>
          <w:sz w:val="20"/>
          <w:szCs w:val="20"/>
        </w:rPr>
        <w:t>Theft Act 1968,</w:t>
      </w:r>
      <w:r>
        <w:rPr>
          <w:sz w:val="20"/>
          <w:szCs w:val="20"/>
        </w:rPr>
        <w:t xml:space="preserve"> s.6(1)</w:t>
      </w:r>
    </w:p>
  </w:footnote>
  <w:footnote w:id="225">
    <w:p w14:paraId="3C8C7EA2" w14:textId="351428FB" w:rsidR="00857EB7" w:rsidRDefault="00857EB7">
      <w:pPr>
        <w:pStyle w:val="FootnoteText"/>
      </w:pPr>
      <w:r>
        <w:rPr>
          <w:rStyle w:val="FootnoteReference"/>
        </w:rPr>
        <w:footnoteRef/>
      </w:r>
      <w:r>
        <w:t xml:space="preserve"> </w:t>
      </w:r>
      <w:r w:rsidRPr="00B35207">
        <w:rPr>
          <w:color w:val="000000" w:themeColor="text1"/>
          <w:sz w:val="20"/>
          <w:szCs w:val="20"/>
        </w:rPr>
        <w:t>Offences Against the Person Act 1861</w:t>
      </w:r>
      <w:r>
        <w:rPr>
          <w:color w:val="000000" w:themeColor="text1"/>
          <w:sz w:val="20"/>
          <w:szCs w:val="20"/>
        </w:rPr>
        <w:t>, s.20</w:t>
      </w:r>
    </w:p>
  </w:footnote>
  <w:footnote w:id="226">
    <w:p w14:paraId="4693445E" w14:textId="5A037FB5" w:rsidR="00857EB7" w:rsidRPr="00F61FBB" w:rsidRDefault="00857EB7">
      <w:pPr>
        <w:pStyle w:val="FootnoteText"/>
        <w:rPr>
          <w:sz w:val="20"/>
          <w:szCs w:val="20"/>
        </w:rPr>
      </w:pPr>
      <w:r>
        <w:rPr>
          <w:rStyle w:val="FootnoteReference"/>
        </w:rPr>
        <w:footnoteRef/>
      </w:r>
      <w:r>
        <w:t xml:space="preserve"> </w:t>
      </w:r>
      <w:r w:rsidRPr="00F61FBB">
        <w:rPr>
          <w:sz w:val="20"/>
          <w:szCs w:val="20"/>
        </w:rPr>
        <w:t>Criminal Damage</w:t>
      </w:r>
      <w:r>
        <w:rPr>
          <w:sz w:val="20"/>
          <w:szCs w:val="20"/>
        </w:rPr>
        <w:t xml:space="preserve"> Act 1971, s.1(1)</w:t>
      </w:r>
    </w:p>
  </w:footnote>
  <w:footnote w:id="227">
    <w:p w14:paraId="64FAD877" w14:textId="4F6A8AEC" w:rsidR="00857EB7" w:rsidRPr="005B2565" w:rsidRDefault="00857EB7">
      <w:pPr>
        <w:pStyle w:val="FootnoteText"/>
        <w:rPr>
          <w:sz w:val="20"/>
          <w:szCs w:val="20"/>
        </w:rPr>
      </w:pPr>
      <w:r w:rsidRPr="005B2565">
        <w:rPr>
          <w:rStyle w:val="FootnoteReference"/>
          <w:sz w:val="20"/>
          <w:szCs w:val="20"/>
        </w:rPr>
        <w:footnoteRef/>
      </w:r>
      <w:r w:rsidRPr="005B2565">
        <w:rPr>
          <w:sz w:val="20"/>
          <w:szCs w:val="20"/>
        </w:rPr>
        <w:t xml:space="preserve"> </w:t>
      </w:r>
      <w:r w:rsidRPr="005B2565">
        <w:rPr>
          <w:rFonts w:cs="Arial"/>
          <w:bCs/>
          <w:i/>
          <w:color w:val="000000" w:themeColor="text1"/>
          <w:sz w:val="20"/>
          <w:szCs w:val="20"/>
          <w:lang w:val="en-US"/>
        </w:rPr>
        <w:t>DPP v Majewski</w:t>
      </w:r>
      <w:r w:rsidRPr="005B2565">
        <w:rPr>
          <w:rFonts w:cs="Arial"/>
          <w:bCs/>
          <w:color w:val="000000" w:themeColor="text1"/>
          <w:sz w:val="20"/>
          <w:szCs w:val="20"/>
          <w:lang w:val="en-US"/>
        </w:rPr>
        <w:t xml:space="preserve"> </w:t>
      </w:r>
      <w:hyperlink r:id="rId30" w:history="1">
        <w:r w:rsidRPr="005B2565">
          <w:rPr>
            <w:rFonts w:cs="Arial"/>
            <w:color w:val="000000" w:themeColor="text1"/>
            <w:sz w:val="20"/>
            <w:szCs w:val="20"/>
            <w:lang w:val="en-US"/>
          </w:rPr>
          <w:t>[1977] A.C. 443</w:t>
        </w:r>
      </w:hyperlink>
    </w:p>
  </w:footnote>
  <w:footnote w:id="228">
    <w:p w14:paraId="2FD1DDC9" w14:textId="30707EC7" w:rsidR="00857EB7" w:rsidRDefault="00857EB7">
      <w:pPr>
        <w:pStyle w:val="FootnoteText"/>
      </w:pPr>
      <w:r w:rsidRPr="005B2565">
        <w:rPr>
          <w:rStyle w:val="FootnoteReference"/>
          <w:sz w:val="20"/>
          <w:szCs w:val="20"/>
        </w:rPr>
        <w:footnoteRef/>
      </w:r>
      <w:r w:rsidRPr="005B2565">
        <w:rPr>
          <w:sz w:val="20"/>
          <w:szCs w:val="20"/>
        </w:rPr>
        <w:t xml:space="preserve"> Ibid</w:t>
      </w:r>
      <w:r>
        <w:t xml:space="preserve"> </w:t>
      </w:r>
    </w:p>
  </w:footnote>
  <w:footnote w:id="229">
    <w:p w14:paraId="26F58BDE" w14:textId="479E798F" w:rsidR="00857EB7" w:rsidRDefault="00857EB7">
      <w:pPr>
        <w:pStyle w:val="FootnoteText"/>
      </w:pPr>
      <w:r>
        <w:rPr>
          <w:rStyle w:val="FootnoteReference"/>
        </w:rPr>
        <w:footnoteRef/>
      </w:r>
      <w:r>
        <w:t xml:space="preserve"> </w:t>
      </w:r>
      <w:r w:rsidRPr="00386CB4">
        <w:rPr>
          <w:rFonts w:cs="Arial"/>
          <w:sz w:val="20"/>
          <w:szCs w:val="20"/>
        </w:rPr>
        <w:t xml:space="preserve">Law Commission, </w:t>
      </w:r>
      <w:r w:rsidRPr="00386CB4">
        <w:rPr>
          <w:rFonts w:cs="Arial"/>
          <w:i/>
          <w:sz w:val="20"/>
          <w:szCs w:val="20"/>
        </w:rPr>
        <w:t>Intoxication and Criminal Liability</w:t>
      </w:r>
      <w:r w:rsidRPr="00386CB4">
        <w:rPr>
          <w:rFonts w:cs="Arial"/>
          <w:sz w:val="20"/>
          <w:szCs w:val="20"/>
        </w:rPr>
        <w:t xml:space="preserve"> (Law Com No 314, 2009</w:t>
      </w:r>
      <w:r>
        <w:rPr>
          <w:rFonts w:cs="Arial"/>
          <w:sz w:val="20"/>
          <w:szCs w:val="20"/>
        </w:rPr>
        <w:t xml:space="preserve"> paras </w:t>
      </w:r>
      <w:r w:rsidRPr="00386CB4">
        <w:rPr>
          <w:rFonts w:cs="Arial"/>
          <w:sz w:val="20"/>
          <w:szCs w:val="20"/>
        </w:rPr>
        <w:t>1.28 and 5.29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C3E6B"/>
    <w:multiLevelType w:val="hybridMultilevel"/>
    <w:tmpl w:val="A12A7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B0D1B"/>
    <w:multiLevelType w:val="hybridMultilevel"/>
    <w:tmpl w:val="CE1E144C"/>
    <w:lvl w:ilvl="0" w:tplc="D59AF2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4625D3"/>
    <w:multiLevelType w:val="hybridMultilevel"/>
    <w:tmpl w:val="38F21B74"/>
    <w:lvl w:ilvl="0" w:tplc="19B82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FE7387"/>
    <w:multiLevelType w:val="hybridMultilevel"/>
    <w:tmpl w:val="4B5A46D4"/>
    <w:lvl w:ilvl="0" w:tplc="8DA686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71"/>
    <w:rsid w:val="000026E7"/>
    <w:rsid w:val="00015134"/>
    <w:rsid w:val="00023473"/>
    <w:rsid w:val="00026576"/>
    <w:rsid w:val="0002774C"/>
    <w:rsid w:val="000278A6"/>
    <w:rsid w:val="00033163"/>
    <w:rsid w:val="00035277"/>
    <w:rsid w:val="00037316"/>
    <w:rsid w:val="00051DA1"/>
    <w:rsid w:val="00052DB7"/>
    <w:rsid w:val="00057133"/>
    <w:rsid w:val="00057280"/>
    <w:rsid w:val="000611F7"/>
    <w:rsid w:val="000624C3"/>
    <w:rsid w:val="000626A6"/>
    <w:rsid w:val="00064899"/>
    <w:rsid w:val="000657B1"/>
    <w:rsid w:val="00072415"/>
    <w:rsid w:val="00073980"/>
    <w:rsid w:val="00077E22"/>
    <w:rsid w:val="000809B8"/>
    <w:rsid w:val="0008161E"/>
    <w:rsid w:val="00094595"/>
    <w:rsid w:val="00095609"/>
    <w:rsid w:val="00095869"/>
    <w:rsid w:val="00096B85"/>
    <w:rsid w:val="000A282D"/>
    <w:rsid w:val="000A5808"/>
    <w:rsid w:val="000A66A1"/>
    <w:rsid w:val="000A7B9E"/>
    <w:rsid w:val="000B48F9"/>
    <w:rsid w:val="000B5A43"/>
    <w:rsid w:val="000C6036"/>
    <w:rsid w:val="000D25D9"/>
    <w:rsid w:val="000D3320"/>
    <w:rsid w:val="000D611E"/>
    <w:rsid w:val="000D7C21"/>
    <w:rsid w:val="000E0751"/>
    <w:rsid w:val="000E1F76"/>
    <w:rsid w:val="000E4886"/>
    <w:rsid w:val="000E7602"/>
    <w:rsid w:val="000F02B8"/>
    <w:rsid w:val="000F0475"/>
    <w:rsid w:val="000F5057"/>
    <w:rsid w:val="00100D02"/>
    <w:rsid w:val="00107364"/>
    <w:rsid w:val="0011229E"/>
    <w:rsid w:val="00122593"/>
    <w:rsid w:val="001242F5"/>
    <w:rsid w:val="00130E8B"/>
    <w:rsid w:val="00136C48"/>
    <w:rsid w:val="00137051"/>
    <w:rsid w:val="001423D0"/>
    <w:rsid w:val="0014732A"/>
    <w:rsid w:val="00154746"/>
    <w:rsid w:val="00154F86"/>
    <w:rsid w:val="00156E44"/>
    <w:rsid w:val="00164ACA"/>
    <w:rsid w:val="00167B60"/>
    <w:rsid w:val="00172364"/>
    <w:rsid w:val="00182D53"/>
    <w:rsid w:val="001926EE"/>
    <w:rsid w:val="001A0A39"/>
    <w:rsid w:val="001A0BF9"/>
    <w:rsid w:val="001A1B86"/>
    <w:rsid w:val="001A23FF"/>
    <w:rsid w:val="001A4628"/>
    <w:rsid w:val="001A4B11"/>
    <w:rsid w:val="001A5BB2"/>
    <w:rsid w:val="001B006F"/>
    <w:rsid w:val="001B2903"/>
    <w:rsid w:val="001B3014"/>
    <w:rsid w:val="001B6700"/>
    <w:rsid w:val="001C3CA7"/>
    <w:rsid w:val="001D2549"/>
    <w:rsid w:val="001D2931"/>
    <w:rsid w:val="001D62D1"/>
    <w:rsid w:val="001E077F"/>
    <w:rsid w:val="001E0BC1"/>
    <w:rsid w:val="001E1B1B"/>
    <w:rsid w:val="001E1C55"/>
    <w:rsid w:val="001E25CA"/>
    <w:rsid w:val="001E52EF"/>
    <w:rsid w:val="001F50DA"/>
    <w:rsid w:val="001F5171"/>
    <w:rsid w:val="001F5896"/>
    <w:rsid w:val="001F79F3"/>
    <w:rsid w:val="00205D38"/>
    <w:rsid w:val="00205FDB"/>
    <w:rsid w:val="0020609B"/>
    <w:rsid w:val="00206273"/>
    <w:rsid w:val="00207A36"/>
    <w:rsid w:val="0022163A"/>
    <w:rsid w:val="00226AE6"/>
    <w:rsid w:val="00232D58"/>
    <w:rsid w:val="0023308F"/>
    <w:rsid w:val="0023356F"/>
    <w:rsid w:val="002336E5"/>
    <w:rsid w:val="002348BB"/>
    <w:rsid w:val="00235272"/>
    <w:rsid w:val="00243C6A"/>
    <w:rsid w:val="00243CB6"/>
    <w:rsid w:val="002459C5"/>
    <w:rsid w:val="00251735"/>
    <w:rsid w:val="002531FE"/>
    <w:rsid w:val="002537C3"/>
    <w:rsid w:val="002553B5"/>
    <w:rsid w:val="00257011"/>
    <w:rsid w:val="00267259"/>
    <w:rsid w:val="00272AC6"/>
    <w:rsid w:val="00277430"/>
    <w:rsid w:val="00282565"/>
    <w:rsid w:val="00283046"/>
    <w:rsid w:val="00283A5A"/>
    <w:rsid w:val="0028758C"/>
    <w:rsid w:val="002C2219"/>
    <w:rsid w:val="002C6352"/>
    <w:rsid w:val="002C7147"/>
    <w:rsid w:val="002D5F7D"/>
    <w:rsid w:val="002D7344"/>
    <w:rsid w:val="002E0005"/>
    <w:rsid w:val="002E1FF8"/>
    <w:rsid w:val="002E2AD9"/>
    <w:rsid w:val="002E6A89"/>
    <w:rsid w:val="002F568C"/>
    <w:rsid w:val="002F6504"/>
    <w:rsid w:val="0030375E"/>
    <w:rsid w:val="003046C8"/>
    <w:rsid w:val="0031277A"/>
    <w:rsid w:val="003209AD"/>
    <w:rsid w:val="0033097B"/>
    <w:rsid w:val="00337B07"/>
    <w:rsid w:val="00342D9F"/>
    <w:rsid w:val="00343F1F"/>
    <w:rsid w:val="003440D1"/>
    <w:rsid w:val="003473F7"/>
    <w:rsid w:val="003600A2"/>
    <w:rsid w:val="00362025"/>
    <w:rsid w:val="003701CB"/>
    <w:rsid w:val="003716AC"/>
    <w:rsid w:val="00374034"/>
    <w:rsid w:val="0037480D"/>
    <w:rsid w:val="0037509C"/>
    <w:rsid w:val="00375135"/>
    <w:rsid w:val="00384B5B"/>
    <w:rsid w:val="00386CB4"/>
    <w:rsid w:val="003905E7"/>
    <w:rsid w:val="00391177"/>
    <w:rsid w:val="00391C41"/>
    <w:rsid w:val="0039364A"/>
    <w:rsid w:val="00393F6C"/>
    <w:rsid w:val="0039411C"/>
    <w:rsid w:val="00394F7D"/>
    <w:rsid w:val="00394FE5"/>
    <w:rsid w:val="00396C45"/>
    <w:rsid w:val="003A310D"/>
    <w:rsid w:val="003B0E06"/>
    <w:rsid w:val="003B16A8"/>
    <w:rsid w:val="003B2BEB"/>
    <w:rsid w:val="003B42CB"/>
    <w:rsid w:val="003B6FFF"/>
    <w:rsid w:val="003B774D"/>
    <w:rsid w:val="003B78C6"/>
    <w:rsid w:val="003C0E1A"/>
    <w:rsid w:val="003C0F56"/>
    <w:rsid w:val="003C1865"/>
    <w:rsid w:val="003C2BF6"/>
    <w:rsid w:val="003C388A"/>
    <w:rsid w:val="003C5836"/>
    <w:rsid w:val="003D0EBB"/>
    <w:rsid w:val="003D1413"/>
    <w:rsid w:val="003D242E"/>
    <w:rsid w:val="003D30AB"/>
    <w:rsid w:val="003D7148"/>
    <w:rsid w:val="003E7F81"/>
    <w:rsid w:val="003F7F92"/>
    <w:rsid w:val="00403820"/>
    <w:rsid w:val="00404C91"/>
    <w:rsid w:val="00404F70"/>
    <w:rsid w:val="00431605"/>
    <w:rsid w:val="00433ED5"/>
    <w:rsid w:val="0043759B"/>
    <w:rsid w:val="004435EA"/>
    <w:rsid w:val="004476AE"/>
    <w:rsid w:val="004520B4"/>
    <w:rsid w:val="0045358C"/>
    <w:rsid w:val="0046080D"/>
    <w:rsid w:val="00460E44"/>
    <w:rsid w:val="0047489E"/>
    <w:rsid w:val="004755E3"/>
    <w:rsid w:val="004763B1"/>
    <w:rsid w:val="0047745F"/>
    <w:rsid w:val="00480DCF"/>
    <w:rsid w:val="004857DB"/>
    <w:rsid w:val="00487649"/>
    <w:rsid w:val="004937A1"/>
    <w:rsid w:val="00494FAA"/>
    <w:rsid w:val="004971D6"/>
    <w:rsid w:val="004A0775"/>
    <w:rsid w:val="004A60F2"/>
    <w:rsid w:val="004B12E8"/>
    <w:rsid w:val="004B509E"/>
    <w:rsid w:val="004B7CD6"/>
    <w:rsid w:val="004C1639"/>
    <w:rsid w:val="004C1970"/>
    <w:rsid w:val="004C603E"/>
    <w:rsid w:val="004D169A"/>
    <w:rsid w:val="004D342C"/>
    <w:rsid w:val="004D4085"/>
    <w:rsid w:val="004D5418"/>
    <w:rsid w:val="004E29C8"/>
    <w:rsid w:val="004E36E1"/>
    <w:rsid w:val="004E53D9"/>
    <w:rsid w:val="004F34E9"/>
    <w:rsid w:val="004F7571"/>
    <w:rsid w:val="005019B4"/>
    <w:rsid w:val="00507B99"/>
    <w:rsid w:val="00510C91"/>
    <w:rsid w:val="005274E0"/>
    <w:rsid w:val="00527FBF"/>
    <w:rsid w:val="005332D4"/>
    <w:rsid w:val="00536CAE"/>
    <w:rsid w:val="00547EA0"/>
    <w:rsid w:val="00560494"/>
    <w:rsid w:val="00565C56"/>
    <w:rsid w:val="00566179"/>
    <w:rsid w:val="005711FE"/>
    <w:rsid w:val="005878A0"/>
    <w:rsid w:val="00587CE9"/>
    <w:rsid w:val="005903C8"/>
    <w:rsid w:val="00594E68"/>
    <w:rsid w:val="005A05CA"/>
    <w:rsid w:val="005A3673"/>
    <w:rsid w:val="005A6D28"/>
    <w:rsid w:val="005B19C2"/>
    <w:rsid w:val="005B21C4"/>
    <w:rsid w:val="005B2565"/>
    <w:rsid w:val="005B2923"/>
    <w:rsid w:val="005B7069"/>
    <w:rsid w:val="005B75C2"/>
    <w:rsid w:val="005C3DD2"/>
    <w:rsid w:val="005D55B8"/>
    <w:rsid w:val="005F42F1"/>
    <w:rsid w:val="005F7B00"/>
    <w:rsid w:val="005F7FA6"/>
    <w:rsid w:val="0061094A"/>
    <w:rsid w:val="006129BB"/>
    <w:rsid w:val="006173D6"/>
    <w:rsid w:val="00617C09"/>
    <w:rsid w:val="00620215"/>
    <w:rsid w:val="00621E6A"/>
    <w:rsid w:val="006236AE"/>
    <w:rsid w:val="00623789"/>
    <w:rsid w:val="00626975"/>
    <w:rsid w:val="006475F6"/>
    <w:rsid w:val="006516FC"/>
    <w:rsid w:val="006532A9"/>
    <w:rsid w:val="00656482"/>
    <w:rsid w:val="00657965"/>
    <w:rsid w:val="00660AC7"/>
    <w:rsid w:val="00662E7F"/>
    <w:rsid w:val="00663F32"/>
    <w:rsid w:val="00670B97"/>
    <w:rsid w:val="00672661"/>
    <w:rsid w:val="006774DB"/>
    <w:rsid w:val="0068018A"/>
    <w:rsid w:val="00683A18"/>
    <w:rsid w:val="00684A38"/>
    <w:rsid w:val="00694216"/>
    <w:rsid w:val="00694641"/>
    <w:rsid w:val="00697FF3"/>
    <w:rsid w:val="006A0BB1"/>
    <w:rsid w:val="006A60A7"/>
    <w:rsid w:val="006A6210"/>
    <w:rsid w:val="006B68D1"/>
    <w:rsid w:val="006C3C8C"/>
    <w:rsid w:val="006C4A92"/>
    <w:rsid w:val="006C7B67"/>
    <w:rsid w:val="006D0739"/>
    <w:rsid w:val="006D39EC"/>
    <w:rsid w:val="006D688F"/>
    <w:rsid w:val="006E2425"/>
    <w:rsid w:val="006E2594"/>
    <w:rsid w:val="006F68C0"/>
    <w:rsid w:val="00703ECE"/>
    <w:rsid w:val="007064CC"/>
    <w:rsid w:val="00712D80"/>
    <w:rsid w:val="00712F93"/>
    <w:rsid w:val="00715F84"/>
    <w:rsid w:val="00716709"/>
    <w:rsid w:val="00721A6C"/>
    <w:rsid w:val="00721BCE"/>
    <w:rsid w:val="007223C0"/>
    <w:rsid w:val="00723D10"/>
    <w:rsid w:val="0072425F"/>
    <w:rsid w:val="00725050"/>
    <w:rsid w:val="00726F33"/>
    <w:rsid w:val="007276CA"/>
    <w:rsid w:val="00731D30"/>
    <w:rsid w:val="00731F30"/>
    <w:rsid w:val="007344F9"/>
    <w:rsid w:val="007477BE"/>
    <w:rsid w:val="007525F3"/>
    <w:rsid w:val="00753CF4"/>
    <w:rsid w:val="00755534"/>
    <w:rsid w:val="00757531"/>
    <w:rsid w:val="00760B2D"/>
    <w:rsid w:val="00763A94"/>
    <w:rsid w:val="00763F93"/>
    <w:rsid w:val="00766485"/>
    <w:rsid w:val="00775D17"/>
    <w:rsid w:val="0077659B"/>
    <w:rsid w:val="00777DE0"/>
    <w:rsid w:val="00780E44"/>
    <w:rsid w:val="00781918"/>
    <w:rsid w:val="00782766"/>
    <w:rsid w:val="0078783A"/>
    <w:rsid w:val="00795340"/>
    <w:rsid w:val="0079581C"/>
    <w:rsid w:val="007A70C4"/>
    <w:rsid w:val="007A7D32"/>
    <w:rsid w:val="007B1B92"/>
    <w:rsid w:val="007B6F60"/>
    <w:rsid w:val="007B70AF"/>
    <w:rsid w:val="007C3AB4"/>
    <w:rsid w:val="007D256A"/>
    <w:rsid w:val="007D3D18"/>
    <w:rsid w:val="007D45AD"/>
    <w:rsid w:val="007E17AE"/>
    <w:rsid w:val="007E5323"/>
    <w:rsid w:val="007E7336"/>
    <w:rsid w:val="007F0CF8"/>
    <w:rsid w:val="007F0D4C"/>
    <w:rsid w:val="00803B53"/>
    <w:rsid w:val="00804AA6"/>
    <w:rsid w:val="00812CE3"/>
    <w:rsid w:val="0081345D"/>
    <w:rsid w:val="00813965"/>
    <w:rsid w:val="008178FC"/>
    <w:rsid w:val="00823CD2"/>
    <w:rsid w:val="00834D1A"/>
    <w:rsid w:val="00834D52"/>
    <w:rsid w:val="00836773"/>
    <w:rsid w:val="00836A31"/>
    <w:rsid w:val="00840AE8"/>
    <w:rsid w:val="00840CAD"/>
    <w:rsid w:val="00841485"/>
    <w:rsid w:val="00845054"/>
    <w:rsid w:val="008478A3"/>
    <w:rsid w:val="0085151B"/>
    <w:rsid w:val="00854B08"/>
    <w:rsid w:val="00857EB7"/>
    <w:rsid w:val="0086211A"/>
    <w:rsid w:val="00865B49"/>
    <w:rsid w:val="0088367F"/>
    <w:rsid w:val="00883B1E"/>
    <w:rsid w:val="00885B16"/>
    <w:rsid w:val="008873A2"/>
    <w:rsid w:val="00887512"/>
    <w:rsid w:val="008931C4"/>
    <w:rsid w:val="008974AF"/>
    <w:rsid w:val="008A60ED"/>
    <w:rsid w:val="008A7995"/>
    <w:rsid w:val="008B0BF6"/>
    <w:rsid w:val="008B3506"/>
    <w:rsid w:val="008C0798"/>
    <w:rsid w:val="008C3D87"/>
    <w:rsid w:val="008D0F77"/>
    <w:rsid w:val="008D172F"/>
    <w:rsid w:val="008D1D2E"/>
    <w:rsid w:val="008D515C"/>
    <w:rsid w:val="008D702F"/>
    <w:rsid w:val="008F20CA"/>
    <w:rsid w:val="008F6346"/>
    <w:rsid w:val="0090040D"/>
    <w:rsid w:val="00901CA9"/>
    <w:rsid w:val="00903FEE"/>
    <w:rsid w:val="00915981"/>
    <w:rsid w:val="00915E35"/>
    <w:rsid w:val="00917C1B"/>
    <w:rsid w:val="0092065A"/>
    <w:rsid w:val="0092119D"/>
    <w:rsid w:val="009211C4"/>
    <w:rsid w:val="009213F7"/>
    <w:rsid w:val="00922FE7"/>
    <w:rsid w:val="00925560"/>
    <w:rsid w:val="00930B6C"/>
    <w:rsid w:val="00934878"/>
    <w:rsid w:val="009365B4"/>
    <w:rsid w:val="00946DEE"/>
    <w:rsid w:val="00947AA3"/>
    <w:rsid w:val="009519AD"/>
    <w:rsid w:val="0095207E"/>
    <w:rsid w:val="009610BD"/>
    <w:rsid w:val="00963609"/>
    <w:rsid w:val="00971134"/>
    <w:rsid w:val="00972E70"/>
    <w:rsid w:val="00974617"/>
    <w:rsid w:val="00975786"/>
    <w:rsid w:val="0098192F"/>
    <w:rsid w:val="00982771"/>
    <w:rsid w:val="00984F9B"/>
    <w:rsid w:val="0099098C"/>
    <w:rsid w:val="009924D6"/>
    <w:rsid w:val="00996F15"/>
    <w:rsid w:val="009A024D"/>
    <w:rsid w:val="009A74C6"/>
    <w:rsid w:val="009A767D"/>
    <w:rsid w:val="009B02C4"/>
    <w:rsid w:val="009B0E2E"/>
    <w:rsid w:val="009B2CFA"/>
    <w:rsid w:val="009B47A0"/>
    <w:rsid w:val="009B6C2B"/>
    <w:rsid w:val="009C5D61"/>
    <w:rsid w:val="009D1CC3"/>
    <w:rsid w:val="009D384D"/>
    <w:rsid w:val="009E6BE1"/>
    <w:rsid w:val="009E7C35"/>
    <w:rsid w:val="009F0529"/>
    <w:rsid w:val="009F1794"/>
    <w:rsid w:val="009F4351"/>
    <w:rsid w:val="009F77C8"/>
    <w:rsid w:val="00A028B6"/>
    <w:rsid w:val="00A04D18"/>
    <w:rsid w:val="00A053EE"/>
    <w:rsid w:val="00A05663"/>
    <w:rsid w:val="00A076C2"/>
    <w:rsid w:val="00A1110B"/>
    <w:rsid w:val="00A206E7"/>
    <w:rsid w:val="00A308ED"/>
    <w:rsid w:val="00A30D29"/>
    <w:rsid w:val="00A31FE2"/>
    <w:rsid w:val="00A3316F"/>
    <w:rsid w:val="00A33E65"/>
    <w:rsid w:val="00A342A8"/>
    <w:rsid w:val="00A42B38"/>
    <w:rsid w:val="00A452A5"/>
    <w:rsid w:val="00A500B7"/>
    <w:rsid w:val="00A50497"/>
    <w:rsid w:val="00A51FBF"/>
    <w:rsid w:val="00A5554A"/>
    <w:rsid w:val="00A55B1B"/>
    <w:rsid w:val="00A638F4"/>
    <w:rsid w:val="00A6523B"/>
    <w:rsid w:val="00A71A4D"/>
    <w:rsid w:val="00A80A98"/>
    <w:rsid w:val="00A824F1"/>
    <w:rsid w:val="00A86465"/>
    <w:rsid w:val="00A916A7"/>
    <w:rsid w:val="00A94161"/>
    <w:rsid w:val="00A95C20"/>
    <w:rsid w:val="00A979F9"/>
    <w:rsid w:val="00AA0B24"/>
    <w:rsid w:val="00AA2218"/>
    <w:rsid w:val="00AA4891"/>
    <w:rsid w:val="00AA709E"/>
    <w:rsid w:val="00AA7639"/>
    <w:rsid w:val="00AB01E2"/>
    <w:rsid w:val="00AB239E"/>
    <w:rsid w:val="00AB33AF"/>
    <w:rsid w:val="00AC1490"/>
    <w:rsid w:val="00AC590D"/>
    <w:rsid w:val="00AC7BBC"/>
    <w:rsid w:val="00AD0366"/>
    <w:rsid w:val="00AD177B"/>
    <w:rsid w:val="00AE1BB7"/>
    <w:rsid w:val="00AE24F6"/>
    <w:rsid w:val="00AF39CE"/>
    <w:rsid w:val="00AF60B1"/>
    <w:rsid w:val="00B01134"/>
    <w:rsid w:val="00B036A8"/>
    <w:rsid w:val="00B0386B"/>
    <w:rsid w:val="00B05409"/>
    <w:rsid w:val="00B05EE9"/>
    <w:rsid w:val="00B12A3E"/>
    <w:rsid w:val="00B1473B"/>
    <w:rsid w:val="00B14D8B"/>
    <w:rsid w:val="00B24C61"/>
    <w:rsid w:val="00B24D94"/>
    <w:rsid w:val="00B26B37"/>
    <w:rsid w:val="00B315F1"/>
    <w:rsid w:val="00B32379"/>
    <w:rsid w:val="00B34006"/>
    <w:rsid w:val="00B34968"/>
    <w:rsid w:val="00B35207"/>
    <w:rsid w:val="00B35480"/>
    <w:rsid w:val="00B40E27"/>
    <w:rsid w:val="00B41461"/>
    <w:rsid w:val="00B46D61"/>
    <w:rsid w:val="00B50B9E"/>
    <w:rsid w:val="00B56F0D"/>
    <w:rsid w:val="00B7788C"/>
    <w:rsid w:val="00B92B14"/>
    <w:rsid w:val="00B96C41"/>
    <w:rsid w:val="00BA06B1"/>
    <w:rsid w:val="00BA45EA"/>
    <w:rsid w:val="00BA7FA9"/>
    <w:rsid w:val="00BB3CDA"/>
    <w:rsid w:val="00BC09FC"/>
    <w:rsid w:val="00BC0E80"/>
    <w:rsid w:val="00BD3CC9"/>
    <w:rsid w:val="00BD3F6C"/>
    <w:rsid w:val="00BE4D5D"/>
    <w:rsid w:val="00BF2A06"/>
    <w:rsid w:val="00BF4877"/>
    <w:rsid w:val="00BF57D7"/>
    <w:rsid w:val="00BF6C73"/>
    <w:rsid w:val="00BF7018"/>
    <w:rsid w:val="00C0127C"/>
    <w:rsid w:val="00C113C6"/>
    <w:rsid w:val="00C11A41"/>
    <w:rsid w:val="00C20853"/>
    <w:rsid w:val="00C2476A"/>
    <w:rsid w:val="00C24B0F"/>
    <w:rsid w:val="00C3248A"/>
    <w:rsid w:val="00C372AC"/>
    <w:rsid w:val="00C40D60"/>
    <w:rsid w:val="00C410F5"/>
    <w:rsid w:val="00C43994"/>
    <w:rsid w:val="00C54350"/>
    <w:rsid w:val="00C57D3A"/>
    <w:rsid w:val="00C608DE"/>
    <w:rsid w:val="00C673F5"/>
    <w:rsid w:val="00C82002"/>
    <w:rsid w:val="00C8202E"/>
    <w:rsid w:val="00C83F2C"/>
    <w:rsid w:val="00C84206"/>
    <w:rsid w:val="00C8604A"/>
    <w:rsid w:val="00C87B95"/>
    <w:rsid w:val="00C965D6"/>
    <w:rsid w:val="00C97E1E"/>
    <w:rsid w:val="00CA23C7"/>
    <w:rsid w:val="00CB014E"/>
    <w:rsid w:val="00CB34C2"/>
    <w:rsid w:val="00CC2362"/>
    <w:rsid w:val="00CC32BC"/>
    <w:rsid w:val="00CD3D7C"/>
    <w:rsid w:val="00CD59AC"/>
    <w:rsid w:val="00CD7B1D"/>
    <w:rsid w:val="00CE54D8"/>
    <w:rsid w:val="00CE5518"/>
    <w:rsid w:val="00CE62A8"/>
    <w:rsid w:val="00CF0A98"/>
    <w:rsid w:val="00CF2016"/>
    <w:rsid w:val="00CF4A02"/>
    <w:rsid w:val="00CF57E7"/>
    <w:rsid w:val="00D054CD"/>
    <w:rsid w:val="00D11E46"/>
    <w:rsid w:val="00D13597"/>
    <w:rsid w:val="00D27231"/>
    <w:rsid w:val="00D3001A"/>
    <w:rsid w:val="00D32675"/>
    <w:rsid w:val="00D331FA"/>
    <w:rsid w:val="00D35A06"/>
    <w:rsid w:val="00D503C0"/>
    <w:rsid w:val="00D5066C"/>
    <w:rsid w:val="00D541A0"/>
    <w:rsid w:val="00D61FF6"/>
    <w:rsid w:val="00D628DA"/>
    <w:rsid w:val="00D629A3"/>
    <w:rsid w:val="00D7105F"/>
    <w:rsid w:val="00D7185D"/>
    <w:rsid w:val="00D7378B"/>
    <w:rsid w:val="00D74F73"/>
    <w:rsid w:val="00D97E5F"/>
    <w:rsid w:val="00DA2821"/>
    <w:rsid w:val="00DA567C"/>
    <w:rsid w:val="00DA5ADD"/>
    <w:rsid w:val="00DA5DB0"/>
    <w:rsid w:val="00DA5FE0"/>
    <w:rsid w:val="00DA7708"/>
    <w:rsid w:val="00DB17CD"/>
    <w:rsid w:val="00DB33A5"/>
    <w:rsid w:val="00DB41C8"/>
    <w:rsid w:val="00DC5E57"/>
    <w:rsid w:val="00DC7B80"/>
    <w:rsid w:val="00DD2EF1"/>
    <w:rsid w:val="00DE664E"/>
    <w:rsid w:val="00DF0E8B"/>
    <w:rsid w:val="00DF36A3"/>
    <w:rsid w:val="00DF67FC"/>
    <w:rsid w:val="00DF6C12"/>
    <w:rsid w:val="00E01E21"/>
    <w:rsid w:val="00E02019"/>
    <w:rsid w:val="00E024FD"/>
    <w:rsid w:val="00E051B7"/>
    <w:rsid w:val="00E0604C"/>
    <w:rsid w:val="00E14B7B"/>
    <w:rsid w:val="00E23357"/>
    <w:rsid w:val="00E245C7"/>
    <w:rsid w:val="00E27C55"/>
    <w:rsid w:val="00E30098"/>
    <w:rsid w:val="00E32713"/>
    <w:rsid w:val="00E33E27"/>
    <w:rsid w:val="00E455B9"/>
    <w:rsid w:val="00E46E50"/>
    <w:rsid w:val="00E5067C"/>
    <w:rsid w:val="00E52328"/>
    <w:rsid w:val="00E55321"/>
    <w:rsid w:val="00E565D8"/>
    <w:rsid w:val="00E57C12"/>
    <w:rsid w:val="00E674E6"/>
    <w:rsid w:val="00E6750D"/>
    <w:rsid w:val="00E71440"/>
    <w:rsid w:val="00E774E2"/>
    <w:rsid w:val="00E82FD9"/>
    <w:rsid w:val="00E90F88"/>
    <w:rsid w:val="00E944CF"/>
    <w:rsid w:val="00E94C4E"/>
    <w:rsid w:val="00EA288B"/>
    <w:rsid w:val="00EB00FB"/>
    <w:rsid w:val="00EB1757"/>
    <w:rsid w:val="00EB4846"/>
    <w:rsid w:val="00EB4A88"/>
    <w:rsid w:val="00EB7044"/>
    <w:rsid w:val="00EC19B4"/>
    <w:rsid w:val="00ED0E32"/>
    <w:rsid w:val="00ED6EAB"/>
    <w:rsid w:val="00EE1482"/>
    <w:rsid w:val="00EE34B4"/>
    <w:rsid w:val="00EE4D7D"/>
    <w:rsid w:val="00EE7936"/>
    <w:rsid w:val="00EF0CBA"/>
    <w:rsid w:val="00EF4A93"/>
    <w:rsid w:val="00EF71CB"/>
    <w:rsid w:val="00F010F7"/>
    <w:rsid w:val="00F0322D"/>
    <w:rsid w:val="00F04BE5"/>
    <w:rsid w:val="00F05553"/>
    <w:rsid w:val="00F06232"/>
    <w:rsid w:val="00F103AD"/>
    <w:rsid w:val="00F118B1"/>
    <w:rsid w:val="00F1591B"/>
    <w:rsid w:val="00F163E2"/>
    <w:rsid w:val="00F26C2D"/>
    <w:rsid w:val="00F31A11"/>
    <w:rsid w:val="00F31DD6"/>
    <w:rsid w:val="00F34D68"/>
    <w:rsid w:val="00F35391"/>
    <w:rsid w:val="00F371B5"/>
    <w:rsid w:val="00F43EE5"/>
    <w:rsid w:val="00F453DB"/>
    <w:rsid w:val="00F457E9"/>
    <w:rsid w:val="00F46720"/>
    <w:rsid w:val="00F56771"/>
    <w:rsid w:val="00F57012"/>
    <w:rsid w:val="00F57BB9"/>
    <w:rsid w:val="00F61FB7"/>
    <w:rsid w:val="00F61FBB"/>
    <w:rsid w:val="00F62D54"/>
    <w:rsid w:val="00F62FBD"/>
    <w:rsid w:val="00F67DFD"/>
    <w:rsid w:val="00F72EC9"/>
    <w:rsid w:val="00F74497"/>
    <w:rsid w:val="00F75B5D"/>
    <w:rsid w:val="00F75F7F"/>
    <w:rsid w:val="00F811B9"/>
    <w:rsid w:val="00F8156C"/>
    <w:rsid w:val="00F9078A"/>
    <w:rsid w:val="00F90D8E"/>
    <w:rsid w:val="00F90FC2"/>
    <w:rsid w:val="00F9312A"/>
    <w:rsid w:val="00F943FC"/>
    <w:rsid w:val="00FA4613"/>
    <w:rsid w:val="00FB02F5"/>
    <w:rsid w:val="00FB1ADB"/>
    <w:rsid w:val="00FB3C59"/>
    <w:rsid w:val="00FC1A83"/>
    <w:rsid w:val="00FC2569"/>
    <w:rsid w:val="00FC40EB"/>
    <w:rsid w:val="00FC7766"/>
    <w:rsid w:val="00FD057C"/>
    <w:rsid w:val="00FD49F2"/>
    <w:rsid w:val="00FD7723"/>
    <w:rsid w:val="00FE36B0"/>
    <w:rsid w:val="00FE3B49"/>
    <w:rsid w:val="00FE5752"/>
    <w:rsid w:val="00FE7200"/>
    <w:rsid w:val="00FF3070"/>
    <w:rsid w:val="00FF30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AD1657"/>
  <w14:defaultImageDpi w14:val="300"/>
  <w15:docId w15:val="{C741D262-6F72-45F2-BBD3-35E1754D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81"/>
    <w:rPr>
      <w:rFonts w:ascii="Times New Roman" w:eastAsia="Times New Roman" w:hAnsi="Times New Roman" w:cs="Times New Roman"/>
    </w:rPr>
  </w:style>
  <w:style w:type="paragraph" w:styleId="Heading1">
    <w:name w:val="heading 1"/>
    <w:basedOn w:val="Normal"/>
    <w:next w:val="Normal"/>
    <w:link w:val="Heading1Char"/>
    <w:uiPriority w:val="9"/>
    <w:qFormat/>
    <w:rsid w:val="0003527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178FC"/>
    <w:pPr>
      <w:jc w:val="both"/>
      <w:outlineLvl w:val="2"/>
    </w:pPr>
    <w:rPr>
      <w:rFonts w:ascii="Cambria" w:eastAsia="Calibri" w:hAnsi="Cambria"/>
      <w:b/>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03FEE"/>
    <w:rPr>
      <w:rFonts w:ascii="Arial" w:eastAsiaTheme="minorEastAsia" w:hAnsi="Arial" w:cstheme="minorBidi"/>
    </w:rPr>
  </w:style>
  <w:style w:type="character" w:customStyle="1" w:styleId="FootnoteTextChar">
    <w:name w:val="Footnote Text Char"/>
    <w:basedOn w:val="DefaultParagraphFont"/>
    <w:link w:val="FootnoteText"/>
    <w:uiPriority w:val="99"/>
    <w:rsid w:val="00903FEE"/>
  </w:style>
  <w:style w:type="character" w:styleId="FootnoteReference">
    <w:name w:val="footnote reference"/>
    <w:basedOn w:val="DefaultParagraphFont"/>
    <w:uiPriority w:val="99"/>
    <w:unhideWhenUsed/>
    <w:rsid w:val="00903FEE"/>
    <w:rPr>
      <w:vertAlign w:val="superscript"/>
    </w:rPr>
  </w:style>
  <w:style w:type="character" w:styleId="Hyperlink">
    <w:name w:val="Hyperlink"/>
    <w:basedOn w:val="DefaultParagraphFont"/>
    <w:uiPriority w:val="99"/>
    <w:unhideWhenUsed/>
    <w:rsid w:val="00566179"/>
    <w:rPr>
      <w:color w:val="0000FF" w:themeColor="hyperlink"/>
      <w:u w:val="single"/>
    </w:rPr>
  </w:style>
  <w:style w:type="character" w:styleId="Emphasis">
    <w:name w:val="Emphasis"/>
    <w:basedOn w:val="DefaultParagraphFont"/>
    <w:uiPriority w:val="20"/>
    <w:qFormat/>
    <w:rsid w:val="009519AD"/>
    <w:rPr>
      <w:i/>
      <w:iCs/>
    </w:rPr>
  </w:style>
  <w:style w:type="character" w:styleId="FollowedHyperlink">
    <w:name w:val="FollowedHyperlink"/>
    <w:basedOn w:val="DefaultParagraphFont"/>
    <w:uiPriority w:val="99"/>
    <w:semiHidden/>
    <w:unhideWhenUsed/>
    <w:rsid w:val="00A342A8"/>
    <w:rPr>
      <w:color w:val="800080" w:themeColor="followedHyperlink"/>
      <w:u w:val="single"/>
    </w:rPr>
  </w:style>
  <w:style w:type="character" w:customStyle="1" w:styleId="apple-converted-space">
    <w:name w:val="apple-converted-space"/>
    <w:basedOn w:val="DefaultParagraphFont"/>
    <w:rsid w:val="00777DE0"/>
  </w:style>
  <w:style w:type="paragraph" w:styleId="NoSpacing">
    <w:name w:val="No Spacing"/>
    <w:link w:val="NoSpacingChar"/>
    <w:uiPriority w:val="1"/>
    <w:qFormat/>
    <w:rsid w:val="008974AF"/>
    <w:rPr>
      <w:rFonts w:asciiTheme="minorHAnsi" w:hAnsiTheme="minorHAnsi"/>
      <w:sz w:val="22"/>
      <w:szCs w:val="22"/>
      <w:lang w:val="en-US" w:eastAsia="zh-CN"/>
    </w:rPr>
  </w:style>
  <w:style w:type="character" w:customStyle="1" w:styleId="NoSpacingChar">
    <w:name w:val="No Spacing Char"/>
    <w:basedOn w:val="DefaultParagraphFont"/>
    <w:link w:val="NoSpacing"/>
    <w:uiPriority w:val="1"/>
    <w:rsid w:val="008974AF"/>
    <w:rPr>
      <w:rFonts w:asciiTheme="minorHAnsi" w:hAnsiTheme="minorHAnsi"/>
      <w:sz w:val="22"/>
      <w:szCs w:val="22"/>
      <w:lang w:val="en-US" w:eastAsia="zh-CN"/>
    </w:rPr>
  </w:style>
  <w:style w:type="paragraph" w:styleId="Header">
    <w:name w:val="header"/>
    <w:basedOn w:val="Normal"/>
    <w:link w:val="HeaderChar"/>
    <w:uiPriority w:val="99"/>
    <w:unhideWhenUsed/>
    <w:rsid w:val="00DA5DB0"/>
    <w:pPr>
      <w:tabs>
        <w:tab w:val="center" w:pos="4680"/>
        <w:tab w:val="right" w:pos="9360"/>
      </w:tabs>
    </w:pPr>
  </w:style>
  <w:style w:type="character" w:customStyle="1" w:styleId="HeaderChar">
    <w:name w:val="Header Char"/>
    <w:basedOn w:val="DefaultParagraphFont"/>
    <w:link w:val="Header"/>
    <w:uiPriority w:val="99"/>
    <w:rsid w:val="00DA5DB0"/>
    <w:rPr>
      <w:rFonts w:ascii="Times New Roman" w:eastAsia="Times New Roman" w:hAnsi="Times New Roman" w:cs="Times New Roman"/>
    </w:rPr>
  </w:style>
  <w:style w:type="paragraph" w:styleId="Footer">
    <w:name w:val="footer"/>
    <w:basedOn w:val="Normal"/>
    <w:link w:val="FooterChar"/>
    <w:uiPriority w:val="99"/>
    <w:unhideWhenUsed/>
    <w:rsid w:val="00DA5DB0"/>
    <w:pPr>
      <w:tabs>
        <w:tab w:val="center" w:pos="4680"/>
        <w:tab w:val="right" w:pos="9360"/>
      </w:tabs>
    </w:pPr>
  </w:style>
  <w:style w:type="character" w:customStyle="1" w:styleId="FooterChar">
    <w:name w:val="Footer Char"/>
    <w:basedOn w:val="DefaultParagraphFont"/>
    <w:link w:val="Footer"/>
    <w:uiPriority w:val="99"/>
    <w:rsid w:val="00DA5DB0"/>
    <w:rPr>
      <w:rFonts w:ascii="Times New Roman" w:eastAsia="Times New Roman" w:hAnsi="Times New Roman" w:cs="Times New Roman"/>
    </w:rPr>
  </w:style>
  <w:style w:type="paragraph" w:styleId="ListParagraph">
    <w:name w:val="List Paragraph"/>
    <w:basedOn w:val="Normal"/>
    <w:uiPriority w:val="34"/>
    <w:qFormat/>
    <w:rsid w:val="00CF4A02"/>
    <w:pPr>
      <w:ind w:left="720"/>
      <w:contextualSpacing/>
    </w:pPr>
  </w:style>
  <w:style w:type="character" w:customStyle="1" w:styleId="Heading3Char">
    <w:name w:val="Heading 3 Char"/>
    <w:basedOn w:val="DefaultParagraphFont"/>
    <w:link w:val="Heading3"/>
    <w:uiPriority w:val="9"/>
    <w:rsid w:val="008178FC"/>
    <w:rPr>
      <w:rFonts w:ascii="Cambria" w:eastAsia="Calibri" w:hAnsi="Cambria" w:cs="Times New Roman"/>
      <w:b/>
      <w:sz w:val="26"/>
      <w:szCs w:val="26"/>
      <w:lang w:eastAsia="en-GB"/>
    </w:rPr>
  </w:style>
  <w:style w:type="character" w:styleId="CommentReference">
    <w:name w:val="annotation reference"/>
    <w:basedOn w:val="DefaultParagraphFont"/>
    <w:uiPriority w:val="99"/>
    <w:semiHidden/>
    <w:unhideWhenUsed/>
    <w:rsid w:val="004857DB"/>
    <w:rPr>
      <w:sz w:val="16"/>
      <w:szCs w:val="16"/>
    </w:rPr>
  </w:style>
  <w:style w:type="paragraph" w:styleId="CommentText">
    <w:name w:val="annotation text"/>
    <w:basedOn w:val="Normal"/>
    <w:link w:val="CommentTextChar"/>
    <w:uiPriority w:val="99"/>
    <w:semiHidden/>
    <w:unhideWhenUsed/>
    <w:rsid w:val="004857DB"/>
    <w:rPr>
      <w:sz w:val="20"/>
      <w:szCs w:val="20"/>
    </w:rPr>
  </w:style>
  <w:style w:type="character" w:customStyle="1" w:styleId="CommentTextChar">
    <w:name w:val="Comment Text Char"/>
    <w:basedOn w:val="DefaultParagraphFont"/>
    <w:link w:val="CommentText"/>
    <w:uiPriority w:val="99"/>
    <w:semiHidden/>
    <w:rsid w:val="004857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57DB"/>
    <w:rPr>
      <w:b/>
      <w:bCs/>
    </w:rPr>
  </w:style>
  <w:style w:type="character" w:customStyle="1" w:styleId="CommentSubjectChar">
    <w:name w:val="Comment Subject Char"/>
    <w:basedOn w:val="CommentTextChar"/>
    <w:link w:val="CommentSubject"/>
    <w:uiPriority w:val="99"/>
    <w:semiHidden/>
    <w:rsid w:val="004857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57DB"/>
    <w:rPr>
      <w:sz w:val="18"/>
      <w:szCs w:val="18"/>
    </w:rPr>
  </w:style>
  <w:style w:type="character" w:customStyle="1" w:styleId="BalloonTextChar">
    <w:name w:val="Balloon Text Char"/>
    <w:basedOn w:val="DefaultParagraphFont"/>
    <w:link w:val="BalloonText"/>
    <w:uiPriority w:val="99"/>
    <w:semiHidden/>
    <w:rsid w:val="004857DB"/>
    <w:rPr>
      <w:rFonts w:ascii="Times New Roman" w:eastAsia="Times New Roman" w:hAnsi="Times New Roman" w:cs="Times New Roman"/>
      <w:sz w:val="18"/>
      <w:szCs w:val="18"/>
    </w:rPr>
  </w:style>
  <w:style w:type="paragraph" w:styleId="Revision">
    <w:name w:val="Revision"/>
    <w:hidden/>
    <w:uiPriority w:val="99"/>
    <w:semiHidden/>
    <w:rsid w:val="004857DB"/>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35277"/>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476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661">
      <w:bodyDiv w:val="1"/>
      <w:marLeft w:val="0"/>
      <w:marRight w:val="0"/>
      <w:marTop w:val="0"/>
      <w:marBottom w:val="0"/>
      <w:divBdr>
        <w:top w:val="none" w:sz="0" w:space="0" w:color="auto"/>
        <w:left w:val="none" w:sz="0" w:space="0" w:color="auto"/>
        <w:bottom w:val="none" w:sz="0" w:space="0" w:color="auto"/>
        <w:right w:val="none" w:sz="0" w:space="0" w:color="auto"/>
      </w:divBdr>
    </w:div>
    <w:div w:id="58065456">
      <w:bodyDiv w:val="1"/>
      <w:marLeft w:val="0"/>
      <w:marRight w:val="0"/>
      <w:marTop w:val="0"/>
      <w:marBottom w:val="0"/>
      <w:divBdr>
        <w:top w:val="none" w:sz="0" w:space="0" w:color="auto"/>
        <w:left w:val="none" w:sz="0" w:space="0" w:color="auto"/>
        <w:bottom w:val="none" w:sz="0" w:space="0" w:color="auto"/>
        <w:right w:val="none" w:sz="0" w:space="0" w:color="auto"/>
      </w:divBdr>
    </w:div>
    <w:div w:id="98188494">
      <w:bodyDiv w:val="1"/>
      <w:marLeft w:val="0"/>
      <w:marRight w:val="0"/>
      <w:marTop w:val="0"/>
      <w:marBottom w:val="0"/>
      <w:divBdr>
        <w:top w:val="none" w:sz="0" w:space="0" w:color="auto"/>
        <w:left w:val="none" w:sz="0" w:space="0" w:color="auto"/>
        <w:bottom w:val="none" w:sz="0" w:space="0" w:color="auto"/>
        <w:right w:val="none" w:sz="0" w:space="0" w:color="auto"/>
      </w:divBdr>
    </w:div>
    <w:div w:id="171721597">
      <w:bodyDiv w:val="1"/>
      <w:marLeft w:val="0"/>
      <w:marRight w:val="0"/>
      <w:marTop w:val="0"/>
      <w:marBottom w:val="0"/>
      <w:divBdr>
        <w:top w:val="none" w:sz="0" w:space="0" w:color="auto"/>
        <w:left w:val="none" w:sz="0" w:space="0" w:color="auto"/>
        <w:bottom w:val="none" w:sz="0" w:space="0" w:color="auto"/>
        <w:right w:val="none" w:sz="0" w:space="0" w:color="auto"/>
      </w:divBdr>
    </w:div>
    <w:div w:id="241988981">
      <w:bodyDiv w:val="1"/>
      <w:marLeft w:val="0"/>
      <w:marRight w:val="0"/>
      <w:marTop w:val="0"/>
      <w:marBottom w:val="0"/>
      <w:divBdr>
        <w:top w:val="none" w:sz="0" w:space="0" w:color="auto"/>
        <w:left w:val="none" w:sz="0" w:space="0" w:color="auto"/>
        <w:bottom w:val="none" w:sz="0" w:space="0" w:color="auto"/>
        <w:right w:val="none" w:sz="0" w:space="0" w:color="auto"/>
      </w:divBdr>
    </w:div>
    <w:div w:id="290132778">
      <w:bodyDiv w:val="1"/>
      <w:marLeft w:val="0"/>
      <w:marRight w:val="0"/>
      <w:marTop w:val="0"/>
      <w:marBottom w:val="0"/>
      <w:divBdr>
        <w:top w:val="none" w:sz="0" w:space="0" w:color="auto"/>
        <w:left w:val="none" w:sz="0" w:space="0" w:color="auto"/>
        <w:bottom w:val="none" w:sz="0" w:space="0" w:color="auto"/>
        <w:right w:val="none" w:sz="0" w:space="0" w:color="auto"/>
      </w:divBdr>
    </w:div>
    <w:div w:id="551815999">
      <w:bodyDiv w:val="1"/>
      <w:marLeft w:val="0"/>
      <w:marRight w:val="0"/>
      <w:marTop w:val="0"/>
      <w:marBottom w:val="0"/>
      <w:divBdr>
        <w:top w:val="none" w:sz="0" w:space="0" w:color="auto"/>
        <w:left w:val="none" w:sz="0" w:space="0" w:color="auto"/>
        <w:bottom w:val="none" w:sz="0" w:space="0" w:color="auto"/>
        <w:right w:val="none" w:sz="0" w:space="0" w:color="auto"/>
      </w:divBdr>
    </w:div>
    <w:div w:id="592083401">
      <w:bodyDiv w:val="1"/>
      <w:marLeft w:val="0"/>
      <w:marRight w:val="0"/>
      <w:marTop w:val="0"/>
      <w:marBottom w:val="0"/>
      <w:divBdr>
        <w:top w:val="none" w:sz="0" w:space="0" w:color="auto"/>
        <w:left w:val="none" w:sz="0" w:space="0" w:color="auto"/>
        <w:bottom w:val="none" w:sz="0" w:space="0" w:color="auto"/>
        <w:right w:val="none" w:sz="0" w:space="0" w:color="auto"/>
      </w:divBdr>
    </w:div>
    <w:div w:id="650867151">
      <w:bodyDiv w:val="1"/>
      <w:marLeft w:val="0"/>
      <w:marRight w:val="0"/>
      <w:marTop w:val="0"/>
      <w:marBottom w:val="0"/>
      <w:divBdr>
        <w:top w:val="none" w:sz="0" w:space="0" w:color="auto"/>
        <w:left w:val="none" w:sz="0" w:space="0" w:color="auto"/>
        <w:bottom w:val="none" w:sz="0" w:space="0" w:color="auto"/>
        <w:right w:val="none" w:sz="0" w:space="0" w:color="auto"/>
      </w:divBdr>
    </w:div>
    <w:div w:id="1217401489">
      <w:bodyDiv w:val="1"/>
      <w:marLeft w:val="0"/>
      <w:marRight w:val="0"/>
      <w:marTop w:val="0"/>
      <w:marBottom w:val="0"/>
      <w:divBdr>
        <w:top w:val="none" w:sz="0" w:space="0" w:color="auto"/>
        <w:left w:val="none" w:sz="0" w:space="0" w:color="auto"/>
        <w:bottom w:val="none" w:sz="0" w:space="0" w:color="auto"/>
        <w:right w:val="none" w:sz="0" w:space="0" w:color="auto"/>
      </w:divBdr>
    </w:div>
    <w:div w:id="1355881023">
      <w:bodyDiv w:val="1"/>
      <w:marLeft w:val="0"/>
      <w:marRight w:val="0"/>
      <w:marTop w:val="0"/>
      <w:marBottom w:val="0"/>
      <w:divBdr>
        <w:top w:val="none" w:sz="0" w:space="0" w:color="auto"/>
        <w:left w:val="none" w:sz="0" w:space="0" w:color="auto"/>
        <w:bottom w:val="none" w:sz="0" w:space="0" w:color="auto"/>
        <w:right w:val="none" w:sz="0" w:space="0" w:color="auto"/>
      </w:divBdr>
    </w:div>
    <w:div w:id="1395666791">
      <w:bodyDiv w:val="1"/>
      <w:marLeft w:val="0"/>
      <w:marRight w:val="0"/>
      <w:marTop w:val="0"/>
      <w:marBottom w:val="0"/>
      <w:divBdr>
        <w:top w:val="none" w:sz="0" w:space="0" w:color="auto"/>
        <w:left w:val="none" w:sz="0" w:space="0" w:color="auto"/>
        <w:bottom w:val="none" w:sz="0" w:space="0" w:color="auto"/>
        <w:right w:val="none" w:sz="0" w:space="0" w:color="auto"/>
      </w:divBdr>
    </w:div>
    <w:div w:id="1858736922">
      <w:bodyDiv w:val="1"/>
      <w:marLeft w:val="0"/>
      <w:marRight w:val="0"/>
      <w:marTop w:val="0"/>
      <w:marBottom w:val="0"/>
      <w:divBdr>
        <w:top w:val="none" w:sz="0" w:space="0" w:color="auto"/>
        <w:left w:val="none" w:sz="0" w:space="0" w:color="auto"/>
        <w:bottom w:val="none" w:sz="0" w:space="0" w:color="auto"/>
        <w:right w:val="none" w:sz="0" w:space="0" w:color="auto"/>
      </w:divBdr>
    </w:div>
    <w:div w:id="1904557426">
      <w:bodyDiv w:val="1"/>
      <w:marLeft w:val="0"/>
      <w:marRight w:val="0"/>
      <w:marTop w:val="0"/>
      <w:marBottom w:val="0"/>
      <w:divBdr>
        <w:top w:val="none" w:sz="0" w:space="0" w:color="auto"/>
        <w:left w:val="none" w:sz="0" w:space="0" w:color="auto"/>
        <w:bottom w:val="none" w:sz="0" w:space="0" w:color="auto"/>
        <w:right w:val="none" w:sz="0" w:space="0" w:color="auto"/>
      </w:divBdr>
    </w:div>
    <w:div w:id="21315124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s.gov.uk/legal-guidance/homicide-murder-and-manslaught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coholconcern.org.uk/alcohol-statistics" TargetMode="External"/><Relationship Id="rId17" Type="http://schemas.openxmlformats.org/officeDocument/2006/relationships/hyperlink" Target="https://www.ons.gov.uk/peoplepopulationandcommunity/crimeandjustice/compendium/focusonviolentcrimeandsexualoffences/2015-02-12/chapter5violentcrimeandsexualoffencesalcoholrelatedviolence" TargetMode="External"/><Relationship Id="rId2" Type="http://schemas.openxmlformats.org/officeDocument/2006/relationships/numbering" Target="numbering.xml"/><Relationship Id="rId16" Type="http://schemas.openxmlformats.org/officeDocument/2006/relationships/hyperlink" Target="https://www.cps.gov.uk/legal-guidance/theft-act-offen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westlaw.co.uk/maf/wluk/app/document?src=doc&amp;linktype=ref&amp;context=79&amp;crumb-action=replace&amp;docguid=I9AF97C70E42711DA8FC2A0F0355337E9" TargetMode="External"/><Relationship Id="rId5" Type="http://schemas.openxmlformats.org/officeDocument/2006/relationships/webSettings" Target="webSettings.xml"/><Relationship Id="rId15" Type="http://schemas.openxmlformats.org/officeDocument/2006/relationships/hyperlink" Target="https://www.cps.gov.uk/legal-guidance/sentencing-mandatory-life-sentences-murder-cases" TargetMode="External"/><Relationship Id="rId10" Type="http://schemas.openxmlformats.org/officeDocument/2006/relationships/hyperlink" Target="https://login.westlaw.co.uk/maf/wluk/app/document?src=doc&amp;linktype=ref&amp;context=40&amp;crumb-action=replace&amp;docguid=I2F7DFA209CAE11DCA88BF3ACEBF28B7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westlaw.co.uk/maf/wluk/app/document?src=doc&amp;linktype=ref&amp;context=40&amp;crumb-action=replace&amp;docguid=I9AD44130E42711DA8FC2A0F0355337E9" TargetMode="External"/><Relationship Id="rId14" Type="http://schemas.openxmlformats.org/officeDocument/2006/relationships/hyperlink" Target="https://www.cps.gov.uk/legal-guidance/offences-against-person-incorporating-charging-standar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ps.gov.uk/legal-guidance/homicide-murder-and-manslaughter" TargetMode="External"/><Relationship Id="rId13" Type="http://schemas.openxmlformats.org/officeDocument/2006/relationships/hyperlink" Target="https://www.cps.gov.uk/legal-guidance/homicide-murder-and-manslaughter" TargetMode="External"/><Relationship Id="rId18" Type="http://schemas.openxmlformats.org/officeDocument/2006/relationships/hyperlink" Target="https://login.westlaw.co.uk/maf/wluk/app/document?src=doc&amp;linktype=ref&amp;context=79&amp;crumb-action=replace&amp;docguid=I9AF97C70E42711DA8FC2A0F0355337E9" TargetMode="External"/><Relationship Id="rId26" Type="http://schemas.openxmlformats.org/officeDocument/2006/relationships/hyperlink" Target="https://www.cps.gov.uk/legal-guidance/theft-act-offences" TargetMode="External"/><Relationship Id="rId3" Type="http://schemas.openxmlformats.org/officeDocument/2006/relationships/hyperlink" Target="https://login.westlaw.co.uk/maf/wluk/app/document?src=doc&amp;linktype=ref&amp;context=79&amp;crumb-action=replace&amp;docguid=I9AF97C70E42711DA8FC2A0F0355337E9" TargetMode="External"/><Relationship Id="rId21" Type="http://schemas.openxmlformats.org/officeDocument/2006/relationships/hyperlink" Target="https://login.westlaw.co.uk/maf/wluk/app/document?src=doc&amp;linktype=ref&amp;context=79&amp;crumb-action=replace&amp;docguid=I9AF97C70E42711DA8FC2A0F0355337E9" TargetMode="External"/><Relationship Id="rId7" Type="http://schemas.openxmlformats.org/officeDocument/2006/relationships/hyperlink" Target="https://www.cps.gov.uk/legal-guidance/offences-against-person-incorporating-charging-standard" TargetMode="External"/><Relationship Id="rId12" Type="http://schemas.openxmlformats.org/officeDocument/2006/relationships/hyperlink" Target="https://www.cps.gov.uk/legal-guidance/offences-against-person-incorporating-charging-standard" TargetMode="External"/><Relationship Id="rId17" Type="http://schemas.openxmlformats.org/officeDocument/2006/relationships/hyperlink" Target="https://login.westlaw.co.uk/maf/wluk/app/document?src=doc&amp;linktype=ref&amp;context=79&amp;crumb-action=replace&amp;docguid=I9AF97C70E42711DA8FC2A0F0355337E9" TargetMode="External"/><Relationship Id="rId25" Type="http://schemas.openxmlformats.org/officeDocument/2006/relationships/hyperlink" Target="https://www.cps.gov.uk/legal-guidance/theft-act-offences" TargetMode="External"/><Relationship Id="rId2" Type="http://schemas.openxmlformats.org/officeDocument/2006/relationships/hyperlink" Target="https://www.alcoholconcern.org.uk/alcohol-statistics" TargetMode="External"/><Relationship Id="rId16" Type="http://schemas.openxmlformats.org/officeDocument/2006/relationships/hyperlink" Target="https://login.westlaw.co.uk/maf/wluk/app/document?src=doc&amp;linktype=ref&amp;context=79&amp;crumb-action=replace&amp;docguid=I9AF97C70E42711DA8FC2A0F0355337E9" TargetMode="External"/><Relationship Id="rId20" Type="http://schemas.openxmlformats.org/officeDocument/2006/relationships/hyperlink" Target="https://login.westlaw.co.uk/maf/wluk/app/document?src=doc&amp;linktype=ref&amp;context=79&amp;crumb-action=replace&amp;docguid=I9AF97C70E42711DA8FC2A0F0355337E9" TargetMode="External"/><Relationship Id="rId29" Type="http://schemas.openxmlformats.org/officeDocument/2006/relationships/hyperlink" Target="https://login.westlaw.co.uk/maf/wluk/app/document?src=doc&amp;linktype=ref&amp;context=79&amp;crumb-action=replace&amp;docguid=I9AF97C70E42711DA8FC2A0F0355337E9" TargetMode="External"/><Relationship Id="rId1" Type="http://schemas.openxmlformats.org/officeDocument/2006/relationships/hyperlink" Target="https://www.ons.gov.uk/peoplepopulationandcommunity/crimeandjustice/compendium/focusonviolentcrimeandsexualoffences/2015-02-12/chapter5violentcrimeandsexualoffencesalcoholrelatedviolence" TargetMode="External"/><Relationship Id="rId6" Type="http://schemas.openxmlformats.org/officeDocument/2006/relationships/hyperlink" Target="https://login.westlaw.co.uk/maf/wluk/app/document?src=doc&amp;linktype=ref&amp;context=79&amp;crumb-action=replace&amp;docguid=I9AF97C70E42711DA8FC2A0F0355337E9" TargetMode="External"/><Relationship Id="rId11" Type="http://schemas.openxmlformats.org/officeDocument/2006/relationships/hyperlink" Target="https://login.westlaw.co.uk/maf/wluk/app/document?src=doc&amp;linktype=ref&amp;context=79&amp;crumb-action=replace&amp;docguid=I9AF97C70E42711DA8FC2A0F0355337E9" TargetMode="External"/><Relationship Id="rId24" Type="http://schemas.openxmlformats.org/officeDocument/2006/relationships/hyperlink" Target="https://www.cps.gov.uk/legal-guidance/theft-act-offences" TargetMode="External"/><Relationship Id="rId5" Type="http://schemas.openxmlformats.org/officeDocument/2006/relationships/hyperlink" Target="https://login.westlaw.co.uk/maf/wluk/app/document?src=doc&amp;linktype=ref&amp;context=125&amp;crumb-action=replace&amp;docguid=I3EBF2530E42811DA8FC2A0F0355337E9" TargetMode="External"/><Relationship Id="rId15" Type="http://schemas.openxmlformats.org/officeDocument/2006/relationships/hyperlink" Target="https://login.westlaw.co.uk/maf/wluk/app/document?src=doc&amp;linktype=ref&amp;context=79&amp;crumb-action=replace&amp;docguid=I9AF97C70E42711DA8FC2A0F0355337E9" TargetMode="External"/><Relationship Id="rId23" Type="http://schemas.openxmlformats.org/officeDocument/2006/relationships/hyperlink" Target="https://login.westlaw.co.uk/maf/wluk/app/document?src=doc&amp;linktype=ref&amp;context=79&amp;crumb-action=replace&amp;docguid=I9AF97C70E42711DA8FC2A0F0355337E9" TargetMode="External"/><Relationship Id="rId28" Type="http://schemas.openxmlformats.org/officeDocument/2006/relationships/hyperlink" Target="https://login.westlaw.co.uk/maf/wluk/app/document?src=doc&amp;linktype=ref&amp;context=79&amp;crumb-action=replace&amp;docguid=I9AF97C70E42711DA8FC2A0F0355337E9" TargetMode="External"/><Relationship Id="rId10" Type="http://schemas.openxmlformats.org/officeDocument/2006/relationships/hyperlink" Target="https://login.westlaw.co.uk/maf/wluk/app/document?src=doc&amp;linktype=ref&amp;context=79&amp;crumb-action=replace&amp;docguid=I9AF97C70E42711DA8FC2A0F0355337E9" TargetMode="External"/><Relationship Id="rId19" Type="http://schemas.openxmlformats.org/officeDocument/2006/relationships/hyperlink" Target="https://login.westlaw.co.uk/maf/wluk/app/document?src=doc&amp;linktype=ref&amp;context=79&amp;crumb-action=replace&amp;docguid=I9AF97C70E42711DA8FC2A0F0355337E9" TargetMode="External"/><Relationship Id="rId4" Type="http://schemas.openxmlformats.org/officeDocument/2006/relationships/hyperlink" Target="https://login.westlaw.co.uk/maf/wluk/app/document?src=doc&amp;linktype=ref&amp;context=79&amp;crumb-action=replace&amp;docguid=I9AF97C70E42711DA8FC2A0F0355337E9" TargetMode="External"/><Relationship Id="rId9" Type="http://schemas.openxmlformats.org/officeDocument/2006/relationships/hyperlink" Target="https://login.westlaw.co.uk/maf/wluk/app/document?src=doc&amp;linktype=ref&amp;context=79&amp;crumb-action=replace&amp;docguid=I9AF97C70E42711DA8FC2A0F0355337E9" TargetMode="External"/><Relationship Id="rId14" Type="http://schemas.openxmlformats.org/officeDocument/2006/relationships/hyperlink" Target="https://www.cps.gov.uk/legal-guidance/sentencing-mandatory-life-sentences-murder-cases" TargetMode="External"/><Relationship Id="rId22" Type="http://schemas.openxmlformats.org/officeDocument/2006/relationships/hyperlink" Target="https://login.westlaw.co.uk/maf/wluk/app/document?src=doc&amp;linktype=ref&amp;context=79&amp;crumb-action=replace&amp;docguid=I9AF97C70E42711DA8FC2A0F0355337E9" TargetMode="External"/><Relationship Id="rId27" Type="http://schemas.openxmlformats.org/officeDocument/2006/relationships/hyperlink" Target="https://login.westlaw.co.uk/maf/wluk/app/document?src=doc&amp;linktype=ref&amp;context=79&amp;crumb-action=replace&amp;docguid=I9AF97C70E42711DA8FC2A0F0355337E9" TargetMode="External"/><Relationship Id="rId30" Type="http://schemas.openxmlformats.org/officeDocument/2006/relationships/hyperlink" Target="https://login.westlaw.co.uk/maf/wluk/app/document?src=doc&amp;linktype=ref&amp;context=79&amp;crumb-action=replace&amp;docguid=I9AF97C70E42711DA8FC2A0F0355337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55B6B-59FB-4A68-B9FE-844CCDF0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13820</Words>
  <Characters>70478</Characters>
  <Application>Microsoft Office Word</Application>
  <DocSecurity>0</DocSecurity>
  <Lines>587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Dougall</dc:creator>
  <cp:keywords/>
  <dc:description/>
  <cp:lastModifiedBy>Paul Burns</cp:lastModifiedBy>
  <cp:revision>2</cp:revision>
  <dcterms:created xsi:type="dcterms:W3CDTF">2019-07-12T10:48:00Z</dcterms:created>
  <dcterms:modified xsi:type="dcterms:W3CDTF">2019-07-12T10:48:00Z</dcterms:modified>
</cp:coreProperties>
</file>